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648" w:type="dxa"/>
        <w:tblLayout w:type="fixed"/>
        <w:tblCellMar>
          <w:left w:w="10" w:type="dxa"/>
          <w:right w:w="10" w:type="dxa"/>
        </w:tblCellMar>
        <w:tblLook w:val="0000" w:firstRow="0" w:lastRow="0" w:firstColumn="0" w:lastColumn="0" w:noHBand="0" w:noVBand="0"/>
      </w:tblPr>
      <w:tblGrid>
        <w:gridCol w:w="1526"/>
        <w:gridCol w:w="4144"/>
        <w:gridCol w:w="3978"/>
      </w:tblGrid>
      <w:tr w:rsidR="00002A97" w:rsidRPr="00BE6C85" w14:paraId="77F5F746" w14:textId="77777777">
        <w:trPr>
          <w:trHeight w:val="1328"/>
        </w:trPr>
        <w:tc>
          <w:tcPr>
            <w:tcW w:w="1526" w:type="dxa"/>
            <w:tcBorders>
              <w:top w:val="single" w:sz="12" w:space="0" w:color="000000"/>
              <w:bottom w:val="single" w:sz="12" w:space="0" w:color="000000"/>
            </w:tcBorders>
            <w:tcMar>
              <w:top w:w="85" w:type="dxa"/>
              <w:left w:w="108" w:type="dxa"/>
              <w:bottom w:w="0" w:type="dxa"/>
              <w:right w:w="108" w:type="dxa"/>
            </w:tcMar>
          </w:tcPr>
          <w:p w14:paraId="68D1D064" w14:textId="77777777" w:rsidR="00002A97" w:rsidRPr="00002A97" w:rsidRDefault="00002A97" w:rsidP="00002A97">
            <w:pPr>
              <w:widowControl w:val="0"/>
              <w:suppressAutoHyphens/>
              <w:autoSpaceDE w:val="0"/>
              <w:autoSpaceDN w:val="0"/>
              <w:spacing w:after="0" w:line="240" w:lineRule="auto"/>
              <w:textAlignment w:val="baseline"/>
              <w:rPr>
                <w:rFonts w:ascii="Calibri" w:eastAsia="Calibri" w:hAnsi="Calibri" w:cs="Times New Roman"/>
              </w:rPr>
            </w:pPr>
            <w:r w:rsidRPr="00002A97">
              <w:rPr>
                <w:rFonts w:eastAsia="Times New Roman" w:cs="Arial"/>
                <w:noProof/>
                <w:szCs w:val="24"/>
              </w:rPr>
              <w:drawing>
                <wp:inline distT="0" distB="0" distL="0" distR="0" wp14:anchorId="01A9DF71" wp14:editId="6CEDAA52">
                  <wp:extent cx="742950" cy="771525"/>
                  <wp:effectExtent l="0" t="0" r="0"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2531" t="-740" r="-2531" b="-740"/>
                          <a:stretch>
                            <a:fillRect/>
                          </a:stretch>
                        </pic:blipFill>
                        <pic:spPr>
                          <a:xfrm>
                            <a:off x="0" y="0"/>
                            <a:ext cx="742950" cy="771525"/>
                          </a:xfrm>
                          <a:prstGeom prst="rect">
                            <a:avLst/>
                          </a:prstGeom>
                          <a:noFill/>
                          <a:ln>
                            <a:noFill/>
                            <a:prstDash/>
                          </a:ln>
                        </pic:spPr>
                      </pic:pic>
                    </a:graphicData>
                  </a:graphic>
                </wp:inline>
              </w:drawing>
            </w:r>
          </w:p>
        </w:tc>
        <w:tc>
          <w:tcPr>
            <w:tcW w:w="4144" w:type="dxa"/>
            <w:tcBorders>
              <w:top w:val="single" w:sz="12" w:space="0" w:color="000000"/>
              <w:bottom w:val="single" w:sz="12" w:space="0" w:color="000000"/>
            </w:tcBorders>
            <w:tcMar>
              <w:top w:w="85" w:type="dxa"/>
              <w:left w:w="108" w:type="dxa"/>
              <w:bottom w:w="0" w:type="dxa"/>
              <w:right w:w="108" w:type="dxa"/>
            </w:tcMar>
          </w:tcPr>
          <w:p w14:paraId="54346F88"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eastAsia="Times New Roman" w:cs="Arial"/>
                <w:sz w:val="12"/>
                <w:szCs w:val="12"/>
                <w:lang w:val="es-ES" w:eastAsia="es-ES"/>
              </w:rPr>
            </w:pPr>
          </w:p>
          <w:p w14:paraId="7AA7A120"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CONVENCIÓN SOBRE</w:t>
            </w:r>
          </w:p>
          <w:p w14:paraId="0BDD37F9"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LAS ESPECIES</w:t>
            </w:r>
          </w:p>
          <w:p w14:paraId="40B8FBF0" w14:textId="77777777"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MIGRATORIAS</w:t>
            </w:r>
          </w:p>
        </w:tc>
        <w:tc>
          <w:tcPr>
            <w:tcW w:w="3978" w:type="dxa"/>
            <w:tcBorders>
              <w:top w:val="single" w:sz="12" w:space="0" w:color="000000"/>
              <w:bottom w:val="single" w:sz="12" w:space="0" w:color="000000"/>
            </w:tcBorders>
            <w:tcMar>
              <w:top w:w="85" w:type="dxa"/>
              <w:left w:w="108" w:type="dxa"/>
              <w:bottom w:w="0" w:type="dxa"/>
              <w:right w:w="108" w:type="dxa"/>
            </w:tcMar>
          </w:tcPr>
          <w:p w14:paraId="13A5EDAC" w14:textId="66E33504" w:rsidR="00002A97" w:rsidRPr="00457C8A" w:rsidRDefault="00002A97" w:rsidP="002F7EC2">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ascii="Calibri" w:eastAsia="Calibri" w:hAnsi="Calibri" w:cs="Times New Roman"/>
                <w:lang w:val="fr-FR"/>
              </w:rPr>
            </w:pPr>
            <w:r w:rsidRPr="00457C8A">
              <w:rPr>
                <w:rFonts w:eastAsia="Times New Roman" w:cs="Arial"/>
                <w:szCs w:val="24"/>
                <w:lang w:val="fr-FR" w:eastAsia="es-ES"/>
              </w:rPr>
              <w:t>UNEP/CMS/COP1</w:t>
            </w:r>
            <w:r w:rsidR="00C22155">
              <w:rPr>
                <w:rFonts w:eastAsia="Times New Roman" w:cs="Arial"/>
                <w:szCs w:val="24"/>
                <w:lang w:val="fr-FR" w:eastAsia="es-ES"/>
              </w:rPr>
              <w:t>5</w:t>
            </w:r>
            <w:r w:rsidRPr="00457C8A">
              <w:rPr>
                <w:rFonts w:eastAsia="Times New Roman" w:cs="Arial"/>
                <w:szCs w:val="24"/>
                <w:lang w:val="fr-FR" w:eastAsia="es-ES"/>
              </w:rPr>
              <w:t>/</w:t>
            </w:r>
            <w:r w:rsidR="00800CB3">
              <w:rPr>
                <w:rFonts w:eastAsia="Times New Roman" w:cs="Arial"/>
                <w:szCs w:val="24"/>
                <w:lang w:val="fr-FR" w:eastAsia="es-ES"/>
              </w:rPr>
              <w:t>Doc</w:t>
            </w:r>
            <w:r w:rsidRPr="00457C8A">
              <w:rPr>
                <w:rFonts w:eastAsia="Times New Roman" w:cs="Arial"/>
                <w:szCs w:val="24"/>
                <w:lang w:val="fr-FR" w:eastAsia="es-ES"/>
              </w:rPr>
              <w:t>.</w:t>
            </w:r>
            <w:r w:rsidR="00E7094C">
              <w:rPr>
                <w:rFonts w:eastAsia="Times New Roman" w:cs="Arial"/>
                <w:szCs w:val="24"/>
                <w:lang w:val="fr-FR" w:eastAsia="es-ES"/>
              </w:rPr>
              <w:t>27.3</w:t>
            </w:r>
          </w:p>
          <w:p w14:paraId="5F9B9DE6" w14:textId="685A2EB6" w:rsidR="00002A97" w:rsidRPr="00515163" w:rsidRDefault="004070C5" w:rsidP="002F7EC2">
            <w:pPr>
              <w:widowControl w:val="0"/>
              <w:tabs>
                <w:tab w:val="left" w:pos="5040"/>
                <w:tab w:val="left" w:pos="5760"/>
                <w:tab w:val="left" w:pos="6008"/>
                <w:tab w:val="left" w:pos="6480"/>
                <w:tab w:val="left" w:pos="7200"/>
                <w:tab w:val="left" w:pos="7920"/>
                <w:tab w:val="left" w:pos="8640"/>
              </w:tabs>
              <w:suppressAutoHyphens/>
              <w:autoSpaceDE w:val="0"/>
              <w:autoSpaceDN w:val="0"/>
              <w:spacing w:after="120" w:line="240" w:lineRule="auto"/>
              <w:textAlignment w:val="baseline"/>
              <w:rPr>
                <w:rFonts w:ascii="Calibri" w:eastAsia="Calibri" w:hAnsi="Calibri" w:cs="Times New Roman"/>
                <w:lang w:val="fr-FR"/>
              </w:rPr>
            </w:pPr>
            <w:r>
              <w:rPr>
                <w:rFonts w:eastAsia="Times New Roman" w:cs="Arial"/>
                <w:szCs w:val="24"/>
                <w:lang w:val="fr-FR" w:eastAsia="es-ES"/>
              </w:rPr>
              <w:t xml:space="preserve">14 de octubre </w:t>
            </w:r>
            <w:r w:rsidR="00002A97" w:rsidRPr="00515163">
              <w:rPr>
                <w:rFonts w:eastAsia="Times New Roman" w:cs="Arial"/>
                <w:szCs w:val="24"/>
                <w:lang w:val="fr-FR" w:eastAsia="es-ES"/>
              </w:rPr>
              <w:t>20</w:t>
            </w:r>
            <w:r w:rsidR="000F4BDA" w:rsidRPr="00515163">
              <w:rPr>
                <w:rFonts w:eastAsia="Times New Roman" w:cs="Arial"/>
                <w:szCs w:val="24"/>
                <w:lang w:val="fr-FR" w:eastAsia="es-ES"/>
              </w:rPr>
              <w:t>2</w:t>
            </w:r>
            <w:r w:rsidR="00BE6C85" w:rsidRPr="00515163">
              <w:rPr>
                <w:rFonts w:eastAsia="Times New Roman" w:cs="Arial"/>
                <w:szCs w:val="24"/>
                <w:lang w:val="fr-FR" w:eastAsia="es-ES"/>
              </w:rPr>
              <w:t>5</w:t>
            </w:r>
          </w:p>
          <w:p w14:paraId="7005662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szCs w:val="24"/>
                <w:lang w:val="es-ES_tradnl" w:eastAsia="es-ES"/>
              </w:rPr>
            </w:pPr>
            <w:r w:rsidRPr="00002A97">
              <w:rPr>
                <w:rFonts w:eastAsia="Times New Roman" w:cs="Arial"/>
                <w:szCs w:val="24"/>
                <w:lang w:val="es-ES_tradnl" w:eastAsia="es-ES"/>
              </w:rPr>
              <w:t>Español</w:t>
            </w:r>
          </w:p>
          <w:p w14:paraId="1A2CF210" w14:textId="77777777" w:rsidR="00002A97" w:rsidRPr="000F4BDA" w:rsidRDefault="00002A97" w:rsidP="00002A97">
            <w:pPr>
              <w:widowControl w:val="0"/>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Original: Inglés</w:t>
            </w:r>
          </w:p>
          <w:p w14:paraId="494F0815"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sz w:val="12"/>
                <w:szCs w:val="12"/>
                <w:lang w:val="es-ES" w:eastAsia="es-ES"/>
              </w:rPr>
            </w:pPr>
          </w:p>
        </w:tc>
      </w:tr>
    </w:tbl>
    <w:p w14:paraId="321C3CFB" w14:textId="77777777" w:rsidR="00002A97" w:rsidRPr="00002A97" w:rsidRDefault="00002A97" w:rsidP="00002A97">
      <w:pPr>
        <w:widowControl w:val="0"/>
        <w:tabs>
          <w:tab w:val="left" w:pos="-1057"/>
          <w:tab w:val="left" w:pos="-720"/>
        </w:tabs>
        <w:suppressAutoHyphens/>
        <w:autoSpaceDE w:val="0"/>
        <w:autoSpaceDN w:val="0"/>
        <w:spacing w:after="0" w:line="240" w:lineRule="auto"/>
        <w:textAlignment w:val="baseline"/>
        <w:rPr>
          <w:rFonts w:eastAsia="Times New Roman" w:cs="Arial"/>
          <w:sz w:val="8"/>
          <w:szCs w:val="8"/>
          <w:lang w:val="es-ES" w:eastAsia="es-ES"/>
        </w:rPr>
      </w:pPr>
    </w:p>
    <w:p w14:paraId="005C291A" w14:textId="7C581A96" w:rsidR="00002A97" w:rsidRPr="00002A97" w:rsidRDefault="00002A97" w:rsidP="00002A97">
      <w:pPr>
        <w:widowControl w:val="0"/>
        <w:tabs>
          <w:tab w:val="left" w:pos="-1057"/>
          <w:tab w:val="left" w:pos="-7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1</w:t>
      </w:r>
      <w:r w:rsidR="00C22155">
        <w:rPr>
          <w:rFonts w:eastAsia="Times New Roman" w:cs="Arial"/>
          <w:szCs w:val="24"/>
          <w:lang w:val="es-ES" w:eastAsia="es-ES"/>
        </w:rPr>
        <w:t>5</w:t>
      </w:r>
      <w:r w:rsidRPr="00002A97">
        <w:rPr>
          <w:rFonts w:eastAsia="Times New Roman" w:cs="Arial"/>
          <w:szCs w:val="24"/>
          <w:lang w:val="es-ES" w:eastAsia="es-ES"/>
        </w:rPr>
        <w:t>ª REUNIÓN DE LA CONFERENCIA DE LAS PARTES</w:t>
      </w:r>
    </w:p>
    <w:p w14:paraId="6AA17B99" w14:textId="78CEEED7" w:rsidR="00002A97" w:rsidRPr="00002A97" w:rsidRDefault="00BE6C85" w:rsidP="00002A97">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28" w:lineRule="auto"/>
        <w:textAlignment w:val="baseline"/>
        <w:outlineLvl w:val="1"/>
        <w:rPr>
          <w:rFonts w:ascii="Calibri" w:eastAsia="Calibri" w:hAnsi="Calibri" w:cs="Times New Roman"/>
          <w:lang w:val="es-ES"/>
        </w:rPr>
      </w:pPr>
      <w:r>
        <w:rPr>
          <w:rFonts w:eastAsia="Times New Roman" w:cs="Arial"/>
          <w:bCs/>
          <w:szCs w:val="24"/>
          <w:lang w:val="es-ES" w:eastAsia="es-ES"/>
        </w:rPr>
        <w:t>Campo Grande, Brasil, 23 al 29 marzo</w:t>
      </w:r>
      <w:r w:rsidR="00002A97" w:rsidRPr="00002A97">
        <w:rPr>
          <w:rFonts w:eastAsia="Times New Roman" w:cs="Arial"/>
          <w:bCs/>
          <w:szCs w:val="24"/>
          <w:lang w:val="es-ES" w:eastAsia="es-ES"/>
        </w:rPr>
        <w:t xml:space="preserve"> 202</w:t>
      </w:r>
      <w:r w:rsidR="00C22155">
        <w:rPr>
          <w:rFonts w:eastAsia="Times New Roman" w:cs="Arial"/>
          <w:bCs/>
          <w:szCs w:val="24"/>
          <w:lang w:val="es-ES" w:eastAsia="es-ES"/>
        </w:rPr>
        <w:t>6</w:t>
      </w:r>
    </w:p>
    <w:p w14:paraId="500F7C6B" w14:textId="52AC2CC9" w:rsidR="00002A97" w:rsidRPr="00002A97" w:rsidRDefault="00002A97" w:rsidP="00002A97">
      <w:pPr>
        <w:widowControl w:val="0"/>
        <w:tabs>
          <w:tab w:val="left" w:pos="70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 xml:space="preserve">Punto </w:t>
      </w:r>
      <w:r w:rsidR="00E7094C">
        <w:rPr>
          <w:rFonts w:eastAsia="Times New Roman" w:cs="Arial"/>
          <w:szCs w:val="24"/>
          <w:lang w:val="es-ES" w:eastAsia="es-ES"/>
        </w:rPr>
        <w:t>27.3</w:t>
      </w:r>
      <w:r w:rsidRPr="00002A97">
        <w:rPr>
          <w:rFonts w:eastAsia="Times New Roman" w:cs="Arial"/>
          <w:szCs w:val="24"/>
          <w:lang w:val="es-ES" w:eastAsia="es-ES"/>
        </w:rPr>
        <w:t xml:space="preserve"> del orden del día</w:t>
      </w:r>
    </w:p>
    <w:p w14:paraId="7D24E2F1" w14:textId="77777777" w:rsidR="00002A97" w:rsidRDefault="00002A97"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14:paraId="0B234219" w14:textId="77777777" w:rsidR="00AC09AE" w:rsidRPr="00002A97" w:rsidRDefault="00AC09AE"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14:paraId="62AB6703" w14:textId="75256AE2" w:rsidR="00002A97" w:rsidRPr="00790422" w:rsidRDefault="001047F1" w:rsidP="002F7EC2">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jc w:val="center"/>
        <w:textAlignment w:val="baseline"/>
        <w:outlineLvl w:val="1"/>
        <w:rPr>
          <w:rFonts w:ascii="Calibri" w:eastAsia="Calibri" w:hAnsi="Calibri" w:cs="Times New Roman"/>
          <w:lang w:val="es-ES"/>
        </w:rPr>
      </w:pPr>
      <w:r w:rsidRPr="007B7A3F">
        <w:rPr>
          <w:rFonts w:cs="Arial"/>
          <w:b/>
          <w:color w:val="000000" w:themeColor="text1"/>
          <w:lang w:val="es-ES"/>
        </w:rPr>
        <w:t>CENTRAL ASIAN MAMMALS INITIATIVE*</w:t>
      </w:r>
    </w:p>
    <w:p w14:paraId="649BC530" w14:textId="62EED1DF" w:rsidR="00002A97" w:rsidRPr="00002A97" w:rsidRDefault="002D5F2A" w:rsidP="00002A97">
      <w:pPr>
        <w:widowControl w:val="0"/>
        <w:suppressAutoHyphens/>
        <w:autoSpaceDE w:val="0"/>
        <w:autoSpaceDN w:val="0"/>
        <w:spacing w:after="0" w:line="240" w:lineRule="auto"/>
        <w:jc w:val="center"/>
        <w:textAlignment w:val="baseline"/>
        <w:rPr>
          <w:rFonts w:ascii="Calibri" w:eastAsia="Calibri" w:hAnsi="Calibri" w:cs="Times New Roman"/>
          <w:lang w:val="es-ES"/>
        </w:rPr>
      </w:pPr>
      <w:r>
        <w:rPr>
          <w:rFonts w:eastAsia="Times New Roman" w:cs="Arial"/>
          <w:i/>
          <w:szCs w:val="24"/>
          <w:lang w:val="es-ES" w:eastAsia="es-ES"/>
        </w:rPr>
        <w:t xml:space="preserve"> </w:t>
      </w:r>
      <w:r w:rsidR="00E77A9F">
        <w:rPr>
          <w:rFonts w:eastAsia="Times New Roman" w:cs="Arial"/>
          <w:i/>
          <w:szCs w:val="24"/>
          <w:lang w:val="es-ES" w:eastAsia="es-ES"/>
        </w:rPr>
        <w:t xml:space="preserve">(Preparado por la </w:t>
      </w:r>
      <w:r w:rsidR="00800CB3">
        <w:rPr>
          <w:rFonts w:eastAsia="Times New Roman" w:cs="Arial"/>
          <w:i/>
          <w:szCs w:val="24"/>
          <w:lang w:val="es-ES" w:eastAsia="es-ES"/>
        </w:rPr>
        <w:t>Secretaría</w:t>
      </w:r>
      <w:r w:rsidR="00E77A9F">
        <w:rPr>
          <w:rFonts w:eastAsia="Times New Roman" w:cs="Arial"/>
          <w:i/>
          <w:szCs w:val="24"/>
          <w:lang w:val="es-ES" w:eastAsia="es-ES"/>
        </w:rPr>
        <w:t>)</w:t>
      </w:r>
      <w:r w:rsidR="00002A97" w:rsidRPr="00002A97">
        <w:rPr>
          <w:rFonts w:eastAsia="Times New Roman" w:cs="Arial"/>
          <w:i/>
          <w:szCs w:val="24"/>
          <w:lang w:val="es-ES" w:eastAsia="es-ES"/>
        </w:rPr>
        <w:t xml:space="preserve"> </w:t>
      </w:r>
    </w:p>
    <w:p w14:paraId="6A23E363" w14:textId="77777777" w:rsidR="00002A97" w:rsidRPr="00002A97" w:rsidRDefault="00002A97" w:rsidP="00002A97">
      <w:pPr>
        <w:widowControl w:val="0"/>
        <w:tabs>
          <w:tab w:val="left" w:pos="8295"/>
        </w:tabs>
        <w:suppressAutoHyphens/>
        <w:autoSpaceDE w:val="0"/>
        <w:autoSpaceDN w:val="0"/>
        <w:spacing w:after="0" w:line="240" w:lineRule="auto"/>
        <w:jc w:val="both"/>
        <w:textAlignment w:val="baseline"/>
        <w:rPr>
          <w:rFonts w:eastAsia="Times New Roman" w:cs="Arial"/>
          <w:lang w:val="es-ES" w:eastAsia="es-ES"/>
        </w:rPr>
      </w:pPr>
    </w:p>
    <w:p w14:paraId="7DD73723" w14:textId="7EF653A4" w:rsidR="00002A97" w:rsidRPr="00002A97" w:rsidRDefault="002D5F2A" w:rsidP="00002A97">
      <w:pPr>
        <w:widowControl w:val="0"/>
        <w:suppressAutoHyphens/>
        <w:autoSpaceDE w:val="0"/>
        <w:autoSpaceDN w:val="0"/>
        <w:spacing w:after="0" w:line="240" w:lineRule="auto"/>
        <w:textAlignment w:val="baseline"/>
        <w:rPr>
          <w:rFonts w:ascii="Calibri" w:eastAsia="Calibri" w:hAnsi="Calibri" w:cs="Times New Roman"/>
          <w:lang w:val="es-ES"/>
        </w:rPr>
      </w:pPr>
      <w:r w:rsidRPr="00EC2A58">
        <w:rPr>
          <w:rFonts w:eastAsia="Times New Roman" w:cs="Arial"/>
          <w:noProof/>
        </w:rPr>
        <mc:AlternateContent>
          <mc:Choice Requires="wps">
            <w:drawing>
              <wp:anchor distT="0" distB="0" distL="114300" distR="114300" simplePos="0" relativeHeight="251658240" behindDoc="0" locked="0" layoutInCell="1" allowOverlap="1" wp14:anchorId="70DD936B" wp14:editId="7CCE10C5">
                <wp:simplePos x="0" y="0"/>
                <wp:positionH relativeFrom="column">
                  <wp:posOffset>975815</wp:posOffset>
                </wp:positionH>
                <wp:positionV relativeFrom="paragraph">
                  <wp:posOffset>147036</wp:posOffset>
                </wp:positionV>
                <wp:extent cx="4353636" cy="2299647"/>
                <wp:effectExtent l="0" t="0" r="27940" b="24765"/>
                <wp:wrapNone/>
                <wp:docPr id="5" name="Text Box 4"/>
                <wp:cNvGraphicFramePr/>
                <a:graphic xmlns:a="http://schemas.openxmlformats.org/drawingml/2006/main">
                  <a:graphicData uri="http://schemas.microsoft.com/office/word/2010/wordprocessingShape">
                    <wps:wsp>
                      <wps:cNvSpPr txBox="1"/>
                      <wps:spPr>
                        <a:xfrm>
                          <a:off x="0" y="0"/>
                          <a:ext cx="4353636" cy="2299647"/>
                        </a:xfrm>
                        <a:prstGeom prst="rect">
                          <a:avLst/>
                        </a:prstGeom>
                        <a:solidFill>
                          <a:srgbClr val="FFFFFF"/>
                        </a:solidFill>
                        <a:ln w="3172">
                          <a:solidFill>
                            <a:srgbClr val="000000"/>
                          </a:solidFill>
                          <a:prstDash val="solid"/>
                        </a:ln>
                      </wps:spPr>
                      <wps:txbx>
                        <w:txbxContent>
                          <w:p w14:paraId="78EFDF6D" w14:textId="1DCE26E8" w:rsidR="002D5F2A" w:rsidRDefault="002D5F2A" w:rsidP="002D5F2A">
                            <w:pPr>
                              <w:spacing w:after="0"/>
                            </w:pPr>
                            <w:r>
                              <w:rPr>
                                <w:rFonts w:eastAsia="Arial" w:cs="Arial"/>
                                <w:lang w:val="fr-FR"/>
                              </w:rPr>
                              <w:t>Resumen:</w:t>
                            </w:r>
                          </w:p>
                          <w:p w14:paraId="255B4E63" w14:textId="77777777" w:rsidR="002D5F2A" w:rsidRDefault="002D5F2A" w:rsidP="002D5F2A">
                            <w:pPr>
                              <w:spacing w:after="0"/>
                              <w:rPr>
                                <w:rFonts w:cs="Arial"/>
                                <w:lang w:val="fr-FR"/>
                              </w:rPr>
                            </w:pPr>
                          </w:p>
                          <w:p w14:paraId="3260E4AD" w14:textId="77777777" w:rsidR="004D1301" w:rsidRPr="004D1301" w:rsidRDefault="004D1301" w:rsidP="004D1301">
                            <w:pPr>
                              <w:pStyle w:val="P68B1DB1-Normal4"/>
                              <w:spacing w:after="0" w:line="240" w:lineRule="auto"/>
                              <w:jc w:val="both"/>
                              <w:rPr>
                                <w:lang w:val="es-ES"/>
                              </w:rPr>
                            </w:pPr>
                            <w:r w:rsidRPr="004D1301">
                              <w:rPr>
                                <w:lang w:val="es-ES"/>
                              </w:rPr>
                              <w:t xml:space="preserve">Este documento informa sobre el progreso en la implementación de las Decisiones 14.167-14.170 y la Resolución 11.24 (Rev. COP13): </w:t>
                            </w:r>
                            <w:r w:rsidRPr="004D1301">
                              <w:rPr>
                                <w:i/>
                                <w:lang w:val="es-ES"/>
                              </w:rPr>
                              <w:t>Iniciativa sobre los Mamíferos de Asia Central</w:t>
                            </w:r>
                            <w:r w:rsidRPr="004D1301">
                              <w:rPr>
                                <w:lang w:val="es-ES"/>
                              </w:rPr>
                              <w:t xml:space="preserve">. Propone enmiendas a la Resolución 11.24 (Rev. COP13), así como borradores de Decisiones para su adopción. </w:t>
                            </w:r>
                          </w:p>
                          <w:p w14:paraId="4A319824" w14:textId="77777777" w:rsidR="004D1301" w:rsidRPr="004D1301" w:rsidRDefault="004D1301" w:rsidP="004D1301">
                            <w:pPr>
                              <w:spacing w:after="0" w:line="240" w:lineRule="auto"/>
                              <w:jc w:val="both"/>
                              <w:rPr>
                                <w:rFonts w:cs="Arial"/>
                                <w:lang w:val="es-ES"/>
                              </w:rPr>
                            </w:pPr>
                          </w:p>
                          <w:p w14:paraId="72FEC1E2" w14:textId="6BA66801" w:rsidR="004D1301" w:rsidRPr="004D1301" w:rsidRDefault="004D1301" w:rsidP="004D1301">
                            <w:pPr>
                              <w:spacing w:after="0" w:line="240" w:lineRule="auto"/>
                              <w:jc w:val="both"/>
                              <w:rPr>
                                <w:rFonts w:cs="Arial"/>
                                <w:lang w:val="es-ES"/>
                              </w:rPr>
                            </w:pPr>
                            <w:r w:rsidRPr="004D1301">
                              <w:rPr>
                                <w:lang w:val="es-ES"/>
                              </w:rPr>
                              <w:t>La Resolución 11.24 (Rev. COP13) revisada y los borradores de Decisiones respaldarían el logro de las Metas 1.2, 1.3 y 3.1-3.4 y todas las Metas de los Objetivos 2, 4, 5 y 6 del Plan Estratégico de Samarcanda para las Especies Migratorias 2024-2032.</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70DD936B" id="_x0000_t202" coordsize="21600,21600" o:spt="202" path="m,l,21600r21600,l21600,xe">
                <v:stroke joinstyle="miter"/>
                <v:path gradientshapeok="t" o:connecttype="rect"/>
              </v:shapetype>
              <v:shape id="Text Box 4" o:spid="_x0000_s1026" type="#_x0000_t202" style="position:absolute;margin-left:76.85pt;margin-top:11.6pt;width:342.8pt;height:181.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" strokeweight=".08811mm">
                <v:textbox>
                  <w:txbxContent>
                    <w:p w14:paraId="78EFDF6D" w14:textId="1DCE26E8" w:rsidR="002D5F2A" w:rsidRDefault="002D5F2A" w:rsidP="002D5F2A">
                      <w:pPr>
                        <w:spacing w:after="0"/>
                      </w:pPr>
                      <w:r>
                        <w:rPr>
                          <w:rFonts w:eastAsia="Arial" w:cs="Arial"/>
                          <w:lang w:val="fr-FR"/>
                        </w:rPr>
                        <w:t>Resumen:</w:t>
                      </w:r>
                    </w:p>
                    <w:p w14:paraId="255B4E63" w14:textId="77777777" w:rsidR="002D5F2A" w:rsidRDefault="002D5F2A" w:rsidP="002D5F2A">
                      <w:pPr>
                        <w:spacing w:after="0"/>
                        <w:rPr>
                          <w:rFonts w:cs="Arial"/>
                          <w:lang w:val="fr-FR"/>
                        </w:rPr>
                      </w:pPr>
                    </w:p>
                    <w:p w14:paraId="3260E4AD" w14:textId="77777777" w:rsidR="004D1301" w:rsidRPr="004D1301" w:rsidRDefault="004D1301" w:rsidP="004D1301">
                      <w:pPr>
                        <w:pStyle w:val="P68B1DB1-Normal4"/>
                        <w:spacing w:after="0" w:line="240" w:lineRule="auto"/>
                        <w:jc w:val="both"/>
                        <w:rPr>
                          <w:lang w:val="es-ES"/>
                        </w:rPr>
                      </w:pPr>
                      <w:r w:rsidRPr="004D1301">
                        <w:rPr>
                          <w:lang w:val="es-ES"/>
                        </w:rPr>
                        <w:t xml:space="preserve">Este documento informa sobre el progreso en la implementación de las Decisiones 14.167-14.170 y la Resolución 11.24 (Rev. COP13): </w:t>
                      </w:r>
                      <w:r w:rsidRPr="004D1301">
                        <w:rPr>
                          <w:i/>
                          <w:lang w:val="es-ES"/>
                        </w:rPr>
                        <w:t>Iniciativa sobre los Mamíferos de Asia Central</w:t>
                      </w:r>
                      <w:r w:rsidRPr="004D1301">
                        <w:rPr>
                          <w:lang w:val="es-ES"/>
                        </w:rPr>
                        <w:t xml:space="preserve">. Propone enmiendas a la Resolución 11.24 (Rev. COP13), así como borradores de Decisiones para su adopción. </w:t>
                      </w:r>
                    </w:p>
                    <w:p w14:paraId="4A319824" w14:textId="77777777" w:rsidR="004D1301" w:rsidRPr="004D1301" w:rsidRDefault="004D1301" w:rsidP="004D1301">
                      <w:pPr>
                        <w:spacing w:after="0" w:line="240" w:lineRule="auto"/>
                        <w:jc w:val="both"/>
                        <w:rPr>
                          <w:rFonts w:cs="Arial"/>
                          <w:lang w:val="es-ES"/>
                        </w:rPr>
                      </w:pPr>
                    </w:p>
                    <w:p w14:paraId="72FEC1E2" w14:textId="6BA66801" w:rsidR="004D1301" w:rsidRPr="004D1301" w:rsidRDefault="004D1301" w:rsidP="004D1301">
                      <w:pPr>
                        <w:spacing w:after="0" w:line="240" w:lineRule="auto"/>
                        <w:jc w:val="both"/>
                        <w:rPr>
                          <w:rFonts w:cs="Arial"/>
                          <w:lang w:val="es-ES"/>
                        </w:rPr>
                      </w:pPr>
                      <w:r w:rsidRPr="004D1301">
                        <w:rPr>
                          <w:lang w:val="es-ES"/>
                        </w:rPr>
                        <w:t>La Resolución 11.24 (Rev. COP13) revisada y los borradores de Decisiones respaldarían el logro de las Metas 1.2, 1.3 y 3.1-3.4 y todas las Metas de los Objetivos 2, 4, 5 y 6 del Plan Estratégico de Samarcanda para las Especies Migratorias 2024-2032.</w:t>
                      </w:r>
                    </w:p>
                  </w:txbxContent>
                </v:textbox>
              </v:shape>
            </w:pict>
          </mc:Fallback>
        </mc:AlternateContent>
      </w:r>
    </w:p>
    <w:p w14:paraId="446B2251" w14:textId="3D106049"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D1046C7" w14:textId="292C83CD"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47839D3"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34F4552"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3232352"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60ED40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1E92F8A"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9D1ABE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0BBCB6E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1C18AAA"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8F1984A"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76C2460"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1ABC5A62"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6E41D78"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84B6374" w14:textId="77777777" w:rsidR="00002A97" w:rsidRP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F333155"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9F85BB4"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7E2C95B"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12536E0B"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5B16880"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202BB70"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5DDD6F5C"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1305F4B1"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6688DCBA"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2B88AEC7"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5A5CEA7"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4F5A5A6"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4EE0A7FF" w14:textId="77777777" w:rsidR="00002A97"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14:paraId="3E297752"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61FF0260"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35621CBA"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40682672"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382442B0"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625CE79A"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7801DBC1" w14:textId="77777777" w:rsidR="006F2A8A" w:rsidRDefault="006F2A8A" w:rsidP="00002A97">
      <w:pPr>
        <w:widowControl w:val="0"/>
        <w:suppressAutoHyphens/>
        <w:autoSpaceDE w:val="0"/>
        <w:autoSpaceDN w:val="0"/>
        <w:spacing w:after="0" w:line="240" w:lineRule="auto"/>
        <w:textAlignment w:val="baseline"/>
        <w:rPr>
          <w:rFonts w:eastAsia="Times New Roman" w:cs="Arial"/>
          <w:lang w:val="es-ES" w:eastAsia="es-ES"/>
        </w:rPr>
      </w:pPr>
    </w:p>
    <w:p w14:paraId="3870B328" w14:textId="77777777" w:rsidR="006F2A8A" w:rsidRPr="00830C68" w:rsidRDefault="006F2A8A" w:rsidP="006F2A8A">
      <w:pPr>
        <w:widowControl w:val="0"/>
        <w:suppressAutoHyphens/>
        <w:autoSpaceDE w:val="0"/>
        <w:autoSpaceDN w:val="0"/>
        <w:spacing w:after="0" w:line="240" w:lineRule="auto"/>
        <w:jc w:val="both"/>
        <w:textAlignment w:val="baseline"/>
        <w:rPr>
          <w:rFonts w:eastAsia="Times New Roman" w:cs="Arial"/>
          <w:lang w:val="es-ES" w:eastAsia="es-ES"/>
        </w:rPr>
      </w:pPr>
      <w:r w:rsidRPr="00830C68">
        <w:rPr>
          <w:rFonts w:eastAsia="Times New Roman" w:cs="Arial"/>
          <w:sz w:val="18"/>
          <w:szCs w:val="18"/>
          <w:lang w:val="es-ES"/>
        </w:rPr>
        <w:t>*Las designaciones geográficas empleadas en este documento no implican, de parte de la Secretaría de la CMS (o del Programa de las Naciones Unidas para el Medio Ambiente), juicio alguno sobre la condición jurídica de ningún país, territorio o área, ni sobre la delimitación de su frontera o fronteras. La responsabilidad del contenido del documento recae exclusivamente en su autor</w:t>
      </w:r>
      <w:r>
        <w:rPr>
          <w:rFonts w:eastAsia="Times New Roman" w:cs="Arial"/>
          <w:sz w:val="18"/>
          <w:szCs w:val="18"/>
          <w:lang w:val="es-ES"/>
        </w:rPr>
        <w:t>.</w:t>
      </w:r>
    </w:p>
    <w:p w14:paraId="0F0DA0E1" w14:textId="77777777" w:rsidR="009A69BA" w:rsidRPr="00D1123A" w:rsidRDefault="009A69BA" w:rsidP="009A69BA">
      <w:pPr>
        <w:pStyle w:val="Title1"/>
      </w:pPr>
      <w:r w:rsidRPr="00D1123A">
        <w:lastRenderedPageBreak/>
        <w:t>CENTRAL ASIAN MAMMALS INITATIVE</w:t>
      </w:r>
    </w:p>
    <w:p w14:paraId="18E18FA3" w14:textId="77777777" w:rsidR="009A69BA" w:rsidRPr="007376E6" w:rsidRDefault="009A69BA" w:rsidP="009A69BA">
      <w:pPr>
        <w:suppressAutoHyphens/>
        <w:autoSpaceDN w:val="0"/>
        <w:spacing w:after="0" w:line="240" w:lineRule="auto"/>
        <w:textAlignment w:val="baseline"/>
        <w:rPr>
          <w:rFonts w:eastAsia="Calibri" w:cs="Arial"/>
          <w:lang w:val="es-ES"/>
        </w:rPr>
      </w:pPr>
    </w:p>
    <w:p w14:paraId="20502706" w14:textId="77777777" w:rsidR="009A69BA" w:rsidRPr="007376E6" w:rsidRDefault="009A69BA" w:rsidP="009A69BA">
      <w:pPr>
        <w:suppressAutoHyphens/>
        <w:autoSpaceDN w:val="0"/>
        <w:spacing w:after="0" w:line="240" w:lineRule="auto"/>
        <w:textAlignment w:val="baseline"/>
        <w:rPr>
          <w:rFonts w:eastAsia="Calibri" w:cs="Arial"/>
          <w:lang w:val="es-ES"/>
        </w:rPr>
      </w:pPr>
    </w:p>
    <w:p w14:paraId="0294DE21" w14:textId="77777777" w:rsidR="00880445" w:rsidRPr="00A46A34" w:rsidRDefault="00880445" w:rsidP="00880445">
      <w:pPr>
        <w:pStyle w:val="P68B1DB1-Normal6"/>
        <w:suppressAutoHyphens/>
        <w:autoSpaceDN w:val="0"/>
        <w:spacing w:after="0" w:line="240" w:lineRule="auto"/>
        <w:jc w:val="both"/>
        <w:textAlignment w:val="baseline"/>
      </w:pPr>
      <w:r w:rsidRPr="00A46A34">
        <w:t>Antecedentes</w:t>
      </w:r>
    </w:p>
    <w:p w14:paraId="1F3B4C81" w14:textId="77777777" w:rsidR="00880445" w:rsidRPr="00A46A34" w:rsidRDefault="00880445" w:rsidP="00880445">
      <w:pPr>
        <w:pStyle w:val="Firstnumbering"/>
        <w:numPr>
          <w:ilvl w:val="0"/>
          <w:numId w:val="0"/>
        </w:numPr>
        <w:jc w:val="both"/>
        <w:rPr>
          <w:rFonts w:cs="Arial"/>
          <w:color w:val="000000" w:themeColor="text1"/>
        </w:rPr>
      </w:pPr>
    </w:p>
    <w:p w14:paraId="40F2A6E3" w14:textId="77777777" w:rsidR="00880445" w:rsidRPr="00124885" w:rsidRDefault="00880445" w:rsidP="00880445">
      <w:pPr>
        <w:pStyle w:val="P68B1DB1-Normal4"/>
        <w:widowControl w:val="0"/>
        <w:numPr>
          <w:ilvl w:val="0"/>
          <w:numId w:val="6"/>
        </w:numPr>
        <w:autoSpaceDE w:val="0"/>
        <w:autoSpaceDN w:val="0"/>
        <w:adjustRightInd w:val="0"/>
        <w:spacing w:after="0" w:line="240" w:lineRule="auto"/>
        <w:ind w:left="567" w:hanging="567"/>
        <w:jc w:val="both"/>
        <w:rPr>
          <w:color w:val="000000" w:themeColor="text1"/>
          <w:lang w:val="es-ES"/>
        </w:rPr>
      </w:pPr>
      <w:r w:rsidRPr="00124885">
        <w:rPr>
          <w:color w:val="000000" w:themeColor="text1"/>
          <w:lang w:val="es-ES"/>
        </w:rPr>
        <w:t>La Iniciativa sobre los Mamíferos de Asia Central (CAMI) se puso en marcha en la 11.ª Reunión de la Conferencia de las Partes (COP11) en 2014 (Resolución 11.24). El objetivo general de la iniciativa es mejorar el estado de conservación de los grandes mamíferos migratorios y sus hábitats en toda la región de Asia Central mediante el fortalecimiento de la coordinación y la cooperación transfronterizas, al tiempo que se abordan las principales amenazas. La CAMI sigue un Programa de Trabajo integral que consiste en actividades desarrolladas para alcanzar dicho objetivo en relación con 17 especies incluidas en la lista de la CMS, en 14 Estados del área de distribución. La lista se actualiza en cada reunión de los Estados del área de distribución, que se celebra cada seis años. La CAMI se considera una forma de acuerdo, tal y como se describe en el Artículo V de la Convención, y está abierta a todos los Estados del área de distribución de las especies de la CAMI, sean o no Partes de la Convención. Desde su creación, el programa de trabajo de la CAMI se ha actualizado dos veces. La Actividad 29.7 del Programa de Trabajo 2021</w:t>
      </w:r>
      <w:r w:rsidRPr="00124885">
        <w:rPr>
          <w:lang w:val="es-ES"/>
        </w:rPr>
        <w:t>-</w:t>
      </w:r>
      <w:r w:rsidRPr="00124885">
        <w:rPr>
          <w:color w:val="000000" w:themeColor="text1"/>
          <w:lang w:val="es-ES"/>
        </w:rPr>
        <w:t xml:space="preserve">2026 pide que se actualice en preparación para su aprobación por parte la COP15 de la CMS. </w:t>
      </w:r>
    </w:p>
    <w:p w14:paraId="37F92AE2" w14:textId="77777777" w:rsidR="00880445" w:rsidRPr="00124885" w:rsidRDefault="00880445" w:rsidP="00880445">
      <w:pPr>
        <w:widowControl w:val="0"/>
        <w:autoSpaceDE w:val="0"/>
        <w:autoSpaceDN w:val="0"/>
        <w:adjustRightInd w:val="0"/>
        <w:spacing w:after="0" w:line="240" w:lineRule="auto"/>
        <w:ind w:left="567"/>
        <w:jc w:val="both"/>
        <w:rPr>
          <w:rFonts w:cs="Arial"/>
          <w:color w:val="000000" w:themeColor="text1"/>
          <w:lang w:val="es-ES"/>
        </w:rPr>
      </w:pPr>
    </w:p>
    <w:p w14:paraId="6CEEE076" w14:textId="77777777" w:rsidR="00880445" w:rsidRPr="00124885" w:rsidRDefault="00880445" w:rsidP="00880445">
      <w:pPr>
        <w:pStyle w:val="P68B1DB1-Normal7"/>
        <w:widowControl w:val="0"/>
        <w:numPr>
          <w:ilvl w:val="0"/>
          <w:numId w:val="6"/>
        </w:numPr>
        <w:autoSpaceDE w:val="0"/>
        <w:autoSpaceDN w:val="0"/>
        <w:adjustRightInd w:val="0"/>
        <w:spacing w:after="0" w:line="240" w:lineRule="auto"/>
        <w:ind w:left="567" w:hanging="567"/>
        <w:jc w:val="both"/>
        <w:rPr>
          <w:lang w:val="es-ES"/>
        </w:rPr>
      </w:pPr>
      <w:r w:rsidRPr="00124885">
        <w:rPr>
          <w:lang w:val="es-ES"/>
        </w:rPr>
        <w:t>La COP14 adoptó, además, las siguientes Decisiones sobre la CAMI:</w:t>
      </w:r>
    </w:p>
    <w:p w14:paraId="1C405A19" w14:textId="77777777" w:rsidR="00880445" w:rsidRDefault="00880445" w:rsidP="009A69BA">
      <w:pPr>
        <w:spacing w:after="0" w:line="240" w:lineRule="auto"/>
        <w:ind w:left="851"/>
        <w:jc w:val="both"/>
        <w:rPr>
          <w:rFonts w:cs="Arial"/>
          <w:b/>
          <w:bCs/>
          <w:i/>
          <w:iCs/>
          <w:sz w:val="20"/>
          <w:szCs w:val="20"/>
          <w:lang w:val="es-ES"/>
        </w:rPr>
      </w:pPr>
    </w:p>
    <w:p w14:paraId="262D1695" w14:textId="77809E28" w:rsidR="009A69BA" w:rsidRPr="007002EE" w:rsidRDefault="009A69BA" w:rsidP="009A69BA">
      <w:pPr>
        <w:spacing w:after="0" w:line="240" w:lineRule="auto"/>
        <w:ind w:left="851"/>
        <w:jc w:val="both"/>
        <w:rPr>
          <w:rFonts w:cs="Arial"/>
          <w:b/>
          <w:bCs/>
          <w:i/>
          <w:iCs/>
          <w:sz w:val="20"/>
          <w:szCs w:val="20"/>
          <w:lang w:val="es-ES"/>
        </w:rPr>
      </w:pPr>
      <w:r w:rsidRPr="007002EE">
        <w:rPr>
          <w:rFonts w:cs="Arial"/>
          <w:b/>
          <w:bCs/>
          <w:i/>
          <w:iCs/>
          <w:sz w:val="20"/>
          <w:szCs w:val="20"/>
          <w:lang w:val="es-ES"/>
        </w:rPr>
        <w:t>Decisi</w:t>
      </w:r>
      <w:r w:rsidR="007B7A3F" w:rsidRPr="007002EE">
        <w:rPr>
          <w:rFonts w:cs="Arial"/>
          <w:b/>
          <w:bCs/>
          <w:i/>
          <w:iCs/>
          <w:sz w:val="20"/>
          <w:szCs w:val="20"/>
          <w:lang w:val="es-ES"/>
        </w:rPr>
        <w:t>ó</w:t>
      </w:r>
      <w:r w:rsidRPr="007002EE">
        <w:rPr>
          <w:rFonts w:cs="Arial"/>
          <w:b/>
          <w:bCs/>
          <w:i/>
          <w:iCs/>
          <w:sz w:val="20"/>
          <w:szCs w:val="20"/>
          <w:lang w:val="es-ES"/>
        </w:rPr>
        <w:t xml:space="preserve">n 14.167 </w:t>
      </w:r>
      <w:r w:rsidR="007B7A3F" w:rsidRPr="007002EE">
        <w:rPr>
          <w:rFonts w:cs="Arial"/>
          <w:b/>
          <w:bCs/>
          <w:i/>
          <w:iCs/>
          <w:sz w:val="20"/>
          <w:szCs w:val="20"/>
          <w:lang w:val="es-ES"/>
        </w:rPr>
        <w:t>dirigida a las Partes</w:t>
      </w:r>
    </w:p>
    <w:p w14:paraId="2AC81CC2" w14:textId="77777777" w:rsidR="009A69BA" w:rsidRPr="007002EE" w:rsidRDefault="009A69BA" w:rsidP="009A69BA">
      <w:pPr>
        <w:spacing w:after="0" w:line="240" w:lineRule="auto"/>
        <w:ind w:left="851" w:hanging="360"/>
        <w:jc w:val="both"/>
        <w:rPr>
          <w:rFonts w:cs="Arial"/>
          <w:b/>
          <w:bCs/>
          <w:i/>
          <w:iCs/>
          <w:sz w:val="20"/>
          <w:szCs w:val="20"/>
          <w:lang w:val="es-ES"/>
        </w:rPr>
      </w:pPr>
    </w:p>
    <w:p w14:paraId="5A041504" w14:textId="6C06EFED" w:rsidR="009A69BA" w:rsidRPr="007002EE" w:rsidRDefault="007002EE" w:rsidP="009A69BA">
      <w:pPr>
        <w:widowControl w:val="0"/>
        <w:autoSpaceDE w:val="0"/>
        <w:autoSpaceDN w:val="0"/>
        <w:adjustRightInd w:val="0"/>
        <w:spacing w:after="0" w:line="240" w:lineRule="auto"/>
        <w:ind w:left="851"/>
        <w:jc w:val="both"/>
        <w:rPr>
          <w:rFonts w:cs="Arial"/>
          <w:i/>
          <w:iCs/>
          <w:color w:val="000000" w:themeColor="text1"/>
          <w:sz w:val="20"/>
          <w:szCs w:val="20"/>
          <w:lang w:val="es-ES"/>
        </w:rPr>
      </w:pPr>
      <w:r w:rsidRPr="007002EE">
        <w:rPr>
          <w:rFonts w:cs="Arial"/>
          <w:i/>
          <w:iCs/>
          <w:color w:val="000000" w:themeColor="text1"/>
          <w:sz w:val="20"/>
          <w:szCs w:val="20"/>
          <w:lang w:val="es-ES"/>
        </w:rPr>
        <w:t>Se solicita a las Partes que son Estados del área de distribución de la CAMI:</w:t>
      </w:r>
    </w:p>
    <w:p w14:paraId="69A732C9" w14:textId="77777777" w:rsidR="009A69BA" w:rsidRPr="007002EE" w:rsidRDefault="009A69BA" w:rsidP="009A69BA">
      <w:pPr>
        <w:suppressAutoHyphens/>
        <w:spacing w:line="240" w:lineRule="auto"/>
        <w:ind w:left="1440" w:hanging="540"/>
        <w:contextualSpacing/>
        <w:jc w:val="both"/>
        <w:rPr>
          <w:rFonts w:eastAsia="Calibri" w:cs="Arial"/>
          <w:b/>
          <w:bCs/>
          <w:sz w:val="20"/>
          <w:szCs w:val="20"/>
          <w:lang w:val="es-ES"/>
        </w:rPr>
      </w:pPr>
    </w:p>
    <w:p w14:paraId="56E0A658" w14:textId="77777777" w:rsidR="000C4F0A" w:rsidRPr="000C4F0A"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0C4F0A">
        <w:rPr>
          <w:rFonts w:eastAsia="Times New Roman" w:cs="Arial"/>
          <w:i/>
          <w:iCs/>
          <w:snapToGrid w:val="0"/>
          <w:color w:val="000000"/>
          <w:kern w:val="2"/>
          <w:sz w:val="20"/>
          <w:szCs w:val="20"/>
          <w:lang w:val="es-ES"/>
        </w:rPr>
        <w:t xml:space="preserve">revisar los informes, “Puntos críticos de la conservación transfronteriza en la Iniciativa sobre mamíferos de Asia Central” y “Potencial de la gestión comunitaria de la vida silvestre de las especies incluidas en la CAMI”, que serán compartidos por la Secretaría; </w:t>
      </w:r>
    </w:p>
    <w:p w14:paraId="3EE12F9A" w14:textId="77777777" w:rsidR="000C4F0A" w:rsidRPr="000C4F0A"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0C4F0A">
        <w:rPr>
          <w:rFonts w:eastAsia="Times New Roman" w:cs="Arial"/>
          <w:i/>
          <w:iCs/>
          <w:snapToGrid w:val="0"/>
          <w:color w:val="000000"/>
          <w:kern w:val="2"/>
          <w:sz w:val="20"/>
          <w:szCs w:val="20"/>
          <w:lang w:val="es-ES"/>
        </w:rPr>
        <w:t>mejorar la cooperación transfronteriza en las áreas críticas, según lo indicado en el estudio, “Puntos críticos de la conservación transfronteriza en la Iniciativa sobre mamíferos de Asia Central”;</w:t>
      </w:r>
    </w:p>
    <w:p w14:paraId="7926B05F" w14:textId="77777777" w:rsidR="000C4F0A" w:rsidRPr="000C4F0A"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0C4F0A">
        <w:rPr>
          <w:rFonts w:eastAsia="Times New Roman" w:cs="Arial"/>
          <w:i/>
          <w:iCs/>
          <w:snapToGrid w:val="0"/>
          <w:color w:val="000000"/>
          <w:kern w:val="2"/>
          <w:sz w:val="20"/>
          <w:szCs w:val="20"/>
          <w:lang w:val="es-ES"/>
        </w:rPr>
        <w:t>considerar la posibilidad de añadir a la CAMI las especies recién incluidas en la CMS, si comparten amenazas y hábitats similares con las especies existentes de la CAMI y, si es necesario, de proponer las modificaciones respectivas al PdT actual de la CAMI para que sean tenidas en cuenta por la 3.a Reunión de los Estados del Área de Distribución de la CAMI;</w:t>
      </w:r>
    </w:p>
    <w:p w14:paraId="5B7C741C" w14:textId="000885DA" w:rsidR="009A69BA" w:rsidRPr="004125C8" w:rsidRDefault="000C4F0A" w:rsidP="0027307C">
      <w:pPr>
        <w:widowControl w:val="0"/>
        <w:numPr>
          <w:ilvl w:val="0"/>
          <w:numId w:val="9"/>
        </w:numPr>
        <w:suppressAutoHyphens/>
        <w:spacing w:after="80" w:line="240" w:lineRule="auto"/>
        <w:ind w:right="96"/>
        <w:jc w:val="both"/>
        <w:rPr>
          <w:rFonts w:eastAsia="Times New Roman" w:cs="Arial"/>
          <w:i/>
          <w:iCs/>
          <w:snapToGrid w:val="0"/>
          <w:color w:val="000000"/>
          <w:kern w:val="2"/>
          <w:sz w:val="20"/>
          <w:szCs w:val="20"/>
          <w:lang w:val="es-ES"/>
        </w:rPr>
      </w:pPr>
      <w:r w:rsidRPr="004125C8">
        <w:rPr>
          <w:rFonts w:eastAsia="Times New Roman" w:cs="Arial"/>
          <w:i/>
          <w:iCs/>
          <w:snapToGrid w:val="0"/>
          <w:color w:val="000000"/>
          <w:kern w:val="2"/>
          <w:sz w:val="20"/>
          <w:szCs w:val="20"/>
          <w:lang w:val="es-ES"/>
        </w:rPr>
        <w:t>revisar, para que sea aprobado por la COP15, el PdT de la CAMI para el período 2027 2032, con el objetivo de simplificar sus acciones para que se centren en actividades transversales que beneficien a varias especies y para que reflejen los mandatos actualizados de la CMS relevantes para la región, en consonancia con los compromisos de las Partes con el Marco Mundial de Biodiversidad, garantizando así que las amenazas emergentes, como el cambio climático, se entiendan e incluyan;</w:t>
      </w:r>
    </w:p>
    <w:p w14:paraId="507F315C" w14:textId="7776D8D7" w:rsidR="009A69BA" w:rsidRPr="004125C8" w:rsidRDefault="004125C8" w:rsidP="0027307C">
      <w:pPr>
        <w:widowControl w:val="0"/>
        <w:numPr>
          <w:ilvl w:val="0"/>
          <w:numId w:val="9"/>
        </w:numPr>
        <w:suppressAutoHyphens/>
        <w:spacing w:after="0" w:line="240" w:lineRule="auto"/>
        <w:ind w:left="1276" w:right="96" w:hanging="425"/>
        <w:jc w:val="both"/>
        <w:rPr>
          <w:rFonts w:eastAsia="Times New Roman" w:cs="Arial"/>
          <w:i/>
          <w:iCs/>
          <w:snapToGrid w:val="0"/>
          <w:color w:val="000000"/>
          <w:kern w:val="2"/>
          <w:sz w:val="20"/>
          <w:szCs w:val="20"/>
          <w:lang w:val="es-ES"/>
        </w:rPr>
      </w:pPr>
      <w:r w:rsidRPr="004125C8">
        <w:rPr>
          <w:rFonts w:eastAsia="Times New Roman" w:cs="Arial"/>
          <w:i/>
          <w:iCs/>
          <w:snapToGrid w:val="0"/>
          <w:color w:val="000000"/>
          <w:kern w:val="2"/>
          <w:sz w:val="20"/>
          <w:szCs w:val="20"/>
          <w:lang w:val="es-ES"/>
        </w:rPr>
        <w:t>desarrollar, en cooperación con la Secretaría de la CMS, y aplicar una estrategia u otras acciones que promuevan el uso de los diversos informes y otros materiales de orientación elaborados por la CAMI en organizaciones, entidades y procesos pertinentes</w:t>
      </w:r>
    </w:p>
    <w:p w14:paraId="3A95726F" w14:textId="77777777" w:rsidR="009A69BA" w:rsidRPr="004125C8" w:rsidRDefault="009A69BA" w:rsidP="009A69BA">
      <w:pPr>
        <w:widowControl w:val="0"/>
        <w:autoSpaceDE w:val="0"/>
        <w:autoSpaceDN w:val="0"/>
        <w:adjustRightInd w:val="0"/>
        <w:spacing w:after="0" w:line="240" w:lineRule="auto"/>
        <w:ind w:left="567"/>
        <w:jc w:val="both"/>
        <w:rPr>
          <w:rFonts w:cs="Arial"/>
          <w:sz w:val="20"/>
          <w:szCs w:val="20"/>
          <w:lang w:val="es-ES"/>
        </w:rPr>
      </w:pPr>
    </w:p>
    <w:p w14:paraId="1253E844" w14:textId="297C6AD1" w:rsidR="009A69BA" w:rsidRPr="00202275" w:rsidRDefault="009A69BA" w:rsidP="009A69BA">
      <w:pPr>
        <w:widowControl w:val="0"/>
        <w:autoSpaceDE w:val="0"/>
        <w:autoSpaceDN w:val="0"/>
        <w:adjustRightInd w:val="0"/>
        <w:spacing w:after="0" w:line="240" w:lineRule="auto"/>
        <w:ind w:left="851"/>
        <w:jc w:val="both"/>
        <w:rPr>
          <w:rFonts w:cs="Arial"/>
          <w:b/>
          <w:bCs/>
          <w:i/>
          <w:iCs/>
          <w:sz w:val="20"/>
          <w:szCs w:val="20"/>
          <w:lang w:val="es-ES"/>
        </w:rPr>
      </w:pPr>
      <w:bookmarkStart w:id="0" w:name="_Hlk208336845"/>
      <w:r w:rsidRPr="00202275">
        <w:rPr>
          <w:rFonts w:cs="Arial"/>
          <w:b/>
          <w:bCs/>
          <w:i/>
          <w:iCs/>
          <w:sz w:val="20"/>
          <w:szCs w:val="20"/>
          <w:lang w:val="es-ES"/>
        </w:rPr>
        <w:t>Decisi</w:t>
      </w:r>
      <w:r w:rsidR="00344526" w:rsidRPr="00202275">
        <w:rPr>
          <w:rFonts w:cs="Arial"/>
          <w:b/>
          <w:bCs/>
          <w:i/>
          <w:iCs/>
          <w:sz w:val="20"/>
          <w:szCs w:val="20"/>
          <w:lang w:val="es-ES"/>
        </w:rPr>
        <w:t>ó</w:t>
      </w:r>
      <w:r w:rsidRPr="00202275">
        <w:rPr>
          <w:rFonts w:cs="Arial"/>
          <w:b/>
          <w:bCs/>
          <w:i/>
          <w:iCs/>
          <w:sz w:val="20"/>
          <w:szCs w:val="20"/>
          <w:lang w:val="es-ES"/>
        </w:rPr>
        <w:t xml:space="preserve">n 14.168 </w:t>
      </w:r>
      <w:r w:rsidR="00344526" w:rsidRPr="00202275">
        <w:rPr>
          <w:rFonts w:cs="Arial"/>
          <w:b/>
          <w:bCs/>
          <w:i/>
          <w:iCs/>
          <w:sz w:val="20"/>
          <w:szCs w:val="20"/>
          <w:lang w:val="es-ES"/>
        </w:rPr>
        <w:t>dirigida al Consejo Científico</w:t>
      </w:r>
    </w:p>
    <w:p w14:paraId="3802274F" w14:textId="77777777" w:rsidR="009A69BA" w:rsidRPr="00202275" w:rsidRDefault="009A69BA" w:rsidP="009A69BA">
      <w:pPr>
        <w:widowControl w:val="0"/>
        <w:autoSpaceDE w:val="0"/>
        <w:autoSpaceDN w:val="0"/>
        <w:adjustRightInd w:val="0"/>
        <w:spacing w:after="0" w:line="240" w:lineRule="auto"/>
        <w:ind w:left="851"/>
        <w:jc w:val="both"/>
        <w:rPr>
          <w:rFonts w:cs="Arial"/>
          <w:i/>
          <w:iCs/>
          <w:sz w:val="20"/>
          <w:szCs w:val="20"/>
          <w:lang w:val="es-ES"/>
        </w:rPr>
      </w:pPr>
    </w:p>
    <w:p w14:paraId="45AADACA" w14:textId="6989785B" w:rsidR="009A69BA" w:rsidRPr="00202275" w:rsidRDefault="00202275" w:rsidP="009A69BA">
      <w:pPr>
        <w:widowControl w:val="0"/>
        <w:autoSpaceDE w:val="0"/>
        <w:autoSpaceDN w:val="0"/>
        <w:adjustRightInd w:val="0"/>
        <w:spacing w:after="0" w:line="240" w:lineRule="auto"/>
        <w:ind w:left="851"/>
        <w:jc w:val="both"/>
        <w:rPr>
          <w:rFonts w:cs="Arial"/>
          <w:sz w:val="20"/>
          <w:szCs w:val="20"/>
          <w:lang w:val="es-ES"/>
        </w:rPr>
      </w:pPr>
      <w:r w:rsidRPr="00202275">
        <w:rPr>
          <w:rFonts w:cs="Arial"/>
          <w:i/>
          <w:iCs/>
          <w:sz w:val="20"/>
          <w:szCs w:val="20"/>
          <w:lang w:val="es-ES"/>
        </w:rPr>
        <w:t>Se solicita a los Consejeros designados por las Partes de la Región CAMI que presenten al Consejo Científico, en la próxima reunión del Comité del período de sesiones, el estudio "Puntos críticos de conservación transfronterizos para la Iniciativa sobre mamíferos de Asia Central" y las medidas adoptadas para promover la conservación de los puntos críticos transfronterizos seleccionados.</w:t>
      </w:r>
    </w:p>
    <w:p w14:paraId="5C45AB51" w14:textId="36AD65EF" w:rsidR="009A69BA" w:rsidRPr="00F11AB5" w:rsidRDefault="009A69BA" w:rsidP="009A69BA">
      <w:pPr>
        <w:widowControl w:val="0"/>
        <w:autoSpaceDE w:val="0"/>
        <w:autoSpaceDN w:val="0"/>
        <w:adjustRightInd w:val="0"/>
        <w:spacing w:after="0" w:line="240" w:lineRule="auto"/>
        <w:ind w:left="851"/>
        <w:jc w:val="both"/>
        <w:rPr>
          <w:rFonts w:cs="Arial"/>
          <w:b/>
          <w:bCs/>
          <w:i/>
          <w:iCs/>
          <w:sz w:val="20"/>
          <w:szCs w:val="20"/>
          <w:lang w:val="es-ES"/>
        </w:rPr>
      </w:pPr>
      <w:r w:rsidRPr="00F11AB5">
        <w:rPr>
          <w:rFonts w:cs="Arial"/>
          <w:b/>
          <w:bCs/>
          <w:i/>
          <w:iCs/>
          <w:sz w:val="20"/>
          <w:szCs w:val="20"/>
          <w:lang w:val="es-ES"/>
        </w:rPr>
        <w:lastRenderedPageBreak/>
        <w:t>Decisi</w:t>
      </w:r>
      <w:r w:rsidR="00232984" w:rsidRPr="00F11AB5">
        <w:rPr>
          <w:rFonts w:cs="Arial"/>
          <w:b/>
          <w:bCs/>
          <w:i/>
          <w:iCs/>
          <w:sz w:val="20"/>
          <w:szCs w:val="20"/>
          <w:lang w:val="es-ES"/>
        </w:rPr>
        <w:t>ó</w:t>
      </w:r>
      <w:r w:rsidRPr="00F11AB5">
        <w:rPr>
          <w:rFonts w:cs="Arial"/>
          <w:b/>
          <w:bCs/>
          <w:i/>
          <w:iCs/>
          <w:sz w:val="20"/>
          <w:szCs w:val="20"/>
          <w:lang w:val="es-ES"/>
        </w:rPr>
        <w:t xml:space="preserve">n 14.169 </w:t>
      </w:r>
      <w:r w:rsidR="00232984" w:rsidRPr="00F11AB5">
        <w:rPr>
          <w:rFonts w:cs="Arial"/>
          <w:b/>
          <w:bCs/>
          <w:i/>
          <w:iCs/>
          <w:sz w:val="20"/>
          <w:szCs w:val="20"/>
          <w:lang w:val="es-ES"/>
        </w:rPr>
        <w:t>dirigida al Consejo Científico</w:t>
      </w:r>
    </w:p>
    <w:p w14:paraId="77CA3344" w14:textId="77777777" w:rsidR="009A69BA" w:rsidRPr="00F11AB5" w:rsidRDefault="009A69BA" w:rsidP="009A69BA">
      <w:pPr>
        <w:widowControl w:val="0"/>
        <w:autoSpaceDE w:val="0"/>
        <w:autoSpaceDN w:val="0"/>
        <w:adjustRightInd w:val="0"/>
        <w:spacing w:after="0" w:line="240" w:lineRule="auto"/>
        <w:ind w:left="992"/>
        <w:jc w:val="both"/>
        <w:rPr>
          <w:rFonts w:cs="Arial"/>
          <w:b/>
          <w:bCs/>
          <w:i/>
          <w:iCs/>
          <w:sz w:val="20"/>
          <w:szCs w:val="20"/>
          <w:lang w:val="es-ES"/>
        </w:rPr>
      </w:pPr>
    </w:p>
    <w:p w14:paraId="231DA6AD" w14:textId="61146CB7" w:rsidR="009A69BA" w:rsidRPr="00DF4716" w:rsidRDefault="00F11AB5" w:rsidP="009A69BA">
      <w:pPr>
        <w:widowControl w:val="0"/>
        <w:autoSpaceDE w:val="0"/>
        <w:autoSpaceDN w:val="0"/>
        <w:adjustRightInd w:val="0"/>
        <w:spacing w:after="0" w:line="240" w:lineRule="auto"/>
        <w:ind w:left="851"/>
        <w:jc w:val="both"/>
        <w:rPr>
          <w:rFonts w:cs="Arial"/>
          <w:i/>
          <w:iCs/>
          <w:sz w:val="20"/>
          <w:szCs w:val="20"/>
          <w:lang w:val="es-ES"/>
        </w:rPr>
      </w:pPr>
      <w:r w:rsidRPr="00DF4716">
        <w:rPr>
          <w:rFonts w:cs="Arial"/>
          <w:i/>
          <w:iCs/>
          <w:sz w:val="20"/>
          <w:szCs w:val="20"/>
          <w:lang w:val="es-ES"/>
        </w:rPr>
        <w:t>Se solicita al Consejo Científico que:</w:t>
      </w:r>
    </w:p>
    <w:p w14:paraId="438FEEC6" w14:textId="77777777" w:rsidR="009A69BA" w:rsidRPr="00DF4716" w:rsidRDefault="009A69BA" w:rsidP="009A69BA">
      <w:pPr>
        <w:widowControl w:val="0"/>
        <w:autoSpaceDE w:val="0"/>
        <w:autoSpaceDN w:val="0"/>
        <w:adjustRightInd w:val="0"/>
        <w:spacing w:after="0" w:line="240" w:lineRule="auto"/>
        <w:ind w:left="993"/>
        <w:jc w:val="both"/>
        <w:rPr>
          <w:rFonts w:cs="Arial"/>
          <w:sz w:val="20"/>
          <w:szCs w:val="20"/>
          <w:lang w:val="es-ES"/>
        </w:rPr>
      </w:pPr>
    </w:p>
    <w:p w14:paraId="58A7C3F1" w14:textId="77777777" w:rsidR="00EF6910" w:rsidRPr="00EF6910" w:rsidRDefault="00EF6910" w:rsidP="0027307C">
      <w:pPr>
        <w:widowControl w:val="0"/>
        <w:numPr>
          <w:ilvl w:val="0"/>
          <w:numId w:val="10"/>
        </w:numPr>
        <w:suppressAutoHyphens/>
        <w:spacing w:after="120" w:line="240" w:lineRule="auto"/>
        <w:ind w:right="95"/>
        <w:jc w:val="both"/>
        <w:rPr>
          <w:rFonts w:eastAsia="Times New Roman" w:cs="Arial"/>
          <w:i/>
          <w:iCs/>
          <w:snapToGrid w:val="0"/>
          <w:color w:val="000000"/>
          <w:kern w:val="2"/>
          <w:sz w:val="20"/>
          <w:szCs w:val="20"/>
          <w:lang w:val="es-ES"/>
        </w:rPr>
      </w:pPr>
      <w:r w:rsidRPr="00EF6910">
        <w:rPr>
          <w:rFonts w:eastAsia="Times New Roman" w:cs="Arial"/>
          <w:i/>
          <w:iCs/>
          <w:snapToGrid w:val="0"/>
          <w:color w:val="000000"/>
          <w:kern w:val="2"/>
          <w:sz w:val="20"/>
          <w:szCs w:val="20"/>
          <w:lang w:val="es-ES"/>
        </w:rPr>
        <w:t>evalúe la metodología y las conclusiones del estudio, “Puntos críticos de la conservación transfronteriza en la Iniciativa sobre Mamíferos de Asia central”, y considere la posibilidad de aplicarlos a otras regiones; y</w:t>
      </w:r>
    </w:p>
    <w:p w14:paraId="295D6E63" w14:textId="1AD5F44F" w:rsidR="009A69BA" w:rsidRPr="00EF6910" w:rsidRDefault="00EF6910" w:rsidP="0027307C">
      <w:pPr>
        <w:widowControl w:val="0"/>
        <w:numPr>
          <w:ilvl w:val="0"/>
          <w:numId w:val="10"/>
        </w:numPr>
        <w:suppressAutoHyphens/>
        <w:spacing w:after="120" w:line="240" w:lineRule="auto"/>
        <w:ind w:right="95"/>
        <w:jc w:val="both"/>
        <w:rPr>
          <w:rFonts w:eastAsia="Times New Roman" w:cs="Arial"/>
          <w:i/>
          <w:iCs/>
          <w:snapToGrid w:val="0"/>
          <w:color w:val="000000"/>
          <w:kern w:val="2"/>
          <w:sz w:val="20"/>
          <w:szCs w:val="20"/>
          <w:lang w:val="es-ES"/>
        </w:rPr>
      </w:pPr>
      <w:r w:rsidRPr="00EF6910">
        <w:rPr>
          <w:rFonts w:eastAsia="Times New Roman" w:cs="Arial"/>
          <w:i/>
          <w:iCs/>
          <w:snapToGrid w:val="0"/>
          <w:color w:val="000000"/>
          <w:kern w:val="2"/>
          <w:sz w:val="20"/>
          <w:szCs w:val="20"/>
          <w:lang w:val="es-ES"/>
        </w:rPr>
        <w:t>teniendo en cuenta el párrafo 11 de la Resolución 11.24 (Rev.COP13) y basándose en la Decisión 14.197 (e), asesore sobre los foros y mecanismos de difusión pertinentes para promover la visibilidad de las conclusiones y recomendaciones del estudio “Puntos críticos de la conservación transfronteriza en la Iniciativa sobre Mamíferos de Asia central”</w:t>
      </w:r>
      <w:r w:rsidR="009A69BA" w:rsidRPr="00EF6910">
        <w:rPr>
          <w:rFonts w:eastAsia="Times New Roman" w:cs="Arial"/>
          <w:i/>
          <w:iCs/>
          <w:snapToGrid w:val="0"/>
          <w:color w:val="000000"/>
          <w:kern w:val="2"/>
          <w:sz w:val="20"/>
          <w:szCs w:val="20"/>
          <w:lang w:val="es-ES"/>
        </w:rPr>
        <w:t>.</w:t>
      </w:r>
    </w:p>
    <w:p w14:paraId="00609C71" w14:textId="77777777" w:rsidR="009A69BA" w:rsidRPr="00EF6910" w:rsidRDefault="009A69BA" w:rsidP="009A69BA">
      <w:pPr>
        <w:widowControl w:val="0"/>
        <w:autoSpaceDE w:val="0"/>
        <w:autoSpaceDN w:val="0"/>
        <w:adjustRightInd w:val="0"/>
        <w:spacing w:after="0" w:line="240" w:lineRule="auto"/>
        <w:ind w:left="993"/>
        <w:jc w:val="both"/>
        <w:rPr>
          <w:rFonts w:cs="Arial"/>
          <w:sz w:val="20"/>
          <w:szCs w:val="20"/>
          <w:lang w:val="es-ES"/>
        </w:rPr>
      </w:pPr>
    </w:p>
    <w:p w14:paraId="155E51AD" w14:textId="5E11BFBA" w:rsidR="009A69BA" w:rsidRPr="00F1721D" w:rsidRDefault="009A69BA" w:rsidP="009A69BA">
      <w:pPr>
        <w:widowControl w:val="0"/>
        <w:autoSpaceDE w:val="0"/>
        <w:autoSpaceDN w:val="0"/>
        <w:adjustRightInd w:val="0"/>
        <w:spacing w:after="0" w:line="240" w:lineRule="auto"/>
        <w:ind w:left="851"/>
        <w:jc w:val="both"/>
        <w:rPr>
          <w:rFonts w:cs="Arial"/>
          <w:b/>
          <w:bCs/>
          <w:i/>
          <w:iCs/>
          <w:sz w:val="20"/>
          <w:szCs w:val="20"/>
          <w:lang w:val="es-ES"/>
        </w:rPr>
      </w:pPr>
      <w:r w:rsidRPr="00F1721D">
        <w:rPr>
          <w:rFonts w:cs="Arial"/>
          <w:b/>
          <w:bCs/>
          <w:i/>
          <w:iCs/>
          <w:sz w:val="20"/>
          <w:szCs w:val="20"/>
          <w:lang w:val="es-ES"/>
        </w:rPr>
        <w:t>Decisi</w:t>
      </w:r>
      <w:r w:rsidR="00AB6CB3" w:rsidRPr="00F1721D">
        <w:rPr>
          <w:rFonts w:cs="Arial"/>
          <w:b/>
          <w:bCs/>
          <w:i/>
          <w:iCs/>
          <w:sz w:val="20"/>
          <w:szCs w:val="20"/>
          <w:lang w:val="es-ES"/>
        </w:rPr>
        <w:t>ó</w:t>
      </w:r>
      <w:r w:rsidRPr="00F1721D">
        <w:rPr>
          <w:rFonts w:cs="Arial"/>
          <w:b/>
          <w:bCs/>
          <w:i/>
          <w:iCs/>
          <w:sz w:val="20"/>
          <w:szCs w:val="20"/>
          <w:lang w:val="es-ES"/>
        </w:rPr>
        <w:t xml:space="preserve">n 14.170 </w:t>
      </w:r>
      <w:bookmarkEnd w:id="0"/>
      <w:r w:rsidR="00AB6CB3" w:rsidRPr="00F1721D">
        <w:rPr>
          <w:rFonts w:cs="Arial"/>
          <w:b/>
          <w:bCs/>
          <w:i/>
          <w:iCs/>
          <w:sz w:val="20"/>
          <w:szCs w:val="20"/>
          <w:lang w:val="es-ES"/>
        </w:rPr>
        <w:t>dirigida a la Secretaría</w:t>
      </w:r>
      <w:r w:rsidRPr="00F1721D">
        <w:rPr>
          <w:rFonts w:cs="Arial"/>
          <w:b/>
          <w:bCs/>
          <w:i/>
          <w:iCs/>
          <w:sz w:val="20"/>
          <w:szCs w:val="20"/>
          <w:lang w:val="es-ES"/>
        </w:rPr>
        <w:t xml:space="preserve"> </w:t>
      </w:r>
    </w:p>
    <w:p w14:paraId="5E701D48" w14:textId="77777777" w:rsidR="009A69BA" w:rsidRPr="00F1721D" w:rsidRDefault="009A69BA" w:rsidP="009A69BA">
      <w:pPr>
        <w:widowControl w:val="0"/>
        <w:autoSpaceDE w:val="0"/>
        <w:autoSpaceDN w:val="0"/>
        <w:adjustRightInd w:val="0"/>
        <w:spacing w:after="0" w:line="240" w:lineRule="auto"/>
        <w:ind w:left="993"/>
        <w:jc w:val="both"/>
        <w:rPr>
          <w:rFonts w:cs="Arial"/>
          <w:b/>
          <w:bCs/>
          <w:i/>
          <w:iCs/>
          <w:sz w:val="20"/>
          <w:szCs w:val="20"/>
          <w:lang w:val="es-ES"/>
        </w:rPr>
      </w:pPr>
    </w:p>
    <w:p w14:paraId="0E204DA6" w14:textId="75D84523" w:rsidR="009A69BA" w:rsidRPr="00F1721D" w:rsidRDefault="00F1721D" w:rsidP="009A69BA">
      <w:pPr>
        <w:widowControl w:val="0"/>
        <w:autoSpaceDE w:val="0"/>
        <w:autoSpaceDN w:val="0"/>
        <w:adjustRightInd w:val="0"/>
        <w:spacing w:after="0" w:line="240" w:lineRule="auto"/>
        <w:ind w:left="851"/>
        <w:jc w:val="both"/>
        <w:rPr>
          <w:rFonts w:cs="Arial"/>
          <w:i/>
          <w:iCs/>
          <w:sz w:val="20"/>
          <w:szCs w:val="20"/>
          <w:lang w:val="es-ES"/>
        </w:rPr>
      </w:pPr>
      <w:r w:rsidRPr="00F1721D">
        <w:rPr>
          <w:rFonts w:cs="Arial"/>
          <w:i/>
          <w:iCs/>
          <w:sz w:val="20"/>
          <w:szCs w:val="20"/>
          <w:lang w:val="es-ES"/>
        </w:rPr>
        <w:t>La Secretaría deberá</w:t>
      </w:r>
      <w:r w:rsidR="009A69BA" w:rsidRPr="00F1721D">
        <w:rPr>
          <w:rFonts w:cs="Arial"/>
          <w:i/>
          <w:iCs/>
          <w:sz w:val="20"/>
          <w:szCs w:val="20"/>
          <w:lang w:val="es-ES"/>
        </w:rPr>
        <w:t>:</w:t>
      </w:r>
    </w:p>
    <w:p w14:paraId="084F93FA" w14:textId="77777777" w:rsidR="009A69BA" w:rsidRPr="00F1721D" w:rsidRDefault="009A69BA" w:rsidP="009A69BA">
      <w:pPr>
        <w:widowControl w:val="0"/>
        <w:autoSpaceDE w:val="0"/>
        <w:autoSpaceDN w:val="0"/>
        <w:adjustRightInd w:val="0"/>
        <w:spacing w:after="0" w:line="240" w:lineRule="auto"/>
        <w:ind w:left="993"/>
        <w:jc w:val="both"/>
        <w:rPr>
          <w:rFonts w:cs="Arial"/>
          <w:sz w:val="20"/>
          <w:szCs w:val="20"/>
          <w:lang w:val="es-ES"/>
        </w:rPr>
      </w:pPr>
    </w:p>
    <w:p w14:paraId="00CB5232"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 xml:space="preserve">apoyar a las Partes en la ejecución de la Decisión 14.167; </w:t>
      </w:r>
    </w:p>
    <w:p w14:paraId="59B236F7"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sujeta a la disponibilidad de recursos externos, traducir al ruso los estudios, “Puntos críticos de la conservación transfronteriza en la Iniciativa sobre mamíferos de Asia Central” y “Potencial de la gestión comunitaria de la vida silvestre de las especies incluidas en la CAMI”, para facilitar su análisis y aprobación por las Partes afectadas que son Estados del área de distribución;</w:t>
      </w:r>
    </w:p>
    <w:p w14:paraId="2EF8EDA8"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 xml:space="preserve">compartir ambos estudios con las Partes que son Estados del área de distribución para recibir opiniones, incorporar los comentarios y hacerlos públicos; </w:t>
      </w:r>
    </w:p>
    <w:p w14:paraId="1830C0FB" w14:textId="77777777" w:rsidR="00983ED5" w:rsidRPr="00983ED5" w:rsidRDefault="00983ED5" w:rsidP="0027307C">
      <w:pPr>
        <w:widowControl w:val="0"/>
        <w:numPr>
          <w:ilvl w:val="0"/>
          <w:numId w:val="8"/>
        </w:numPr>
        <w:suppressAutoHyphens/>
        <w:spacing w:after="80" w:line="240" w:lineRule="auto"/>
        <w:ind w:left="1210" w:right="101"/>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sujeto a la disponibilidad de recursos externos, apoyar la iniciativa del Gobierno de Uzbekistán para llevar a cabo un estudio de viabilidad exhaustivo, que incluya la restitución del número de presas necesario, la adecuación del hábitat y la ampliación del espacio disponible para los guepardos, mediante la creación de capacidades y prestando apoyo a la recaudación de fondos para la reintroducción del guepardo en Uzbekistán, procurando los recursos necesarios para obtener presas y guepardos; y</w:t>
      </w:r>
    </w:p>
    <w:p w14:paraId="243E5946" w14:textId="0D1F5612" w:rsidR="009A69BA" w:rsidRPr="00983ED5" w:rsidRDefault="00983ED5" w:rsidP="0027307C">
      <w:pPr>
        <w:widowControl w:val="0"/>
        <w:numPr>
          <w:ilvl w:val="0"/>
          <w:numId w:val="8"/>
        </w:numPr>
        <w:suppressAutoHyphens/>
        <w:spacing w:after="0" w:line="240" w:lineRule="auto"/>
        <w:ind w:right="95"/>
        <w:jc w:val="both"/>
        <w:rPr>
          <w:rFonts w:eastAsia="Times New Roman" w:cs="Arial"/>
          <w:i/>
          <w:iCs/>
          <w:snapToGrid w:val="0"/>
          <w:color w:val="000000"/>
          <w:kern w:val="2"/>
          <w:sz w:val="20"/>
          <w:szCs w:val="20"/>
          <w:lang w:val="es-ES"/>
        </w:rPr>
      </w:pPr>
      <w:r w:rsidRPr="00983ED5">
        <w:rPr>
          <w:rFonts w:eastAsia="Times New Roman" w:cs="Arial"/>
          <w:i/>
          <w:iCs/>
          <w:snapToGrid w:val="0"/>
          <w:color w:val="000000"/>
          <w:kern w:val="2"/>
          <w:sz w:val="20"/>
          <w:szCs w:val="20"/>
          <w:lang w:val="es-ES"/>
        </w:rPr>
        <w:t>informar a la Conferencia de las Partes en su 15.a reunión acerca de los avances realizados en la ejecución de la presente Decisión.</w:t>
      </w:r>
    </w:p>
    <w:p w14:paraId="06F3AB13" w14:textId="77777777" w:rsidR="009A69BA" w:rsidRPr="00983ED5" w:rsidRDefault="009A69BA" w:rsidP="009A69BA">
      <w:pPr>
        <w:spacing w:after="0" w:line="240" w:lineRule="auto"/>
        <w:jc w:val="both"/>
        <w:rPr>
          <w:rFonts w:cs="Arial"/>
          <w:u w:val="single"/>
          <w:lang w:val="es-ES"/>
        </w:rPr>
      </w:pPr>
    </w:p>
    <w:p w14:paraId="130448DE" w14:textId="77777777" w:rsidR="00BD2B43" w:rsidRPr="00124885" w:rsidRDefault="00BD2B43" w:rsidP="00BD2B43">
      <w:pPr>
        <w:pStyle w:val="P68B1DB1-Normal12"/>
        <w:spacing w:after="0" w:line="240" w:lineRule="auto"/>
        <w:jc w:val="both"/>
        <w:rPr>
          <w:lang w:val="es-ES"/>
        </w:rPr>
      </w:pPr>
      <w:r w:rsidRPr="00124885">
        <w:rPr>
          <w:lang w:val="es-ES"/>
        </w:rPr>
        <w:t>Actividades de la Secretaría (Decisión 14.170)</w:t>
      </w:r>
    </w:p>
    <w:p w14:paraId="266C2AD7" w14:textId="77777777" w:rsidR="00BD2B43" w:rsidRPr="00124885" w:rsidRDefault="00BD2B43" w:rsidP="00BD2B43">
      <w:pPr>
        <w:spacing w:after="0" w:line="240" w:lineRule="auto"/>
        <w:jc w:val="both"/>
        <w:rPr>
          <w:rFonts w:cs="Arial"/>
          <w:u w:val="single"/>
          <w:lang w:val="es-ES"/>
        </w:rPr>
      </w:pPr>
    </w:p>
    <w:p w14:paraId="1EB44ACE" w14:textId="77777777" w:rsidR="00BD2B43" w:rsidRPr="00124885" w:rsidRDefault="00BD2B43" w:rsidP="00BD2B43">
      <w:pPr>
        <w:widowControl w:val="0"/>
        <w:autoSpaceDE w:val="0"/>
        <w:autoSpaceDN w:val="0"/>
        <w:adjustRightInd w:val="0"/>
        <w:spacing w:after="0" w:line="240" w:lineRule="auto"/>
        <w:jc w:val="both"/>
        <w:rPr>
          <w:rFonts w:cs="Arial"/>
          <w:i/>
          <w:lang w:val="es-ES"/>
        </w:rPr>
      </w:pPr>
      <w:r w:rsidRPr="00124885">
        <w:rPr>
          <w:rFonts w:cs="Arial"/>
          <w:i/>
          <w:lang w:val="es-ES"/>
        </w:rPr>
        <w:t xml:space="preserve">Revisar, publicar y difundir los resultados de los estudios «Transboundary Conservation Hotspots for the Central Asian Mammals Initiative» («Puntos críticos de conservación transfronteriza para la Iniciativa sobre los Mamíferos de Asia Central») y «Potential for Community-based Wildlife Management </w:t>
      </w:r>
      <w:r w:rsidRPr="00124885">
        <w:rPr>
          <w:rFonts w:cs="Arial"/>
          <w:i/>
          <w:color w:val="000000" w:themeColor="text1"/>
          <w:lang w:val="es-ES"/>
        </w:rPr>
        <w:t>in Central Asia» («Potencial para la gestión comunitaria de la vida silvestre en Asia Central»).</w:t>
      </w:r>
      <w:r w:rsidRPr="00A46A34">
        <w:rPr>
          <w:rStyle w:val="FootnoteReference"/>
          <w:rFonts w:cs="Arial"/>
          <w:i/>
          <w:color w:val="000000" w:themeColor="text1"/>
        </w:rPr>
        <w:footnoteReference w:id="1"/>
      </w:r>
    </w:p>
    <w:p w14:paraId="05A68C5E" w14:textId="77777777" w:rsidR="00BD2B43" w:rsidRPr="00124885" w:rsidRDefault="00BD2B43" w:rsidP="00BD2B43">
      <w:pPr>
        <w:pStyle w:val="P68B1DB1-Normal4"/>
        <w:widowControl w:val="0"/>
        <w:autoSpaceDE w:val="0"/>
        <w:autoSpaceDN w:val="0"/>
        <w:adjustRightInd w:val="0"/>
        <w:spacing w:after="0" w:line="240" w:lineRule="auto"/>
        <w:jc w:val="both"/>
        <w:rPr>
          <w:lang w:val="es-ES"/>
        </w:rPr>
      </w:pPr>
      <w:r w:rsidRPr="00124885">
        <w:rPr>
          <w:lang w:val="es-ES"/>
        </w:rPr>
        <w:t xml:space="preserve"> </w:t>
      </w:r>
    </w:p>
    <w:p w14:paraId="6163A938" w14:textId="77777777" w:rsidR="00BD2B43" w:rsidRPr="00124885" w:rsidRDefault="00BD2B43" w:rsidP="00BD2B43">
      <w:pPr>
        <w:widowControl w:val="0"/>
        <w:numPr>
          <w:ilvl w:val="0"/>
          <w:numId w:val="6"/>
        </w:numPr>
        <w:autoSpaceDE w:val="0"/>
        <w:autoSpaceDN w:val="0"/>
        <w:adjustRightInd w:val="0"/>
        <w:spacing w:after="0" w:line="240" w:lineRule="auto"/>
        <w:ind w:left="567" w:hanging="567"/>
        <w:jc w:val="both"/>
        <w:rPr>
          <w:rFonts w:cs="Arial"/>
          <w:lang w:val="es-ES"/>
        </w:rPr>
      </w:pPr>
      <w:r w:rsidRPr="00124885">
        <w:rPr>
          <w:rFonts w:cs="Arial"/>
          <w:lang w:val="es-ES"/>
        </w:rPr>
        <w:t xml:space="preserve">De conformidad con las Decisiones 14.167 (a) y 14.170 (a-c), la Secretaría tradujo los estudios al ruso con el apoyo en especie proporcionado por la Michael Succow Foundation (MSF) y la financiación de la Iniciativa Internacional sobre el Clima (IKI) del Gobierno alemán en el marco del </w:t>
      </w:r>
      <w:hyperlink r:id="rId12" w:history="1">
        <w:r w:rsidRPr="00124885">
          <w:rPr>
            <w:rStyle w:val="Hyperlink"/>
            <w:rFonts w:cs="Arial"/>
            <w:lang w:val="es-ES"/>
          </w:rPr>
          <w:t>proyecto Mamíferos de Asia Central y Adaptación al Clima (CAMCA)</w:t>
        </w:r>
      </w:hyperlink>
      <w:r w:rsidRPr="00124885">
        <w:rPr>
          <w:rFonts w:cs="Arial"/>
          <w:lang w:val="es-ES"/>
        </w:rPr>
        <w:t xml:space="preserve">. Se distribuyeron borradores a los Puntos Focales Nacionales de los Estados del área de distribución de la CAMI para recibir comentarios, tras lo cual ambos estudios se pusieron a disposición en el sitio web de la CMS con los siguientes títulos y enlaces: </w:t>
      </w:r>
      <w:hyperlink r:id="rId13" w:history="1">
        <w:r w:rsidRPr="00124885">
          <w:rPr>
            <w:rStyle w:val="Hyperlink"/>
            <w:rFonts w:cs="Arial"/>
            <w:lang w:val="es-ES"/>
          </w:rPr>
          <w:t>Transboundary Conservation Hotspots for the Central Asian Mammals Initiative</w:t>
        </w:r>
      </w:hyperlink>
      <w:r w:rsidRPr="00124885">
        <w:rPr>
          <w:rFonts w:cs="Arial"/>
          <w:lang w:val="es-ES"/>
        </w:rPr>
        <w:t xml:space="preserve"> («Puntos críticos de conservación transfronteriza para la Iniciativa sobre los Mamíferos de Asia Central») y </w:t>
      </w:r>
      <w:hyperlink r:id="rId14" w:history="1">
        <w:r w:rsidRPr="00124885">
          <w:rPr>
            <w:rStyle w:val="Hyperlink"/>
            <w:rFonts w:cs="Arial"/>
            <w:lang w:val="es-ES"/>
          </w:rPr>
          <w:t>Potential for Community-based Wildlife Management in Central Asia</w:t>
        </w:r>
      </w:hyperlink>
      <w:r w:rsidRPr="00124885">
        <w:rPr>
          <w:rFonts w:cs="Arial"/>
          <w:lang w:val="es-ES"/>
        </w:rPr>
        <w:t xml:space="preserve"> («Potencial para la gestión comunitaria de la vida silvestre en Asia </w:t>
      </w:r>
      <w:r w:rsidRPr="00124885">
        <w:rPr>
          <w:rFonts w:cs="Arial"/>
          <w:lang w:val="es-ES"/>
        </w:rPr>
        <w:lastRenderedPageBreak/>
        <w:t xml:space="preserve">Central»). De conformidad con las Decisiones 14.170 (a) y 14.167 (e), la Secretaría lanzó </w:t>
      </w:r>
      <w:r w:rsidRPr="00124885">
        <w:rPr>
          <w:rFonts w:cs="Arial"/>
          <w:color w:val="000000" w:themeColor="text1"/>
          <w:lang w:val="es-ES"/>
        </w:rPr>
        <w:t xml:space="preserve">este último estudio </w:t>
      </w:r>
      <w:r w:rsidRPr="00124885">
        <w:rPr>
          <w:rFonts w:cs="Arial"/>
          <w:lang w:val="es-ES"/>
        </w:rPr>
        <w:t xml:space="preserve">en un seminario web de la CMS (véase también UNEP/CMS/COP15/Doc.28.4). </w:t>
      </w:r>
    </w:p>
    <w:p w14:paraId="475FB697" w14:textId="77777777" w:rsidR="00BD2B43" w:rsidRPr="00124885" w:rsidRDefault="00BD2B43" w:rsidP="00BD2B43">
      <w:pPr>
        <w:widowControl w:val="0"/>
        <w:autoSpaceDE w:val="0"/>
        <w:autoSpaceDN w:val="0"/>
        <w:adjustRightInd w:val="0"/>
        <w:spacing w:after="0" w:line="240" w:lineRule="auto"/>
        <w:ind w:left="567"/>
        <w:jc w:val="both"/>
        <w:rPr>
          <w:rFonts w:cs="Arial"/>
          <w:lang w:val="es-ES"/>
        </w:rPr>
      </w:pPr>
    </w:p>
    <w:p w14:paraId="3DEC9240" w14:textId="77777777" w:rsidR="00BD2B43" w:rsidRPr="00124885" w:rsidRDefault="00BD2B43" w:rsidP="00BD2B43">
      <w:pPr>
        <w:widowControl w:val="0"/>
        <w:numPr>
          <w:ilvl w:val="0"/>
          <w:numId w:val="6"/>
        </w:numPr>
        <w:autoSpaceDE w:val="0"/>
        <w:autoSpaceDN w:val="0"/>
        <w:adjustRightInd w:val="0"/>
        <w:spacing w:after="0" w:line="240" w:lineRule="auto"/>
        <w:ind w:left="567" w:hanging="567"/>
        <w:jc w:val="both"/>
        <w:rPr>
          <w:rFonts w:cs="Arial"/>
          <w:lang w:val="es-ES"/>
        </w:rPr>
      </w:pPr>
      <w:r w:rsidRPr="00124885">
        <w:rPr>
          <w:rFonts w:cs="Arial"/>
          <w:lang w:val="es-ES"/>
        </w:rPr>
        <w:t>Asimismo, la Secretaría de la CMS presentó las recomendaciones de ambos estudios en las Reuniones de los Signatarios (RdS) del «Memorando de entendimiento (MdE) sobre la conservación, restauración y uso sostenible del antílope saiga (</w:t>
      </w:r>
      <w:r w:rsidRPr="00124885">
        <w:rPr>
          <w:rFonts w:cs="Arial"/>
          <w:i/>
          <w:lang w:val="es-ES"/>
        </w:rPr>
        <w:t>Saiga spp</w:t>
      </w:r>
      <w:r w:rsidRPr="00124885">
        <w:rPr>
          <w:rFonts w:cs="Arial"/>
          <w:lang w:val="es-ES"/>
        </w:rPr>
        <w:t>.)» (MdE del saiga) y el «MdE relativo a la conservación y restauración del ciervo de Bukhara» (MdE del ciervo Bukhara), así como en la 1.ª Reunión de los Estados del Área de Distribución sobre la Implementación y Revisión del Plan de Acción Internacional de Especie Única para la Conservación del Argalí (</w:t>
      </w:r>
      <w:r w:rsidRPr="00124885">
        <w:rPr>
          <w:rFonts w:cs="Arial"/>
          <w:i/>
          <w:lang w:val="es-ES"/>
        </w:rPr>
        <w:t>Ovis ammon</w:t>
      </w:r>
      <w:r w:rsidRPr="00124885">
        <w:rPr>
          <w:rFonts w:cs="Arial"/>
          <w:lang w:val="es-ES"/>
        </w:rPr>
        <w:t xml:space="preserve">) y en el Taller Técnico para la CAMI. Las Partes también incorporaron recomendaciones seleccionadas de los estudios en los instrumentos de políticas regionales desarrollados en dichas reuniones: </w:t>
      </w:r>
      <w:hyperlink r:id="rId15">
        <w:r w:rsidRPr="00124885">
          <w:rPr>
            <w:rFonts w:eastAsia="Aptos" w:cs="Arial"/>
            <w:color w:val="4472C4" w:themeColor="accent1"/>
            <w:u w:val="single"/>
            <w:lang w:val="es-ES"/>
          </w:rPr>
          <w:t>Programa de Trabajo para el Ciervo de Bukhara (2025-2032)</w:t>
        </w:r>
      </w:hyperlink>
      <w:r w:rsidRPr="00124885">
        <w:rPr>
          <w:rFonts w:cs="Arial"/>
          <w:lang w:val="es-ES"/>
        </w:rPr>
        <w:t xml:space="preserve">, </w:t>
      </w:r>
      <w:hyperlink r:id="rId16">
        <w:r w:rsidRPr="00124885">
          <w:rPr>
            <w:rFonts w:eastAsia="Aptos" w:cs="Arial"/>
            <w:color w:val="4472C4" w:themeColor="accent1"/>
            <w:u w:val="single"/>
            <w:lang w:val="es-ES"/>
          </w:rPr>
          <w:t>Plan de Acción para la Conservación del Argalí (2024-2032)</w:t>
        </w:r>
      </w:hyperlink>
      <w:r w:rsidRPr="00124885">
        <w:rPr>
          <w:rFonts w:cs="Arial"/>
          <w:lang w:val="es-ES"/>
        </w:rPr>
        <w:t xml:space="preserve">, </w:t>
      </w:r>
      <w:hyperlink r:id="rId17" w:history="1">
        <w:r w:rsidRPr="00124885">
          <w:rPr>
            <w:rFonts w:eastAsia="Aptos" w:cs="Arial"/>
            <w:color w:val="4472C4" w:themeColor="accent1"/>
            <w:u w:val="single"/>
            <w:lang w:val="es-ES"/>
          </w:rPr>
          <w:t>Programa de Trabajo Internacional a Medio Plazo para el Antílope Saiga (2025-2030)</w:t>
        </w:r>
      </w:hyperlink>
      <w:r w:rsidRPr="00124885">
        <w:rPr>
          <w:rFonts w:cs="Arial"/>
          <w:lang w:val="es-ES"/>
        </w:rPr>
        <w:t xml:space="preserve"> y el borrador del Programa de Trabajo para la CAMI 2026-2032 (PdT de la CAMI)</w:t>
      </w:r>
      <w:r w:rsidRPr="00A46A34">
        <w:rPr>
          <w:rStyle w:val="FootnoteReference"/>
          <w:rFonts w:cs="Arial"/>
        </w:rPr>
        <w:footnoteReference w:id="2"/>
      </w:r>
      <w:r w:rsidRPr="00124885">
        <w:rPr>
          <w:rFonts w:cs="Arial"/>
          <w:lang w:val="es-ES"/>
        </w:rPr>
        <w:t xml:space="preserve"> que se encuentra en el Anexo del borrador de la Resolución 11.24 (Rev. COP13) revisada, que se incluye en el Anexo 1 del presente documento.</w:t>
      </w:r>
    </w:p>
    <w:p w14:paraId="37B38175" w14:textId="77777777" w:rsidR="00BD2B43" w:rsidRPr="00124885" w:rsidRDefault="00BD2B43" w:rsidP="00BD2B43">
      <w:pPr>
        <w:widowControl w:val="0"/>
        <w:autoSpaceDE w:val="0"/>
        <w:autoSpaceDN w:val="0"/>
        <w:adjustRightInd w:val="0"/>
        <w:spacing w:after="0" w:line="240" w:lineRule="auto"/>
        <w:jc w:val="both"/>
        <w:rPr>
          <w:rFonts w:cs="Arial"/>
          <w:lang w:val="es-ES"/>
        </w:rPr>
      </w:pPr>
    </w:p>
    <w:p w14:paraId="7C7A4808" w14:textId="77777777" w:rsidR="00BD2B43" w:rsidRPr="00124885" w:rsidRDefault="00BD2B43" w:rsidP="00BD2B43">
      <w:pPr>
        <w:pStyle w:val="P68B1DB1-Normal13"/>
        <w:widowControl w:val="0"/>
        <w:autoSpaceDE w:val="0"/>
        <w:autoSpaceDN w:val="0"/>
        <w:adjustRightInd w:val="0"/>
        <w:spacing w:after="0" w:line="240" w:lineRule="auto"/>
        <w:rPr>
          <w:lang w:val="es-ES"/>
        </w:rPr>
      </w:pPr>
      <w:r w:rsidRPr="00124885">
        <w:rPr>
          <w:lang w:val="es-ES"/>
        </w:rPr>
        <w:t>Revisión del Programa de Trabajo de la CAMI</w:t>
      </w:r>
    </w:p>
    <w:p w14:paraId="7A2A55A3" w14:textId="77777777" w:rsidR="00BD2B43" w:rsidRPr="00124885" w:rsidRDefault="00BD2B43" w:rsidP="00BD2B43">
      <w:pPr>
        <w:pStyle w:val="P68B1DB1-Normal4"/>
        <w:widowControl w:val="0"/>
        <w:autoSpaceDE w:val="0"/>
        <w:autoSpaceDN w:val="0"/>
        <w:adjustRightInd w:val="0"/>
        <w:spacing w:after="0" w:line="240" w:lineRule="auto"/>
        <w:rPr>
          <w:lang w:val="es-ES"/>
        </w:rPr>
      </w:pPr>
      <w:r w:rsidRPr="00124885">
        <w:rPr>
          <w:lang w:val="es-ES"/>
        </w:rPr>
        <w:t xml:space="preserve"> </w:t>
      </w:r>
    </w:p>
    <w:p w14:paraId="45243C6F"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Para apoyar a las Partes en la implementación de las Decisiones 14.167 (b)-(d), la Secretaría organizó dos reuniones para facilitar la revisión del PdT de la CAMI: un taller técnico y la 3.ª Reunión de los Estados del Área de Distribución de la CAMI. El taller técnico, celebrado en mayo de 2025 en la isla de Vilm (Alemania), se organizó conjuntamente con la Academia Internacional para la Naturaleza (INA) de la Agencia Federal Alemana para la Conservación de la Naturaleza (BfN) y contó con la financiación del Ministerio Federal Alemán de Medio Ambiente, Conservación de la Naturaleza, Seguridad Nuclear y Protección del Consumidor (BMUKN). El taller reunió a los Puntos Focales de Especies de la CAMI, representantes de otros convenios, ONG y algunos gobiernos de los Estados del área de distribución que representan a las subregiones dentro de la CAMI. Los participantes trazaron las regiones de conservación transfronterizas prioritarias, basándose en el «Estudio de puntos críticos», que se incluirán en el PdT de la CAMI, con el objetivo de centrar los esfuerzos de conservación transfronterizos en los lugares prioritarios. También finalizaron un borrador del PdT para su valoración en la 3.ª Reunión de los Estados del Área de Distribución de la CAMI. </w:t>
      </w:r>
    </w:p>
    <w:p w14:paraId="1A2F4FA9" w14:textId="77777777" w:rsidR="00BD2B43" w:rsidRPr="00124885" w:rsidRDefault="00BD2B43" w:rsidP="00BD2B43">
      <w:pPr>
        <w:widowControl w:val="0"/>
        <w:autoSpaceDE w:val="0"/>
        <w:autoSpaceDN w:val="0"/>
        <w:adjustRightInd w:val="0"/>
        <w:spacing w:after="0" w:line="240" w:lineRule="auto"/>
        <w:ind w:left="567"/>
        <w:jc w:val="both"/>
        <w:rPr>
          <w:rFonts w:cs="Arial"/>
          <w:lang w:val="es-ES"/>
        </w:rPr>
      </w:pPr>
    </w:p>
    <w:p w14:paraId="240FB800"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40" w:hanging="540"/>
        <w:jc w:val="both"/>
        <w:rPr>
          <w:lang w:val="es-ES"/>
        </w:rPr>
      </w:pPr>
      <w:r w:rsidRPr="00124885">
        <w:rPr>
          <w:lang w:val="es-ES"/>
        </w:rPr>
        <w:t>La 3.ª Reunión de los Estados del Área de Distribución de la CAMI fue organizada por el Gobierno de Uzbekistán en junio de 2025, en Tashkent, con financiación del proyecto CAMCA. En la reunión, se añadieron a la CAMI dos nuevas especies: el manul (</w:t>
      </w:r>
      <w:r w:rsidRPr="00124885">
        <w:rPr>
          <w:i/>
          <w:lang w:val="es-ES"/>
        </w:rPr>
        <w:t>Felis manul</w:t>
      </w:r>
      <w:r w:rsidRPr="00124885">
        <w:rPr>
          <w:lang w:val="es-ES"/>
        </w:rPr>
        <w:t>) y el lince euroasiático (</w:t>
      </w:r>
      <w:r w:rsidRPr="00124885">
        <w:rPr>
          <w:i/>
          <w:lang w:val="es-ES"/>
        </w:rPr>
        <w:t>Lynx lynx</w:t>
      </w:r>
      <w:r w:rsidRPr="00124885">
        <w:rPr>
          <w:lang w:val="es-ES"/>
        </w:rPr>
        <w:t>). Los participantes también revisaron, modificaron y refrendaron el borrador del PdT de la CAMI 2026-2032, garantizando los vínculos con el Marco Mundial de Biodiversidad de Kunming-Montreal</w:t>
      </w:r>
      <w:r w:rsidRPr="00124885">
        <w:rPr>
          <w:color w:val="EE0000"/>
          <w:lang w:val="es-ES"/>
        </w:rPr>
        <w:t xml:space="preserve">. </w:t>
      </w:r>
      <w:r w:rsidRPr="00124885">
        <w:rPr>
          <w:lang w:val="es-ES"/>
        </w:rPr>
        <w:t>Las revisiones del PdT incorporan cuestiones sobre el cambio climático e incluyen actividades específicas para las regiones de conservación transfronterizas prioritarias, en sintonía con las Decisiones 14.167 (c) y (d) y con base en las recomendaciones del taller técnico. El plazo del PdT se ajustó de 2027-2032 a 2026-2032, ya que la COP15 de la CMS tendrá lugar en 2026 y no en 2027, como se había previsto cuando se adoptó la Decisión 14.167 (d).</w:t>
      </w:r>
    </w:p>
    <w:p w14:paraId="0A1294EC" w14:textId="77777777" w:rsidR="00BD2B43" w:rsidRDefault="00BD2B43" w:rsidP="00BD2B43">
      <w:pPr>
        <w:pStyle w:val="ListParagraph"/>
        <w:spacing w:after="0" w:line="240" w:lineRule="auto"/>
        <w:ind w:hanging="540"/>
        <w:contextualSpacing w:val="0"/>
        <w:rPr>
          <w:rFonts w:cs="Arial"/>
          <w:lang w:val="es-ES"/>
        </w:rPr>
      </w:pPr>
    </w:p>
    <w:p w14:paraId="5C4A5647" w14:textId="77777777" w:rsidR="00BD2B43" w:rsidRPr="00124885" w:rsidRDefault="00BD2B43" w:rsidP="00BD2B43">
      <w:pPr>
        <w:pStyle w:val="ListParagraph"/>
        <w:spacing w:after="0" w:line="240" w:lineRule="auto"/>
        <w:ind w:hanging="540"/>
        <w:contextualSpacing w:val="0"/>
        <w:rPr>
          <w:rFonts w:cs="Arial"/>
          <w:lang w:val="es-ES"/>
        </w:rPr>
      </w:pPr>
    </w:p>
    <w:p w14:paraId="05E7C8B3"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630" w:hanging="540"/>
        <w:jc w:val="both"/>
        <w:rPr>
          <w:lang w:val="es-ES"/>
        </w:rPr>
      </w:pPr>
      <w:r w:rsidRPr="00124885">
        <w:rPr>
          <w:lang w:val="es-ES"/>
        </w:rPr>
        <w:lastRenderedPageBreak/>
        <w:t xml:space="preserve">La Secretaría no pudo identificar ningún recurso externo para implementar la Decisión 14.170 (d). Sin embargo, la actividad se incluyó en una propuesta de proyecto para el Fondo de Biodiversidad de Kunming, que ha llegado a la segunda fase de su valoración. </w:t>
      </w:r>
    </w:p>
    <w:p w14:paraId="280B3FE3" w14:textId="77777777" w:rsidR="00BD2B43" w:rsidRPr="00124885" w:rsidRDefault="00BD2B43" w:rsidP="00BD2B43">
      <w:pPr>
        <w:widowControl w:val="0"/>
        <w:autoSpaceDE w:val="0"/>
        <w:autoSpaceDN w:val="0"/>
        <w:adjustRightInd w:val="0"/>
        <w:spacing w:after="0" w:line="240" w:lineRule="auto"/>
        <w:jc w:val="both"/>
        <w:rPr>
          <w:rFonts w:cs="Arial"/>
          <w:u w:val="single"/>
          <w:lang w:val="es-ES"/>
        </w:rPr>
      </w:pPr>
    </w:p>
    <w:p w14:paraId="529EBE88" w14:textId="77777777" w:rsidR="00BD2B43" w:rsidRPr="00124885" w:rsidRDefault="00BD2B43" w:rsidP="00BD2B43">
      <w:pPr>
        <w:pStyle w:val="P68B1DB1-Normal12"/>
        <w:widowControl w:val="0"/>
        <w:autoSpaceDE w:val="0"/>
        <w:autoSpaceDN w:val="0"/>
        <w:adjustRightInd w:val="0"/>
        <w:spacing w:after="0" w:line="240" w:lineRule="auto"/>
        <w:rPr>
          <w:lang w:val="es-ES"/>
        </w:rPr>
      </w:pPr>
      <w:r w:rsidRPr="00124885">
        <w:rPr>
          <w:lang w:val="es-ES"/>
        </w:rPr>
        <w:t>Otras actividades de la Secretaría para implementar la Resolución 11.24 (Rev. COP13)</w:t>
      </w:r>
    </w:p>
    <w:p w14:paraId="2F0043CB" w14:textId="77777777" w:rsidR="00BD2B43" w:rsidRPr="00124885" w:rsidRDefault="00BD2B43" w:rsidP="00BD2B43">
      <w:pPr>
        <w:spacing w:after="0" w:line="240" w:lineRule="auto"/>
        <w:jc w:val="both"/>
        <w:rPr>
          <w:rFonts w:cs="Arial"/>
          <w:lang w:val="es-ES"/>
        </w:rPr>
      </w:pPr>
    </w:p>
    <w:p w14:paraId="38359B2A" w14:textId="77777777" w:rsidR="00BD2B43" w:rsidRPr="00A46A34" w:rsidRDefault="00BD2B43" w:rsidP="00BD2B43">
      <w:pPr>
        <w:pStyle w:val="P68B1DB1-Normal13"/>
        <w:spacing w:after="0" w:line="240" w:lineRule="auto"/>
        <w:jc w:val="both"/>
      </w:pPr>
      <w:r w:rsidRPr="00A46A34">
        <w:t>Reuniones</w:t>
      </w:r>
    </w:p>
    <w:p w14:paraId="7B8E5A9E" w14:textId="77777777" w:rsidR="00BD2B43" w:rsidRPr="00A46A34" w:rsidRDefault="00BD2B43" w:rsidP="00BD2B43">
      <w:pPr>
        <w:spacing w:after="0" w:line="240" w:lineRule="auto"/>
        <w:jc w:val="both"/>
        <w:rPr>
          <w:rFonts w:cs="Arial"/>
        </w:rPr>
      </w:pPr>
    </w:p>
    <w:p w14:paraId="1F3760BA"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3.ª RdS del MdE del Ciervo de Bukhara fue organizada por la Secretaría y albergada por el Gobierno de Kazajistán, en Almaty, en septiembre de 2024, con financiación del proyecto CAMCA. Los Estados signatarios adoptaron el Programa de Trabajo sobre el Ciervo de Bukhara 2025-2032.</w:t>
      </w:r>
    </w:p>
    <w:p w14:paraId="2A8686D4" w14:textId="77777777" w:rsidR="00BD2B43" w:rsidRPr="00124885" w:rsidRDefault="00BD2B43" w:rsidP="00BD2B43">
      <w:pPr>
        <w:widowControl w:val="0"/>
        <w:autoSpaceDE w:val="0"/>
        <w:autoSpaceDN w:val="0"/>
        <w:adjustRightInd w:val="0"/>
        <w:spacing w:after="0" w:line="240" w:lineRule="auto"/>
        <w:ind w:left="567" w:hanging="567"/>
        <w:jc w:val="both"/>
        <w:rPr>
          <w:rFonts w:cs="Arial"/>
          <w:lang w:val="es-ES"/>
        </w:rPr>
      </w:pPr>
    </w:p>
    <w:p w14:paraId="05EF42E5" w14:textId="77777777" w:rsidR="00BD2B43" w:rsidRPr="00124885" w:rsidRDefault="00BD2B43" w:rsidP="00BD2B43">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Reunión de los Estados del Área de Distribución sobre la Implementación y Revisión del Plan de Acción Internacional de Especie Única para la Conservación del Argalí (</w:t>
      </w:r>
      <w:r w:rsidRPr="00124885">
        <w:rPr>
          <w:i/>
          <w:lang w:val="es-ES"/>
        </w:rPr>
        <w:t>Ovis ammon</w:t>
      </w:r>
      <w:r w:rsidRPr="00124885">
        <w:rPr>
          <w:lang w:val="es-ES"/>
        </w:rPr>
        <w:t>) fue organizada por la Secretaría y albergada por el Gobierno de Kazajistán, en Almaty, en septiembre de 2024, con financiación del proyecto CAMCA. Los Estados del área de distribución adoptaron el Plan de Acción para la Conservación del Argalí 2024-2032.</w:t>
      </w:r>
    </w:p>
    <w:p w14:paraId="3FCF0170" w14:textId="06359EB3" w:rsidR="009A69BA" w:rsidRPr="00BD2B43" w:rsidRDefault="009A69BA" w:rsidP="009A69BA">
      <w:pPr>
        <w:widowControl w:val="0"/>
        <w:autoSpaceDE w:val="0"/>
        <w:autoSpaceDN w:val="0"/>
        <w:adjustRightInd w:val="0"/>
        <w:spacing w:after="0" w:line="240" w:lineRule="auto"/>
        <w:ind w:left="567" w:hanging="567"/>
        <w:jc w:val="both"/>
        <w:rPr>
          <w:rFonts w:cs="Arial"/>
          <w:lang w:val="es-ES"/>
        </w:rPr>
      </w:pPr>
    </w:p>
    <w:p w14:paraId="4DA9C4B2" w14:textId="77777777" w:rsidR="00D618C9" w:rsidRPr="00124885" w:rsidRDefault="00D618C9" w:rsidP="00D618C9">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Kazajistán, Turkmenistán y Uzbekistán firmaron un «Memorando de cooperación para la conservación de la vida silvestre en la meseta de Ustyurt» (MdC de Ustyurt), que se desarrolló sobre la base de los mandatos de la CMS, incluidos los que abordan la conservación de las especies incluidas en la lista de la CAMI y de las aves incluidas en la lista de la CMS. El proceso lo facilitó la Secretaría de la CMS, junto con la Sociedad Alemana de Cooperación Internacional (GIZ) y la MSF. La 1.ª Reunión de las Partes del MdC de Ustyurt tuvo lugar en Astana, Kazajistán, en marzo de 2025, organizada conjuntamente por la GIZ, la MSF, la Asociación para la Conservación de la Biodiversidad de Kazajistán (ACBK) y la Secretaría de la CMS. La reunión desarrolló y refrendó la </w:t>
      </w:r>
      <w:hyperlink r:id="rId18" w:history="1">
        <w:r w:rsidRPr="00124885">
          <w:rPr>
            <w:lang w:val="es-ES"/>
          </w:rPr>
          <w:t>«Hoja de ruta para el MdC de Ustyurt (2025-2030)»</w:t>
        </w:r>
      </w:hyperlink>
      <w:r w:rsidRPr="00124885">
        <w:rPr>
          <w:lang w:val="es-ES"/>
        </w:rPr>
        <w:t>.</w:t>
      </w:r>
    </w:p>
    <w:p w14:paraId="04EBCFF0"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6594D38C" w14:textId="77777777" w:rsidR="00D618C9" w:rsidRPr="00124885" w:rsidRDefault="00D618C9" w:rsidP="00D618C9">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La 5.ª Reunión de los Signatarios del MdE del Saiga fue organizada por la Secretaría de la CMS y albergada por el Gobierno de Kazajistán, en Astaná, en marzo de 2025, con financiación de la International Bustard Conservation Foundation (IBCF), el Programa de las Naciones Unidas para el Desarrollo en Kazajistán (PNUD), la ACBK y la GIZ. Además, contó el apoyo en especie de la Sociedad Zoológica de Frankfurt (FZS). La reunión desarrolló y refrendó el </w:t>
      </w:r>
      <w:hyperlink r:id="rId19" w:history="1">
        <w:r w:rsidRPr="00124885">
          <w:rPr>
            <w:lang w:val="es-ES"/>
          </w:rPr>
          <w:t>«Informe general sobre el estado de conservación del antílope Saiga» y la implementación del MdE</w:t>
        </w:r>
      </w:hyperlink>
      <w:r w:rsidRPr="00124885">
        <w:rPr>
          <w:lang w:val="es-ES"/>
        </w:rPr>
        <w:t xml:space="preserve"> y el </w:t>
      </w:r>
      <w:hyperlink r:id="rId20" w:history="1">
        <w:r w:rsidRPr="00124885">
          <w:rPr>
            <w:lang w:val="es-ES"/>
          </w:rPr>
          <w:t xml:space="preserve">Programa de Trabajo Internacional a Medio Plazo para el Antílope Saiga 2025-2030. </w:t>
        </w:r>
      </w:hyperlink>
      <w:r w:rsidRPr="00124885">
        <w:rPr>
          <w:lang w:val="es-ES"/>
        </w:rPr>
        <w:t xml:space="preserve"> </w:t>
      </w:r>
    </w:p>
    <w:p w14:paraId="198485E4"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0C11421D" w14:textId="77777777" w:rsidR="00D618C9" w:rsidRPr="00A46A34" w:rsidRDefault="00D618C9" w:rsidP="00D618C9">
      <w:pPr>
        <w:pStyle w:val="P68B1DB1-Normal13"/>
        <w:widowControl w:val="0"/>
        <w:autoSpaceDE w:val="0"/>
        <w:autoSpaceDN w:val="0"/>
        <w:adjustRightInd w:val="0"/>
        <w:spacing w:after="0" w:line="240" w:lineRule="auto"/>
        <w:ind w:left="567" w:hanging="567"/>
        <w:jc w:val="both"/>
      </w:pPr>
      <w:r w:rsidRPr="00A46A34">
        <w:t>Estudios</w:t>
      </w:r>
    </w:p>
    <w:p w14:paraId="0D22148D" w14:textId="77777777" w:rsidR="00D618C9" w:rsidRPr="00A46A34" w:rsidRDefault="00D618C9" w:rsidP="00D618C9">
      <w:pPr>
        <w:widowControl w:val="0"/>
        <w:autoSpaceDE w:val="0"/>
        <w:autoSpaceDN w:val="0"/>
        <w:adjustRightInd w:val="0"/>
        <w:spacing w:after="0" w:line="240" w:lineRule="auto"/>
        <w:ind w:left="567" w:hanging="567"/>
        <w:jc w:val="both"/>
        <w:rPr>
          <w:rFonts w:cs="Arial"/>
        </w:rPr>
      </w:pPr>
    </w:p>
    <w:p w14:paraId="6F7B19AB"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INA de la BfN encargó el «</w:t>
      </w:r>
      <w:hyperlink r:id="rId21" w:history="1">
        <w:r w:rsidRPr="00124885">
          <w:rPr>
            <w:i/>
            <w:color w:val="2E74B5" w:themeColor="accent5" w:themeShade="BF"/>
            <w:u w:val="single"/>
            <w:lang w:val="es-ES"/>
          </w:rPr>
          <w:t>Informe sobre la identificación de opciones de financiación para la implementación de la Iniciativa sobre los Mamíferos de Asia Central</w:t>
        </w:r>
        <w:r w:rsidRPr="00124885">
          <w:rPr>
            <w:color w:val="2E74B5" w:themeColor="accent5" w:themeShade="BF"/>
            <w:u w:val="single"/>
            <w:lang w:val="es-ES"/>
          </w:rPr>
          <w:t xml:space="preserve"> </w:t>
        </w:r>
        <w:r w:rsidRPr="00124885">
          <w:rPr>
            <w:i/>
            <w:color w:val="2E74B5" w:themeColor="accent5" w:themeShade="BF"/>
            <w:u w:val="single"/>
            <w:lang w:val="es-ES"/>
          </w:rPr>
          <w:t>para la Secretaría de la CMS</w:t>
        </w:r>
      </w:hyperlink>
      <w:r w:rsidRPr="00124885">
        <w:rPr>
          <w:lang w:val="es-ES"/>
        </w:rPr>
        <w:t xml:space="preserve">», que se presentó en el taller técnico y en la 3.ª Reunión de los Estados del Área de Distribución de la CAMI, ambos celebrados en 2025 (véanse los Apartados 5 y 6). Sus recomendaciones se incluyeron en el PdT de la CAMI 2026-2032. </w:t>
      </w:r>
    </w:p>
    <w:p w14:paraId="6094BB04"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44D77912" w14:textId="77777777" w:rsidR="00D618C9" w:rsidRPr="00A46A34" w:rsidRDefault="00D618C9" w:rsidP="00D618C9">
      <w:pPr>
        <w:pStyle w:val="P68B1DB1-Normal13"/>
        <w:widowControl w:val="0"/>
        <w:autoSpaceDE w:val="0"/>
        <w:autoSpaceDN w:val="0"/>
        <w:adjustRightInd w:val="0"/>
        <w:spacing w:after="0" w:line="240" w:lineRule="auto"/>
        <w:jc w:val="both"/>
      </w:pPr>
      <w:r w:rsidRPr="00A46A34">
        <w:t>Proyectos</w:t>
      </w:r>
    </w:p>
    <w:p w14:paraId="194C819B" w14:textId="77777777" w:rsidR="00D618C9" w:rsidRPr="00A46A34" w:rsidRDefault="00D618C9" w:rsidP="00D618C9">
      <w:pPr>
        <w:widowControl w:val="0"/>
        <w:autoSpaceDE w:val="0"/>
        <w:autoSpaceDN w:val="0"/>
        <w:adjustRightInd w:val="0"/>
        <w:spacing w:after="0" w:line="240" w:lineRule="auto"/>
        <w:jc w:val="both"/>
        <w:rPr>
          <w:rFonts w:cs="Arial"/>
        </w:rPr>
      </w:pPr>
    </w:p>
    <w:p w14:paraId="2714D786" w14:textId="77777777" w:rsidR="00D618C9" w:rsidRPr="00124885" w:rsidRDefault="00D618C9" w:rsidP="00D618C9">
      <w:pPr>
        <w:pStyle w:val="ListParagraph"/>
        <w:widowControl w:val="0"/>
        <w:numPr>
          <w:ilvl w:val="0"/>
          <w:numId w:val="6"/>
        </w:numPr>
        <w:autoSpaceDE w:val="0"/>
        <w:autoSpaceDN w:val="0"/>
        <w:adjustRightInd w:val="0"/>
        <w:spacing w:after="0" w:line="240" w:lineRule="auto"/>
        <w:ind w:left="567" w:hanging="567"/>
        <w:jc w:val="both"/>
        <w:rPr>
          <w:rFonts w:cs="Arial"/>
          <w:lang w:val="es-ES"/>
        </w:rPr>
      </w:pPr>
      <w:r w:rsidRPr="00124885">
        <w:rPr>
          <w:rFonts w:cs="Arial"/>
          <w:lang w:val="es-ES"/>
        </w:rPr>
        <w:t xml:space="preserve">Para apoyar la implementación de la CAMI, la Secretaría de la CMS está participando en dos proyectos financiados por la IKI: CAMCA (véase el Apartado 3) y </w:t>
      </w:r>
      <w:hyperlink r:id="rId22" w:history="1">
        <w:r w:rsidRPr="00124885">
          <w:rPr>
            <w:rStyle w:val="Hyperlink"/>
            <w:rFonts w:cs="Arial"/>
            <w:lang w:val="es-ES"/>
          </w:rPr>
          <w:t>One Health in Nature Conservation in Central Asia</w:t>
        </w:r>
      </w:hyperlink>
      <w:r w:rsidRPr="00124885">
        <w:rPr>
          <w:rFonts w:cs="Arial"/>
          <w:lang w:val="es-ES"/>
        </w:rPr>
        <w:t xml:space="preserve">. </w:t>
      </w:r>
    </w:p>
    <w:p w14:paraId="659CFCB4" w14:textId="77777777" w:rsidR="00D618C9" w:rsidRPr="00124885" w:rsidRDefault="00D618C9" w:rsidP="00D618C9">
      <w:pPr>
        <w:widowControl w:val="0"/>
        <w:autoSpaceDE w:val="0"/>
        <w:autoSpaceDN w:val="0"/>
        <w:adjustRightInd w:val="0"/>
        <w:spacing w:after="0" w:line="240" w:lineRule="auto"/>
        <w:jc w:val="both"/>
        <w:rPr>
          <w:rFonts w:cs="Arial"/>
          <w:lang w:val="es-ES"/>
        </w:rPr>
      </w:pPr>
    </w:p>
    <w:p w14:paraId="52977B1A" w14:textId="77777777" w:rsidR="00D618C9" w:rsidRPr="00124885" w:rsidRDefault="00D618C9" w:rsidP="00D618C9">
      <w:pPr>
        <w:pStyle w:val="P68B1DB1-Normal12"/>
        <w:widowControl w:val="0"/>
        <w:autoSpaceDE w:val="0"/>
        <w:autoSpaceDN w:val="0"/>
        <w:adjustRightInd w:val="0"/>
        <w:spacing w:after="0" w:line="240" w:lineRule="auto"/>
        <w:jc w:val="both"/>
        <w:rPr>
          <w:lang w:val="es-ES"/>
        </w:rPr>
      </w:pPr>
      <w:r w:rsidRPr="00124885">
        <w:rPr>
          <w:lang w:val="es-ES"/>
        </w:rPr>
        <w:lastRenderedPageBreak/>
        <w:t>Actividades del Consejo Científico (Decisiones 14.168 y 14.169)</w:t>
      </w:r>
    </w:p>
    <w:p w14:paraId="185A7C00" w14:textId="77777777" w:rsidR="00D618C9" w:rsidRPr="00124885" w:rsidRDefault="00D618C9" w:rsidP="00D618C9">
      <w:pPr>
        <w:widowControl w:val="0"/>
        <w:autoSpaceDE w:val="0"/>
        <w:autoSpaceDN w:val="0"/>
        <w:adjustRightInd w:val="0"/>
        <w:spacing w:after="0" w:line="240" w:lineRule="auto"/>
        <w:ind w:left="630"/>
        <w:jc w:val="both"/>
        <w:rPr>
          <w:rFonts w:cs="Arial"/>
          <w:u w:val="single"/>
          <w:lang w:val="es-ES"/>
        </w:rPr>
      </w:pPr>
    </w:p>
    <w:p w14:paraId="6253C086"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 xml:space="preserve">De conformidad con las Decisiones 14.168 y 14.169, el Sr. Sathyakumar Sambandam (consejero designado por las Partes para Asia) presentó el Estudio de Puntos Críticos y las medidas adoptadas por dos Estados del Área de Distribución de la CAMI al Grupo de Trabajo Terrestre en la 7.ª Reunión del Comité de Sesiones del Consejo Científico, </w:t>
      </w:r>
      <w:r w:rsidRPr="00124885">
        <w:rPr>
          <w:color w:val="000000" w:themeColor="text1"/>
          <w:lang w:val="es-ES"/>
        </w:rPr>
        <w:t>que debatió la metodología utilizada</w:t>
      </w:r>
      <w:r w:rsidRPr="00124885">
        <w:rPr>
          <w:lang w:val="es-ES"/>
        </w:rPr>
        <w:t xml:space="preserve">. El Grupo de Trabajo consideró que valía la pena promover el estudio y propuso que la Secretaría organizara un seminario web para promoverlo a nivel mundial, durante el cual se podría debatir la aplicabilidad de la metodología (y la necesidad de estudios similares) para otras regiones. </w:t>
      </w:r>
    </w:p>
    <w:p w14:paraId="420DBB2F" w14:textId="77777777" w:rsidR="00D618C9" w:rsidRPr="00124885" w:rsidRDefault="00D618C9" w:rsidP="00D618C9">
      <w:pPr>
        <w:widowControl w:val="0"/>
        <w:autoSpaceDE w:val="0"/>
        <w:autoSpaceDN w:val="0"/>
        <w:adjustRightInd w:val="0"/>
        <w:spacing w:after="0" w:line="240" w:lineRule="auto"/>
        <w:jc w:val="both"/>
        <w:rPr>
          <w:rFonts w:cs="Arial"/>
          <w:u w:val="single"/>
          <w:lang w:val="es-ES"/>
        </w:rPr>
      </w:pPr>
    </w:p>
    <w:p w14:paraId="23D2C022" w14:textId="77777777" w:rsidR="00D618C9" w:rsidRPr="00A46A34" w:rsidRDefault="00D618C9" w:rsidP="00D618C9">
      <w:pPr>
        <w:pStyle w:val="P68B1DB1-Normal12"/>
        <w:widowControl w:val="0"/>
        <w:autoSpaceDE w:val="0"/>
        <w:autoSpaceDN w:val="0"/>
        <w:adjustRightInd w:val="0"/>
        <w:spacing w:after="0" w:line="240" w:lineRule="auto"/>
        <w:jc w:val="both"/>
      </w:pPr>
      <w:r w:rsidRPr="00A46A34">
        <w:t>Debate y análisis</w:t>
      </w:r>
    </w:p>
    <w:p w14:paraId="6721ABD2" w14:textId="77777777" w:rsidR="00D618C9" w:rsidRPr="00A46A34" w:rsidRDefault="00D618C9" w:rsidP="00D618C9">
      <w:pPr>
        <w:widowControl w:val="0"/>
        <w:autoSpaceDE w:val="0"/>
        <w:autoSpaceDN w:val="0"/>
        <w:adjustRightInd w:val="0"/>
        <w:spacing w:after="0" w:line="240" w:lineRule="auto"/>
        <w:ind w:left="360"/>
        <w:jc w:val="both"/>
        <w:rPr>
          <w:rFonts w:cs="Arial"/>
          <w:u w:val="single"/>
        </w:rPr>
      </w:pPr>
    </w:p>
    <w:p w14:paraId="11C97E78"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implementación del Programa de Trabajo de la CAMI 2020-2026 fue posible gracias a la labor de los Estados del área de distribución y al apoyo de varios socios. Cabe destacar la estrecha cooperación con la INA de la BfN, el apoyo económico del proyecto CAMCA de la IKI y la cooperación con ONG nacionales e internacionales. Dado que la Secretaría no pudo identificar financiación para apoyar al Gobierno de Uzbekistán, como se prevé en la Decisión 14.170 (d), sugiere prorrogar esta Decisión. En vista del creciente número de especies de la CAMI y del alcance cada vez mayor de las actividades de la iniciativa, la Secretaría propone borradores de decisiones que den prioridad a las actividades clave necesarias para propiciar la implementación del PdT de la CAMI, incluido el fortalecimiento de la comunicación, la divulgación y las sinergias con otros marcos</w:t>
      </w:r>
      <w:r w:rsidRPr="00124885">
        <w:rPr>
          <w:color w:val="000000" w:themeColor="text1"/>
          <w:lang w:val="es-ES"/>
        </w:rPr>
        <w:t xml:space="preserve"> normativos </w:t>
      </w:r>
      <w:r w:rsidRPr="00124885">
        <w:rPr>
          <w:lang w:val="es-ES"/>
        </w:rPr>
        <w:t xml:space="preserve">regionales y mundiales. </w:t>
      </w:r>
    </w:p>
    <w:p w14:paraId="7A0579A3" w14:textId="77777777" w:rsidR="00D618C9" w:rsidRPr="00124885" w:rsidRDefault="00D618C9" w:rsidP="00D618C9">
      <w:pPr>
        <w:pStyle w:val="P68B1DB1-ListParagraph14"/>
        <w:widowControl w:val="0"/>
        <w:numPr>
          <w:ilvl w:val="0"/>
          <w:numId w:val="6"/>
        </w:numPr>
        <w:autoSpaceDE w:val="0"/>
        <w:autoSpaceDN w:val="0"/>
        <w:adjustRightInd w:val="0"/>
        <w:spacing w:after="0" w:line="240" w:lineRule="auto"/>
        <w:ind w:left="567" w:hanging="567"/>
        <w:jc w:val="both"/>
        <w:rPr>
          <w:lang w:val="es-ES"/>
        </w:rPr>
      </w:pPr>
      <w:r w:rsidRPr="00124885">
        <w:rPr>
          <w:lang w:val="es-ES"/>
        </w:rPr>
        <w:t>La recomendación del Consejo Científico de promover el «Estudio de los puntos críticos» en un seminario web ya no se considera necesaria, ya que el estudio ya se ha presentado en cuatro reuniones presenciales de la CMS.</w:t>
      </w:r>
    </w:p>
    <w:p w14:paraId="3F185D53" w14:textId="77777777" w:rsidR="00D618C9" w:rsidRPr="00124885" w:rsidRDefault="00D618C9" w:rsidP="00D618C9">
      <w:pPr>
        <w:widowControl w:val="0"/>
        <w:autoSpaceDE w:val="0"/>
        <w:autoSpaceDN w:val="0"/>
        <w:adjustRightInd w:val="0"/>
        <w:spacing w:after="0" w:line="240" w:lineRule="auto"/>
        <w:ind w:left="567" w:hanging="567"/>
        <w:jc w:val="both"/>
        <w:rPr>
          <w:rFonts w:cs="Arial"/>
          <w:lang w:val="es-ES"/>
        </w:rPr>
      </w:pPr>
    </w:p>
    <w:p w14:paraId="24C0FD6A" w14:textId="77777777" w:rsidR="00D618C9" w:rsidRPr="00A46A34" w:rsidRDefault="00D618C9" w:rsidP="00D618C9">
      <w:pPr>
        <w:pStyle w:val="P68B1DB1-Normal12"/>
        <w:spacing w:after="0" w:line="240" w:lineRule="auto"/>
        <w:ind w:left="567" w:hanging="567"/>
        <w:jc w:val="both"/>
      </w:pPr>
      <w:r w:rsidRPr="00A46A34">
        <w:t>Medidas recomendadas</w:t>
      </w:r>
    </w:p>
    <w:p w14:paraId="1AC69132" w14:textId="77777777" w:rsidR="00D618C9" w:rsidRPr="00A46A34" w:rsidRDefault="00D618C9" w:rsidP="00D618C9">
      <w:pPr>
        <w:spacing w:after="0" w:line="240" w:lineRule="auto"/>
        <w:ind w:left="567" w:hanging="567"/>
        <w:jc w:val="both"/>
        <w:rPr>
          <w:rFonts w:cs="Arial"/>
        </w:rPr>
      </w:pPr>
    </w:p>
    <w:p w14:paraId="4EBCDBCB" w14:textId="77777777" w:rsidR="00D618C9" w:rsidRPr="00124885" w:rsidRDefault="00D618C9" w:rsidP="00D618C9">
      <w:pPr>
        <w:pStyle w:val="P68B1DB1-Normal4"/>
        <w:widowControl w:val="0"/>
        <w:numPr>
          <w:ilvl w:val="0"/>
          <w:numId w:val="6"/>
        </w:numPr>
        <w:autoSpaceDE w:val="0"/>
        <w:autoSpaceDN w:val="0"/>
        <w:adjustRightInd w:val="0"/>
        <w:spacing w:after="0" w:line="240" w:lineRule="auto"/>
        <w:ind w:left="567" w:hanging="567"/>
        <w:jc w:val="both"/>
        <w:rPr>
          <w:lang w:val="es-ES"/>
        </w:rPr>
      </w:pPr>
      <w:r w:rsidRPr="00124885">
        <w:rPr>
          <w:lang w:val="es-ES"/>
        </w:rPr>
        <w:t>Se recomienda a la Conferencia de las Partes que:</w:t>
      </w:r>
    </w:p>
    <w:p w14:paraId="3E48D02A" w14:textId="77777777" w:rsidR="00D618C9" w:rsidRPr="00124885" w:rsidRDefault="00D618C9" w:rsidP="00D618C9">
      <w:pPr>
        <w:spacing w:after="0" w:line="240" w:lineRule="auto"/>
        <w:jc w:val="both"/>
        <w:rPr>
          <w:rFonts w:cs="Arial"/>
          <w:lang w:val="es-ES"/>
        </w:rPr>
      </w:pPr>
    </w:p>
    <w:p w14:paraId="0A66B7CC" w14:textId="77777777" w:rsidR="00D618C9" w:rsidRPr="00124885" w:rsidRDefault="00D618C9" w:rsidP="00D618C9">
      <w:pPr>
        <w:pStyle w:val="P68B1DB1-Secondnumbering15"/>
        <w:numPr>
          <w:ilvl w:val="0"/>
          <w:numId w:val="7"/>
        </w:numPr>
        <w:ind w:left="993" w:hanging="426"/>
        <w:jc w:val="both"/>
        <w:rPr>
          <w:lang w:val="es-ES"/>
        </w:rPr>
      </w:pPr>
      <w:r w:rsidRPr="00124885">
        <w:rPr>
          <w:lang w:val="es-ES"/>
        </w:rPr>
        <w:t>adopte los borradores de enmiendas a la Resolución 11.24 (Rev.COP15) que se incluyen en el Anexo 1 del presente documento;</w:t>
      </w:r>
    </w:p>
    <w:p w14:paraId="21A5CD1A" w14:textId="77777777" w:rsidR="00D618C9" w:rsidRPr="00124885" w:rsidRDefault="00D618C9" w:rsidP="00D618C9">
      <w:pPr>
        <w:pStyle w:val="Secondnumbering"/>
        <w:numPr>
          <w:ilvl w:val="0"/>
          <w:numId w:val="0"/>
        </w:numPr>
        <w:ind w:left="993"/>
        <w:jc w:val="both"/>
        <w:rPr>
          <w:rFonts w:cs="Arial"/>
          <w:lang w:val="es-ES"/>
        </w:rPr>
      </w:pPr>
    </w:p>
    <w:p w14:paraId="70BA1690" w14:textId="77777777" w:rsidR="00D618C9" w:rsidRPr="00124885" w:rsidRDefault="00D618C9" w:rsidP="00D618C9">
      <w:pPr>
        <w:pStyle w:val="P68B1DB1-Secondnumbering15"/>
        <w:numPr>
          <w:ilvl w:val="0"/>
          <w:numId w:val="7"/>
        </w:numPr>
        <w:ind w:left="993" w:hanging="426"/>
        <w:jc w:val="both"/>
        <w:rPr>
          <w:lang w:val="es-ES"/>
        </w:rPr>
      </w:pPr>
      <w:r w:rsidRPr="00124885">
        <w:rPr>
          <w:lang w:val="es-ES"/>
        </w:rPr>
        <w:t xml:space="preserve">adopte los borradores de decisiones que se incluyen en el Anexo 2 del presente documento; y </w:t>
      </w:r>
    </w:p>
    <w:p w14:paraId="2E009464" w14:textId="77777777" w:rsidR="00D618C9" w:rsidRPr="00124885" w:rsidRDefault="00D618C9" w:rsidP="00D618C9">
      <w:pPr>
        <w:pStyle w:val="Secondnumbering"/>
        <w:numPr>
          <w:ilvl w:val="0"/>
          <w:numId w:val="0"/>
        </w:numPr>
        <w:jc w:val="both"/>
        <w:rPr>
          <w:rFonts w:cs="Arial"/>
          <w:lang w:val="es-ES"/>
        </w:rPr>
      </w:pPr>
    </w:p>
    <w:p w14:paraId="67498064" w14:textId="77777777" w:rsidR="00D618C9" w:rsidRPr="00A46A34" w:rsidRDefault="00D618C9" w:rsidP="00D618C9">
      <w:pPr>
        <w:pStyle w:val="P68B1DB1-Secondnumbering15"/>
        <w:numPr>
          <w:ilvl w:val="0"/>
          <w:numId w:val="7"/>
        </w:numPr>
        <w:ind w:left="993" w:hanging="426"/>
        <w:jc w:val="both"/>
      </w:pPr>
      <w:r w:rsidRPr="00A46A34">
        <w:t>elimine las Decisiones 14.167-14.170.</w:t>
      </w:r>
    </w:p>
    <w:p w14:paraId="597DB261" w14:textId="77777777" w:rsidR="005E59F8" w:rsidRDefault="005E59F8" w:rsidP="005E59F8">
      <w:pPr>
        <w:pStyle w:val="ListParagraph"/>
        <w:rPr>
          <w:rFonts w:cs="Arial"/>
        </w:rPr>
      </w:pPr>
    </w:p>
    <w:p w14:paraId="4631202F" w14:textId="77777777" w:rsidR="005E59F8" w:rsidRDefault="005E59F8" w:rsidP="005E59F8">
      <w:pPr>
        <w:pStyle w:val="Secondnumbering"/>
        <w:numPr>
          <w:ilvl w:val="0"/>
          <w:numId w:val="0"/>
        </w:numPr>
        <w:ind w:left="360" w:hanging="360"/>
        <w:jc w:val="both"/>
        <w:rPr>
          <w:rFonts w:cs="Arial"/>
        </w:rPr>
        <w:sectPr w:rsidR="005E59F8" w:rsidSect="00323406">
          <w:headerReference w:type="even" r:id="rId23"/>
          <w:headerReference w:type="default" r:id="rId24"/>
          <w:footerReference w:type="even" r:id="rId25"/>
          <w:footerReference w:type="default" r:id="rId26"/>
          <w:headerReference w:type="first" r:id="rId27"/>
          <w:footerReference w:type="first" r:id="rId28"/>
          <w:pgSz w:w="11906" w:h="16838" w:code="9"/>
          <w:pgMar w:top="1440" w:right="1440" w:bottom="1440" w:left="1440" w:header="720" w:footer="720" w:gutter="0"/>
          <w:cols w:space="720"/>
          <w:titlePg/>
          <w:docGrid w:linePitch="360"/>
        </w:sectPr>
      </w:pPr>
    </w:p>
    <w:p w14:paraId="25FA88DF" w14:textId="557C70E9" w:rsidR="00935ACE" w:rsidRPr="006473E8" w:rsidRDefault="00935ACE" w:rsidP="00935ACE">
      <w:pPr>
        <w:pStyle w:val="Secondnumbering"/>
        <w:numPr>
          <w:ilvl w:val="0"/>
          <w:numId w:val="0"/>
        </w:numPr>
        <w:ind w:right="-501"/>
        <w:jc w:val="right"/>
        <w:rPr>
          <w:rFonts w:cs="Arial"/>
        </w:rPr>
      </w:pPr>
      <w:r w:rsidRPr="006473E8">
        <w:rPr>
          <w:rFonts w:cs="Arial"/>
          <w:b/>
          <w:caps/>
        </w:rPr>
        <w:lastRenderedPageBreak/>
        <w:t>Anex</w:t>
      </w:r>
      <w:r w:rsidR="00B43A5F">
        <w:rPr>
          <w:rFonts w:cs="Arial"/>
          <w:b/>
          <w:caps/>
        </w:rPr>
        <w:t xml:space="preserve">O </w:t>
      </w:r>
      <w:r>
        <w:rPr>
          <w:rFonts w:cs="Arial"/>
          <w:b/>
          <w:caps/>
        </w:rPr>
        <w:t>1</w:t>
      </w:r>
    </w:p>
    <w:p w14:paraId="1761A5A9" w14:textId="77777777" w:rsidR="00935ACE" w:rsidRPr="006473E8" w:rsidRDefault="00935ACE" w:rsidP="00935ACE">
      <w:pPr>
        <w:pStyle w:val="Secondnumbering"/>
        <w:numPr>
          <w:ilvl w:val="0"/>
          <w:numId w:val="0"/>
        </w:numPr>
        <w:rPr>
          <w:rFonts w:cs="Arial"/>
        </w:rPr>
      </w:pPr>
    </w:p>
    <w:p w14:paraId="181D0549" w14:textId="209B9C8C" w:rsidR="00935ACE" w:rsidRPr="00B43A5F" w:rsidRDefault="00B43A5F" w:rsidP="00935ACE">
      <w:pPr>
        <w:widowControl w:val="0"/>
        <w:autoSpaceDE w:val="0"/>
        <w:autoSpaceDN w:val="0"/>
        <w:adjustRightInd w:val="0"/>
        <w:spacing w:after="0" w:line="240" w:lineRule="auto"/>
        <w:jc w:val="center"/>
        <w:rPr>
          <w:rFonts w:eastAsia="MS Mincho" w:cs="Arial"/>
          <w:highlight w:val="yellow"/>
          <w:lang w:val="es-ES"/>
        </w:rPr>
      </w:pPr>
      <w:r w:rsidRPr="00B43A5F">
        <w:rPr>
          <w:rFonts w:eastAsia="MS Mincho" w:cs="Arial"/>
          <w:lang w:val="es-ES"/>
        </w:rPr>
        <w:t xml:space="preserve">ENMIENDAS PROPUESTAS A LA RESOLUCIÓN </w:t>
      </w:r>
      <w:r w:rsidR="00935ACE" w:rsidRPr="00B43A5F">
        <w:rPr>
          <w:rFonts w:eastAsia="MS Mincho" w:cs="Arial"/>
          <w:lang w:val="es-ES"/>
        </w:rPr>
        <w:t>11.24 (Rev.COP13)</w:t>
      </w:r>
    </w:p>
    <w:p w14:paraId="2C608089" w14:textId="77777777" w:rsidR="00935ACE" w:rsidRPr="00B43A5F" w:rsidRDefault="00935ACE" w:rsidP="00935ACE">
      <w:pPr>
        <w:widowControl w:val="0"/>
        <w:autoSpaceDE w:val="0"/>
        <w:autoSpaceDN w:val="0"/>
        <w:adjustRightInd w:val="0"/>
        <w:spacing w:after="0" w:line="240" w:lineRule="auto"/>
        <w:jc w:val="both"/>
        <w:rPr>
          <w:rFonts w:eastAsia="MS Mincho" w:cs="Arial"/>
          <w:highlight w:val="yellow"/>
          <w:lang w:val="es-ES"/>
        </w:rPr>
      </w:pPr>
    </w:p>
    <w:p w14:paraId="0D2FD865" w14:textId="5B97471F" w:rsidR="00935ACE" w:rsidRPr="00B9162C" w:rsidRDefault="00B9162C" w:rsidP="00935ACE">
      <w:pPr>
        <w:widowControl w:val="0"/>
        <w:autoSpaceDE w:val="0"/>
        <w:autoSpaceDN w:val="0"/>
        <w:adjustRightInd w:val="0"/>
        <w:spacing w:after="0" w:line="240" w:lineRule="auto"/>
        <w:jc w:val="center"/>
        <w:rPr>
          <w:rFonts w:eastAsia="Times New Roman" w:cs="Arial"/>
          <w:i/>
          <w:highlight w:val="yellow"/>
          <w:lang w:val="es-ES"/>
        </w:rPr>
      </w:pPr>
      <w:r w:rsidRPr="00B9162C">
        <w:rPr>
          <w:rFonts w:eastAsia="Times New Roman" w:cs="Arial"/>
          <w:i/>
          <w:lang w:val="es-ES"/>
        </w:rPr>
        <w:t xml:space="preserve">El nuevo texto propuesto aparece </w:t>
      </w:r>
      <w:r w:rsidRPr="00B9162C">
        <w:rPr>
          <w:rFonts w:eastAsia="Times New Roman" w:cs="Arial"/>
          <w:i/>
          <w:u w:val="single"/>
          <w:lang w:val="es-ES"/>
        </w:rPr>
        <w:t>subrayad</w:t>
      </w:r>
      <w:r w:rsidRPr="00B9162C">
        <w:rPr>
          <w:rFonts w:eastAsia="Times New Roman" w:cs="Arial"/>
          <w:i/>
          <w:lang w:val="es-ES"/>
        </w:rPr>
        <w:t xml:space="preserve">o. El texto a eliminar aparece </w:t>
      </w:r>
      <w:r w:rsidRPr="00B9162C">
        <w:rPr>
          <w:rFonts w:eastAsia="Times New Roman" w:cs="Arial"/>
          <w:i/>
          <w:strike/>
          <w:lang w:val="es-ES"/>
        </w:rPr>
        <w:t>tachado</w:t>
      </w:r>
      <w:r w:rsidRPr="00B9162C">
        <w:rPr>
          <w:rFonts w:eastAsia="Times New Roman" w:cs="Arial"/>
          <w:i/>
          <w:lang w:val="es-ES"/>
        </w:rPr>
        <w:t>.</w:t>
      </w:r>
    </w:p>
    <w:p w14:paraId="7F8D5F3F" w14:textId="77777777" w:rsidR="00935ACE" w:rsidRPr="00B9162C" w:rsidRDefault="00935ACE" w:rsidP="00935ACE">
      <w:pPr>
        <w:spacing w:after="0" w:line="240" w:lineRule="auto"/>
        <w:rPr>
          <w:highlight w:val="yellow"/>
          <w:lang w:val="es-ES"/>
        </w:rPr>
      </w:pPr>
    </w:p>
    <w:tbl>
      <w:tblPr>
        <w:tblStyle w:val="TableGrid2"/>
        <w:tblW w:w="14552" w:type="dxa"/>
        <w:tblLayout w:type="fixed"/>
        <w:tblCellMar>
          <w:top w:w="28" w:type="dxa"/>
          <w:bottom w:w="28" w:type="dxa"/>
        </w:tblCellMar>
        <w:tblLook w:val="04A0" w:firstRow="1" w:lastRow="0" w:firstColumn="1" w:lastColumn="0" w:noHBand="0" w:noVBand="1"/>
      </w:tblPr>
      <w:tblGrid>
        <w:gridCol w:w="5949"/>
        <w:gridCol w:w="3118"/>
        <w:gridCol w:w="5485"/>
      </w:tblGrid>
      <w:tr w:rsidR="00935ACE" w:rsidRPr="006C33FD" w14:paraId="43D3F096" w14:textId="77777777" w:rsidTr="00F716F1">
        <w:trPr>
          <w:cantSplit/>
          <w:tblHeader/>
        </w:trPr>
        <w:tc>
          <w:tcPr>
            <w:tcW w:w="5949" w:type="dxa"/>
            <w:shd w:val="clear" w:color="auto" w:fill="D0CECE" w:themeFill="background2" w:themeFillShade="E6"/>
          </w:tcPr>
          <w:p w14:paraId="6D8BFBCE" w14:textId="2BF01718" w:rsidR="00935ACE" w:rsidRPr="00EA70C8" w:rsidRDefault="00EA70C8">
            <w:pPr>
              <w:widowControl w:val="0"/>
              <w:autoSpaceDE w:val="0"/>
              <w:autoSpaceDN w:val="0"/>
              <w:adjustRightInd w:val="0"/>
              <w:spacing w:before="40" w:after="40"/>
              <w:jc w:val="center"/>
              <w:rPr>
                <w:rFonts w:eastAsia="Times New Roman" w:cs="Arial"/>
                <w:b/>
                <w:bCs/>
                <w:color w:val="000000" w:themeColor="text1"/>
                <w:lang w:val="es-ES"/>
              </w:rPr>
            </w:pPr>
            <w:r w:rsidRPr="00EA70C8">
              <w:rPr>
                <w:rFonts w:eastAsia="Times New Roman" w:cs="Arial"/>
                <w:b/>
                <w:bCs/>
                <w:color w:val="000000" w:themeColor="text1"/>
                <w:lang w:val="es-ES"/>
              </w:rPr>
              <w:t>Texto de la resolución existente</w:t>
            </w:r>
          </w:p>
        </w:tc>
        <w:tc>
          <w:tcPr>
            <w:tcW w:w="3118" w:type="dxa"/>
            <w:shd w:val="clear" w:color="auto" w:fill="D0CECE" w:themeFill="background2" w:themeFillShade="E6"/>
          </w:tcPr>
          <w:p w14:paraId="2E47FADC" w14:textId="1ED2C8D3" w:rsidR="00935ACE" w:rsidRPr="00EA70C8" w:rsidRDefault="00935ACE">
            <w:pPr>
              <w:widowControl w:val="0"/>
              <w:autoSpaceDE w:val="0"/>
              <w:autoSpaceDN w:val="0"/>
              <w:adjustRightInd w:val="0"/>
              <w:spacing w:before="40" w:after="40"/>
              <w:jc w:val="center"/>
              <w:rPr>
                <w:rFonts w:eastAsia="Times New Roman" w:cs="Arial"/>
                <w:b/>
                <w:bCs/>
                <w:color w:val="000000" w:themeColor="text1"/>
              </w:rPr>
            </w:pPr>
            <w:r w:rsidRPr="00EA70C8">
              <w:rPr>
                <w:rFonts w:eastAsia="Times New Roman" w:cs="Arial"/>
                <w:b/>
                <w:bCs/>
                <w:color w:val="000000" w:themeColor="text1"/>
              </w:rPr>
              <w:t>Com</w:t>
            </w:r>
            <w:r w:rsidR="00EA70C8">
              <w:rPr>
                <w:rFonts w:eastAsia="Times New Roman" w:cs="Arial"/>
                <w:b/>
                <w:bCs/>
                <w:color w:val="000000" w:themeColor="text1"/>
              </w:rPr>
              <w:t>entario</w:t>
            </w:r>
          </w:p>
        </w:tc>
        <w:tc>
          <w:tcPr>
            <w:tcW w:w="5485" w:type="dxa"/>
            <w:shd w:val="clear" w:color="auto" w:fill="D0CECE" w:themeFill="background2" w:themeFillShade="E6"/>
          </w:tcPr>
          <w:p w14:paraId="1A6F887D" w14:textId="2E314C7F" w:rsidR="00935ACE" w:rsidRPr="00EA70C8" w:rsidRDefault="009249CE">
            <w:pPr>
              <w:widowControl w:val="0"/>
              <w:autoSpaceDE w:val="0"/>
              <w:autoSpaceDN w:val="0"/>
              <w:adjustRightInd w:val="0"/>
              <w:spacing w:before="40" w:after="40"/>
              <w:jc w:val="center"/>
              <w:rPr>
                <w:rFonts w:eastAsia="Times New Roman" w:cs="Arial"/>
                <w:b/>
                <w:bCs/>
                <w:color w:val="000000" w:themeColor="text1"/>
              </w:rPr>
            </w:pPr>
            <w:r w:rsidRPr="009249CE">
              <w:rPr>
                <w:rFonts w:eastAsia="Times New Roman" w:cs="Arial"/>
                <w:b/>
                <w:bCs/>
                <w:color w:val="000000" w:themeColor="text1"/>
              </w:rPr>
              <w:t>Nuevo texto limpio propuesto</w:t>
            </w:r>
          </w:p>
        </w:tc>
      </w:tr>
      <w:tr w:rsidR="00F716F1" w:rsidRPr="004070C5" w14:paraId="331CA2AA" w14:textId="77777777" w:rsidTr="00F716F1">
        <w:trPr>
          <w:cantSplit/>
        </w:trPr>
        <w:tc>
          <w:tcPr>
            <w:tcW w:w="5949" w:type="dxa"/>
          </w:tcPr>
          <w:p w14:paraId="34C187C7" w14:textId="0EB05AF5" w:rsidR="00F716F1" w:rsidRPr="00F716F1" w:rsidRDefault="00F716F1" w:rsidP="00F716F1">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before="40" w:after="40"/>
              <w:ind w:right="-357"/>
              <w:textAlignment w:val="baseline"/>
              <w:outlineLvl w:val="1"/>
              <w:rPr>
                <w:rFonts w:eastAsia="Times New Roman" w:cs="Arial"/>
                <w:b/>
                <w:bCs/>
                <w:highlight w:val="yellow"/>
                <w:lang w:val="ru-RU"/>
              </w:rPr>
            </w:pPr>
            <w:r w:rsidRPr="00F716F1">
              <w:rPr>
                <w:rFonts w:cs="Arial"/>
                <w:b/>
                <w:bCs/>
                <w:caps/>
                <w:lang w:val="es-ES" w:eastAsia="es-ES"/>
              </w:rPr>
              <w:t>LA INICIATIVA SOBRE MAMÍFEROS DE ASIA CENTRAL (cami)</w:t>
            </w:r>
          </w:p>
        </w:tc>
        <w:tc>
          <w:tcPr>
            <w:tcW w:w="3118" w:type="dxa"/>
          </w:tcPr>
          <w:p w14:paraId="7F82BC99" w14:textId="1AEA7959" w:rsidR="00F716F1" w:rsidRPr="00F716F1" w:rsidRDefault="00385028" w:rsidP="00F716F1">
            <w:pPr>
              <w:widowControl w:val="0"/>
              <w:autoSpaceDE w:val="0"/>
              <w:autoSpaceDN w:val="0"/>
              <w:adjustRightInd w:val="0"/>
              <w:spacing w:before="40" w:after="40"/>
              <w:rPr>
                <w:rFonts w:eastAsia="Times New Roman" w:cs="Arial"/>
                <w:color w:val="000000" w:themeColor="text1"/>
                <w:highlight w:val="yellow"/>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558A3B95" w14:textId="4A432A48" w:rsidR="00F716F1" w:rsidRPr="00F716F1" w:rsidRDefault="00F716F1" w:rsidP="00F716F1">
            <w:pPr>
              <w:widowControl w:val="0"/>
              <w:autoSpaceDE w:val="0"/>
              <w:autoSpaceDN w:val="0"/>
              <w:adjustRightInd w:val="0"/>
              <w:spacing w:before="40" w:after="40"/>
              <w:rPr>
                <w:rFonts w:eastAsia="Times New Roman" w:cs="Arial"/>
                <w:color w:val="000000" w:themeColor="text1"/>
                <w:lang w:val="es-ES"/>
              </w:rPr>
            </w:pPr>
            <w:r w:rsidRPr="00F716F1">
              <w:rPr>
                <w:rFonts w:cs="Arial"/>
                <w:b/>
                <w:bCs/>
                <w:caps/>
                <w:lang w:val="es-ES" w:eastAsia="es-ES"/>
              </w:rPr>
              <w:t>LA INICIATIVA SOBRE MAMÍFEROS DE ASIA CENTRAL (cami)</w:t>
            </w:r>
          </w:p>
        </w:tc>
      </w:tr>
      <w:tr w:rsidR="00935ACE" w:rsidRPr="004070C5" w14:paraId="309B0D15" w14:textId="77777777" w:rsidTr="00F716F1">
        <w:trPr>
          <w:cantSplit/>
        </w:trPr>
        <w:tc>
          <w:tcPr>
            <w:tcW w:w="5949" w:type="dxa"/>
          </w:tcPr>
          <w:p w14:paraId="6C991DEF" w14:textId="37D0CFEA" w:rsidR="00935ACE" w:rsidRPr="007376E6" w:rsidRDefault="007376E6">
            <w:pPr>
              <w:spacing w:before="40" w:after="40"/>
              <w:jc w:val="both"/>
              <w:rPr>
                <w:rFonts w:eastAsia="Times New Roman" w:cs="Arial"/>
                <w:color w:val="000000" w:themeColor="text1"/>
                <w:u w:val="single"/>
                <w:lang w:val="es-ES"/>
              </w:rPr>
            </w:pPr>
            <w:r w:rsidRPr="007376E6">
              <w:rPr>
                <w:rFonts w:eastAsia="Times New Roman" w:cs="Arial"/>
                <w:i/>
                <w:iCs/>
                <w:color w:val="000000" w:themeColor="text1"/>
                <w:u w:val="single"/>
                <w:lang w:val="es-ES"/>
              </w:rPr>
              <w:t xml:space="preserve">Reconociendo </w:t>
            </w:r>
            <w:r w:rsidRPr="007376E6">
              <w:rPr>
                <w:rFonts w:eastAsia="Times New Roman" w:cs="Arial"/>
                <w:color w:val="000000" w:themeColor="text1"/>
                <w:u w:val="single"/>
                <w:lang w:val="es-ES"/>
              </w:rPr>
              <w:t>que las llanuras y montañas de Asia Central constituyen una de las últimas regiones del mundo que permiten los desplazamientos a larga distancia de las especies terrestres,</w:t>
            </w:r>
          </w:p>
        </w:tc>
        <w:tc>
          <w:tcPr>
            <w:tcW w:w="3118" w:type="dxa"/>
          </w:tcPr>
          <w:p w14:paraId="491E5348" w14:textId="50489495" w:rsidR="00935ACE" w:rsidRPr="00E4162E" w:rsidRDefault="00E4162E">
            <w:pPr>
              <w:widowControl w:val="0"/>
              <w:autoSpaceDE w:val="0"/>
              <w:autoSpaceDN w:val="0"/>
              <w:adjustRightInd w:val="0"/>
              <w:spacing w:before="40" w:after="40"/>
              <w:jc w:val="both"/>
              <w:rPr>
                <w:rFonts w:eastAsia="Times New Roman" w:cs="Arial"/>
                <w:color w:val="000000" w:themeColor="text1"/>
                <w:lang w:val="es-ES"/>
              </w:rPr>
            </w:pPr>
            <w:r w:rsidRPr="00E4162E">
              <w:rPr>
                <w:lang w:val="es-ES"/>
              </w:rPr>
              <w:t>Insertado para comenzar la resolución con una nota más positiva.</w:t>
            </w:r>
          </w:p>
        </w:tc>
        <w:tc>
          <w:tcPr>
            <w:tcW w:w="5485" w:type="dxa"/>
          </w:tcPr>
          <w:p w14:paraId="2B6DDBEE" w14:textId="1C371472" w:rsidR="00935ACE" w:rsidRPr="007376E6" w:rsidRDefault="007376E6">
            <w:pPr>
              <w:widowControl w:val="0"/>
              <w:autoSpaceDE w:val="0"/>
              <w:autoSpaceDN w:val="0"/>
              <w:adjustRightInd w:val="0"/>
              <w:spacing w:before="40" w:after="40"/>
              <w:jc w:val="both"/>
              <w:rPr>
                <w:rFonts w:eastAsia="Times New Roman" w:cs="Arial"/>
                <w:color w:val="000000" w:themeColor="text1"/>
                <w:highlight w:val="yellow"/>
                <w:lang w:val="es-ES"/>
              </w:rPr>
            </w:pPr>
            <w:r w:rsidRPr="007376E6">
              <w:rPr>
                <w:rFonts w:eastAsia="Times New Roman" w:cs="Arial"/>
                <w:i/>
                <w:iCs/>
                <w:color w:val="000000" w:themeColor="text1"/>
                <w:lang w:val="es-ES"/>
              </w:rPr>
              <w:t>Reconociendo</w:t>
            </w:r>
            <w:r w:rsidRPr="007376E6">
              <w:rPr>
                <w:rFonts w:eastAsia="Times New Roman" w:cs="Arial"/>
                <w:color w:val="000000" w:themeColor="text1"/>
                <w:lang w:val="es-ES"/>
              </w:rPr>
              <w:t xml:space="preserve"> que las llanuras y montañas de Asia Central constituyen una de las últimas regiones del mundo que permiten los desplazamientos a larga distancia de las especies terrestres,</w:t>
            </w:r>
          </w:p>
        </w:tc>
      </w:tr>
      <w:tr w:rsidR="00935ACE" w:rsidRPr="004070C5" w14:paraId="55AD37EF" w14:textId="77777777" w:rsidTr="00F716F1">
        <w:trPr>
          <w:cantSplit/>
        </w:trPr>
        <w:tc>
          <w:tcPr>
            <w:tcW w:w="5949" w:type="dxa"/>
          </w:tcPr>
          <w:p w14:paraId="4751AD61" w14:textId="3E4FB6D1" w:rsidR="00935ACE" w:rsidRPr="00D57CEB" w:rsidRDefault="00D57CEB">
            <w:pPr>
              <w:widowControl w:val="0"/>
              <w:autoSpaceDE w:val="0"/>
              <w:autoSpaceDN w:val="0"/>
              <w:adjustRightInd w:val="0"/>
              <w:spacing w:before="40" w:after="40"/>
              <w:jc w:val="both"/>
              <w:rPr>
                <w:rFonts w:eastAsia="Times New Roman" w:cs="Arial"/>
                <w:i/>
                <w:strike/>
                <w:color w:val="000000" w:themeColor="text1"/>
                <w:lang w:val="es-ES"/>
              </w:rPr>
            </w:pPr>
            <w:r w:rsidRPr="00D57CEB">
              <w:rPr>
                <w:rFonts w:eastAsia="Times New Roman" w:cs="Arial"/>
                <w:i/>
                <w:iCs/>
                <w:u w:val="single"/>
                <w:lang w:val="es-ES"/>
              </w:rPr>
              <w:t xml:space="preserve">Tomando nota con reconocimiento </w:t>
            </w:r>
            <w:r w:rsidRPr="00D57CEB">
              <w:rPr>
                <w:rFonts w:eastAsia="Times New Roman" w:cs="Arial"/>
                <w:u w:val="single"/>
                <w:lang w:val="es-ES"/>
              </w:rPr>
              <w:t>de los esfuerzos de conservación que están realizando las Partes en la CMS, así como de la contribución de los Estados del área de distribución que no son Partes y otras partes interesadas de la región a esos esfuerzos,</w:t>
            </w:r>
          </w:p>
        </w:tc>
        <w:tc>
          <w:tcPr>
            <w:tcW w:w="3118" w:type="dxa"/>
          </w:tcPr>
          <w:p w14:paraId="23753868" w14:textId="0384FC7F" w:rsidR="00935ACE" w:rsidRPr="00E4162E" w:rsidRDefault="00E4162E">
            <w:pPr>
              <w:widowControl w:val="0"/>
              <w:autoSpaceDE w:val="0"/>
              <w:autoSpaceDN w:val="0"/>
              <w:adjustRightInd w:val="0"/>
              <w:spacing w:before="40" w:after="40"/>
              <w:jc w:val="both"/>
              <w:rPr>
                <w:rFonts w:eastAsia="Times New Roman" w:cs="Arial"/>
                <w:color w:val="000000" w:themeColor="text1"/>
                <w:lang w:val="es-ES"/>
              </w:rPr>
            </w:pPr>
            <w:r w:rsidRPr="00E4162E">
              <w:rPr>
                <w:lang w:val="es-ES"/>
              </w:rPr>
              <w:t>Inserto para reconocer los esfuerzos de conservación liderados por los Estados del área de distribución sobre el terreno.</w:t>
            </w:r>
          </w:p>
        </w:tc>
        <w:tc>
          <w:tcPr>
            <w:tcW w:w="5485" w:type="dxa"/>
          </w:tcPr>
          <w:p w14:paraId="6301C346" w14:textId="67DEADA5" w:rsidR="00935ACE" w:rsidRPr="00D57CEB" w:rsidRDefault="00D57CEB">
            <w:pPr>
              <w:widowControl w:val="0"/>
              <w:autoSpaceDE w:val="0"/>
              <w:autoSpaceDN w:val="0"/>
              <w:adjustRightInd w:val="0"/>
              <w:spacing w:before="40" w:after="40"/>
              <w:jc w:val="both"/>
              <w:rPr>
                <w:rFonts w:eastAsia="Times New Roman" w:cs="Arial"/>
                <w:color w:val="000000" w:themeColor="text1"/>
                <w:highlight w:val="yellow"/>
                <w:lang w:val="es-ES"/>
              </w:rPr>
            </w:pPr>
            <w:r w:rsidRPr="00D57CEB">
              <w:rPr>
                <w:rFonts w:eastAsia="Times New Roman" w:cs="Arial"/>
                <w:i/>
                <w:iCs/>
                <w:lang w:val="es-ES"/>
              </w:rPr>
              <w:t xml:space="preserve">Tomando nota con reconocimiento </w:t>
            </w:r>
            <w:r w:rsidRPr="00D57CEB">
              <w:rPr>
                <w:rFonts w:eastAsia="Times New Roman" w:cs="Arial"/>
                <w:lang w:val="es-ES"/>
              </w:rPr>
              <w:t>de los esfuerzos de conservación que están realizando las Partes en la CMS, así como de la contribución de los Estados del área de distribución que no son Partes y otras partes interesadas de la región a esos esfuerzos,</w:t>
            </w:r>
          </w:p>
        </w:tc>
      </w:tr>
      <w:tr w:rsidR="00935ACE" w:rsidRPr="004070C5" w14:paraId="7A871E5E" w14:textId="77777777" w:rsidTr="00F716F1">
        <w:trPr>
          <w:cantSplit/>
        </w:trPr>
        <w:tc>
          <w:tcPr>
            <w:tcW w:w="5949" w:type="dxa"/>
          </w:tcPr>
          <w:p w14:paraId="7147AE0D" w14:textId="1C0CFB83" w:rsidR="00935ACE" w:rsidRPr="009346AA" w:rsidRDefault="009346AA">
            <w:pPr>
              <w:widowControl w:val="0"/>
              <w:autoSpaceDE w:val="0"/>
              <w:autoSpaceDN w:val="0"/>
              <w:adjustRightInd w:val="0"/>
              <w:spacing w:before="40" w:after="40"/>
              <w:jc w:val="both"/>
              <w:rPr>
                <w:rFonts w:eastAsia="Times New Roman" w:cs="Arial"/>
                <w:strike/>
                <w:color w:val="000000" w:themeColor="text1"/>
                <w:lang w:val="es-ES"/>
              </w:rPr>
            </w:pPr>
            <w:r w:rsidRPr="009346AA">
              <w:rPr>
                <w:rFonts w:cs="Arial"/>
                <w:i/>
                <w:iCs/>
                <w:strike/>
                <w:lang w:val="es-ES"/>
              </w:rPr>
              <w:t>Profundamente preocupada</w:t>
            </w:r>
            <w:r w:rsidRPr="009346AA">
              <w:rPr>
                <w:rFonts w:cs="Arial"/>
                <w:iCs/>
                <w:strike/>
                <w:lang w:val="es-ES"/>
              </w:rPr>
              <w:t xml:space="preserve"> porque las grandes migraciones de mamíferos en una de las últimas regiones restantes que sustentan desplazamientos de larga distancia, las llanuras y las montañas de Asia Central, se ven seriamente amenazadas por la sobreexplotación de la vida silvestre, así como por la explotación de minerales y otros recursos naturales y que los hábitats de los cuales dependen los grandes mamíferos se están perdiendo, degradando y fragmentado a un ritmo sin precedentes,</w:t>
            </w:r>
          </w:p>
        </w:tc>
        <w:tc>
          <w:tcPr>
            <w:tcW w:w="3118" w:type="dxa"/>
          </w:tcPr>
          <w:p w14:paraId="65ED2DF1" w14:textId="4CC80455" w:rsidR="00935ACE" w:rsidRPr="00B56158" w:rsidRDefault="00B56158">
            <w:pPr>
              <w:widowControl w:val="0"/>
              <w:autoSpaceDE w:val="0"/>
              <w:autoSpaceDN w:val="0"/>
              <w:adjustRightInd w:val="0"/>
              <w:spacing w:before="40" w:after="40"/>
              <w:jc w:val="both"/>
              <w:rPr>
                <w:rFonts w:eastAsia="Times New Roman" w:cs="Arial"/>
                <w:color w:val="000000" w:themeColor="text1"/>
                <w:lang w:val="es-ES"/>
              </w:rPr>
            </w:pPr>
            <w:r w:rsidRPr="00B56158">
              <w:rPr>
                <w:rFonts w:eastAsia="Times New Roman" w:cs="Arial"/>
                <w:color w:val="000000" w:themeColor="text1"/>
                <w:lang w:val="es-ES"/>
              </w:rPr>
              <w:t>Eliminado, no todas las amenazas mencionadas, información incluida en las nuevas frases a continuación.</w:t>
            </w:r>
          </w:p>
        </w:tc>
        <w:tc>
          <w:tcPr>
            <w:tcW w:w="5485" w:type="dxa"/>
          </w:tcPr>
          <w:p w14:paraId="57087541" w14:textId="77777777" w:rsidR="00935ACE" w:rsidRPr="00B56158" w:rsidRDefault="00935ACE">
            <w:pPr>
              <w:widowControl w:val="0"/>
              <w:autoSpaceDE w:val="0"/>
              <w:autoSpaceDN w:val="0"/>
              <w:adjustRightInd w:val="0"/>
              <w:spacing w:before="40" w:after="40"/>
              <w:jc w:val="both"/>
              <w:rPr>
                <w:rFonts w:eastAsia="Times New Roman" w:cs="Arial"/>
                <w:color w:val="000000" w:themeColor="text1"/>
                <w:lang w:val="es-ES"/>
              </w:rPr>
            </w:pPr>
          </w:p>
        </w:tc>
      </w:tr>
      <w:tr w:rsidR="00935ACE" w:rsidRPr="004070C5" w14:paraId="25DED172" w14:textId="77777777" w:rsidTr="00F716F1">
        <w:trPr>
          <w:cantSplit/>
        </w:trPr>
        <w:tc>
          <w:tcPr>
            <w:tcW w:w="5949" w:type="dxa"/>
          </w:tcPr>
          <w:p w14:paraId="2CA50199" w14:textId="19AB7325" w:rsidR="00935ACE" w:rsidRPr="0067062A" w:rsidRDefault="0067062A">
            <w:pPr>
              <w:spacing w:before="40" w:after="40"/>
              <w:jc w:val="both"/>
              <w:rPr>
                <w:rFonts w:cs="Arial"/>
                <w:i/>
                <w:iCs/>
                <w:strike/>
                <w:u w:val="single"/>
                <w:lang w:val="es-ES"/>
              </w:rPr>
            </w:pPr>
            <w:r w:rsidRPr="0067062A">
              <w:rPr>
                <w:rFonts w:cs="Arial"/>
                <w:i/>
                <w:iCs/>
                <w:strike/>
                <w:lang w:val="es-ES"/>
              </w:rPr>
              <w:lastRenderedPageBreak/>
              <w:t xml:space="preserve">Reconociendo </w:t>
            </w:r>
            <w:r w:rsidRPr="0067062A">
              <w:rPr>
                <w:rFonts w:cs="Arial"/>
                <w:iCs/>
                <w:strike/>
                <w:lang w:val="es-ES"/>
              </w:rPr>
              <w:t xml:space="preserve">que las industrias extractivas </w:t>
            </w:r>
            <w:r w:rsidRPr="0067062A">
              <w:rPr>
                <w:rFonts w:cs="Arial"/>
                <w:strike/>
                <w:lang w:val="es-ES"/>
              </w:rPr>
              <w:t>y las</w:t>
            </w:r>
            <w:r w:rsidRPr="0067062A">
              <w:rPr>
                <w:rFonts w:cs="Arial"/>
                <w:i/>
                <w:iCs/>
                <w:strike/>
                <w:lang w:val="es-ES"/>
              </w:rPr>
              <w:t xml:space="preserve"> </w:t>
            </w:r>
            <w:r w:rsidRPr="0067062A">
              <w:rPr>
                <w:rFonts w:cs="Arial"/>
                <w:iCs/>
                <w:strike/>
                <w:lang w:val="es-ES"/>
              </w:rPr>
              <w:t>infraestructuras</w:t>
            </w:r>
            <w:r w:rsidRPr="0067062A">
              <w:rPr>
                <w:rFonts w:cs="Arial"/>
                <w:i/>
                <w:iCs/>
                <w:strike/>
                <w:lang w:val="es-ES"/>
              </w:rPr>
              <w:t xml:space="preserve"> </w:t>
            </w:r>
            <w:r w:rsidRPr="0067062A">
              <w:rPr>
                <w:rFonts w:cs="Arial"/>
                <w:iCs/>
                <w:strike/>
                <w:lang w:val="es-ES"/>
              </w:rPr>
              <w:t>lineales</w:t>
            </w:r>
            <w:r w:rsidRPr="0067062A">
              <w:rPr>
                <w:rFonts w:cs="Arial"/>
                <w:i/>
                <w:iCs/>
                <w:strike/>
                <w:lang w:val="es-ES"/>
              </w:rPr>
              <w:t xml:space="preserve"> </w:t>
            </w:r>
            <w:r w:rsidRPr="0067062A">
              <w:rPr>
                <w:rFonts w:cs="Arial"/>
                <w:iCs/>
                <w:strike/>
                <w:lang w:val="es-ES"/>
              </w:rPr>
              <w:t xml:space="preserve">pueden tener un impacto especialmente negativo sobre el estado de conservación de los mamíferos migratorios y que pueden causar mortalidad directa y la fragmentación de los hábitats, interrumpiendo desplazamientos fundamentales de un lugar a otro, y </w:t>
            </w:r>
            <w:r w:rsidRPr="0067062A">
              <w:rPr>
                <w:rFonts w:cs="Arial"/>
                <w:i/>
                <w:iCs/>
                <w:strike/>
                <w:lang w:val="es-ES"/>
              </w:rPr>
              <w:t>reconociendo además</w:t>
            </w:r>
            <w:r w:rsidRPr="0067062A">
              <w:rPr>
                <w:rFonts w:cs="Arial"/>
                <w:iCs/>
                <w:strike/>
                <w:lang w:val="es-ES"/>
              </w:rPr>
              <w:t xml:space="preserve"> la urgente necesidad de </w:t>
            </w:r>
            <w:r w:rsidRPr="0067062A">
              <w:rPr>
                <w:rFonts w:cs="Arial"/>
                <w:strike/>
                <w:lang w:val="es-ES"/>
              </w:rPr>
              <w:t xml:space="preserve">mitigar los impactos directos e indirectos sobre los mamíferos migratorios de la minería e infraestructura, </w:t>
            </w:r>
            <w:r w:rsidRPr="0067062A">
              <w:rPr>
                <w:rFonts w:cs="Arial"/>
                <w:iCs/>
                <w:strike/>
                <w:lang w:val="es-ES"/>
              </w:rPr>
              <w:t>incluyendo la amenaza por el incremento de los asentamientos humanos y amenazas asociadas de caza furtiva a lo largo de las rutas de infraestructura,</w:t>
            </w:r>
          </w:p>
        </w:tc>
        <w:tc>
          <w:tcPr>
            <w:tcW w:w="3118" w:type="dxa"/>
          </w:tcPr>
          <w:p w14:paraId="513B1163" w14:textId="14F10907" w:rsidR="00935ACE" w:rsidRPr="00325A02" w:rsidRDefault="00325A02">
            <w:pPr>
              <w:widowControl w:val="0"/>
              <w:autoSpaceDE w:val="0"/>
              <w:autoSpaceDN w:val="0"/>
              <w:adjustRightInd w:val="0"/>
              <w:spacing w:before="40" w:after="40"/>
              <w:jc w:val="both"/>
              <w:rPr>
                <w:rFonts w:eastAsia="Times New Roman" w:cs="Arial"/>
                <w:color w:val="000000" w:themeColor="text1"/>
                <w:lang w:val="es-ES"/>
              </w:rPr>
            </w:pPr>
            <w:r w:rsidRPr="00325A02">
              <w:rPr>
                <w:rFonts w:eastAsia="Times New Roman" w:cs="Arial"/>
                <w:color w:val="000000" w:themeColor="text1"/>
                <w:lang w:val="es-ES"/>
              </w:rPr>
              <w:t>Eliminado, demasiado centrado únicamente en las industrias extractivas.</w:t>
            </w:r>
          </w:p>
        </w:tc>
        <w:tc>
          <w:tcPr>
            <w:tcW w:w="5485" w:type="dxa"/>
          </w:tcPr>
          <w:p w14:paraId="6216F5C1" w14:textId="77777777" w:rsidR="00935ACE" w:rsidRPr="00325A02" w:rsidRDefault="00935ACE">
            <w:pPr>
              <w:widowControl w:val="0"/>
              <w:autoSpaceDE w:val="0"/>
              <w:autoSpaceDN w:val="0"/>
              <w:adjustRightInd w:val="0"/>
              <w:spacing w:before="40" w:after="40"/>
              <w:jc w:val="both"/>
              <w:rPr>
                <w:rFonts w:eastAsia="Times New Roman" w:cs="Arial"/>
                <w:color w:val="000000" w:themeColor="text1"/>
                <w:lang w:val="es-ES"/>
              </w:rPr>
            </w:pPr>
          </w:p>
        </w:tc>
      </w:tr>
      <w:tr w:rsidR="00935ACE" w:rsidRPr="004070C5" w14:paraId="05B98F6F" w14:textId="77777777" w:rsidTr="00F716F1">
        <w:trPr>
          <w:cantSplit/>
        </w:trPr>
        <w:tc>
          <w:tcPr>
            <w:tcW w:w="5949" w:type="dxa"/>
          </w:tcPr>
          <w:p w14:paraId="7015BE34" w14:textId="42D67BF5" w:rsidR="00935ACE" w:rsidRPr="00333C5D" w:rsidRDefault="00333C5D">
            <w:pPr>
              <w:spacing w:before="40" w:after="40"/>
              <w:jc w:val="both"/>
              <w:rPr>
                <w:rFonts w:cs="Arial"/>
                <w:iCs/>
                <w:u w:val="single"/>
                <w:lang w:val="es-ES"/>
              </w:rPr>
            </w:pPr>
            <w:r w:rsidRPr="00333C5D">
              <w:rPr>
                <w:rFonts w:cs="Arial"/>
                <w:i/>
                <w:iCs/>
                <w:u w:val="single"/>
                <w:lang w:val="es-ES"/>
              </w:rPr>
              <w:t xml:space="preserve">Profundamente preocupado </w:t>
            </w:r>
            <w:r w:rsidRPr="00333C5D">
              <w:rPr>
                <w:rFonts w:cs="Arial"/>
                <w:u w:val="single"/>
                <w:lang w:val="es-ES"/>
              </w:rPr>
              <w:t>por el hecho de que la mayoría de los mamíferos de la región incluidos en la CMS siguen amenazados por la caza ilegal y por las barreras a la migración, y que los hábitats de los que dependen se están degradando a un ritmo sin precedentes,</w:t>
            </w:r>
          </w:p>
        </w:tc>
        <w:tc>
          <w:tcPr>
            <w:tcW w:w="3118" w:type="dxa"/>
          </w:tcPr>
          <w:p w14:paraId="0D2ECF26" w14:textId="12BD1C3D" w:rsidR="00935ACE" w:rsidRPr="008E61C2" w:rsidRDefault="008E61C2">
            <w:pPr>
              <w:widowControl w:val="0"/>
              <w:autoSpaceDE w:val="0"/>
              <w:autoSpaceDN w:val="0"/>
              <w:adjustRightInd w:val="0"/>
              <w:spacing w:before="40" w:after="40"/>
              <w:jc w:val="both"/>
              <w:rPr>
                <w:rFonts w:eastAsia="Times New Roman" w:cs="Arial"/>
                <w:color w:val="000000" w:themeColor="text1"/>
                <w:lang w:val="es-ES"/>
              </w:rPr>
            </w:pPr>
            <w:r w:rsidRPr="008E61C2">
              <w:rPr>
                <w:rFonts w:eastAsia="Times New Roman" w:cs="Arial"/>
                <w:color w:val="000000" w:themeColor="text1"/>
                <w:lang w:val="es-ES"/>
              </w:rPr>
              <w:t>Nuevo texto que abarca todas las amenazas principales, basado en pruebas más recientes.</w:t>
            </w:r>
          </w:p>
        </w:tc>
        <w:tc>
          <w:tcPr>
            <w:tcW w:w="5485" w:type="dxa"/>
          </w:tcPr>
          <w:p w14:paraId="57CD9AD4" w14:textId="567825BD" w:rsidR="00935ACE" w:rsidRPr="00333C5D" w:rsidRDefault="00333C5D">
            <w:pPr>
              <w:widowControl w:val="0"/>
              <w:autoSpaceDE w:val="0"/>
              <w:autoSpaceDN w:val="0"/>
              <w:adjustRightInd w:val="0"/>
              <w:spacing w:before="40" w:after="40"/>
              <w:jc w:val="both"/>
              <w:rPr>
                <w:rFonts w:eastAsia="Times New Roman" w:cs="Arial"/>
                <w:color w:val="000000" w:themeColor="text1"/>
                <w:highlight w:val="yellow"/>
                <w:lang w:val="es-ES"/>
              </w:rPr>
            </w:pPr>
            <w:r w:rsidRPr="00333C5D">
              <w:rPr>
                <w:rFonts w:eastAsia="Times New Roman" w:cs="Arial"/>
                <w:i/>
                <w:iCs/>
                <w:color w:val="000000" w:themeColor="text1"/>
                <w:lang w:val="es-ES"/>
              </w:rPr>
              <w:t>Profundamente preocupado</w:t>
            </w:r>
            <w:r w:rsidRPr="00333C5D">
              <w:rPr>
                <w:rFonts w:eastAsia="Times New Roman" w:cs="Arial"/>
                <w:color w:val="000000" w:themeColor="text1"/>
                <w:lang w:val="es-ES"/>
              </w:rPr>
              <w:t xml:space="preserve"> por el hecho de que la mayoría de los mamíferos de la región incluidos en la CMS siguen amenazados por la caza ilegal y por las barreras a la migración, y que los hábitats de los que dependen se están degradando a un ritmo sin precedentes,</w:t>
            </w:r>
          </w:p>
        </w:tc>
      </w:tr>
      <w:tr w:rsidR="00935ACE" w:rsidRPr="004070C5" w14:paraId="090BB28F" w14:textId="77777777" w:rsidTr="00F716F1">
        <w:trPr>
          <w:cantSplit/>
        </w:trPr>
        <w:tc>
          <w:tcPr>
            <w:tcW w:w="5949" w:type="dxa"/>
          </w:tcPr>
          <w:p w14:paraId="3AC055B0" w14:textId="13D5728F" w:rsidR="00935ACE" w:rsidRPr="00900197" w:rsidRDefault="00900197">
            <w:pPr>
              <w:spacing w:before="40" w:after="40"/>
              <w:jc w:val="both"/>
              <w:rPr>
                <w:rFonts w:eastAsia="Times New Roman" w:cs="Arial"/>
                <w:color w:val="000000" w:themeColor="text1"/>
                <w:lang w:val="es-ES"/>
              </w:rPr>
            </w:pPr>
            <w:r w:rsidRPr="00900197">
              <w:rPr>
                <w:rFonts w:cs="Arial"/>
                <w:i/>
                <w:iCs/>
                <w:u w:val="single"/>
                <w:lang w:val="es-ES"/>
              </w:rPr>
              <w:t xml:space="preserve">Recalcando </w:t>
            </w:r>
            <w:r w:rsidRPr="00900197">
              <w:rPr>
                <w:rFonts w:cs="Arial"/>
                <w:u w:val="single"/>
                <w:lang w:val="es-ES"/>
              </w:rPr>
              <w:t>la necesidad de redoblar los esfuerzos para introducir y garantizar la aplicación de medidas de mitigación en las fases de planificación y ejecución de los proyectos de desarrollo industrial, energético y de infraestructuras lineales, y de garantizar que se apliquen medidas eficaces contra la caza furtiva y se gestionen de forma sostenible los pastizales</w:t>
            </w:r>
            <w:r w:rsidR="00935ACE" w:rsidRPr="00900197">
              <w:rPr>
                <w:rFonts w:cs="Arial"/>
                <w:u w:val="single"/>
                <w:lang w:val="es-ES"/>
              </w:rPr>
              <w:t>,</w:t>
            </w:r>
          </w:p>
        </w:tc>
        <w:tc>
          <w:tcPr>
            <w:tcW w:w="3118" w:type="dxa"/>
          </w:tcPr>
          <w:p w14:paraId="7FA41BE6" w14:textId="0E68D08A" w:rsidR="00935ACE" w:rsidRPr="008E61C2" w:rsidRDefault="008E61C2">
            <w:pPr>
              <w:widowControl w:val="0"/>
              <w:autoSpaceDE w:val="0"/>
              <w:autoSpaceDN w:val="0"/>
              <w:adjustRightInd w:val="0"/>
              <w:spacing w:before="40" w:after="40"/>
              <w:jc w:val="both"/>
              <w:rPr>
                <w:rFonts w:eastAsia="Times New Roman" w:cs="Arial"/>
                <w:color w:val="000000" w:themeColor="text1"/>
                <w:lang w:val="es-ES"/>
              </w:rPr>
            </w:pPr>
            <w:r w:rsidRPr="008E61C2">
              <w:rPr>
                <w:rFonts w:eastAsia="Times New Roman" w:cs="Arial"/>
                <w:color w:val="000000" w:themeColor="text1"/>
                <w:lang w:val="es-ES"/>
              </w:rPr>
              <w:t>Nuevo texto para resaltar la necesidad de soluciones.</w:t>
            </w:r>
          </w:p>
        </w:tc>
        <w:tc>
          <w:tcPr>
            <w:tcW w:w="5485" w:type="dxa"/>
          </w:tcPr>
          <w:p w14:paraId="55CF3406" w14:textId="47D0D74C" w:rsidR="00935ACE" w:rsidRPr="00900197" w:rsidRDefault="00900197">
            <w:pPr>
              <w:spacing w:before="40" w:after="40"/>
              <w:jc w:val="both"/>
              <w:rPr>
                <w:highlight w:val="yellow"/>
                <w:lang w:val="es-ES"/>
              </w:rPr>
            </w:pPr>
            <w:r w:rsidRPr="00900197">
              <w:rPr>
                <w:rFonts w:eastAsia="Arial" w:cs="Arial"/>
                <w:i/>
                <w:iCs/>
                <w:color w:val="000000" w:themeColor="text1"/>
                <w:lang w:val="es-ES"/>
              </w:rPr>
              <w:t xml:space="preserve">Recalcando </w:t>
            </w:r>
            <w:r w:rsidRPr="00900197">
              <w:rPr>
                <w:rFonts w:eastAsia="Arial" w:cs="Arial"/>
                <w:color w:val="000000" w:themeColor="text1"/>
                <w:lang w:val="es-ES"/>
              </w:rPr>
              <w:t>la necesidad de redoblar los esfuerzos para introducir y garantizar la aplicación de medidas de mitigación en las fases de planificación y ejecución de los proyectos de desarrollo industrial, energético y de infraestructuras lineales, y de garantizar que se apliquen medidas eficaces contra la caza furtiva y se gestionen de forma sostenible los pastizales,</w:t>
            </w:r>
          </w:p>
        </w:tc>
      </w:tr>
      <w:tr w:rsidR="00935ACE" w:rsidRPr="004070C5" w14:paraId="677B2D7B" w14:textId="77777777" w:rsidTr="00F716F1">
        <w:trPr>
          <w:cantSplit/>
        </w:trPr>
        <w:tc>
          <w:tcPr>
            <w:tcW w:w="5949" w:type="dxa"/>
          </w:tcPr>
          <w:p w14:paraId="20CDCC67" w14:textId="58BF688E" w:rsidR="00935ACE" w:rsidRPr="002F3C98" w:rsidRDefault="002F3C98">
            <w:pPr>
              <w:spacing w:before="40" w:after="40"/>
              <w:jc w:val="both"/>
              <w:rPr>
                <w:rFonts w:cs="Arial"/>
                <w:u w:val="single"/>
                <w:lang w:val="es-ES"/>
              </w:rPr>
            </w:pPr>
            <w:r w:rsidRPr="002F3C98">
              <w:rPr>
                <w:rFonts w:cs="Arial"/>
                <w:i/>
                <w:iCs/>
                <w:u w:val="single"/>
                <w:lang w:val="es-ES"/>
              </w:rPr>
              <w:lastRenderedPageBreak/>
              <w:t xml:space="preserve">Teniendo en cuenta que </w:t>
            </w:r>
            <w:r w:rsidRPr="002F3C98">
              <w:rPr>
                <w:rFonts w:cs="Arial"/>
                <w:u w:val="single"/>
                <w:lang w:val="es-ES"/>
              </w:rPr>
              <w:t>el éxito duradero de la conservación depende del fomento de la coexistencia pacífica entre los seres humanos y la fauna silvestre mediante la prevención y la mitigación de los conflictos entre ambos,</w:t>
            </w:r>
          </w:p>
          <w:p w14:paraId="12274497" w14:textId="77777777" w:rsidR="00935ACE" w:rsidRPr="002F3C98" w:rsidRDefault="00935ACE">
            <w:pPr>
              <w:widowControl w:val="0"/>
              <w:autoSpaceDE w:val="0"/>
              <w:autoSpaceDN w:val="0"/>
              <w:adjustRightInd w:val="0"/>
              <w:spacing w:before="40" w:after="40"/>
              <w:jc w:val="both"/>
              <w:rPr>
                <w:rFonts w:eastAsia="Times New Roman" w:cs="Arial"/>
                <w:iCs/>
                <w:color w:val="000000" w:themeColor="text1"/>
                <w:lang w:val="es-ES"/>
              </w:rPr>
            </w:pPr>
          </w:p>
        </w:tc>
        <w:tc>
          <w:tcPr>
            <w:tcW w:w="3118" w:type="dxa"/>
          </w:tcPr>
          <w:p w14:paraId="077F1F0A" w14:textId="5DF015E2" w:rsidR="00935ACE" w:rsidRPr="005F76C2" w:rsidRDefault="005F76C2">
            <w:pPr>
              <w:widowControl w:val="0"/>
              <w:autoSpaceDE w:val="0"/>
              <w:autoSpaceDN w:val="0"/>
              <w:adjustRightInd w:val="0"/>
              <w:spacing w:before="40" w:after="40"/>
              <w:jc w:val="both"/>
              <w:rPr>
                <w:rFonts w:eastAsia="Times New Roman" w:cs="Arial"/>
                <w:color w:val="000000" w:themeColor="text1"/>
                <w:lang w:val="es-ES"/>
              </w:rPr>
            </w:pPr>
            <w:r w:rsidRPr="005F76C2">
              <w:rPr>
                <w:rFonts w:eastAsia="Times New Roman" w:cs="Arial"/>
                <w:color w:val="000000" w:themeColor="text1"/>
                <w:lang w:val="es-ES"/>
              </w:rPr>
              <w:t xml:space="preserve">Nuevo texto, en el que se introduce el concepto de conflicto entre seres humanos y fauna silvestre para reflejar la información actualizada sobre los conflictos relacionados con las especies carnívoras, el saiga y el ciervo </w:t>
            </w:r>
            <w:r w:rsidR="008875F1">
              <w:rPr>
                <w:rFonts w:eastAsia="Times New Roman" w:cs="Arial"/>
                <w:color w:val="000000" w:themeColor="text1"/>
                <w:lang w:val="es-ES"/>
              </w:rPr>
              <w:t>Bactracio</w:t>
            </w:r>
            <w:r w:rsidRPr="005F76C2">
              <w:rPr>
                <w:rFonts w:eastAsia="Times New Roman" w:cs="Arial"/>
                <w:color w:val="000000" w:themeColor="text1"/>
                <w:lang w:val="es-ES"/>
              </w:rPr>
              <w:t>.</w:t>
            </w:r>
          </w:p>
        </w:tc>
        <w:tc>
          <w:tcPr>
            <w:tcW w:w="5485" w:type="dxa"/>
          </w:tcPr>
          <w:p w14:paraId="32D66F5E" w14:textId="44368305" w:rsidR="00935ACE" w:rsidRPr="002F3C98" w:rsidRDefault="002F3C98">
            <w:pPr>
              <w:spacing w:before="40" w:after="40"/>
              <w:jc w:val="both"/>
              <w:rPr>
                <w:rFonts w:eastAsia="Times New Roman" w:cs="Arial"/>
                <w:color w:val="000000" w:themeColor="text1"/>
                <w:highlight w:val="yellow"/>
                <w:lang w:val="es-ES"/>
              </w:rPr>
            </w:pPr>
            <w:r w:rsidRPr="002F3C98">
              <w:rPr>
                <w:rFonts w:eastAsia="Arial" w:cs="Arial"/>
                <w:i/>
                <w:iCs/>
                <w:color w:val="000000" w:themeColor="text1"/>
                <w:lang w:val="es-ES"/>
              </w:rPr>
              <w:t>Teniendo en cuenta que</w:t>
            </w:r>
            <w:r w:rsidRPr="002F3C98">
              <w:rPr>
                <w:rFonts w:eastAsia="Arial" w:cs="Arial"/>
                <w:color w:val="000000" w:themeColor="text1"/>
                <w:lang w:val="es-ES"/>
              </w:rPr>
              <w:t xml:space="preserve"> el éxito duradero de la conservación depende del fomento de la coexistencia pacífica entre los seres humanos y la fauna silvestre mediante la prevención y la mitigación de los conflictos entre ambos,</w:t>
            </w:r>
          </w:p>
        </w:tc>
      </w:tr>
      <w:tr w:rsidR="00935ACE" w:rsidRPr="004070C5" w14:paraId="5BBE1716" w14:textId="77777777" w:rsidTr="00F716F1">
        <w:trPr>
          <w:cantSplit/>
        </w:trPr>
        <w:tc>
          <w:tcPr>
            <w:tcW w:w="5949" w:type="dxa"/>
          </w:tcPr>
          <w:p w14:paraId="7B8CBAB2" w14:textId="47A60C77" w:rsidR="00935ACE" w:rsidRPr="00A7587F" w:rsidRDefault="00A7587F">
            <w:pPr>
              <w:spacing w:before="40" w:after="40"/>
              <w:jc w:val="both"/>
              <w:rPr>
                <w:rFonts w:cs="Arial"/>
                <w:highlight w:val="yellow"/>
                <w:lang w:val="es-ES"/>
              </w:rPr>
            </w:pPr>
            <w:r w:rsidRPr="002A134C">
              <w:rPr>
                <w:rFonts w:cs="Arial"/>
                <w:i/>
                <w:iCs/>
                <w:lang w:val="es-ES"/>
              </w:rPr>
              <w:t xml:space="preserve">Conscientes </w:t>
            </w:r>
            <w:r w:rsidRPr="002A134C">
              <w:rPr>
                <w:rFonts w:cs="Arial"/>
                <w:lang w:val="es-ES"/>
              </w:rPr>
              <w:t>de que los movimientos de gran alcance de muchas especies aumentan la necesidad de mantener una permeabilidad de los grandes paisajes</w:t>
            </w:r>
            <w:r>
              <w:rPr>
                <w:rFonts w:cs="Arial"/>
                <w:lang w:val="es-ES"/>
              </w:rPr>
              <w:t>,</w:t>
            </w:r>
          </w:p>
        </w:tc>
        <w:tc>
          <w:tcPr>
            <w:tcW w:w="3118" w:type="dxa"/>
          </w:tcPr>
          <w:p w14:paraId="60E337E5" w14:textId="57C68174" w:rsidR="00935ACE" w:rsidRPr="00A7587F" w:rsidRDefault="00385028">
            <w:pPr>
              <w:widowControl w:val="0"/>
              <w:autoSpaceDE w:val="0"/>
              <w:autoSpaceDN w:val="0"/>
              <w:adjustRightInd w:val="0"/>
              <w:spacing w:before="40" w:after="40"/>
              <w:jc w:val="both"/>
              <w:rPr>
                <w:rFonts w:eastAsia="Times New Roman" w:cs="Arial"/>
                <w:color w:val="000000" w:themeColor="text1"/>
                <w:highlight w:val="yellow"/>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07E44880" w14:textId="5DBAF426" w:rsidR="00935ACE" w:rsidRPr="00A7587F" w:rsidRDefault="00A7587F">
            <w:pPr>
              <w:spacing w:before="40" w:after="40"/>
              <w:jc w:val="both"/>
              <w:rPr>
                <w:rFonts w:cs="Arial"/>
                <w:highlight w:val="yellow"/>
                <w:lang w:val="es-ES"/>
              </w:rPr>
            </w:pPr>
            <w:r w:rsidRPr="002A134C">
              <w:rPr>
                <w:rFonts w:cs="Arial"/>
                <w:i/>
                <w:iCs/>
                <w:lang w:val="es-ES"/>
              </w:rPr>
              <w:t xml:space="preserve">Conscientes </w:t>
            </w:r>
            <w:r w:rsidRPr="002A134C">
              <w:rPr>
                <w:rFonts w:cs="Arial"/>
                <w:lang w:val="es-ES"/>
              </w:rPr>
              <w:t>de que los movimientos de gran alcance de muchas especies aumentan la necesidad de mantener una permeabilidad de los grandes paisajes</w:t>
            </w:r>
            <w:r>
              <w:rPr>
                <w:rFonts w:cs="Arial"/>
                <w:lang w:val="es-ES"/>
              </w:rPr>
              <w:t>,</w:t>
            </w:r>
          </w:p>
        </w:tc>
      </w:tr>
      <w:tr w:rsidR="00935ACE" w:rsidRPr="004070C5" w14:paraId="30B14360" w14:textId="77777777" w:rsidTr="00F716F1">
        <w:trPr>
          <w:cantSplit/>
        </w:trPr>
        <w:tc>
          <w:tcPr>
            <w:tcW w:w="5949" w:type="dxa"/>
          </w:tcPr>
          <w:p w14:paraId="268896DD" w14:textId="2E84BF09" w:rsidR="00935ACE" w:rsidRPr="00273E04" w:rsidRDefault="0074569F">
            <w:pPr>
              <w:spacing w:before="40" w:after="40"/>
              <w:jc w:val="both"/>
              <w:rPr>
                <w:rFonts w:eastAsia="Times New Roman" w:cs="Arial"/>
                <w:color w:val="000000" w:themeColor="text1"/>
                <w:highlight w:val="yellow"/>
                <w:lang w:val="es-ES"/>
              </w:rPr>
            </w:pPr>
            <w:r>
              <w:rPr>
                <w:rFonts w:cs="Arial"/>
                <w:i/>
                <w:iCs/>
                <w:u w:val="single"/>
                <w:lang w:val="es-ES"/>
              </w:rPr>
              <w:t xml:space="preserve">Reconociendo </w:t>
            </w:r>
            <w:r w:rsidR="00273E04" w:rsidRPr="00273E04">
              <w:rPr>
                <w:rFonts w:cs="Arial"/>
                <w:i/>
                <w:iCs/>
                <w:strike/>
                <w:lang w:val="es-ES"/>
              </w:rPr>
              <w:t>Consciente</w:t>
            </w:r>
            <w:r w:rsidR="00273E04" w:rsidRPr="0074569F">
              <w:rPr>
                <w:rFonts w:cs="Arial"/>
                <w:i/>
                <w:iCs/>
                <w:strike/>
                <w:lang w:val="es-ES"/>
              </w:rPr>
              <w:t xml:space="preserve">s </w:t>
            </w:r>
            <w:r w:rsidR="00273E04" w:rsidRPr="0074569F">
              <w:rPr>
                <w:rFonts w:cs="Arial"/>
                <w:iCs/>
                <w:strike/>
                <w:lang w:val="es-ES"/>
              </w:rPr>
              <w:t>de</w:t>
            </w:r>
            <w:r w:rsidR="00273E04" w:rsidRPr="002A134C">
              <w:rPr>
                <w:rFonts w:cs="Arial"/>
                <w:iCs/>
                <w:lang w:val="es-ES"/>
              </w:rPr>
              <w:t xml:space="preserve"> que las especies migratorias y sus hábitats proporcionan servicios ecosistémicos esenciales, así como el valor del patrimonio cultural y beneficios económicos, por ejemplo</w:t>
            </w:r>
            <w:r w:rsidR="00273E04">
              <w:rPr>
                <w:rFonts w:cs="Arial"/>
                <w:iCs/>
                <w:lang w:val="es-ES"/>
              </w:rPr>
              <w:t>.</w:t>
            </w:r>
            <w:r w:rsidR="00273E04" w:rsidRPr="002A134C">
              <w:rPr>
                <w:rFonts w:cs="Arial"/>
                <w:iCs/>
                <w:lang w:val="es-ES"/>
              </w:rPr>
              <w:t xml:space="preserve"> mediante el uso sostenible y el turismo, y que muchas comunidades humanas, directa e indirectamente dependen de la disponibilidad de </w:t>
            </w:r>
            <w:r w:rsidR="00273E04" w:rsidRPr="00F84436">
              <w:rPr>
                <w:rFonts w:cs="Arial"/>
                <w:iCs/>
                <w:strike/>
                <w:lang w:val="es-ES"/>
              </w:rPr>
              <w:t>grandes</w:t>
            </w:r>
            <w:r w:rsidR="00273E04" w:rsidRPr="002A134C">
              <w:rPr>
                <w:rFonts w:cs="Arial"/>
                <w:iCs/>
                <w:lang w:val="es-ES"/>
              </w:rPr>
              <w:t xml:space="preserve"> especies de mamíferos y de ecosistemas intactos para sus medios de vida</w:t>
            </w:r>
            <w:r w:rsidR="00273E04">
              <w:rPr>
                <w:rFonts w:cs="Arial"/>
                <w:iCs/>
                <w:lang w:val="es-ES"/>
              </w:rPr>
              <w:t>,</w:t>
            </w:r>
          </w:p>
        </w:tc>
        <w:tc>
          <w:tcPr>
            <w:tcW w:w="3118" w:type="dxa"/>
          </w:tcPr>
          <w:p w14:paraId="61105707" w14:textId="7CBF31A1" w:rsidR="00935ACE" w:rsidRPr="00041E02" w:rsidRDefault="00041E02">
            <w:pPr>
              <w:widowControl w:val="0"/>
              <w:autoSpaceDE w:val="0"/>
              <w:autoSpaceDN w:val="0"/>
              <w:adjustRightInd w:val="0"/>
              <w:spacing w:before="40" w:after="40"/>
              <w:jc w:val="both"/>
              <w:rPr>
                <w:rFonts w:eastAsia="Times New Roman" w:cs="Arial"/>
                <w:color w:val="000000" w:themeColor="text1"/>
                <w:highlight w:val="yellow"/>
                <w:lang w:val="es-ES"/>
              </w:rPr>
            </w:pPr>
            <w:r w:rsidRPr="00041E02">
              <w:rPr>
                <w:rFonts w:eastAsia="Times New Roman" w:cs="Arial"/>
                <w:color w:val="000000" w:themeColor="text1"/>
                <w:lang w:val="es-ES"/>
              </w:rPr>
              <w:t>Sustitución de la palabra «consciente» para evitar repeticiones y eliminación de la palabra «grande» para reflejar la inclusión del gato de Palas en CAMI.</w:t>
            </w:r>
          </w:p>
        </w:tc>
        <w:tc>
          <w:tcPr>
            <w:tcW w:w="5485" w:type="dxa"/>
          </w:tcPr>
          <w:p w14:paraId="4AE790F7" w14:textId="1F9A5F49" w:rsidR="00935ACE" w:rsidRPr="000526A8" w:rsidRDefault="000526A8">
            <w:pPr>
              <w:spacing w:before="40" w:after="40"/>
              <w:jc w:val="both"/>
              <w:rPr>
                <w:highlight w:val="yellow"/>
                <w:lang w:val="es-ES"/>
              </w:rPr>
            </w:pPr>
            <w:r w:rsidRPr="000526A8">
              <w:rPr>
                <w:rFonts w:cs="Arial"/>
                <w:i/>
                <w:iCs/>
                <w:lang w:val="es-ES"/>
              </w:rPr>
              <w:t xml:space="preserve">Reconociendo </w:t>
            </w:r>
            <w:r w:rsidRPr="002A134C">
              <w:rPr>
                <w:rFonts w:cs="Arial"/>
                <w:iCs/>
                <w:lang w:val="es-ES"/>
              </w:rPr>
              <w:t>que las especies migratorias y sus hábitats proporcionan servicios ecosistémicos esenciales, así como el valor del patrimonio cultural y beneficios económicos, por ejemplo</w:t>
            </w:r>
            <w:r>
              <w:rPr>
                <w:rFonts w:cs="Arial"/>
                <w:iCs/>
                <w:lang w:val="es-ES"/>
              </w:rPr>
              <w:t>.</w:t>
            </w:r>
            <w:r w:rsidRPr="002A134C">
              <w:rPr>
                <w:rFonts w:cs="Arial"/>
                <w:iCs/>
                <w:lang w:val="es-ES"/>
              </w:rPr>
              <w:t xml:space="preserve"> mediante el uso sostenible y el turismo, y que muchas comunidades humanas, directa e indirectamente dependen de la disponibilidad de especies de mamíferos y de ecosistemas intactos para sus medios de vida</w:t>
            </w:r>
            <w:r>
              <w:rPr>
                <w:rFonts w:cs="Arial"/>
                <w:iCs/>
                <w:lang w:val="es-ES"/>
              </w:rPr>
              <w:t>,</w:t>
            </w:r>
          </w:p>
        </w:tc>
      </w:tr>
      <w:tr w:rsidR="00935ACE" w:rsidRPr="004070C5" w14:paraId="5E651145" w14:textId="77777777" w:rsidTr="00F716F1">
        <w:trPr>
          <w:cantSplit/>
        </w:trPr>
        <w:tc>
          <w:tcPr>
            <w:tcW w:w="5949" w:type="dxa"/>
          </w:tcPr>
          <w:p w14:paraId="1B728614" w14:textId="03A2B7C0" w:rsidR="00935ACE" w:rsidRPr="00B43867" w:rsidRDefault="003871D8">
            <w:pPr>
              <w:spacing w:before="40" w:after="40"/>
              <w:jc w:val="both"/>
              <w:rPr>
                <w:rFonts w:eastAsia="Times New Roman" w:cs="Arial"/>
                <w:iCs/>
                <w:color w:val="000000" w:themeColor="text1"/>
                <w:highlight w:val="yellow"/>
                <w:lang w:val="es-ES"/>
              </w:rPr>
            </w:pPr>
            <w:r>
              <w:rPr>
                <w:rFonts w:cs="Arial"/>
                <w:i/>
                <w:iCs/>
                <w:u w:val="single"/>
                <w:lang w:val="es-ES"/>
              </w:rPr>
              <w:t xml:space="preserve">Destacando </w:t>
            </w:r>
            <w:r w:rsidR="00B43867" w:rsidRPr="003871D8">
              <w:rPr>
                <w:rFonts w:cs="Arial"/>
                <w:i/>
                <w:iCs/>
                <w:strike/>
                <w:lang w:val="es-ES"/>
              </w:rPr>
              <w:t>Reconociendo</w:t>
            </w:r>
            <w:r w:rsidR="00B43867" w:rsidRPr="003871D8">
              <w:rPr>
                <w:rFonts w:cs="Arial"/>
                <w:iCs/>
                <w:strike/>
                <w:lang w:val="es-ES"/>
              </w:rPr>
              <w:t xml:space="preserve"> </w:t>
            </w:r>
            <w:r w:rsidR="00B43867" w:rsidRPr="002A134C">
              <w:rPr>
                <w:rFonts w:cs="Arial"/>
                <w:lang w:val="es-ES"/>
              </w:rPr>
              <w:t>la excepcional importancia de los ecosistemas</w:t>
            </w:r>
            <w:r w:rsidR="00B43867" w:rsidRPr="002A134C">
              <w:rPr>
                <w:rFonts w:cs="Arial"/>
                <w:i/>
                <w:iCs/>
                <w:lang w:val="es-ES"/>
              </w:rPr>
              <w:t xml:space="preserve"> </w:t>
            </w:r>
            <w:r w:rsidR="00B43867" w:rsidRPr="002A134C">
              <w:rPr>
                <w:rFonts w:cs="Arial"/>
                <w:lang w:val="es-ES"/>
              </w:rPr>
              <w:t>de Eurasia para las especies migratorias y el papel crucial que juega la CMS en su conservación</w:t>
            </w:r>
            <w:r w:rsidR="00B43867">
              <w:rPr>
                <w:rFonts w:cs="Arial"/>
                <w:lang w:val="es-ES"/>
              </w:rPr>
              <w:t>,</w:t>
            </w:r>
          </w:p>
        </w:tc>
        <w:tc>
          <w:tcPr>
            <w:tcW w:w="3118" w:type="dxa"/>
          </w:tcPr>
          <w:p w14:paraId="138E7CB1" w14:textId="2AA78D54" w:rsidR="00935ACE" w:rsidRPr="003342E7" w:rsidRDefault="003342E7">
            <w:pPr>
              <w:widowControl w:val="0"/>
              <w:autoSpaceDE w:val="0"/>
              <w:autoSpaceDN w:val="0"/>
              <w:adjustRightInd w:val="0"/>
              <w:spacing w:before="40" w:after="40"/>
              <w:rPr>
                <w:rFonts w:eastAsia="Times New Roman" w:cs="Arial"/>
                <w:color w:val="000000" w:themeColor="text1"/>
                <w:highlight w:val="yellow"/>
                <w:lang w:val="es-ES"/>
              </w:rPr>
            </w:pPr>
            <w:r w:rsidRPr="003342E7">
              <w:rPr>
                <w:rFonts w:eastAsia="Times New Roman" w:cs="Arial"/>
                <w:color w:val="000000" w:themeColor="text1"/>
                <w:lang w:val="es-ES"/>
              </w:rPr>
              <w:t>Sustitución de la palabra «reconociendo» para evitar repeticiones.</w:t>
            </w:r>
          </w:p>
        </w:tc>
        <w:tc>
          <w:tcPr>
            <w:tcW w:w="5485" w:type="dxa"/>
          </w:tcPr>
          <w:p w14:paraId="5C525A75" w14:textId="0C4E7E99" w:rsidR="00935ACE" w:rsidRPr="003871D8" w:rsidRDefault="003871D8">
            <w:pPr>
              <w:spacing w:before="40" w:after="40"/>
              <w:jc w:val="both"/>
              <w:rPr>
                <w:highlight w:val="yellow"/>
                <w:lang w:val="es-ES"/>
              </w:rPr>
            </w:pPr>
            <w:r w:rsidRPr="003871D8">
              <w:rPr>
                <w:rFonts w:cs="Arial"/>
                <w:i/>
                <w:iCs/>
                <w:lang w:val="es-ES"/>
              </w:rPr>
              <w:t xml:space="preserve">Destacando </w:t>
            </w:r>
            <w:r w:rsidRPr="003871D8">
              <w:rPr>
                <w:rFonts w:cs="Arial"/>
                <w:lang w:val="es-ES"/>
              </w:rPr>
              <w:t>la</w:t>
            </w:r>
            <w:r w:rsidRPr="002A134C">
              <w:rPr>
                <w:rFonts w:cs="Arial"/>
                <w:lang w:val="es-ES"/>
              </w:rPr>
              <w:t xml:space="preserve"> excepcional importancia de los ecosistemas</w:t>
            </w:r>
            <w:r w:rsidRPr="002A134C">
              <w:rPr>
                <w:rFonts w:cs="Arial"/>
                <w:i/>
                <w:iCs/>
                <w:lang w:val="es-ES"/>
              </w:rPr>
              <w:t xml:space="preserve"> </w:t>
            </w:r>
            <w:r w:rsidRPr="002A134C">
              <w:rPr>
                <w:rFonts w:cs="Arial"/>
                <w:lang w:val="es-ES"/>
              </w:rPr>
              <w:t>de Eurasia para las especies migratorias y el papel crucial que juega la CMS en su conservación</w:t>
            </w:r>
            <w:r>
              <w:rPr>
                <w:rFonts w:cs="Arial"/>
                <w:lang w:val="es-ES"/>
              </w:rPr>
              <w:t>,</w:t>
            </w:r>
          </w:p>
        </w:tc>
      </w:tr>
      <w:tr w:rsidR="00935ACE" w:rsidRPr="004070C5" w14:paraId="4346D46A" w14:textId="77777777" w:rsidTr="00F716F1">
        <w:trPr>
          <w:cantSplit/>
        </w:trPr>
        <w:tc>
          <w:tcPr>
            <w:tcW w:w="5949" w:type="dxa"/>
          </w:tcPr>
          <w:p w14:paraId="66546AF1" w14:textId="12CB814A" w:rsidR="00935ACE" w:rsidRPr="0004402E" w:rsidRDefault="0004402E">
            <w:pPr>
              <w:spacing w:before="40" w:after="40"/>
              <w:jc w:val="both"/>
              <w:rPr>
                <w:rFonts w:eastAsia="Times New Roman" w:cs="Arial"/>
                <w:iCs/>
                <w:strike/>
                <w:color w:val="000000" w:themeColor="text1"/>
                <w:highlight w:val="yellow"/>
                <w:u w:val="single"/>
                <w:lang w:val="es-ES"/>
              </w:rPr>
            </w:pPr>
            <w:r w:rsidRPr="0004402E">
              <w:rPr>
                <w:rFonts w:cs="Arial"/>
                <w:i/>
                <w:strike/>
                <w:lang w:val="es-ES"/>
              </w:rPr>
              <w:t>Reconociendo asimismo</w:t>
            </w:r>
            <w:r w:rsidRPr="0004402E">
              <w:rPr>
                <w:rFonts w:cs="Arial"/>
                <w:strike/>
                <w:lang w:val="es-ES"/>
              </w:rPr>
              <w:t xml:space="preserve"> los múltiples mandatos de la CMS para trabajar en la región, incluidos los Memorandos de Entendimiento que cubren el antílope saiga y el ciervo de Bukhara,</w:t>
            </w:r>
          </w:p>
        </w:tc>
        <w:tc>
          <w:tcPr>
            <w:tcW w:w="3118" w:type="dxa"/>
          </w:tcPr>
          <w:p w14:paraId="4F978873" w14:textId="6718F0F1" w:rsidR="00935ACE" w:rsidRPr="003342E7" w:rsidRDefault="003342E7">
            <w:pPr>
              <w:widowControl w:val="0"/>
              <w:autoSpaceDE w:val="0"/>
              <w:autoSpaceDN w:val="0"/>
              <w:adjustRightInd w:val="0"/>
              <w:spacing w:before="40" w:after="40"/>
              <w:jc w:val="both"/>
              <w:rPr>
                <w:rFonts w:eastAsia="Times New Roman" w:cs="Arial"/>
                <w:color w:val="000000" w:themeColor="text1"/>
                <w:lang w:val="es-ES"/>
              </w:rPr>
            </w:pPr>
            <w:r w:rsidRPr="003342E7">
              <w:rPr>
                <w:rFonts w:eastAsia="Times New Roman" w:cs="Arial"/>
                <w:color w:val="000000" w:themeColor="text1"/>
                <w:lang w:val="es-ES"/>
              </w:rPr>
              <w:t>Obsoleto, ya que hay muchos más mandatos del CMS para trabajar en la región que ahora se mencionan en los párrafos operativos.</w:t>
            </w:r>
          </w:p>
        </w:tc>
        <w:tc>
          <w:tcPr>
            <w:tcW w:w="5485" w:type="dxa"/>
          </w:tcPr>
          <w:p w14:paraId="035A8902" w14:textId="77777777" w:rsidR="00935ACE" w:rsidRPr="003342E7" w:rsidRDefault="00935ACE">
            <w:pPr>
              <w:spacing w:before="40" w:after="40"/>
              <w:jc w:val="both"/>
              <w:rPr>
                <w:lang w:val="es-ES"/>
              </w:rPr>
            </w:pPr>
          </w:p>
        </w:tc>
      </w:tr>
      <w:tr w:rsidR="00935ACE" w:rsidRPr="004070C5" w14:paraId="687E0221" w14:textId="77777777" w:rsidTr="00F716F1">
        <w:trPr>
          <w:cantSplit/>
        </w:trPr>
        <w:tc>
          <w:tcPr>
            <w:tcW w:w="5949" w:type="dxa"/>
          </w:tcPr>
          <w:p w14:paraId="0F4FB350" w14:textId="4C272B98" w:rsidR="00935ACE" w:rsidRPr="007376E6" w:rsidRDefault="00FD4256">
            <w:pPr>
              <w:spacing w:before="40" w:after="40"/>
              <w:jc w:val="both"/>
              <w:rPr>
                <w:rFonts w:cs="Arial"/>
                <w:iCs/>
                <w:highlight w:val="yellow"/>
                <w:lang w:val="es-ES"/>
              </w:rPr>
            </w:pPr>
            <w:r w:rsidRPr="007376E6">
              <w:rPr>
                <w:rFonts w:cs="Arial"/>
                <w:i/>
                <w:iCs/>
                <w:lang w:val="es-ES"/>
              </w:rPr>
              <w:lastRenderedPageBreak/>
              <w:t xml:space="preserve">Tomando nota </w:t>
            </w:r>
            <w:r w:rsidRPr="007376E6">
              <w:rPr>
                <w:rFonts w:cs="Arial"/>
                <w:iCs/>
                <w:lang w:val="es-ES"/>
              </w:rPr>
              <w:t>de que la mayoría de las especies en Asia Central que figuran en los Apéndices de la CMS también están incluidos en los Apéndices de la Convención sobre el comercio internacional de especies amenazadas de fauna y flora silvestres (CITES), consecuentemente dándose la oportunidad de sinergias, como se prevé en el Memorando de Entendimiento y Programa de Trabajo Conjunto entre las Secretarías de las dos Convenciones,</w:t>
            </w:r>
          </w:p>
        </w:tc>
        <w:tc>
          <w:tcPr>
            <w:tcW w:w="3118" w:type="dxa"/>
          </w:tcPr>
          <w:p w14:paraId="7F9EBE81" w14:textId="5BE5C3CE" w:rsidR="00935ACE" w:rsidRPr="0035245D" w:rsidRDefault="0035245D">
            <w:pPr>
              <w:widowControl w:val="0"/>
              <w:autoSpaceDE w:val="0"/>
              <w:autoSpaceDN w:val="0"/>
              <w:adjustRightInd w:val="0"/>
              <w:spacing w:before="40" w:after="40"/>
              <w:rPr>
                <w:rFonts w:eastAsia="Times New Roman" w:cs="Arial"/>
                <w:color w:val="000000" w:themeColor="text1"/>
                <w:lang w:val="es-ES"/>
              </w:rPr>
            </w:pPr>
            <w:r w:rsidRPr="0035245D">
              <w:rPr>
                <w:rFonts w:eastAsia="Times New Roman" w:cs="Arial"/>
                <w:color w:val="000000" w:themeColor="text1"/>
                <w:lang w:val="es-ES"/>
              </w:rPr>
              <w:t>Sustitución de preposiciones de acuerdo con el estilo de redacción actualizado de CMS, sólo afecta la versión en inglés</w:t>
            </w:r>
            <w:r w:rsidR="00385028">
              <w:rPr>
                <w:rFonts w:eastAsia="Times New Roman" w:cs="Arial"/>
                <w:color w:val="000000" w:themeColor="text1"/>
                <w:lang w:val="es-ES"/>
              </w:rPr>
              <w:t>.</w:t>
            </w:r>
          </w:p>
        </w:tc>
        <w:tc>
          <w:tcPr>
            <w:tcW w:w="5485" w:type="dxa"/>
          </w:tcPr>
          <w:p w14:paraId="07FF4EC8" w14:textId="09F661AE" w:rsidR="00935ACE" w:rsidRPr="008D0847" w:rsidRDefault="008D0847">
            <w:pPr>
              <w:spacing w:before="40" w:after="40"/>
              <w:jc w:val="both"/>
              <w:rPr>
                <w:rFonts w:cs="Arial"/>
                <w:iCs/>
                <w:highlight w:val="yellow"/>
                <w:lang w:val="es-ES"/>
              </w:rPr>
            </w:pPr>
            <w:r w:rsidRPr="002A134C">
              <w:rPr>
                <w:rFonts w:cs="Arial"/>
                <w:i/>
                <w:iCs/>
                <w:lang w:val="es-ES"/>
              </w:rPr>
              <w:t xml:space="preserve">Tomando nota </w:t>
            </w:r>
            <w:r w:rsidRPr="002A134C">
              <w:rPr>
                <w:rFonts w:cs="Arial"/>
                <w:iCs/>
                <w:lang w:val="es-ES"/>
              </w:rPr>
              <w:t>de que la mayoría de las especies en Asia Central que figuran en los Apéndices de la CMS también están incluidos en los Apéndices de la Convención sobre el comercio internacional de especies amenazadas de fauna y flora silvestres (CITES), consecuentemente dándose la oportunidad de sinergias, como se prevé en el Memorando de Entendimiento y Programa de Trabajo Conjunto entre las Secretarías de las dos Convenciones</w:t>
            </w:r>
            <w:r>
              <w:rPr>
                <w:rFonts w:cs="Arial"/>
                <w:iCs/>
                <w:lang w:val="es-ES"/>
              </w:rPr>
              <w:t>,</w:t>
            </w:r>
          </w:p>
        </w:tc>
      </w:tr>
      <w:tr w:rsidR="00935ACE" w:rsidRPr="004070C5" w14:paraId="274FBA75" w14:textId="77777777" w:rsidTr="00F716F1">
        <w:trPr>
          <w:cantSplit/>
        </w:trPr>
        <w:tc>
          <w:tcPr>
            <w:tcW w:w="5949" w:type="dxa"/>
          </w:tcPr>
          <w:p w14:paraId="4524A406" w14:textId="2AC5282C" w:rsidR="00935ACE" w:rsidRPr="007037C0" w:rsidRDefault="007037C0">
            <w:pPr>
              <w:spacing w:before="40" w:after="40"/>
              <w:jc w:val="both"/>
              <w:rPr>
                <w:rFonts w:eastAsia="Times New Roman" w:cs="Arial"/>
                <w:color w:val="000000" w:themeColor="text1"/>
                <w:highlight w:val="yellow"/>
                <w:lang w:val="es-ES"/>
              </w:rPr>
            </w:pPr>
            <w:r w:rsidRPr="002A134C">
              <w:rPr>
                <w:rFonts w:cs="Arial"/>
                <w:i/>
                <w:lang w:val="es-ES"/>
              </w:rPr>
              <w:t>Observando</w:t>
            </w:r>
            <w:r w:rsidRPr="002A134C">
              <w:rPr>
                <w:rFonts w:cs="Arial"/>
                <w:lang w:val="es-ES"/>
              </w:rPr>
              <w:t xml:space="preserve"> </w:t>
            </w:r>
            <w:r w:rsidRPr="002A134C">
              <w:rPr>
                <w:rFonts w:cs="Arial"/>
                <w:i/>
                <w:lang w:val="es-ES"/>
              </w:rPr>
              <w:t>con satisfacción</w:t>
            </w:r>
            <w:r w:rsidRPr="002A134C">
              <w:rPr>
                <w:rFonts w:cs="Arial"/>
                <w:lang w:val="es-ES"/>
              </w:rPr>
              <w:t xml:space="preserve"> el progreso logrado desde la COP11 en la aplicación de la iniciativa dedicada a los mamíferos de Asia Central y su correspondiente programa de trabajo</w:t>
            </w:r>
            <w:r>
              <w:rPr>
                <w:rFonts w:cs="Arial"/>
                <w:lang w:val="es-ES"/>
              </w:rPr>
              <w:t>,</w:t>
            </w:r>
          </w:p>
        </w:tc>
        <w:tc>
          <w:tcPr>
            <w:tcW w:w="3118" w:type="dxa"/>
          </w:tcPr>
          <w:p w14:paraId="29B55392" w14:textId="75612138" w:rsidR="00935ACE" w:rsidRPr="007037C0" w:rsidRDefault="00385028">
            <w:pPr>
              <w:widowControl w:val="0"/>
              <w:autoSpaceDE w:val="0"/>
              <w:autoSpaceDN w:val="0"/>
              <w:adjustRightInd w:val="0"/>
              <w:spacing w:before="40" w:after="40"/>
              <w:rPr>
                <w:rFonts w:eastAsia="Times New Roman" w:cs="Arial"/>
                <w:color w:val="000000" w:themeColor="text1"/>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2C53D644" w14:textId="4E476387" w:rsidR="00935ACE" w:rsidRPr="007037C0" w:rsidRDefault="007037C0">
            <w:pPr>
              <w:spacing w:before="40" w:after="40"/>
              <w:jc w:val="both"/>
              <w:rPr>
                <w:rFonts w:eastAsia="Times New Roman" w:cs="Arial"/>
                <w:color w:val="000000" w:themeColor="text1"/>
                <w:highlight w:val="yellow"/>
                <w:lang w:val="es-ES"/>
              </w:rPr>
            </w:pPr>
            <w:r w:rsidRPr="002A134C">
              <w:rPr>
                <w:rFonts w:cs="Arial"/>
                <w:i/>
                <w:lang w:val="es-ES"/>
              </w:rPr>
              <w:t>Observando</w:t>
            </w:r>
            <w:r w:rsidRPr="002A134C">
              <w:rPr>
                <w:rFonts w:cs="Arial"/>
                <w:lang w:val="es-ES"/>
              </w:rPr>
              <w:t xml:space="preserve"> </w:t>
            </w:r>
            <w:r w:rsidRPr="002A134C">
              <w:rPr>
                <w:rFonts w:cs="Arial"/>
                <w:i/>
                <w:lang w:val="es-ES"/>
              </w:rPr>
              <w:t>con satisfacción</w:t>
            </w:r>
            <w:r w:rsidRPr="002A134C">
              <w:rPr>
                <w:rFonts w:cs="Arial"/>
                <w:lang w:val="es-ES"/>
              </w:rPr>
              <w:t xml:space="preserve"> el progreso logrado desde la COP11 en la aplicación de la iniciativa dedicada a los mamíferos de Asia Central y su correspondiente programa de trabajo</w:t>
            </w:r>
            <w:r>
              <w:rPr>
                <w:rFonts w:cs="Arial"/>
                <w:lang w:val="es-ES"/>
              </w:rPr>
              <w:t>,</w:t>
            </w:r>
          </w:p>
        </w:tc>
      </w:tr>
      <w:tr w:rsidR="00935ACE" w:rsidRPr="004070C5" w14:paraId="52E8CBCE" w14:textId="77777777" w:rsidTr="00F716F1">
        <w:trPr>
          <w:cantSplit/>
        </w:trPr>
        <w:tc>
          <w:tcPr>
            <w:tcW w:w="5949" w:type="dxa"/>
          </w:tcPr>
          <w:p w14:paraId="38B0E67B" w14:textId="5619F6EE" w:rsidR="00935ACE" w:rsidRPr="00281561" w:rsidRDefault="00281561">
            <w:pPr>
              <w:spacing w:before="40" w:after="40"/>
              <w:jc w:val="both"/>
              <w:rPr>
                <w:rFonts w:cs="Arial"/>
                <w:i/>
                <w:iCs/>
                <w:strike/>
                <w:spacing w:val="-4"/>
                <w:highlight w:val="yellow"/>
                <w:lang w:val="es-ES"/>
              </w:rPr>
            </w:pPr>
            <w:r w:rsidRPr="002A134C">
              <w:rPr>
                <w:rFonts w:cs="Arial"/>
                <w:i/>
                <w:lang w:val="es-ES"/>
              </w:rPr>
              <w:t xml:space="preserve">Recordando </w:t>
            </w:r>
            <w:r w:rsidRPr="002A134C">
              <w:rPr>
                <w:rFonts w:cs="Arial"/>
                <w:lang w:val="es-ES"/>
              </w:rPr>
              <w:t>las decisiones en el marco del proceso de Estructura Futura, incluyendo las actividades 8 y 15 en la Resolución 10.9 en las que se insta a las Partes a «identificar las oportunidades para la cooperación y la coordinación a nivel local y regional a través de la creación de sinergias basadas en la geografía», y «a buscar oportunidades para desarrollar relaciones sinérgicas, ya sea basadas en la geografía o en la agrupación de especies», como ocurre con el desarrollo de un programa de conservación común</w:t>
            </w:r>
            <w:r>
              <w:rPr>
                <w:rFonts w:cs="Arial"/>
                <w:lang w:val="es-ES"/>
              </w:rPr>
              <w:t>,</w:t>
            </w:r>
          </w:p>
        </w:tc>
        <w:tc>
          <w:tcPr>
            <w:tcW w:w="3118" w:type="dxa"/>
          </w:tcPr>
          <w:p w14:paraId="7586DD90" w14:textId="2A4458A2" w:rsidR="00935ACE" w:rsidRPr="00281561" w:rsidRDefault="00385028">
            <w:pPr>
              <w:widowControl w:val="0"/>
              <w:autoSpaceDE w:val="0"/>
              <w:autoSpaceDN w:val="0"/>
              <w:adjustRightInd w:val="0"/>
              <w:spacing w:before="40" w:after="40"/>
              <w:rPr>
                <w:rFonts w:eastAsia="Times New Roman" w:cs="Arial"/>
                <w:color w:val="000000" w:themeColor="text1"/>
                <w:highlight w:val="yellow"/>
                <w:lang w:val="es-ES"/>
              </w:rPr>
            </w:pPr>
            <w:r>
              <w:rPr>
                <w:rFonts w:eastAsia="Times New Roman" w:cs="Arial"/>
                <w:color w:val="000000" w:themeColor="text1"/>
                <w:lang w:val="es-ES"/>
              </w:rPr>
              <w:t>M</w:t>
            </w:r>
            <w:r w:rsidRPr="00385028">
              <w:rPr>
                <w:rFonts w:eastAsia="Times New Roman" w:cs="Arial"/>
                <w:color w:val="000000" w:themeColor="text1"/>
                <w:lang w:val="es-ES"/>
              </w:rPr>
              <w:t>antener</w:t>
            </w:r>
          </w:p>
        </w:tc>
        <w:tc>
          <w:tcPr>
            <w:tcW w:w="5485" w:type="dxa"/>
          </w:tcPr>
          <w:p w14:paraId="51EED832" w14:textId="6370C997" w:rsidR="00935ACE" w:rsidRPr="00281561" w:rsidRDefault="00281561">
            <w:pPr>
              <w:spacing w:before="40" w:after="40"/>
              <w:jc w:val="both"/>
              <w:rPr>
                <w:rFonts w:eastAsia="Times New Roman" w:cs="Arial"/>
                <w:color w:val="000000" w:themeColor="text1"/>
                <w:lang w:val="es-ES"/>
              </w:rPr>
            </w:pPr>
            <w:r w:rsidRPr="002A134C">
              <w:rPr>
                <w:rFonts w:cs="Arial"/>
                <w:i/>
                <w:lang w:val="es-ES"/>
              </w:rPr>
              <w:t xml:space="preserve">Recordando </w:t>
            </w:r>
            <w:r w:rsidRPr="002A134C">
              <w:rPr>
                <w:rFonts w:cs="Arial"/>
                <w:lang w:val="es-ES"/>
              </w:rPr>
              <w:t>las decisiones en el marco del proceso de Estructura Futura, incluyendo las actividades 8 y 15 en la Resolución 10.9 en las que se insta a las Partes a «identificar las oportunidades para la cooperación y la coordinación a nivel local y regional a través de la creación de sinergias basadas en la geografía», y «a buscar oportunidades para desarrollar relaciones sinérgicas, ya sea basadas en la geografía o en la agrupación de especies», como ocurre con el desarrollo de un programa de conservación común</w:t>
            </w:r>
            <w:r>
              <w:rPr>
                <w:rFonts w:cs="Arial"/>
                <w:lang w:val="es-ES"/>
              </w:rPr>
              <w:t>,</w:t>
            </w:r>
          </w:p>
        </w:tc>
      </w:tr>
      <w:tr w:rsidR="00935ACE" w:rsidRPr="004070C5" w14:paraId="218769DA" w14:textId="77777777" w:rsidTr="00F716F1">
        <w:trPr>
          <w:cantSplit/>
        </w:trPr>
        <w:tc>
          <w:tcPr>
            <w:tcW w:w="5949" w:type="dxa"/>
          </w:tcPr>
          <w:p w14:paraId="47DF8F47" w14:textId="1621504B" w:rsidR="00935ACE" w:rsidRPr="002616DE" w:rsidRDefault="002616DE">
            <w:pPr>
              <w:spacing w:before="40" w:after="40"/>
              <w:jc w:val="both"/>
              <w:rPr>
                <w:rFonts w:cs="Arial"/>
                <w:highlight w:val="yellow"/>
                <w:lang w:val="es-ES" w:eastAsia="ru-RU"/>
              </w:rPr>
            </w:pPr>
            <w:r w:rsidRPr="002A134C">
              <w:rPr>
                <w:rFonts w:cs="Arial"/>
                <w:i/>
                <w:lang w:val="es-ES"/>
              </w:rPr>
              <w:lastRenderedPageBreak/>
              <w:t>Tomando en cuenta</w:t>
            </w:r>
            <w:r w:rsidRPr="002A134C">
              <w:rPr>
                <w:rFonts w:cs="Arial"/>
                <w:lang w:val="es-ES"/>
              </w:rPr>
              <w:t xml:space="preserve">  la Declaración de Bishkek sobre la Conservación de leopardos de las nieves y el Programa de Protección Global, integral y a largo plazo del Leopardo de las nieves y de los Ecosistemas, adoptado por los Estados del área de distribución en el Foro Global sobre el Leopardo de las nieves en Bishkek, Kirguistán, en octubre de 2013, el cual llama a los Estados de Distribución a declarar</w:t>
            </w:r>
            <w:r w:rsidRPr="002616DE">
              <w:rPr>
                <w:rFonts w:cs="Arial"/>
                <w:strike/>
                <w:lang w:val="es-ES"/>
              </w:rPr>
              <w:t xml:space="preserve"> el año 2015 como el Año Internacional del Leopardo de las Nieves y</w:t>
            </w:r>
            <w:r w:rsidRPr="002A134C">
              <w:rPr>
                <w:rFonts w:cs="Arial"/>
                <w:lang w:val="es-ES"/>
              </w:rPr>
              <w:t xml:space="preserve"> el 23 de octubre como el Día del Leopardo de las Nieves a ser celebrado anualmente</w:t>
            </w:r>
          </w:p>
        </w:tc>
        <w:tc>
          <w:tcPr>
            <w:tcW w:w="3118" w:type="dxa"/>
          </w:tcPr>
          <w:p w14:paraId="668870C8" w14:textId="04292713" w:rsidR="00935ACE" w:rsidRPr="00222408" w:rsidRDefault="00385028" w:rsidP="00385028">
            <w:pPr>
              <w:widowControl w:val="0"/>
              <w:autoSpaceDE w:val="0"/>
              <w:autoSpaceDN w:val="0"/>
              <w:adjustRightInd w:val="0"/>
              <w:spacing w:before="40" w:after="40"/>
              <w:rPr>
                <w:rFonts w:eastAsia="Times New Roman" w:cs="Arial"/>
                <w:color w:val="000000" w:themeColor="text1"/>
                <w:highlight w:val="yellow"/>
              </w:rPr>
            </w:pPr>
            <w:r w:rsidRPr="00385028">
              <w:rPr>
                <w:rFonts w:eastAsia="Times New Roman" w:cs="Arial"/>
                <w:color w:val="000000" w:themeColor="text1"/>
              </w:rPr>
              <w:t>Elimin</w:t>
            </w:r>
            <w:r w:rsidRPr="00385028">
              <w:rPr>
                <w:rFonts w:eastAsia="Times New Roman" w:cs="Arial"/>
                <w:color w:val="000000" w:themeColor="text1"/>
                <w:lang w:val="es-ES"/>
              </w:rPr>
              <w:t>ar</w:t>
            </w:r>
            <w:r w:rsidRPr="00385028">
              <w:rPr>
                <w:rFonts w:eastAsia="Times New Roman" w:cs="Arial"/>
                <w:color w:val="000000" w:themeColor="text1"/>
              </w:rPr>
              <w:t xml:space="preserve"> la información obsoleta. </w:t>
            </w:r>
          </w:p>
        </w:tc>
        <w:tc>
          <w:tcPr>
            <w:tcW w:w="5485" w:type="dxa"/>
          </w:tcPr>
          <w:p w14:paraId="1B5B8844" w14:textId="39CCA4DF" w:rsidR="00935ACE" w:rsidRPr="002616DE" w:rsidRDefault="002616DE">
            <w:pPr>
              <w:spacing w:before="40" w:after="40"/>
              <w:jc w:val="both"/>
              <w:rPr>
                <w:rFonts w:cs="Arial"/>
                <w:lang w:val="es-ES" w:eastAsia="ru-RU"/>
              </w:rPr>
            </w:pPr>
            <w:r w:rsidRPr="002A134C">
              <w:rPr>
                <w:rFonts w:cs="Arial"/>
                <w:i/>
                <w:lang w:val="es-ES"/>
              </w:rPr>
              <w:t>Tomando en cuenta</w:t>
            </w:r>
            <w:r w:rsidRPr="002A134C">
              <w:rPr>
                <w:rFonts w:cs="Arial"/>
                <w:lang w:val="es-ES"/>
              </w:rPr>
              <w:t xml:space="preserve"> la Declaración de Bishkek sobre la Conservación de leopardos de las nieves y el Programa de Protección Global, integral y a largo plazo del Leopardo de las nieves y de los Ecosistemas, adoptado por los Estados del área de distribución en el Foro Global sobre el Leopardo de las nieves en Bishkek, Kirguistán, en octubre de 2013, el cual llama a los Estados de Distribución a declarar el 23 de octubre como el Día del Leopardo de las Nieves a ser celebrado anualmente</w:t>
            </w:r>
            <w:r>
              <w:rPr>
                <w:rFonts w:cs="Arial"/>
                <w:lang w:val="es-ES"/>
              </w:rPr>
              <w:t>.</w:t>
            </w:r>
          </w:p>
        </w:tc>
      </w:tr>
      <w:tr w:rsidR="00935ACE" w:rsidRPr="004070C5" w14:paraId="5D8B1FB1" w14:textId="77777777" w:rsidTr="00F716F1">
        <w:trPr>
          <w:cantSplit/>
        </w:trPr>
        <w:tc>
          <w:tcPr>
            <w:tcW w:w="14552" w:type="dxa"/>
            <w:gridSpan w:val="3"/>
            <w:shd w:val="clear" w:color="auto" w:fill="D0CECE" w:themeFill="background2" w:themeFillShade="E6"/>
          </w:tcPr>
          <w:p w14:paraId="561DB0C3" w14:textId="77777777" w:rsidR="0005071F" w:rsidRPr="0005071F" w:rsidRDefault="0005071F" w:rsidP="0005071F">
            <w:pPr>
              <w:spacing w:before="40" w:after="40"/>
              <w:jc w:val="center"/>
              <w:rPr>
                <w:rFonts w:eastAsia="Arial" w:cs="Arial"/>
                <w:i/>
                <w:iCs/>
                <w:color w:val="000000" w:themeColor="text1"/>
                <w:lang w:val="es-ES"/>
              </w:rPr>
            </w:pPr>
            <w:r w:rsidRPr="0005071F">
              <w:rPr>
                <w:rFonts w:eastAsia="Arial" w:cs="Arial"/>
                <w:i/>
                <w:iCs/>
                <w:color w:val="000000" w:themeColor="text1"/>
                <w:lang w:val="es-ES"/>
              </w:rPr>
              <w:t>La Conferencia de las Partes en la</w:t>
            </w:r>
          </w:p>
          <w:p w14:paraId="62F49F2B" w14:textId="4C12FA23" w:rsidR="00935ACE" w:rsidRPr="0005071F" w:rsidRDefault="0005071F" w:rsidP="0005071F">
            <w:pPr>
              <w:spacing w:before="40" w:after="40"/>
              <w:jc w:val="center"/>
              <w:rPr>
                <w:rFonts w:eastAsia="Arial" w:cs="Arial"/>
                <w:i/>
                <w:iCs/>
                <w:color w:val="000000" w:themeColor="text1"/>
                <w:lang w:val="es-ES"/>
              </w:rPr>
            </w:pPr>
            <w:r w:rsidRPr="0005071F">
              <w:rPr>
                <w:rFonts w:eastAsia="Arial" w:cs="Arial"/>
                <w:i/>
                <w:iCs/>
                <w:color w:val="000000" w:themeColor="text1"/>
                <w:lang w:val="es-ES"/>
              </w:rPr>
              <w:t>Convención sobre la Conservación de las Especies Migratorias de Animales Silvestres</w:t>
            </w:r>
          </w:p>
        </w:tc>
      </w:tr>
      <w:tr w:rsidR="00935ACE" w:rsidRPr="004070C5" w14:paraId="7FEE15E6" w14:textId="77777777" w:rsidTr="00F716F1">
        <w:trPr>
          <w:cantSplit/>
        </w:trPr>
        <w:tc>
          <w:tcPr>
            <w:tcW w:w="5949" w:type="dxa"/>
          </w:tcPr>
          <w:p w14:paraId="3D4BB8CB" w14:textId="68411510" w:rsidR="00935ACE" w:rsidRPr="002E43D6" w:rsidRDefault="00935ACE">
            <w:pPr>
              <w:spacing w:before="40" w:after="40"/>
              <w:jc w:val="both"/>
              <w:rPr>
                <w:rFonts w:eastAsia="Arial" w:cs="Arial"/>
                <w:lang w:val="es-ES"/>
              </w:rPr>
            </w:pPr>
            <w:r w:rsidRPr="002E43D6">
              <w:rPr>
                <w:rFonts w:eastAsia="Arial" w:cs="Arial"/>
                <w:i/>
                <w:iCs/>
                <w:lang w:val="es-ES"/>
              </w:rPr>
              <w:t xml:space="preserve">0. </w:t>
            </w:r>
            <w:r w:rsidR="002E43D6" w:rsidRPr="002E43D6">
              <w:rPr>
                <w:rFonts w:cs="Arial"/>
                <w:i/>
                <w:u w:val="single"/>
                <w:lang w:val="es-ES"/>
              </w:rPr>
              <w:t xml:space="preserve">Apoya </w:t>
            </w:r>
            <w:r w:rsidR="002E43D6" w:rsidRPr="002E43D6">
              <w:rPr>
                <w:rFonts w:cs="Arial"/>
                <w:iCs/>
                <w:u w:val="single"/>
                <w:lang w:val="es-ES"/>
              </w:rPr>
              <w:t>la Iniciativa para los Mamíferos de Asia Central (CAMI) como un enfoque integrador que identifica las necesidades comunes de conservación de las especies de la CAMI basándose en sus características ecológicas y su distribución, así como las sinergias en los marcos legislativos y políticos para garantizar la conservación de los mamíferos de la región y sus hábitats mediante una mejor aplicación de la CMS</w:t>
            </w:r>
            <w:r w:rsidRPr="002E43D6">
              <w:rPr>
                <w:rFonts w:cs="Arial"/>
                <w:iCs/>
                <w:lang w:val="es-ES"/>
              </w:rPr>
              <w:t>,</w:t>
            </w:r>
          </w:p>
        </w:tc>
        <w:tc>
          <w:tcPr>
            <w:tcW w:w="3118" w:type="dxa"/>
          </w:tcPr>
          <w:p w14:paraId="1CFD2861" w14:textId="6ADDF27E" w:rsidR="00935ACE" w:rsidRPr="005613F6" w:rsidRDefault="005613F6">
            <w:pPr>
              <w:widowControl w:val="0"/>
              <w:autoSpaceDE w:val="0"/>
              <w:autoSpaceDN w:val="0"/>
              <w:adjustRightInd w:val="0"/>
              <w:spacing w:before="40" w:after="40"/>
              <w:rPr>
                <w:rFonts w:eastAsia="Times New Roman" w:cs="Arial"/>
                <w:color w:val="000000" w:themeColor="text1"/>
                <w:lang w:val="es-ES"/>
              </w:rPr>
            </w:pPr>
            <w:r w:rsidRPr="005613F6">
              <w:rPr>
                <w:rFonts w:eastAsia="Times New Roman" w:cs="Arial"/>
                <w:color w:val="000000" w:themeColor="text1"/>
                <w:lang w:val="es-ES"/>
              </w:rPr>
              <w:t>Nuevo párrafo para definir CAMI basándose en los mandatos actualizados.</w:t>
            </w:r>
            <w:r w:rsidR="00935ACE" w:rsidRPr="005613F6">
              <w:rPr>
                <w:rFonts w:eastAsia="Times New Roman" w:cs="Arial"/>
                <w:color w:val="000000" w:themeColor="text1"/>
                <w:lang w:val="es-ES"/>
              </w:rPr>
              <w:t xml:space="preserve"> </w:t>
            </w:r>
          </w:p>
        </w:tc>
        <w:tc>
          <w:tcPr>
            <w:tcW w:w="5485" w:type="dxa"/>
          </w:tcPr>
          <w:p w14:paraId="3702C28B" w14:textId="465C3010" w:rsidR="00935ACE" w:rsidRPr="002E43D6" w:rsidRDefault="002E43D6" w:rsidP="0027307C">
            <w:pPr>
              <w:pStyle w:val="ListParagraph"/>
              <w:numPr>
                <w:ilvl w:val="0"/>
                <w:numId w:val="11"/>
              </w:numPr>
              <w:spacing w:before="40" w:after="40"/>
              <w:ind w:left="360"/>
              <w:contextualSpacing w:val="0"/>
              <w:jc w:val="both"/>
              <w:rPr>
                <w:rFonts w:eastAsia="Arial" w:cs="Arial"/>
                <w:lang w:val="es-ES"/>
              </w:rPr>
            </w:pPr>
            <w:r w:rsidRPr="002E43D6">
              <w:rPr>
                <w:rFonts w:eastAsia="Arial" w:cs="Arial"/>
                <w:i/>
                <w:iCs/>
                <w:lang w:val="es-ES"/>
              </w:rPr>
              <w:t xml:space="preserve">Apoya </w:t>
            </w:r>
            <w:r w:rsidRPr="002E43D6">
              <w:rPr>
                <w:rFonts w:eastAsia="Arial" w:cs="Arial"/>
                <w:lang w:val="es-ES"/>
              </w:rPr>
              <w:t>la Iniciativa para los Mamíferos de Asia Central (CAMI) como un enfoque integrador que identifica las necesidades comunes de conservación de las especies de la CAMI basándose en sus características ecológicas y su distribución, así como las sinergias en los marcos legislativos y políticos para garantizar la conservación de los mamíferos de la región y sus hábitats mediante una mejor aplicación de la CMS</w:t>
            </w:r>
            <w:r>
              <w:rPr>
                <w:rFonts w:eastAsia="Arial" w:cs="Arial"/>
                <w:lang w:val="es-ES"/>
              </w:rPr>
              <w:t>,</w:t>
            </w:r>
          </w:p>
        </w:tc>
      </w:tr>
      <w:tr w:rsidR="00935ACE" w:rsidRPr="004070C5" w14:paraId="4B31C202" w14:textId="77777777" w:rsidTr="00F716F1">
        <w:trPr>
          <w:cantSplit/>
        </w:trPr>
        <w:tc>
          <w:tcPr>
            <w:tcW w:w="5949" w:type="dxa"/>
          </w:tcPr>
          <w:p w14:paraId="6BCB1CBA" w14:textId="05C00E44" w:rsidR="00935ACE" w:rsidRPr="0035282A" w:rsidRDefault="00935ACE">
            <w:pPr>
              <w:widowControl w:val="0"/>
              <w:autoSpaceDE w:val="0"/>
              <w:autoSpaceDN w:val="0"/>
              <w:adjustRightInd w:val="0"/>
              <w:spacing w:before="40" w:after="40"/>
              <w:jc w:val="both"/>
              <w:rPr>
                <w:rFonts w:eastAsia="Times New Roman" w:cs="Arial"/>
                <w:color w:val="000000" w:themeColor="text1"/>
                <w:u w:val="single"/>
                <w:lang w:val="es-ES"/>
              </w:rPr>
            </w:pPr>
            <w:r w:rsidRPr="00DC12D6">
              <w:rPr>
                <w:rFonts w:eastAsia="Times New Roman" w:cs="Arial"/>
                <w:color w:val="000000" w:themeColor="text1"/>
                <w:lang w:val="es-ES"/>
              </w:rPr>
              <w:lastRenderedPageBreak/>
              <w:t>1</w:t>
            </w:r>
            <w:r w:rsidR="00DC12D6" w:rsidRPr="002A134C">
              <w:rPr>
                <w:rFonts w:cs="Arial"/>
                <w:i/>
                <w:lang w:val="es-ES"/>
              </w:rPr>
              <w:t xml:space="preserve"> Adopta </w:t>
            </w:r>
            <w:r w:rsidR="008E07C9">
              <w:rPr>
                <w:rFonts w:cs="Arial"/>
                <w:i/>
                <w:u w:val="single"/>
                <w:lang w:val="es-ES"/>
              </w:rPr>
              <w:t xml:space="preserve">e insta </w:t>
            </w:r>
            <w:r w:rsidR="008E07C9" w:rsidRPr="00D83C47">
              <w:rPr>
                <w:rFonts w:cs="Arial"/>
                <w:iCs/>
                <w:u w:val="single"/>
                <w:lang w:val="es-ES"/>
              </w:rPr>
              <w:t>a los Estados del área de dist</w:t>
            </w:r>
            <w:r w:rsidR="00D37777" w:rsidRPr="00D83C47">
              <w:rPr>
                <w:rFonts w:cs="Arial"/>
                <w:iCs/>
                <w:u w:val="single"/>
                <w:lang w:val="es-ES"/>
              </w:rPr>
              <w:t xml:space="preserve">ribución </w:t>
            </w:r>
            <w:r w:rsidR="00D83C47" w:rsidRPr="00D83C47">
              <w:rPr>
                <w:rFonts w:cs="Arial"/>
                <w:iCs/>
                <w:u w:val="single"/>
                <w:lang w:val="es-ES"/>
              </w:rPr>
              <w:t xml:space="preserve">aplicar plenamente </w:t>
            </w:r>
            <w:r w:rsidR="00DC12D6" w:rsidRPr="002A134C">
              <w:rPr>
                <w:rFonts w:cs="Arial"/>
                <w:lang w:val="es-ES"/>
              </w:rPr>
              <w:t xml:space="preserve">el programa de trabajo de </w:t>
            </w:r>
            <w:r w:rsidR="00DC12D6" w:rsidRPr="00267CFE">
              <w:rPr>
                <w:rFonts w:cs="Arial"/>
                <w:strike/>
                <w:lang w:val="es-ES"/>
              </w:rPr>
              <w:t>2021-2026</w:t>
            </w:r>
            <w:r w:rsidR="00DC12D6" w:rsidRPr="002A134C">
              <w:rPr>
                <w:rFonts w:cs="Arial"/>
                <w:lang w:val="es-ES"/>
              </w:rPr>
              <w:t xml:space="preserve"> </w:t>
            </w:r>
            <w:r w:rsidR="00267CFE">
              <w:rPr>
                <w:rFonts w:cs="Arial"/>
                <w:u w:val="single"/>
                <w:lang w:val="es-ES"/>
              </w:rPr>
              <w:t xml:space="preserve">2026 – 2032 </w:t>
            </w:r>
            <w:r w:rsidR="00DC12D6" w:rsidRPr="002A134C">
              <w:rPr>
                <w:rFonts w:cs="Arial"/>
                <w:lang w:val="es-ES"/>
              </w:rPr>
              <w:t xml:space="preserve">para </w:t>
            </w:r>
            <w:r w:rsidR="00DC12D6" w:rsidRPr="001F578A">
              <w:rPr>
                <w:rFonts w:cs="Arial"/>
                <w:strike/>
                <w:lang w:val="es-ES"/>
              </w:rPr>
              <w:t>la Iniciativa sobre los Mamíferos de Asia Central (</w:t>
            </w:r>
            <w:r w:rsidR="00DC12D6" w:rsidRPr="002A134C">
              <w:rPr>
                <w:rFonts w:cs="Arial"/>
                <w:lang w:val="es-ES"/>
              </w:rPr>
              <w:t>CAMI,</w:t>
            </w:r>
            <w:r w:rsidR="00DC12D6" w:rsidRPr="001F578A">
              <w:rPr>
                <w:rFonts w:cs="Arial"/>
                <w:u w:val="single"/>
                <w:lang w:val="es-ES"/>
              </w:rPr>
              <w:t xml:space="preserve"> </w:t>
            </w:r>
            <w:r w:rsidR="001F578A" w:rsidRPr="001F578A">
              <w:rPr>
                <w:rFonts w:cs="Arial"/>
                <w:u w:val="single"/>
                <w:lang w:val="es-ES"/>
              </w:rPr>
              <w:t>(</w:t>
            </w:r>
            <w:r w:rsidR="00DC12D6" w:rsidRPr="002A134C">
              <w:rPr>
                <w:rFonts w:cs="Arial"/>
                <w:lang w:val="es-ES"/>
              </w:rPr>
              <w:t xml:space="preserve">por sus siglas en inglés) que se incluye en el Anexo de la presente Resolución </w:t>
            </w:r>
            <w:r w:rsidR="00DC12D6" w:rsidRPr="00F020E1">
              <w:rPr>
                <w:rFonts w:cs="Arial"/>
                <w:strike/>
                <w:lang w:val="es-ES"/>
              </w:rPr>
              <w:t xml:space="preserve">y </w:t>
            </w:r>
            <w:r w:rsidR="00DC12D6" w:rsidRPr="00F020E1">
              <w:rPr>
                <w:rFonts w:cs="Arial"/>
                <w:i/>
                <w:iCs/>
                <w:strike/>
                <w:lang w:val="es-ES"/>
              </w:rPr>
              <w:t>respalda</w:t>
            </w:r>
            <w:r w:rsidR="00DC12D6" w:rsidRPr="00F020E1">
              <w:rPr>
                <w:rFonts w:cs="Arial"/>
                <w:strike/>
                <w:lang w:val="es-ES"/>
              </w:rPr>
              <w:t xml:space="preserve"> la CAMI</w:t>
            </w:r>
            <w:r w:rsidR="00DC12D6" w:rsidRPr="00F020E1">
              <w:rPr>
                <w:rFonts w:cs="Arial"/>
                <w:i/>
                <w:strike/>
                <w:lang w:val="es-ES"/>
              </w:rPr>
              <w:t xml:space="preserve"> </w:t>
            </w:r>
            <w:r w:rsidR="00DC12D6" w:rsidRPr="00F020E1">
              <w:rPr>
                <w:rFonts w:cs="Arial"/>
                <w:strike/>
                <w:lang w:val="es-ES" w:eastAsia="ar-SA"/>
              </w:rPr>
              <w:t>como un enfoque innovador e integrador en un programa regional, que identifica sinergias basadas en programas de trabajo compartidos o comunes, en la geografía, las especies y los intereses, para mejorar la cooperación y la coordinación a nivel local, regional e internacional, para reducir al mínimo la superposición institucional y para mejorar la eficiente implementación de la CMS y sus instrumentos en los grandes mamíferos de la región</w:t>
            </w:r>
            <w:r w:rsidR="00DC12D6" w:rsidRPr="00F020E1">
              <w:rPr>
                <w:rFonts w:cs="Arial"/>
                <w:lang w:val="es-ES"/>
              </w:rPr>
              <w:t>;</w:t>
            </w:r>
            <w:r w:rsidRPr="00F020E1">
              <w:rPr>
                <w:rFonts w:eastAsia="Times New Roman" w:cs="Arial"/>
                <w:color w:val="000000" w:themeColor="text1"/>
                <w:lang w:val="es-ES"/>
              </w:rPr>
              <w:t>.</w:t>
            </w:r>
            <w:r w:rsidRPr="00F020E1">
              <w:rPr>
                <w:rFonts w:eastAsia="Times New Roman" w:cs="Arial"/>
                <w:color w:val="000000" w:themeColor="text1"/>
                <w:u w:val="single"/>
                <w:lang w:val="es-ES"/>
              </w:rPr>
              <w:t xml:space="preserve"> </w:t>
            </w:r>
          </w:p>
        </w:tc>
        <w:tc>
          <w:tcPr>
            <w:tcW w:w="3118" w:type="dxa"/>
          </w:tcPr>
          <w:p w14:paraId="6A19F54B" w14:textId="4AB49315" w:rsidR="00935ACE" w:rsidRPr="003872DF" w:rsidRDefault="003872DF">
            <w:pPr>
              <w:widowControl w:val="0"/>
              <w:autoSpaceDE w:val="0"/>
              <w:autoSpaceDN w:val="0"/>
              <w:adjustRightInd w:val="0"/>
              <w:spacing w:before="40" w:after="40"/>
              <w:jc w:val="both"/>
              <w:rPr>
                <w:rFonts w:eastAsia="Times New Roman" w:cs="Arial"/>
                <w:color w:val="000000" w:themeColor="text1"/>
                <w:lang w:val="es-ES"/>
              </w:rPr>
            </w:pPr>
            <w:r w:rsidRPr="003872DF">
              <w:rPr>
                <w:rFonts w:eastAsia="Times New Roman" w:cs="Arial"/>
                <w:color w:val="000000" w:themeColor="text1"/>
                <w:lang w:val="es-ES"/>
              </w:rPr>
              <w:t>Programa de trabajo actualizado de conformidad con las decisiones de la tercera reunión de los Estados del área de distribución del CAMI, se ha eliminado la segunda parte del párrafo, ya que la información ya se refleja en el punto 0 anterior.</w:t>
            </w:r>
          </w:p>
        </w:tc>
        <w:tc>
          <w:tcPr>
            <w:tcW w:w="5485" w:type="dxa"/>
          </w:tcPr>
          <w:p w14:paraId="00E4237A" w14:textId="332AA31B" w:rsidR="00935ACE" w:rsidRPr="00F020E1" w:rsidRDefault="00F020E1" w:rsidP="0027307C">
            <w:pPr>
              <w:pStyle w:val="ListParagraph"/>
              <w:numPr>
                <w:ilvl w:val="0"/>
                <w:numId w:val="11"/>
              </w:numPr>
              <w:spacing w:before="40" w:after="40"/>
              <w:ind w:left="360"/>
              <w:contextualSpacing w:val="0"/>
              <w:jc w:val="both"/>
              <w:rPr>
                <w:rFonts w:eastAsia="Arial" w:cs="Arial"/>
                <w:lang w:val="es-ES"/>
              </w:rPr>
            </w:pPr>
            <w:r w:rsidRPr="002A134C">
              <w:rPr>
                <w:rFonts w:cs="Arial"/>
                <w:i/>
                <w:lang w:val="es-ES"/>
              </w:rPr>
              <w:t xml:space="preserve">Adopta </w:t>
            </w:r>
            <w:r w:rsidRPr="00F020E1">
              <w:rPr>
                <w:rFonts w:cs="Arial"/>
                <w:i/>
                <w:lang w:val="es-ES"/>
              </w:rPr>
              <w:t xml:space="preserve">e insta </w:t>
            </w:r>
            <w:r w:rsidRPr="00F020E1">
              <w:rPr>
                <w:rFonts w:cs="Arial"/>
                <w:iCs/>
                <w:lang w:val="es-ES"/>
              </w:rPr>
              <w:t xml:space="preserve">a los Estados del área de distribución aplicar plenamente </w:t>
            </w:r>
            <w:r w:rsidRPr="002A134C">
              <w:rPr>
                <w:rFonts w:cs="Arial"/>
                <w:lang w:val="es-ES"/>
              </w:rPr>
              <w:t xml:space="preserve">el programa de trabajo de </w:t>
            </w:r>
            <w:r w:rsidRPr="00267CFE">
              <w:rPr>
                <w:rFonts w:cs="Arial"/>
                <w:strike/>
                <w:lang w:val="es-ES"/>
              </w:rPr>
              <w:t>2021-2026</w:t>
            </w:r>
            <w:r w:rsidRPr="002A134C">
              <w:rPr>
                <w:rFonts w:cs="Arial"/>
                <w:lang w:val="es-ES"/>
              </w:rPr>
              <w:t xml:space="preserve"> </w:t>
            </w:r>
            <w:r>
              <w:rPr>
                <w:rFonts w:cs="Arial"/>
                <w:u w:val="single"/>
                <w:lang w:val="es-ES"/>
              </w:rPr>
              <w:t xml:space="preserve">2026 – 2032 </w:t>
            </w:r>
            <w:r w:rsidRPr="002A134C">
              <w:rPr>
                <w:rFonts w:cs="Arial"/>
                <w:lang w:val="es-ES"/>
              </w:rPr>
              <w:t>para CAMI</w:t>
            </w:r>
            <w:r w:rsidRPr="00F020E1">
              <w:rPr>
                <w:rFonts w:cs="Arial"/>
                <w:lang w:val="es-ES"/>
              </w:rPr>
              <w:t xml:space="preserve"> (</w:t>
            </w:r>
            <w:r w:rsidRPr="002A134C">
              <w:rPr>
                <w:rFonts w:cs="Arial"/>
                <w:lang w:val="es-ES"/>
              </w:rPr>
              <w:t>por sus siglas en inglés)</w:t>
            </w:r>
            <w:r>
              <w:rPr>
                <w:rFonts w:cs="Arial"/>
                <w:lang w:val="es-ES"/>
              </w:rPr>
              <w:t>,</w:t>
            </w:r>
            <w:r w:rsidRPr="002A134C">
              <w:rPr>
                <w:rFonts w:cs="Arial"/>
                <w:lang w:val="es-ES"/>
              </w:rPr>
              <w:t xml:space="preserve"> que se incluye en el Anexo de la presente Resolución</w:t>
            </w:r>
            <w:r>
              <w:rPr>
                <w:rFonts w:cs="Arial"/>
                <w:lang w:val="es-ES"/>
              </w:rPr>
              <w:t>;</w:t>
            </w:r>
          </w:p>
        </w:tc>
      </w:tr>
      <w:tr w:rsidR="00935ACE" w:rsidRPr="004070C5" w14:paraId="2E0748E5" w14:textId="77777777" w:rsidTr="00F716F1">
        <w:trPr>
          <w:cantSplit/>
        </w:trPr>
        <w:tc>
          <w:tcPr>
            <w:tcW w:w="5949" w:type="dxa"/>
          </w:tcPr>
          <w:p w14:paraId="4EEC9387" w14:textId="067647EA" w:rsidR="00935ACE" w:rsidRPr="00572967" w:rsidRDefault="00935ACE">
            <w:pPr>
              <w:widowControl w:val="0"/>
              <w:suppressAutoHyphens/>
              <w:spacing w:before="40" w:after="40"/>
              <w:jc w:val="both"/>
              <w:rPr>
                <w:rFonts w:cs="Arial"/>
                <w:strike/>
                <w:lang w:val="es-ES"/>
              </w:rPr>
            </w:pPr>
            <w:r w:rsidRPr="00572967">
              <w:rPr>
                <w:rFonts w:cs="Arial"/>
                <w:i/>
                <w:spacing w:val="-4"/>
                <w:lang w:val="es-ES"/>
              </w:rPr>
              <w:t>2.</w:t>
            </w:r>
            <w:r w:rsidRPr="00572967">
              <w:rPr>
                <w:rFonts w:cs="Arial"/>
                <w:i/>
                <w:strike/>
                <w:spacing w:val="-4"/>
                <w:lang w:val="es-ES"/>
              </w:rPr>
              <w:t xml:space="preserve"> </w:t>
            </w:r>
            <w:r w:rsidR="00572967" w:rsidRPr="00572967">
              <w:rPr>
                <w:rFonts w:cs="Arial"/>
                <w:i/>
                <w:strike/>
                <w:lang w:val="es-ES"/>
              </w:rPr>
              <w:t>Recupera</w:t>
            </w:r>
            <w:r w:rsidR="00572967" w:rsidRPr="00572967">
              <w:rPr>
                <w:rFonts w:cs="Arial"/>
                <w:strike/>
                <w:lang w:val="es-ES"/>
              </w:rPr>
              <w:t xml:space="preserve"> la adopción de las </w:t>
            </w:r>
            <w:r w:rsidR="00572967" w:rsidRPr="00572967">
              <w:rPr>
                <w:rFonts w:cs="Arial"/>
                <w:i/>
                <w:iCs/>
                <w:strike/>
                <w:lang w:val="es-ES"/>
              </w:rPr>
              <w:t>Directrices para mitigar el impacto de las infraestructuras lineales y los trastornos que causan en los mamíferos en Asia Central</w:t>
            </w:r>
            <w:r w:rsidR="00572967" w:rsidRPr="00572967">
              <w:rPr>
                <w:rFonts w:cs="Arial"/>
                <w:strike/>
                <w:lang w:val="es-ES"/>
              </w:rPr>
              <w:t xml:space="preserve"> que se incluye en el documento UNEP/CMS/COP11/Doc.23.3.2 y el Plan de Acción Internacional para Especies Individuales para la Conservación del argalí </w:t>
            </w:r>
            <w:r w:rsidR="00572967" w:rsidRPr="00572967">
              <w:rPr>
                <w:rFonts w:cs="Arial"/>
                <w:i/>
                <w:strike/>
                <w:lang w:val="es-ES"/>
              </w:rPr>
              <w:t xml:space="preserve">Ovis ammon </w:t>
            </w:r>
            <w:r w:rsidR="00572967" w:rsidRPr="00572967">
              <w:rPr>
                <w:rFonts w:cs="Arial"/>
                <w:strike/>
                <w:lang w:val="es-ES"/>
              </w:rPr>
              <w:t>que se incluye en documento UNEP/CMS/COP11/Doc.23.3.3 en la COP11;</w:t>
            </w:r>
          </w:p>
          <w:p w14:paraId="64E48E50" w14:textId="77777777" w:rsidR="00935ACE" w:rsidRPr="00572967" w:rsidRDefault="00935ACE">
            <w:pPr>
              <w:widowControl w:val="0"/>
              <w:tabs>
                <w:tab w:val="left" w:pos="1532"/>
              </w:tabs>
              <w:autoSpaceDE w:val="0"/>
              <w:autoSpaceDN w:val="0"/>
              <w:adjustRightInd w:val="0"/>
              <w:spacing w:before="40" w:after="40"/>
              <w:jc w:val="both"/>
              <w:rPr>
                <w:rFonts w:eastAsia="Times New Roman" w:cs="Arial"/>
                <w:color w:val="000000" w:themeColor="text1"/>
                <w:highlight w:val="yellow"/>
                <w:lang w:val="es-ES"/>
              </w:rPr>
            </w:pPr>
          </w:p>
        </w:tc>
        <w:tc>
          <w:tcPr>
            <w:tcW w:w="3118" w:type="dxa"/>
          </w:tcPr>
          <w:p w14:paraId="2F347EF6" w14:textId="4CAA8E6B" w:rsidR="00935ACE" w:rsidRPr="0005071F" w:rsidRDefault="0005071F">
            <w:pPr>
              <w:widowControl w:val="0"/>
              <w:autoSpaceDE w:val="0"/>
              <w:autoSpaceDN w:val="0"/>
              <w:adjustRightInd w:val="0"/>
              <w:spacing w:before="40" w:after="40"/>
              <w:jc w:val="both"/>
              <w:rPr>
                <w:rFonts w:eastAsia="Times New Roman" w:cs="Arial"/>
                <w:color w:val="000000" w:themeColor="text1"/>
                <w:lang w:val="es-ES"/>
              </w:rPr>
            </w:pPr>
            <w:r w:rsidRPr="0005071F">
              <w:rPr>
                <w:rFonts w:eastAsia="Times New Roman" w:cs="Arial"/>
                <w:color w:val="000000" w:themeColor="text1"/>
                <w:lang w:val="es-ES"/>
              </w:rPr>
              <w:t>Muchos documentos e instrumentos de orientación obsoletos dentro de la CAMI se elaboraron desde la COP11, y ahora todos ellos se mencionan en el Programa de Trabajo de la CAMI 2026-2032.</w:t>
            </w:r>
          </w:p>
        </w:tc>
        <w:tc>
          <w:tcPr>
            <w:tcW w:w="5485" w:type="dxa"/>
          </w:tcPr>
          <w:p w14:paraId="0BF76C6D" w14:textId="77777777" w:rsidR="00935ACE" w:rsidRPr="0005071F" w:rsidRDefault="00935ACE">
            <w:pPr>
              <w:spacing w:before="40" w:after="40"/>
              <w:jc w:val="both"/>
              <w:rPr>
                <w:rFonts w:eastAsia="Arial" w:cs="Arial"/>
                <w:lang w:val="es-ES"/>
              </w:rPr>
            </w:pPr>
          </w:p>
        </w:tc>
      </w:tr>
      <w:tr w:rsidR="00935ACE" w:rsidRPr="004070C5" w14:paraId="66F94007" w14:textId="77777777" w:rsidTr="00F716F1">
        <w:trPr>
          <w:cantSplit/>
        </w:trPr>
        <w:tc>
          <w:tcPr>
            <w:tcW w:w="5949" w:type="dxa"/>
          </w:tcPr>
          <w:p w14:paraId="688454FA" w14:textId="2AE992D4" w:rsidR="00935ACE" w:rsidRPr="002E2652" w:rsidRDefault="00935ACE">
            <w:pPr>
              <w:widowControl w:val="0"/>
              <w:tabs>
                <w:tab w:val="left" w:pos="1071"/>
              </w:tabs>
              <w:autoSpaceDE w:val="0"/>
              <w:autoSpaceDN w:val="0"/>
              <w:adjustRightInd w:val="0"/>
              <w:spacing w:before="40" w:after="40"/>
              <w:jc w:val="both"/>
              <w:rPr>
                <w:rFonts w:eastAsia="Times New Roman" w:cs="Arial"/>
                <w:color w:val="000000" w:themeColor="text1"/>
                <w:highlight w:val="yellow"/>
                <w:lang w:val="es-ES"/>
              </w:rPr>
            </w:pPr>
            <w:r w:rsidRPr="002E2652">
              <w:rPr>
                <w:rFonts w:eastAsia="Times New Roman" w:cs="Arial"/>
                <w:color w:val="000000" w:themeColor="text1"/>
                <w:lang w:val="es-ES"/>
              </w:rPr>
              <w:t xml:space="preserve">3. </w:t>
            </w:r>
            <w:r w:rsidR="00F2425C" w:rsidRPr="002E2652">
              <w:rPr>
                <w:rFonts w:cs="Arial"/>
                <w:i/>
                <w:lang w:val="es-ES"/>
              </w:rPr>
              <w:t>Acuerda</w:t>
            </w:r>
            <w:r w:rsidR="00F2425C" w:rsidRPr="002E2652">
              <w:rPr>
                <w:rFonts w:cs="Arial"/>
                <w:lang w:val="es-ES"/>
              </w:rPr>
              <w:t xml:space="preserve"> incluir al </w:t>
            </w:r>
            <w:r w:rsidR="002E2652" w:rsidRPr="002E2652">
              <w:rPr>
                <w:rFonts w:cs="Arial"/>
                <w:u w:val="single"/>
                <w:lang w:val="es-ES"/>
              </w:rPr>
              <w:t>lince euroasiático (Lynx lynx) y el gato de Pallas (Felis manul)</w:t>
            </w:r>
            <w:r w:rsidR="002E2652">
              <w:rPr>
                <w:rFonts w:cs="Arial"/>
                <w:lang w:val="es-ES"/>
              </w:rPr>
              <w:t xml:space="preserve"> </w:t>
            </w:r>
            <w:r w:rsidR="00F2425C" w:rsidRPr="002E2652">
              <w:rPr>
                <w:rFonts w:cs="Arial"/>
                <w:strike/>
                <w:lang w:val="es-ES"/>
              </w:rPr>
              <w:t>oso del Gobi (</w:t>
            </w:r>
            <w:r w:rsidR="00F2425C" w:rsidRPr="002E2652">
              <w:rPr>
                <w:rFonts w:cs="Arial"/>
                <w:i/>
                <w:strike/>
                <w:lang w:val="es-ES"/>
              </w:rPr>
              <w:t>Ursus arctos isabellinus</w:t>
            </w:r>
            <w:r w:rsidR="00F2425C" w:rsidRPr="002E2652">
              <w:rPr>
                <w:rFonts w:cs="Arial"/>
                <w:strike/>
                <w:lang w:val="es-ES"/>
              </w:rPr>
              <w:t>), el urial (</w:t>
            </w:r>
            <w:r w:rsidR="00F2425C" w:rsidRPr="002E2652">
              <w:rPr>
                <w:rFonts w:cs="Arial"/>
                <w:i/>
                <w:strike/>
                <w:lang w:val="es-ES"/>
              </w:rPr>
              <w:t>Ovis vignei</w:t>
            </w:r>
            <w:r w:rsidR="00F2425C" w:rsidRPr="002E2652">
              <w:rPr>
                <w:rFonts w:cs="Arial"/>
                <w:strike/>
                <w:lang w:val="es-ES"/>
              </w:rPr>
              <w:t>) y el leopardo de Persia (</w:t>
            </w:r>
            <w:r w:rsidR="00F2425C" w:rsidRPr="002E2652">
              <w:rPr>
                <w:rFonts w:cs="Arial"/>
                <w:i/>
                <w:strike/>
                <w:lang w:val="es-ES"/>
              </w:rPr>
              <w:t>Panthera pardus saxicolor</w:t>
            </w:r>
            <w:r w:rsidR="00F2425C" w:rsidRPr="002E2652">
              <w:rPr>
                <w:rFonts w:cs="Arial"/>
                <w:strike/>
                <w:lang w:val="es-ES"/>
              </w:rPr>
              <w:t>)</w:t>
            </w:r>
            <w:r w:rsidR="00F2425C" w:rsidRPr="002E2652">
              <w:rPr>
                <w:rFonts w:cs="Arial"/>
                <w:lang w:val="es-ES"/>
              </w:rPr>
              <w:t xml:space="preserve"> en la CAMI</w:t>
            </w:r>
            <w:r w:rsidR="002E2652">
              <w:rPr>
                <w:rFonts w:cs="Arial"/>
                <w:i/>
                <w:lang w:val="es-ES"/>
              </w:rPr>
              <w:t>.</w:t>
            </w:r>
          </w:p>
        </w:tc>
        <w:tc>
          <w:tcPr>
            <w:tcW w:w="3118" w:type="dxa"/>
          </w:tcPr>
          <w:p w14:paraId="37BCE837" w14:textId="434E02DA" w:rsidR="00935ACE" w:rsidRPr="00A64297" w:rsidRDefault="00A64297">
            <w:pPr>
              <w:widowControl w:val="0"/>
              <w:autoSpaceDE w:val="0"/>
              <w:autoSpaceDN w:val="0"/>
              <w:adjustRightInd w:val="0"/>
              <w:spacing w:before="40" w:after="40"/>
              <w:jc w:val="both"/>
              <w:rPr>
                <w:rFonts w:eastAsia="Times New Roman" w:cs="Arial"/>
                <w:color w:val="000000" w:themeColor="text1"/>
                <w:lang w:val="es-ES"/>
              </w:rPr>
            </w:pPr>
            <w:r w:rsidRPr="00A64297">
              <w:rPr>
                <w:rFonts w:eastAsia="Times New Roman" w:cs="Arial"/>
                <w:color w:val="000000" w:themeColor="text1"/>
                <w:lang w:val="es-ES"/>
              </w:rPr>
              <w:t>El oso del Gobi, el leopardo persa y el urial forman parte de la CAMI desde 2020. Las especies añadidas recientemente a la CAMI por la tercera reunión de los Estados del área de distribución en 2025, según lo recomendado por la COP14 de la CMS, se mencionan ahora aquí.</w:t>
            </w:r>
          </w:p>
        </w:tc>
        <w:tc>
          <w:tcPr>
            <w:tcW w:w="5485" w:type="dxa"/>
          </w:tcPr>
          <w:p w14:paraId="6525674F" w14:textId="5F28A557" w:rsidR="00935ACE" w:rsidRPr="002E43D6" w:rsidRDefault="002E43D6" w:rsidP="0027307C">
            <w:pPr>
              <w:pStyle w:val="ListParagraph"/>
              <w:numPr>
                <w:ilvl w:val="0"/>
                <w:numId w:val="11"/>
              </w:numPr>
              <w:spacing w:before="40" w:after="40"/>
              <w:ind w:left="360"/>
              <w:contextualSpacing w:val="0"/>
              <w:jc w:val="both"/>
              <w:rPr>
                <w:rFonts w:eastAsia="Arial" w:cs="Arial"/>
                <w:lang w:val="es-ES"/>
              </w:rPr>
            </w:pPr>
            <w:r w:rsidRPr="002E43D6">
              <w:rPr>
                <w:rFonts w:eastAsia="Arial" w:cs="Arial"/>
                <w:i/>
                <w:iCs/>
                <w:lang w:val="es-ES"/>
              </w:rPr>
              <w:t xml:space="preserve">Acuerda </w:t>
            </w:r>
            <w:r w:rsidRPr="002E43D6">
              <w:rPr>
                <w:rFonts w:eastAsia="Arial" w:cs="Arial"/>
                <w:lang w:val="es-ES"/>
              </w:rPr>
              <w:t>incluir al lince euroasiático</w:t>
            </w:r>
            <w:r w:rsidRPr="002E43D6">
              <w:rPr>
                <w:rFonts w:eastAsia="Arial" w:cs="Arial"/>
                <w:i/>
                <w:iCs/>
                <w:lang w:val="es-ES"/>
              </w:rPr>
              <w:t xml:space="preserve"> (Lynx lynx) </w:t>
            </w:r>
            <w:r w:rsidRPr="002E43D6">
              <w:rPr>
                <w:rFonts w:eastAsia="Arial" w:cs="Arial"/>
                <w:lang w:val="es-ES"/>
              </w:rPr>
              <w:t xml:space="preserve">y el gato de Pallas </w:t>
            </w:r>
            <w:r w:rsidRPr="002E43D6">
              <w:rPr>
                <w:rFonts w:eastAsia="Arial" w:cs="Arial"/>
                <w:i/>
                <w:iCs/>
                <w:lang w:val="es-ES"/>
              </w:rPr>
              <w:t>(Felis manul)</w:t>
            </w:r>
            <w:r>
              <w:rPr>
                <w:rFonts w:eastAsia="Arial" w:cs="Arial"/>
                <w:i/>
                <w:iCs/>
                <w:lang w:val="es-ES"/>
              </w:rPr>
              <w:t xml:space="preserve"> </w:t>
            </w:r>
            <w:r>
              <w:rPr>
                <w:rFonts w:eastAsia="Arial" w:cs="Arial"/>
                <w:lang w:val="es-ES"/>
              </w:rPr>
              <w:t>en la CAMI;</w:t>
            </w:r>
          </w:p>
        </w:tc>
      </w:tr>
      <w:tr w:rsidR="00935ACE" w:rsidRPr="004070C5" w14:paraId="21FB8B80" w14:textId="77777777" w:rsidTr="00F716F1">
        <w:trPr>
          <w:cantSplit/>
        </w:trPr>
        <w:tc>
          <w:tcPr>
            <w:tcW w:w="5949" w:type="dxa"/>
          </w:tcPr>
          <w:p w14:paraId="1EA97EFB" w14:textId="2885992D" w:rsidR="00935ACE" w:rsidRPr="00DB3E9C" w:rsidRDefault="00DB3E9C" w:rsidP="0027307C">
            <w:pPr>
              <w:pStyle w:val="ListParagraph"/>
              <w:widowControl w:val="0"/>
              <w:numPr>
                <w:ilvl w:val="0"/>
                <w:numId w:val="11"/>
              </w:numPr>
              <w:suppressAutoHyphens/>
              <w:spacing w:before="40" w:after="40"/>
              <w:ind w:left="251" w:hanging="270"/>
              <w:jc w:val="both"/>
              <w:rPr>
                <w:rFonts w:eastAsia="Times New Roman" w:cs="Arial"/>
                <w:color w:val="000000" w:themeColor="text1"/>
                <w:lang w:val="es-ES"/>
              </w:rPr>
            </w:pPr>
            <w:r w:rsidRPr="00DB3E9C">
              <w:rPr>
                <w:rFonts w:cs="Arial"/>
                <w:i/>
                <w:lang w:val="es-ES"/>
              </w:rPr>
              <w:lastRenderedPageBreak/>
              <w:t xml:space="preserve">Toma nota </w:t>
            </w:r>
            <w:r w:rsidRPr="00DB3E9C">
              <w:rPr>
                <w:rFonts w:cs="Arial"/>
                <w:lang w:val="es-ES"/>
              </w:rPr>
              <w:t>del</w:t>
            </w:r>
            <w:r w:rsidRPr="00DB3E9C">
              <w:rPr>
                <w:rFonts w:cs="Arial"/>
                <w:i/>
                <w:lang w:val="es-ES"/>
              </w:rPr>
              <w:t xml:space="preserve"> </w:t>
            </w:r>
            <w:r w:rsidRPr="00DB3E9C">
              <w:rPr>
                <w:rFonts w:cs="Arial"/>
                <w:lang w:val="es-ES"/>
              </w:rPr>
              <w:t>atlas sobre infraestructura lineal y migración de mamíferos en Asia Central que se incluye en el documento UNEP/CMS/COP1</w:t>
            </w:r>
            <w:r w:rsidR="00212E42" w:rsidRPr="00212E42">
              <w:rPr>
                <w:rFonts w:cs="Arial"/>
                <w:u w:val="single"/>
                <w:lang w:val="es-ES"/>
              </w:rPr>
              <w:t>5</w:t>
            </w:r>
            <w:r w:rsidRPr="00212E42">
              <w:rPr>
                <w:rFonts w:cs="Arial"/>
                <w:strike/>
                <w:lang w:val="es-ES"/>
              </w:rPr>
              <w:t>3</w:t>
            </w:r>
            <w:r w:rsidRPr="00DB3E9C">
              <w:rPr>
                <w:rFonts w:cs="Arial"/>
                <w:lang w:val="es-ES"/>
              </w:rPr>
              <w:t>/Inf.</w:t>
            </w:r>
            <w:r w:rsidRPr="00212E42">
              <w:rPr>
                <w:rFonts w:cs="Arial"/>
                <w:strike/>
                <w:lang w:val="es-ES"/>
              </w:rPr>
              <w:t>19</w:t>
            </w:r>
            <w:r w:rsidR="00212E42" w:rsidRPr="00212E42">
              <w:rPr>
                <w:rFonts w:cs="Arial"/>
                <w:u w:val="single"/>
                <w:lang w:val="es-ES"/>
              </w:rPr>
              <w:t>27.3</w:t>
            </w:r>
            <w:r w:rsidRPr="00DB3E9C">
              <w:rPr>
                <w:rFonts w:cs="Arial"/>
                <w:lang w:val="es-ES"/>
              </w:rPr>
              <w:t xml:space="preserve"> y que proporciona información sobre la distribución y los movimientos de especies migratorias y datos sobre la infraestructura lineal como vallas, carreteras o líneas de ferrocarril y, por tanto, ofrece una fuente realmente necesaria para los responsables de la toma de decisiones a medida que planifican e implementan proyectos de infraestructura;</w:t>
            </w:r>
          </w:p>
        </w:tc>
        <w:tc>
          <w:tcPr>
            <w:tcW w:w="3118" w:type="dxa"/>
          </w:tcPr>
          <w:p w14:paraId="6779280B" w14:textId="3495596B" w:rsidR="00935ACE" w:rsidRPr="003F65FD" w:rsidRDefault="003F65FD">
            <w:pPr>
              <w:widowControl w:val="0"/>
              <w:autoSpaceDE w:val="0"/>
              <w:autoSpaceDN w:val="0"/>
              <w:adjustRightInd w:val="0"/>
              <w:spacing w:before="40" w:after="40"/>
              <w:jc w:val="both"/>
              <w:rPr>
                <w:rFonts w:eastAsia="Times New Roman" w:cs="Arial"/>
                <w:color w:val="000000" w:themeColor="text1"/>
                <w:lang w:val="es-ES"/>
              </w:rPr>
            </w:pPr>
            <w:r w:rsidRPr="003F65FD">
              <w:rPr>
                <w:rFonts w:eastAsia="Times New Roman" w:cs="Arial"/>
                <w:color w:val="000000" w:themeColor="text1"/>
                <w:lang w:val="es-ES"/>
              </w:rPr>
              <w:t>Se ha actualizado el título para hacer referencia a la edición actual del Atlas.</w:t>
            </w:r>
            <w:r w:rsidR="00935ACE" w:rsidRPr="003F65FD">
              <w:rPr>
                <w:rFonts w:eastAsia="Times New Roman" w:cs="Arial"/>
                <w:color w:val="000000" w:themeColor="text1"/>
                <w:lang w:val="es-ES"/>
              </w:rPr>
              <w:t xml:space="preserve"> </w:t>
            </w:r>
          </w:p>
        </w:tc>
        <w:tc>
          <w:tcPr>
            <w:tcW w:w="5485" w:type="dxa"/>
          </w:tcPr>
          <w:p w14:paraId="2E021C11" w14:textId="286A558A" w:rsidR="00935ACE" w:rsidRPr="00212E42" w:rsidRDefault="00212E42" w:rsidP="0027307C">
            <w:pPr>
              <w:pStyle w:val="ListParagraph"/>
              <w:numPr>
                <w:ilvl w:val="0"/>
                <w:numId w:val="11"/>
              </w:numPr>
              <w:spacing w:before="40" w:after="40"/>
              <w:ind w:left="360"/>
              <w:contextualSpacing w:val="0"/>
              <w:jc w:val="both"/>
              <w:rPr>
                <w:rFonts w:cs="Arial"/>
                <w:lang w:val="es-ES"/>
              </w:rPr>
            </w:pPr>
            <w:r w:rsidRPr="00DB3E9C">
              <w:rPr>
                <w:rFonts w:cs="Arial"/>
                <w:i/>
                <w:lang w:val="es-ES"/>
              </w:rPr>
              <w:t xml:space="preserve">Toma nota </w:t>
            </w:r>
            <w:r w:rsidRPr="00DB3E9C">
              <w:rPr>
                <w:rFonts w:cs="Arial"/>
                <w:lang w:val="es-ES"/>
              </w:rPr>
              <w:t>del</w:t>
            </w:r>
            <w:r w:rsidRPr="00DB3E9C">
              <w:rPr>
                <w:rFonts w:cs="Arial"/>
                <w:i/>
                <w:lang w:val="es-ES"/>
              </w:rPr>
              <w:t xml:space="preserve"> </w:t>
            </w:r>
            <w:r w:rsidRPr="00DB3E9C">
              <w:rPr>
                <w:rFonts w:cs="Arial"/>
                <w:lang w:val="es-ES"/>
              </w:rPr>
              <w:t>atlas sobre infraestructura lineal y migración de mamíferos en Asia Central que se incluye en el documento UNEP/CMS/COP1</w:t>
            </w:r>
            <w:r w:rsidRPr="00212E42">
              <w:rPr>
                <w:rFonts w:cs="Arial"/>
                <w:lang w:val="es-ES"/>
              </w:rPr>
              <w:t>5</w:t>
            </w:r>
            <w:r w:rsidRPr="00DB3E9C">
              <w:rPr>
                <w:rFonts w:cs="Arial"/>
                <w:lang w:val="es-ES"/>
              </w:rPr>
              <w:t>/Inf</w:t>
            </w:r>
            <w:r w:rsidRPr="00212E42">
              <w:rPr>
                <w:rFonts w:cs="Arial"/>
                <w:lang w:val="es-ES"/>
              </w:rPr>
              <w:t>.27.3</w:t>
            </w:r>
            <w:r w:rsidRPr="00DB3E9C">
              <w:rPr>
                <w:rFonts w:cs="Arial"/>
                <w:lang w:val="es-ES"/>
              </w:rPr>
              <w:t xml:space="preserve"> y que proporciona información sobre la distribución y los movimientos de especies migratorias y datos sobre la infraestructura lineal como vallas, carreteras o líneas de ferrocarril y, por tanto, ofrece una fuente realmente necesaria para los responsables de la toma de decisiones a medida que planifican e implementan proyectos de infraestructura;</w:t>
            </w:r>
          </w:p>
        </w:tc>
      </w:tr>
      <w:tr w:rsidR="00935ACE" w:rsidRPr="004070C5" w14:paraId="3A7455D9" w14:textId="77777777" w:rsidTr="00F716F1">
        <w:trPr>
          <w:cantSplit/>
        </w:trPr>
        <w:tc>
          <w:tcPr>
            <w:tcW w:w="5949" w:type="dxa"/>
          </w:tcPr>
          <w:p w14:paraId="4A352987" w14:textId="77DC44CA" w:rsidR="00935ACE" w:rsidRPr="0079260D" w:rsidRDefault="00935ACE" w:rsidP="0079260D">
            <w:pPr>
              <w:widowControl w:val="0"/>
              <w:suppressAutoHyphens/>
              <w:spacing w:before="40" w:after="40"/>
              <w:jc w:val="both"/>
              <w:rPr>
                <w:rFonts w:eastAsia="Times New Roman" w:cs="Arial"/>
                <w:color w:val="000000" w:themeColor="text1"/>
                <w:highlight w:val="yellow"/>
                <w:u w:val="single"/>
                <w:lang w:val="es-ES"/>
              </w:rPr>
            </w:pPr>
            <w:r w:rsidRPr="0079260D">
              <w:rPr>
                <w:rFonts w:cs="Arial"/>
                <w:i/>
                <w:strike/>
                <w:lang w:val="es-ES"/>
              </w:rPr>
              <w:t>5.</w:t>
            </w:r>
            <w:r w:rsidR="0079260D" w:rsidRPr="0079260D">
              <w:rPr>
                <w:rFonts w:cs="Arial"/>
                <w:i/>
                <w:strike/>
                <w:lang w:val="es-ES"/>
              </w:rPr>
              <w:t xml:space="preserve"> </w:t>
            </w:r>
            <w:r w:rsidR="00844C43" w:rsidRPr="00844C43">
              <w:rPr>
                <w:rFonts w:cs="Arial"/>
                <w:i/>
                <w:strike/>
                <w:lang w:val="es-ES"/>
              </w:rPr>
              <w:t xml:space="preserve">Da instrucciones </w:t>
            </w:r>
            <w:r w:rsidR="00844C43" w:rsidRPr="00844C43">
              <w:rPr>
                <w:rFonts w:cs="Arial"/>
                <w:iCs/>
                <w:strike/>
                <w:lang w:val="es-ES"/>
              </w:rPr>
              <w:t>a la Secretaría de continuar actualizando, expandiendo y elaborando el atlas de la CAMI regularmente para cubrir toda la región e incluir la información disponible más precisa y reciente, según la financiación disponible</w:t>
            </w:r>
            <w:r w:rsidRPr="00844C43">
              <w:rPr>
                <w:rFonts w:cs="Arial"/>
                <w:iCs/>
                <w:strike/>
                <w:lang w:val="es-ES"/>
              </w:rPr>
              <w:t>;</w:t>
            </w:r>
          </w:p>
        </w:tc>
        <w:tc>
          <w:tcPr>
            <w:tcW w:w="3118" w:type="dxa"/>
          </w:tcPr>
          <w:p w14:paraId="7486F409" w14:textId="6920D46C" w:rsidR="00935ACE" w:rsidRPr="003F65FD" w:rsidRDefault="003F65FD">
            <w:pPr>
              <w:widowControl w:val="0"/>
              <w:autoSpaceDE w:val="0"/>
              <w:autoSpaceDN w:val="0"/>
              <w:adjustRightInd w:val="0"/>
              <w:spacing w:before="40" w:after="40"/>
              <w:jc w:val="both"/>
              <w:rPr>
                <w:rFonts w:eastAsia="Times New Roman" w:cs="Arial"/>
                <w:color w:val="000000" w:themeColor="text1"/>
                <w:lang w:val="es-ES"/>
              </w:rPr>
            </w:pPr>
            <w:r w:rsidRPr="003F65FD">
              <w:rPr>
                <w:rFonts w:eastAsia="Times New Roman" w:cs="Arial"/>
                <w:color w:val="000000" w:themeColor="text1"/>
                <w:lang w:val="es-ES"/>
              </w:rPr>
              <w:t xml:space="preserve">Esta actividad ya está incluida en el CAMI </w:t>
            </w:r>
            <w:r w:rsidR="002A2A63">
              <w:rPr>
                <w:rFonts w:eastAsia="Times New Roman" w:cs="Arial"/>
                <w:color w:val="000000" w:themeColor="text1"/>
                <w:lang w:val="es-ES"/>
              </w:rPr>
              <w:t>PdT</w:t>
            </w:r>
            <w:r w:rsidRPr="003F65FD">
              <w:rPr>
                <w:rFonts w:eastAsia="Times New Roman" w:cs="Arial"/>
                <w:color w:val="000000" w:themeColor="text1"/>
                <w:lang w:val="es-ES"/>
              </w:rPr>
              <w:t>.</w:t>
            </w:r>
          </w:p>
        </w:tc>
        <w:tc>
          <w:tcPr>
            <w:tcW w:w="5485" w:type="dxa"/>
          </w:tcPr>
          <w:p w14:paraId="784CEEDC" w14:textId="77777777" w:rsidR="00935ACE" w:rsidRPr="003F65FD" w:rsidRDefault="00935ACE">
            <w:pPr>
              <w:spacing w:before="40" w:after="40"/>
              <w:ind w:left="720"/>
              <w:jc w:val="both"/>
              <w:rPr>
                <w:rFonts w:eastAsia="Arial" w:cs="Arial"/>
                <w:lang w:val="es-ES"/>
              </w:rPr>
            </w:pPr>
          </w:p>
        </w:tc>
      </w:tr>
      <w:tr w:rsidR="00935ACE" w:rsidRPr="004070C5" w14:paraId="256CD379" w14:textId="77777777" w:rsidTr="00F716F1">
        <w:trPr>
          <w:cantSplit/>
        </w:trPr>
        <w:tc>
          <w:tcPr>
            <w:tcW w:w="5949" w:type="dxa"/>
          </w:tcPr>
          <w:p w14:paraId="1C0E3D47" w14:textId="22270123" w:rsidR="00935ACE" w:rsidRPr="00947B3A" w:rsidRDefault="00935ACE">
            <w:pPr>
              <w:widowControl w:val="0"/>
              <w:autoSpaceDE w:val="0"/>
              <w:autoSpaceDN w:val="0"/>
              <w:adjustRightInd w:val="0"/>
              <w:spacing w:before="40" w:after="40"/>
              <w:jc w:val="both"/>
              <w:rPr>
                <w:rFonts w:eastAsia="Times New Roman" w:cs="Arial"/>
                <w:color w:val="000000" w:themeColor="text1"/>
                <w:highlight w:val="yellow"/>
                <w:lang w:val="es-ES"/>
              </w:rPr>
            </w:pPr>
            <w:r w:rsidRPr="00947B3A">
              <w:rPr>
                <w:rFonts w:eastAsia="Times New Roman" w:cs="Arial"/>
                <w:color w:val="000000" w:themeColor="text1"/>
                <w:lang w:val="es-ES"/>
              </w:rPr>
              <w:t xml:space="preserve">6. </w:t>
            </w:r>
            <w:r w:rsidR="00947B3A" w:rsidRPr="0028075A">
              <w:rPr>
                <w:rFonts w:cs="Arial"/>
                <w:i/>
                <w:strike/>
                <w:lang w:val="es-ES"/>
              </w:rPr>
              <w:t xml:space="preserve">Igualmente toma nota </w:t>
            </w:r>
            <w:r w:rsidR="00947B3A" w:rsidRPr="0028075A">
              <w:rPr>
                <w:rFonts w:cs="Arial"/>
                <w:strike/>
                <w:lang w:val="es-ES"/>
              </w:rPr>
              <w:t>del informe sobre los puntos clave de conservación transfronteriza para la iniciativa dedicada a mamíferos de Asia Centra que</w:t>
            </w:r>
            <w:r w:rsidR="00947B3A" w:rsidRPr="0028075A">
              <w:rPr>
                <w:rFonts w:cs="Arial"/>
                <w:i/>
                <w:strike/>
                <w:lang w:val="es-ES"/>
              </w:rPr>
              <w:t xml:space="preserve"> </w:t>
            </w:r>
            <w:r w:rsidR="00947B3A" w:rsidRPr="0028075A">
              <w:rPr>
                <w:rFonts w:cs="Arial"/>
                <w:strike/>
                <w:lang w:val="es-ES"/>
              </w:rPr>
              <w:t>se incluye en el documento UNEP/CMS/COP13/Inf.27 que identifica y analiza los puntos clave de conservación transfronteriza más importantes para las especies de la CAMI en la región y describe recomendaciones para su conservación</w:t>
            </w:r>
            <w:r w:rsidR="00947B3A" w:rsidRPr="0079260D">
              <w:rPr>
                <w:rFonts w:cs="Arial"/>
                <w:strike/>
                <w:lang w:val="es-ES"/>
              </w:rPr>
              <w:t>;</w:t>
            </w:r>
          </w:p>
        </w:tc>
        <w:tc>
          <w:tcPr>
            <w:tcW w:w="3118" w:type="dxa"/>
          </w:tcPr>
          <w:p w14:paraId="69517F4B" w14:textId="0AD1E8B6" w:rsidR="00935ACE" w:rsidRPr="002A2A63" w:rsidRDefault="002A2A63">
            <w:pPr>
              <w:widowControl w:val="0"/>
              <w:autoSpaceDE w:val="0"/>
              <w:autoSpaceDN w:val="0"/>
              <w:adjustRightInd w:val="0"/>
              <w:spacing w:before="40" w:after="40"/>
              <w:jc w:val="both"/>
              <w:rPr>
                <w:rFonts w:eastAsia="Times New Roman" w:cs="Arial"/>
                <w:color w:val="000000" w:themeColor="text1"/>
                <w:lang w:val="es-ES"/>
              </w:rPr>
            </w:pPr>
            <w:r w:rsidRPr="002A2A63">
              <w:rPr>
                <w:rFonts w:eastAsia="Times New Roman" w:cs="Arial"/>
                <w:color w:val="000000" w:themeColor="text1"/>
                <w:lang w:val="es-ES"/>
              </w:rPr>
              <w:t xml:space="preserve">Las recomendaciones del estudio se debatieron y se integraron directamente en el CAMI </w:t>
            </w:r>
            <w:r>
              <w:rPr>
                <w:rFonts w:eastAsia="Times New Roman" w:cs="Arial"/>
                <w:color w:val="000000" w:themeColor="text1"/>
                <w:lang w:val="es-ES"/>
              </w:rPr>
              <w:t>PdT</w:t>
            </w:r>
            <w:r w:rsidRPr="002A2A63">
              <w:rPr>
                <w:rFonts w:eastAsia="Times New Roman" w:cs="Arial"/>
                <w:color w:val="000000" w:themeColor="text1"/>
                <w:lang w:val="es-ES"/>
              </w:rPr>
              <w:t xml:space="preserve">. Este informe se cita en el CAMI </w:t>
            </w:r>
            <w:r>
              <w:rPr>
                <w:rFonts w:eastAsia="Times New Roman" w:cs="Arial"/>
                <w:color w:val="000000" w:themeColor="text1"/>
                <w:lang w:val="es-ES"/>
              </w:rPr>
              <w:t>PdT</w:t>
            </w:r>
            <w:r w:rsidRPr="002A2A63">
              <w:rPr>
                <w:rFonts w:eastAsia="Times New Roman" w:cs="Arial"/>
                <w:color w:val="000000" w:themeColor="text1"/>
                <w:lang w:val="es-ES"/>
              </w:rPr>
              <w:t xml:space="preserve"> junto con otros materiales de orientación.</w:t>
            </w:r>
            <w:r w:rsidR="00935ACE" w:rsidRPr="002A2A63">
              <w:rPr>
                <w:rFonts w:eastAsia="Times New Roman" w:cs="Arial"/>
                <w:color w:val="000000" w:themeColor="text1"/>
                <w:lang w:val="es-ES"/>
              </w:rPr>
              <w:t xml:space="preserve"> </w:t>
            </w:r>
          </w:p>
        </w:tc>
        <w:tc>
          <w:tcPr>
            <w:tcW w:w="5485" w:type="dxa"/>
          </w:tcPr>
          <w:p w14:paraId="768D4A6B" w14:textId="77777777" w:rsidR="00935ACE" w:rsidRPr="002A2A63" w:rsidRDefault="00935ACE">
            <w:pPr>
              <w:spacing w:before="40" w:after="40"/>
              <w:jc w:val="both"/>
              <w:rPr>
                <w:rFonts w:eastAsia="Arial" w:cs="Arial"/>
                <w:lang w:val="es-ES"/>
              </w:rPr>
            </w:pPr>
          </w:p>
        </w:tc>
      </w:tr>
      <w:tr w:rsidR="00935ACE" w:rsidRPr="004070C5" w14:paraId="03E93612" w14:textId="77777777" w:rsidTr="00F716F1">
        <w:trPr>
          <w:cantSplit/>
        </w:trPr>
        <w:tc>
          <w:tcPr>
            <w:tcW w:w="5949" w:type="dxa"/>
          </w:tcPr>
          <w:p w14:paraId="5AF9924F" w14:textId="7B5322E3" w:rsidR="00935ACE" w:rsidRPr="00E20625" w:rsidRDefault="00935ACE">
            <w:pPr>
              <w:widowControl w:val="0"/>
              <w:suppressAutoHyphens/>
              <w:spacing w:before="40" w:after="40"/>
              <w:jc w:val="both"/>
              <w:rPr>
                <w:rFonts w:cs="Arial"/>
                <w:strike/>
                <w:lang w:val="es-ES"/>
              </w:rPr>
            </w:pPr>
            <w:r w:rsidRPr="00E20625">
              <w:rPr>
                <w:rFonts w:cs="Arial"/>
                <w:i/>
                <w:strike/>
                <w:lang w:val="es-ES"/>
              </w:rPr>
              <w:lastRenderedPageBreak/>
              <w:t>7.</w:t>
            </w:r>
            <w:r w:rsidR="00E20625" w:rsidRPr="00E20625">
              <w:rPr>
                <w:rFonts w:cs="Arial"/>
                <w:i/>
                <w:lang w:val="es-ES"/>
              </w:rPr>
              <w:t xml:space="preserve"> </w:t>
            </w:r>
            <w:r w:rsidR="00E20625" w:rsidRPr="00E20625">
              <w:rPr>
                <w:rFonts w:cs="Arial"/>
                <w:i/>
                <w:strike/>
                <w:lang w:val="es-ES"/>
              </w:rPr>
              <w:t>Urge</w:t>
            </w:r>
            <w:r w:rsidR="00E20625" w:rsidRPr="00E20625">
              <w:rPr>
                <w:rFonts w:cs="Arial"/>
                <w:strike/>
                <w:lang w:val="es-ES"/>
              </w:rPr>
              <w:t xml:space="preserve"> a las Partes a aplicar las medidas de conservación relativas a los puntos clave identificados de conservación transfronteriza teniendo en cuenta, además, cuando sea adecuado, la orientación para la planificación de gestión de los paisajes del leopardo blanco bajo el Programa mundial de protección del ecosistema del leopardo de las nieves (GSLEP) que ofrece un marco de conservación transfronteriza de los paisajes pertinentes</w:t>
            </w:r>
            <w:r w:rsidR="00E20625" w:rsidRPr="00E20625">
              <w:rPr>
                <w:rFonts w:cs="Arial"/>
                <w:lang w:val="es-ES"/>
              </w:rPr>
              <w:t>;</w:t>
            </w:r>
          </w:p>
          <w:p w14:paraId="336EDA3C" w14:textId="77777777" w:rsidR="00935ACE" w:rsidRPr="00E20625" w:rsidRDefault="00935ACE">
            <w:pPr>
              <w:widowControl w:val="0"/>
              <w:autoSpaceDE w:val="0"/>
              <w:autoSpaceDN w:val="0"/>
              <w:adjustRightInd w:val="0"/>
              <w:spacing w:before="40" w:after="40"/>
              <w:rPr>
                <w:rFonts w:eastAsia="Times New Roman" w:cs="Arial"/>
                <w:color w:val="000000" w:themeColor="text1"/>
                <w:highlight w:val="yellow"/>
                <w:lang w:val="es-ES"/>
              </w:rPr>
            </w:pPr>
          </w:p>
        </w:tc>
        <w:tc>
          <w:tcPr>
            <w:tcW w:w="3118" w:type="dxa"/>
          </w:tcPr>
          <w:p w14:paraId="3EB6FB1A" w14:textId="44C3E0C1" w:rsidR="00935ACE" w:rsidRPr="00B44C73" w:rsidRDefault="00B44C73">
            <w:pPr>
              <w:widowControl w:val="0"/>
              <w:autoSpaceDE w:val="0"/>
              <w:autoSpaceDN w:val="0"/>
              <w:adjustRightInd w:val="0"/>
              <w:spacing w:before="40" w:after="40"/>
              <w:jc w:val="both"/>
              <w:rPr>
                <w:rFonts w:eastAsia="Times New Roman" w:cs="Arial"/>
                <w:color w:val="000000" w:themeColor="text1"/>
                <w:lang w:val="es-ES"/>
              </w:rPr>
            </w:pPr>
            <w:r w:rsidRPr="00B44C73">
              <w:rPr>
                <w:rFonts w:eastAsia="Times New Roman" w:cs="Arial"/>
                <w:color w:val="000000" w:themeColor="text1"/>
                <w:lang w:val="es-ES"/>
              </w:rPr>
              <w:t>Se eliminó porque la tercera reunión de los Estados del área de distribución de la CAMI ya identificó las regiones transfronterizas prioritarias para la conservación, que se incluyen en el documento de trabajo de la CAMI, utilizando los puntos críticos como punto de partida. Se hace referencia al GLSEP en el documento de trabajo de la CAMI, cuando es necesario.</w:t>
            </w:r>
          </w:p>
        </w:tc>
        <w:tc>
          <w:tcPr>
            <w:tcW w:w="5485" w:type="dxa"/>
          </w:tcPr>
          <w:p w14:paraId="0CCBDCFB" w14:textId="77777777" w:rsidR="00935ACE" w:rsidRPr="00B44C73" w:rsidRDefault="00935ACE">
            <w:pPr>
              <w:spacing w:before="40" w:after="40"/>
              <w:jc w:val="both"/>
              <w:rPr>
                <w:rFonts w:eastAsia="Arial" w:cs="Arial"/>
                <w:lang w:val="es-ES"/>
              </w:rPr>
            </w:pPr>
          </w:p>
        </w:tc>
      </w:tr>
      <w:tr w:rsidR="00935ACE" w:rsidRPr="004070C5" w14:paraId="237CCB33" w14:textId="77777777" w:rsidTr="00F716F1">
        <w:trPr>
          <w:cantSplit/>
        </w:trPr>
        <w:tc>
          <w:tcPr>
            <w:tcW w:w="5949" w:type="dxa"/>
          </w:tcPr>
          <w:p w14:paraId="24CBFC73" w14:textId="17AA8A16" w:rsidR="00935ACE" w:rsidRPr="007376E6" w:rsidRDefault="00935ACE" w:rsidP="00ED48DB">
            <w:pPr>
              <w:widowControl w:val="0"/>
              <w:tabs>
                <w:tab w:val="num" w:pos="0"/>
                <w:tab w:val="num" w:pos="720"/>
              </w:tabs>
              <w:suppressAutoHyphens/>
              <w:autoSpaceDE w:val="0"/>
              <w:autoSpaceDN w:val="0"/>
              <w:jc w:val="both"/>
              <w:textAlignment w:val="baseline"/>
              <w:rPr>
                <w:rFonts w:eastAsia="Times New Roman" w:cs="Arial"/>
                <w:color w:val="000000" w:themeColor="text1"/>
                <w:lang w:val="es-ES"/>
              </w:rPr>
            </w:pPr>
            <w:r w:rsidRPr="00B44C73">
              <w:rPr>
                <w:rFonts w:eastAsia="Times New Roman" w:cs="Arial"/>
                <w:color w:val="000000" w:themeColor="text1"/>
                <w:lang w:val="es-ES"/>
              </w:rPr>
              <w:t xml:space="preserve">8. </w:t>
            </w:r>
            <w:r w:rsidR="00B6296B" w:rsidRPr="002A134C">
              <w:rPr>
                <w:rFonts w:cs="Arial"/>
                <w:i/>
                <w:lang w:val="es-ES"/>
              </w:rPr>
              <w:t xml:space="preserve">Encarga </w:t>
            </w:r>
            <w:r w:rsidR="00B6296B" w:rsidRPr="002A134C">
              <w:rPr>
                <w:rFonts w:cs="Arial"/>
                <w:lang w:val="es-ES"/>
              </w:rPr>
              <w:t>a la Secretaría que</w:t>
            </w:r>
            <w:r w:rsidR="00B6296B" w:rsidRPr="002A134C">
              <w:rPr>
                <w:rFonts w:cs="Arial"/>
                <w:i/>
                <w:lang w:val="es-ES"/>
              </w:rPr>
              <w:t>,</w:t>
            </w:r>
            <w:r w:rsidR="00B6296B" w:rsidRPr="002A134C">
              <w:rPr>
                <w:rFonts w:cs="Arial"/>
                <w:lang w:val="es-ES"/>
              </w:rPr>
              <w:t xml:space="preserve"> </w:t>
            </w:r>
            <w:r w:rsidR="00B6296B" w:rsidRPr="00B6296B">
              <w:rPr>
                <w:rFonts w:cs="Arial"/>
                <w:strike/>
                <w:lang w:val="es-ES"/>
              </w:rPr>
              <w:t>en función de la financiación,</w:t>
            </w:r>
            <w:r w:rsidR="00B6296B" w:rsidRPr="002A134C">
              <w:rPr>
                <w:rFonts w:cs="Arial"/>
                <w:lang w:val="es-ES"/>
              </w:rPr>
              <w:t xml:space="preserve"> continúe con la coordinación de la implementación de la CAMI </w:t>
            </w:r>
            <w:r w:rsidR="00B6296B" w:rsidRPr="00ED48DB">
              <w:rPr>
                <w:rFonts w:cs="Arial"/>
                <w:strike/>
                <w:lang w:val="es-ES"/>
              </w:rPr>
              <w:t>y de su programa de trabajo</w:t>
            </w:r>
            <w:r w:rsidR="00B6296B" w:rsidRPr="002A134C">
              <w:rPr>
                <w:rFonts w:cs="Arial"/>
                <w:lang w:val="es-ES"/>
              </w:rPr>
              <w:t xml:space="preserve">, así como la implementación de memorandos de entendimiento sobre el antílope saiga y el ciervo de </w:t>
            </w:r>
            <w:r w:rsidR="00DE0F3A" w:rsidRPr="00DE0F3A">
              <w:rPr>
                <w:rFonts w:cs="Arial"/>
                <w:u w:val="single"/>
                <w:lang w:val="es-ES"/>
              </w:rPr>
              <w:t>Bukhara, así como la Estrategia para la conservación del leopardo persa en toda su área de distribución (2023-2032), el Plan de acción para la conservación del argalí (2024-2032) y el Plan de acción para el asno salvaje asiático en toda su área de distribución (2024-2033)</w:t>
            </w:r>
            <w:r w:rsidR="00DE0F3A" w:rsidRPr="00DE0F3A">
              <w:rPr>
                <w:rFonts w:cs="Arial"/>
                <w:lang w:val="es-ES"/>
              </w:rPr>
              <w:t>.</w:t>
            </w:r>
            <w:r w:rsidR="00B6296B" w:rsidRPr="002A134C">
              <w:rPr>
                <w:rFonts w:cs="Arial"/>
                <w:lang w:val="es-ES"/>
              </w:rPr>
              <w:t>, e</w:t>
            </w:r>
            <w:r w:rsidR="00B6296B" w:rsidRPr="00ED48DB">
              <w:rPr>
                <w:rFonts w:cs="Arial"/>
                <w:strike/>
                <w:lang w:val="es-ES"/>
              </w:rPr>
              <w:t>l Plan de Acción para Especies Individuales para el argalí y otros mandados de la CMS con relevancia para la CAMI</w:t>
            </w:r>
            <w:r w:rsidR="00B6296B" w:rsidRPr="002A134C">
              <w:rPr>
                <w:rFonts w:cs="Arial"/>
                <w:lang w:val="es-ES"/>
              </w:rPr>
              <w:t>;</w:t>
            </w:r>
          </w:p>
        </w:tc>
        <w:tc>
          <w:tcPr>
            <w:tcW w:w="3118" w:type="dxa"/>
          </w:tcPr>
          <w:p w14:paraId="40A08C30" w14:textId="5159D7B8" w:rsidR="00935ACE" w:rsidRPr="00B44C73" w:rsidRDefault="00B44C73">
            <w:pPr>
              <w:widowControl w:val="0"/>
              <w:autoSpaceDE w:val="0"/>
              <w:autoSpaceDN w:val="0"/>
              <w:adjustRightInd w:val="0"/>
              <w:spacing w:before="40" w:after="40"/>
              <w:jc w:val="both"/>
              <w:rPr>
                <w:rFonts w:eastAsia="Times New Roman" w:cs="Arial"/>
                <w:color w:val="000000" w:themeColor="text1"/>
                <w:lang w:val="es-ES"/>
              </w:rPr>
            </w:pPr>
            <w:r w:rsidRPr="00B44C73">
              <w:rPr>
                <w:rFonts w:eastAsia="Times New Roman" w:cs="Arial"/>
                <w:color w:val="000000" w:themeColor="text1"/>
                <w:lang w:val="es-ES"/>
              </w:rPr>
              <w:t>Se ha eliminado la frase «sujeto a financiación» de conformidad con las directrices del documento COP15 y se han actualizado los títulos de los instrumentos pertinentes.</w:t>
            </w:r>
          </w:p>
        </w:tc>
        <w:tc>
          <w:tcPr>
            <w:tcW w:w="5485" w:type="dxa"/>
          </w:tcPr>
          <w:p w14:paraId="6A2EE10E" w14:textId="11F40A96" w:rsidR="00935ACE" w:rsidRPr="00531B97" w:rsidRDefault="00531B97" w:rsidP="0027307C">
            <w:pPr>
              <w:pStyle w:val="ListParagraph"/>
              <w:numPr>
                <w:ilvl w:val="0"/>
                <w:numId w:val="11"/>
              </w:numPr>
              <w:spacing w:before="40" w:after="40"/>
              <w:ind w:left="360"/>
              <w:contextualSpacing w:val="0"/>
              <w:jc w:val="both"/>
              <w:rPr>
                <w:rFonts w:eastAsia="Arial" w:cs="Arial"/>
                <w:lang w:val="es-ES"/>
              </w:rPr>
            </w:pPr>
            <w:r w:rsidRPr="00531B97">
              <w:rPr>
                <w:rFonts w:eastAsia="Arial" w:cs="Arial"/>
                <w:i/>
                <w:iCs/>
                <w:lang w:val="es-ES"/>
              </w:rPr>
              <w:t xml:space="preserve">Encarga </w:t>
            </w:r>
            <w:r w:rsidRPr="00531B97">
              <w:rPr>
                <w:rFonts w:eastAsia="Arial" w:cs="Arial"/>
                <w:lang w:val="es-ES"/>
              </w:rPr>
              <w:t>a la Secretaría que continúe coordinando la aplicación de la CAMI y su programa de trabajo, así como la aplicación de los memorandos de entendimiento sobre el antílope saiga y el ciervo de Bukhara, la estrategia para la conservación del leopardo persa en toda su área de distribución (2023-2032), el plan de acción para la conservación del argalí (2024-2032) y el Plan de Acción para toda el área de distribución del asno salvaje asiático (2024-2033);</w:t>
            </w:r>
          </w:p>
        </w:tc>
      </w:tr>
      <w:tr w:rsidR="00935ACE" w:rsidRPr="004070C5" w14:paraId="5CBA8480" w14:textId="77777777" w:rsidTr="00F716F1">
        <w:trPr>
          <w:cantSplit/>
        </w:trPr>
        <w:tc>
          <w:tcPr>
            <w:tcW w:w="5949" w:type="dxa"/>
          </w:tcPr>
          <w:p w14:paraId="058C39B3" w14:textId="4D5FA098" w:rsidR="00935ACE" w:rsidRPr="0059420F" w:rsidRDefault="00935ACE">
            <w:pPr>
              <w:suppressAutoHyphens/>
              <w:spacing w:before="40" w:after="40"/>
              <w:jc w:val="both"/>
              <w:rPr>
                <w:rFonts w:cs="Arial"/>
                <w:lang w:val="es-ES"/>
              </w:rPr>
            </w:pPr>
            <w:r w:rsidRPr="00B44C73">
              <w:rPr>
                <w:rFonts w:cs="Arial"/>
                <w:i/>
                <w:lang w:val="es-ES"/>
              </w:rPr>
              <w:lastRenderedPageBreak/>
              <w:t>9.</w:t>
            </w:r>
            <w:r w:rsidR="0059420F" w:rsidRPr="002A134C">
              <w:rPr>
                <w:rFonts w:cs="Arial"/>
                <w:i/>
                <w:lang w:val="es-ES" w:eastAsia="ar-SA"/>
              </w:rPr>
              <w:t xml:space="preserve"> Solicita</w:t>
            </w:r>
            <w:r w:rsidR="0059420F" w:rsidRPr="002A134C">
              <w:rPr>
                <w:rFonts w:cs="Arial"/>
                <w:lang w:val="es-ES" w:eastAsia="ar-SA"/>
              </w:rPr>
              <w:t xml:space="preserve"> a las Partes e </w:t>
            </w:r>
            <w:r w:rsidR="0059420F" w:rsidRPr="002A134C">
              <w:rPr>
                <w:rFonts w:cs="Arial"/>
                <w:i/>
                <w:lang w:val="es-ES" w:eastAsia="ar-SA"/>
              </w:rPr>
              <w:t>invita</w:t>
            </w:r>
            <w:r w:rsidR="0059420F" w:rsidRPr="002A134C">
              <w:rPr>
                <w:rFonts w:cs="Arial"/>
                <w:lang w:val="es-ES" w:eastAsia="ar-SA"/>
              </w:rPr>
              <w:t xml:space="preserve"> a todos los Estados del área de distribución, a las organizaciones socias, a los donantes y al sector privado a participar en la CAMI y proporcionar recursos financieros y en especie a fin de apoyar su coordinación </w:t>
            </w:r>
            <w:r w:rsidR="0059420F" w:rsidRPr="009C73AD">
              <w:rPr>
                <w:rFonts w:cs="Arial"/>
                <w:lang w:val="es-ES" w:eastAsia="ar-SA"/>
              </w:rPr>
              <w:t>y su plena y oportuna implementación</w:t>
            </w:r>
            <w:r w:rsidR="009C73AD">
              <w:rPr>
                <w:rFonts w:cs="Arial"/>
                <w:lang w:val="es-ES" w:eastAsia="ar-SA"/>
              </w:rPr>
              <w:t xml:space="preserve"> </w:t>
            </w:r>
            <w:r w:rsidR="009C73AD">
              <w:rPr>
                <w:rFonts w:cs="Arial"/>
                <w:u w:val="single"/>
                <w:lang w:val="es-ES" w:eastAsia="ar-SA"/>
              </w:rPr>
              <w:t xml:space="preserve">de su </w:t>
            </w:r>
            <w:r w:rsidR="00410A51">
              <w:rPr>
                <w:rFonts w:cs="Arial"/>
                <w:u w:val="single"/>
                <w:lang w:val="es-ES" w:eastAsia="ar-SA"/>
              </w:rPr>
              <w:t>Programa de trabajo</w:t>
            </w:r>
            <w:r w:rsidR="0059420F" w:rsidRPr="009C73AD">
              <w:rPr>
                <w:rFonts w:cs="Arial"/>
                <w:lang w:val="es-ES" w:eastAsia="ar-SA"/>
              </w:rPr>
              <w:t>;</w:t>
            </w:r>
          </w:p>
        </w:tc>
        <w:tc>
          <w:tcPr>
            <w:tcW w:w="3118" w:type="dxa"/>
          </w:tcPr>
          <w:p w14:paraId="6F8E3728" w14:textId="507EDA6F" w:rsidR="00935ACE" w:rsidRPr="003E6A02" w:rsidRDefault="003E6A02">
            <w:pPr>
              <w:widowControl w:val="0"/>
              <w:autoSpaceDE w:val="0"/>
              <w:autoSpaceDN w:val="0"/>
              <w:adjustRightInd w:val="0"/>
              <w:spacing w:before="40" w:after="40"/>
              <w:jc w:val="both"/>
              <w:rPr>
                <w:rFonts w:eastAsia="Times New Roman" w:cs="Arial"/>
                <w:color w:val="000000" w:themeColor="text1"/>
                <w:lang w:val="es-ES"/>
              </w:rPr>
            </w:pPr>
            <w:r w:rsidRPr="003E6A02">
              <w:rPr>
                <w:rFonts w:eastAsia="Times New Roman" w:cs="Arial"/>
                <w:color w:val="000000" w:themeColor="text1"/>
                <w:lang w:val="es-ES"/>
              </w:rPr>
              <w:t xml:space="preserve">Se aclara que se aplicará el documento de trabajo CAMI, incluidos todos los instrumentos a los que se hace referencia en él, que también se mencionan en el nuevo párrafo operativo 5 </w:t>
            </w:r>
            <w:r>
              <w:rPr>
                <w:rFonts w:eastAsia="Times New Roman" w:cs="Arial"/>
                <w:color w:val="000000" w:themeColor="text1"/>
                <w:lang w:val="es-ES"/>
              </w:rPr>
              <w:t>anterior</w:t>
            </w:r>
            <w:r w:rsidRPr="003E6A02">
              <w:rPr>
                <w:rFonts w:eastAsia="Times New Roman" w:cs="Arial"/>
                <w:color w:val="000000" w:themeColor="text1"/>
                <w:lang w:val="es-ES"/>
              </w:rPr>
              <w:t>.</w:t>
            </w:r>
          </w:p>
        </w:tc>
        <w:tc>
          <w:tcPr>
            <w:tcW w:w="5485" w:type="dxa"/>
          </w:tcPr>
          <w:p w14:paraId="3DE6DD09" w14:textId="24E1F078" w:rsidR="00935ACE" w:rsidRPr="00040F1E" w:rsidRDefault="00040F1E" w:rsidP="0027307C">
            <w:pPr>
              <w:pStyle w:val="ListParagraph"/>
              <w:numPr>
                <w:ilvl w:val="0"/>
                <w:numId w:val="11"/>
              </w:numPr>
              <w:spacing w:before="40" w:after="40"/>
              <w:ind w:left="360"/>
              <w:contextualSpacing w:val="0"/>
              <w:jc w:val="both"/>
              <w:rPr>
                <w:rFonts w:cs="Arial"/>
                <w:i/>
                <w:lang w:val="es-ES"/>
              </w:rPr>
            </w:pPr>
            <w:r w:rsidRPr="00040F1E">
              <w:rPr>
                <w:rFonts w:eastAsia="Arial" w:cs="Arial"/>
                <w:i/>
                <w:iCs/>
                <w:lang w:val="es-ES"/>
              </w:rPr>
              <w:t xml:space="preserve">Solicita </w:t>
            </w:r>
            <w:r w:rsidRPr="00040F1E">
              <w:rPr>
                <w:rFonts w:eastAsia="Arial" w:cs="Arial"/>
                <w:lang w:val="es-ES"/>
              </w:rPr>
              <w:t xml:space="preserve">a las Partes e invita a todos los Estados del área de distribución, organizaciones asociadas, donantes y al sector privado a participar en la CAMI y a proporcionar recursos financieros o en especie para apoyar su coordinación y aplicar plena y oportunamente su </w:t>
            </w:r>
            <w:r>
              <w:rPr>
                <w:rFonts w:eastAsia="Arial" w:cs="Arial"/>
                <w:lang w:val="es-ES"/>
              </w:rPr>
              <w:t>P</w:t>
            </w:r>
            <w:r w:rsidRPr="00040F1E">
              <w:rPr>
                <w:rFonts w:eastAsia="Arial" w:cs="Arial"/>
                <w:lang w:val="es-ES"/>
              </w:rPr>
              <w:t>rograma de trabajo;</w:t>
            </w:r>
          </w:p>
        </w:tc>
      </w:tr>
      <w:tr w:rsidR="00935ACE" w:rsidRPr="004070C5" w14:paraId="7463FEC1" w14:textId="77777777" w:rsidTr="00F716F1">
        <w:trPr>
          <w:cantSplit/>
        </w:trPr>
        <w:tc>
          <w:tcPr>
            <w:tcW w:w="5949" w:type="dxa"/>
          </w:tcPr>
          <w:p w14:paraId="7A7A015B" w14:textId="14319B2B" w:rsidR="00935ACE" w:rsidRPr="00DC4B8D" w:rsidRDefault="00935ACE">
            <w:pPr>
              <w:suppressAutoHyphens/>
              <w:spacing w:before="40" w:after="40"/>
              <w:jc w:val="both"/>
              <w:rPr>
                <w:rFonts w:cs="Arial"/>
                <w:i/>
                <w:lang w:val="es-ES"/>
              </w:rPr>
            </w:pPr>
            <w:r w:rsidRPr="00DC4B8D">
              <w:rPr>
                <w:rFonts w:cs="Arial"/>
                <w:i/>
                <w:lang w:val="es-ES"/>
              </w:rPr>
              <w:lastRenderedPageBreak/>
              <w:t>10.</w:t>
            </w:r>
            <w:r w:rsidR="00BF642C" w:rsidRPr="00DC4B8D">
              <w:rPr>
                <w:rFonts w:cs="Arial"/>
                <w:i/>
                <w:lang w:val="es-ES" w:eastAsia="ar-SA"/>
              </w:rPr>
              <w:t xml:space="preserve"> Hace un llamado</w:t>
            </w:r>
            <w:r w:rsidR="00BF642C" w:rsidRPr="00DC4B8D">
              <w:rPr>
                <w:rFonts w:cs="Arial"/>
                <w:lang w:val="es-ES" w:eastAsia="ar-SA"/>
              </w:rPr>
              <w:t xml:space="preserve"> </w:t>
            </w:r>
            <w:r w:rsidR="00E06499" w:rsidRPr="00E06499">
              <w:rPr>
                <w:rFonts w:cs="Arial"/>
                <w:lang w:val="es-ES" w:eastAsia="ar-SA"/>
              </w:rPr>
              <w:t xml:space="preserve">a los Estados del área de distribución a que refuercen su cooperación transfronteriza </w:t>
            </w:r>
            <w:r w:rsidR="00E06499" w:rsidRPr="00DC4B8D">
              <w:rPr>
                <w:rFonts w:cs="Arial"/>
                <w:u w:val="single"/>
                <w:lang w:val="es-ES" w:eastAsia="ar-SA"/>
              </w:rPr>
              <w:t>para aplicar el Programa de Trabajo 2026-2032, entre otras cosas, utilizando foros internacionales y regionales, como el Grupo de Trabajo sobre el Medio Ambiente de la Organización de Cooperación de Shanghái, el Centro Regional de las Naciones Unidas para los Objetivos de Desarrollo Sostenible en Asia Central y Afganistán, el Centro Regional de Medio Ambiente de Asia Central, el Programa de las Naciones Unidas para el Desarrollo y la Convención de las Naciones Unidas de Lucha contra la Desertificación (CNULD) (incluidas las reuniones del Enlace Regional para Asia, el Grupo Interregional Asia Central-Rusia y la Estrategia Regional para la Gestión y Mitigación del Riesgo de Sequía en Asia Central), la Estrategia Regional para la Adaptación al Cambio Climático en Asia Central en apoyo de la aplicación de la Convención Marco de las Naciones Unidas sobre el Cambio Climático (CMNUCC), la Red de Acción Climática del Sur de Asia, el Centro Internacional para el Desarrollo Integrado de las Montañas, el Programa Mundial para la Protección del Leopardo de las Nieves y su Ecosistema, la Alianza Internacional para los Grandes Felinos y otros;</w:t>
            </w:r>
          </w:p>
        </w:tc>
        <w:tc>
          <w:tcPr>
            <w:tcW w:w="3118" w:type="dxa"/>
          </w:tcPr>
          <w:p w14:paraId="3592FE9D" w14:textId="217BFA76" w:rsidR="00935ACE" w:rsidRPr="009D2295" w:rsidRDefault="009D2295">
            <w:pPr>
              <w:widowControl w:val="0"/>
              <w:autoSpaceDE w:val="0"/>
              <w:autoSpaceDN w:val="0"/>
              <w:adjustRightInd w:val="0"/>
              <w:spacing w:before="40" w:after="40"/>
              <w:jc w:val="both"/>
              <w:rPr>
                <w:rFonts w:eastAsia="Times New Roman" w:cs="Arial"/>
                <w:color w:val="000000" w:themeColor="text1"/>
                <w:lang w:val="es-ES"/>
              </w:rPr>
            </w:pPr>
            <w:r w:rsidRPr="009D2295">
              <w:rPr>
                <w:rFonts w:eastAsia="Times New Roman" w:cs="Arial"/>
                <w:color w:val="000000" w:themeColor="text1"/>
                <w:lang w:val="es-ES"/>
              </w:rPr>
              <w:t>Para mayor claridad, se enumeran explícitamente los foros internacionales y regionales específicos.</w:t>
            </w:r>
          </w:p>
        </w:tc>
        <w:tc>
          <w:tcPr>
            <w:tcW w:w="5485" w:type="dxa"/>
          </w:tcPr>
          <w:p w14:paraId="633E9EEE" w14:textId="6B032D15" w:rsidR="00935ACE" w:rsidRPr="00E06499" w:rsidRDefault="00E06499" w:rsidP="0027307C">
            <w:pPr>
              <w:pStyle w:val="ListParagraph"/>
              <w:numPr>
                <w:ilvl w:val="0"/>
                <w:numId w:val="11"/>
              </w:numPr>
              <w:spacing w:before="40" w:after="40"/>
              <w:ind w:left="360"/>
              <w:contextualSpacing w:val="0"/>
              <w:jc w:val="both"/>
              <w:rPr>
                <w:rFonts w:cs="Arial"/>
                <w:i/>
                <w:lang w:val="es-ES"/>
              </w:rPr>
            </w:pPr>
            <w:r>
              <w:rPr>
                <w:rFonts w:eastAsia="Arial" w:cs="Arial"/>
                <w:i/>
                <w:iCs/>
                <w:lang w:val="es-ES"/>
              </w:rPr>
              <w:t>Hace un llamado</w:t>
            </w:r>
            <w:r w:rsidRPr="00E06499">
              <w:rPr>
                <w:rFonts w:eastAsia="Arial" w:cs="Arial"/>
                <w:i/>
                <w:iCs/>
                <w:lang w:val="es-ES"/>
              </w:rPr>
              <w:t xml:space="preserve"> </w:t>
            </w:r>
            <w:r w:rsidRPr="00E06499">
              <w:rPr>
                <w:rFonts w:eastAsia="Arial" w:cs="Arial"/>
                <w:lang w:val="es-ES"/>
              </w:rPr>
              <w:t>a los Estados del área de distribución a que refuercen su cooperación transfronteriza para aplicar el Programa de Trabajo 2026-2032, entre otras cosas, utilizando foros internacionales y regionales, como el Grupo de Trabajo sobre el Medio Ambiente de la Organización de Cooperación de Shanghái, el Centro Regional de las Naciones Unidas para los Objetivos de Desarrollo Sostenible en Asia Central y Afganistán, el Centro Regional de Medio Ambiente de Asia Central, el Programa de las Naciones Unidas para el Desarrollo y la Convención de las Naciones Unidas de Lucha contra la Desertificación (CNULD) (incluidas las reuniones del Enlace Regional para Asia, el Grupo Interregional Asia Central-Rusia y la Estrategia Regional para la Gestión y Mitigación del Riesgo de Sequía en Asia Central), la Estrategia Regional para la Adaptación al Cambio Climático en Asia Central en apoyo de la aplicación de la Convención Marco de las Naciones Unidas sobre el Cambio Climático (CMNUCC), la Red de Acción Climática del Sur de Asia, el Centro Internacional para el Desarrollo Integrado de las Montañas, el Programa Mundial para la Protección del Leopardo de las Nieves y su Ecosistema, la Alianza Internacional para los Grandes Felinos y otros;</w:t>
            </w:r>
          </w:p>
        </w:tc>
      </w:tr>
      <w:tr w:rsidR="00935ACE" w:rsidRPr="004070C5" w14:paraId="039C13F4" w14:textId="77777777" w:rsidTr="00F716F1">
        <w:trPr>
          <w:cantSplit/>
        </w:trPr>
        <w:tc>
          <w:tcPr>
            <w:tcW w:w="5949" w:type="dxa"/>
          </w:tcPr>
          <w:p w14:paraId="3B311A57" w14:textId="0A8CFE0B" w:rsidR="00935ACE" w:rsidRPr="00B0512D" w:rsidRDefault="00935ACE">
            <w:pPr>
              <w:suppressAutoHyphens/>
              <w:spacing w:before="40" w:after="40"/>
              <w:jc w:val="both"/>
              <w:rPr>
                <w:rFonts w:cs="Arial"/>
                <w:u w:val="single"/>
                <w:lang w:val="es-ES"/>
              </w:rPr>
            </w:pPr>
            <w:r w:rsidRPr="004070C5">
              <w:rPr>
                <w:rFonts w:cs="Arial"/>
                <w:iCs/>
                <w:lang w:val="es-ES"/>
              </w:rPr>
              <w:lastRenderedPageBreak/>
              <w:t>10 bis.</w:t>
            </w:r>
            <w:r w:rsidRPr="004070C5">
              <w:rPr>
                <w:rFonts w:cs="Arial"/>
                <w:i/>
                <w:lang w:val="es-ES"/>
              </w:rPr>
              <w:t xml:space="preserve"> </w:t>
            </w:r>
            <w:r w:rsidR="00B0512D" w:rsidRPr="00B0512D">
              <w:rPr>
                <w:rFonts w:cs="Arial"/>
                <w:i/>
                <w:u w:val="single"/>
                <w:lang w:val="es-ES"/>
              </w:rPr>
              <w:t xml:space="preserve">Exhorta </w:t>
            </w:r>
            <w:r w:rsidR="00B0512D" w:rsidRPr="00B0512D">
              <w:rPr>
                <w:rFonts w:cs="Arial"/>
                <w:iCs/>
                <w:u w:val="single"/>
                <w:lang w:val="es-ES"/>
              </w:rPr>
              <w:t>a los Estados del área de distribución a que intensifiquen sus esfuerzos nacionales para  integrar las necesidades de las especies migratorias en las leyes y políticas pertinentes, como las relativas a la caza, las áreas protegidas, los corredores ecológicos, el uso sostenible de la tierra y la gestión de los pastizales, la evaluación del impacto ambiental y las medidas de adaptación al cambio climático y mitigación de sus efectos, entre otras cosas, incluyendo la conservación de las especies migratorias y otros animales silvestres en las contribuciones determinadas a nivel nacional, los planes nacionales de adaptación y los objetivos de neutralidad en la degradación de las tierras.</w:t>
            </w:r>
            <w:r w:rsidRPr="00B0512D">
              <w:rPr>
                <w:rFonts w:cs="Arial"/>
                <w:iCs/>
                <w:u w:val="single"/>
                <w:lang w:val="es-ES"/>
              </w:rPr>
              <w:t>;</w:t>
            </w:r>
          </w:p>
          <w:p w14:paraId="65CC488E" w14:textId="77777777" w:rsidR="00935ACE" w:rsidRPr="00B0512D" w:rsidRDefault="00935ACE">
            <w:pPr>
              <w:suppressAutoHyphens/>
              <w:spacing w:before="40" w:after="40"/>
              <w:jc w:val="both"/>
              <w:rPr>
                <w:rFonts w:cs="Arial"/>
                <w:i/>
                <w:lang w:val="es-ES"/>
              </w:rPr>
            </w:pPr>
          </w:p>
        </w:tc>
        <w:tc>
          <w:tcPr>
            <w:tcW w:w="3118" w:type="dxa"/>
          </w:tcPr>
          <w:p w14:paraId="69085E54" w14:textId="537C7D74" w:rsidR="00935ACE" w:rsidRPr="009D2295" w:rsidRDefault="009D2295">
            <w:pPr>
              <w:widowControl w:val="0"/>
              <w:autoSpaceDE w:val="0"/>
              <w:autoSpaceDN w:val="0"/>
              <w:adjustRightInd w:val="0"/>
              <w:spacing w:before="40" w:after="40"/>
              <w:jc w:val="both"/>
              <w:rPr>
                <w:rFonts w:eastAsia="Times New Roman" w:cs="Arial"/>
                <w:color w:val="000000" w:themeColor="text1"/>
                <w:lang w:val="es-ES"/>
              </w:rPr>
            </w:pPr>
            <w:r w:rsidRPr="009D2295">
              <w:rPr>
                <w:rFonts w:eastAsia="Times New Roman" w:cs="Arial"/>
                <w:color w:val="000000" w:themeColor="text1"/>
                <w:lang w:val="es-ES"/>
              </w:rPr>
              <w:t>Recomendación derivada del Proyecto sobre Mamíferos y Adaptación Climática en Asia Central, financiado por la Iniciativa Internacional sobre el Clima del Gobierno alemán, que actualmente se encuentra en fase de finalización.</w:t>
            </w:r>
            <w:r w:rsidR="00935ACE" w:rsidRPr="009D2295">
              <w:rPr>
                <w:rFonts w:eastAsia="Times New Roman" w:cs="Arial"/>
                <w:color w:val="000000" w:themeColor="text1"/>
                <w:lang w:val="es-ES"/>
              </w:rPr>
              <w:t xml:space="preserve"> </w:t>
            </w:r>
          </w:p>
        </w:tc>
        <w:tc>
          <w:tcPr>
            <w:tcW w:w="5485" w:type="dxa"/>
          </w:tcPr>
          <w:p w14:paraId="0117A831" w14:textId="2A61CFF5" w:rsidR="00935ACE" w:rsidRPr="00527934" w:rsidRDefault="00B0512D" w:rsidP="0027307C">
            <w:pPr>
              <w:pStyle w:val="ListParagraph"/>
              <w:numPr>
                <w:ilvl w:val="0"/>
                <w:numId w:val="11"/>
              </w:numPr>
              <w:spacing w:before="40" w:after="40"/>
              <w:ind w:left="360"/>
              <w:contextualSpacing w:val="0"/>
              <w:jc w:val="both"/>
              <w:rPr>
                <w:rFonts w:cs="Arial"/>
                <w:iCs/>
                <w:lang w:val="es-ES"/>
              </w:rPr>
            </w:pPr>
            <w:r w:rsidRPr="00527934">
              <w:rPr>
                <w:rFonts w:cs="Arial"/>
                <w:iCs/>
                <w:lang w:val="es-ES"/>
              </w:rPr>
              <w:t>Exhorta a los Estados del área de distribución a que intensifiquen sus esfuerzos nacionales para  integrar las necesidades de las especies migratorias en las leyes y políticas pertinentes, como las relativas a la caza, las áreas protegidas, los corredores ecológicos, el uso sostenible de la tierra y la gestión de los pastizales, la evaluación del impacto ambiental y las medidas de adaptación al cambio climático y mitigación de sus efectos, entre otras cosas, incluyendo la conservación de las especies migratorias y otros animales silvestres en las contribuciones determinadas a nivel nacional, los planes nacionales de adaptación y los objetivos de neutralidad en la degradación de las tierras</w:t>
            </w:r>
            <w:r w:rsidR="00935ACE" w:rsidRPr="00527934">
              <w:rPr>
                <w:rFonts w:cs="Arial"/>
                <w:iCs/>
                <w:lang w:val="es-ES"/>
              </w:rPr>
              <w:t>;</w:t>
            </w:r>
          </w:p>
        </w:tc>
      </w:tr>
      <w:tr w:rsidR="00935ACE" w:rsidRPr="004070C5" w14:paraId="58CE04A4" w14:textId="77777777" w:rsidTr="00F716F1">
        <w:trPr>
          <w:cantSplit/>
        </w:trPr>
        <w:tc>
          <w:tcPr>
            <w:tcW w:w="5949" w:type="dxa"/>
          </w:tcPr>
          <w:p w14:paraId="15B63B4E" w14:textId="277C3C8A" w:rsidR="00935ACE" w:rsidRPr="0027307C" w:rsidRDefault="00935ACE">
            <w:pPr>
              <w:suppressAutoHyphens/>
              <w:spacing w:before="40" w:after="40"/>
              <w:jc w:val="both"/>
              <w:rPr>
                <w:rFonts w:cs="Arial"/>
                <w:lang w:val="es-ES"/>
              </w:rPr>
            </w:pPr>
            <w:r w:rsidRPr="009D2295">
              <w:rPr>
                <w:rFonts w:cs="Arial"/>
                <w:iCs/>
                <w:lang w:val="es-ES"/>
              </w:rPr>
              <w:t>11.</w:t>
            </w:r>
            <w:r w:rsidR="00BE7E24" w:rsidRPr="0027307C">
              <w:rPr>
                <w:rFonts w:cs="Arial"/>
                <w:i/>
                <w:lang w:val="es-ES"/>
              </w:rPr>
              <w:t xml:space="preserve"> Solicita</w:t>
            </w:r>
            <w:r w:rsidR="00BE7E24" w:rsidRPr="0027307C">
              <w:rPr>
                <w:rFonts w:cs="Arial"/>
                <w:lang w:val="es-ES"/>
              </w:rPr>
              <w:t xml:space="preserve"> </w:t>
            </w:r>
            <w:r w:rsidR="00BE7E24" w:rsidRPr="0027307C">
              <w:rPr>
                <w:rFonts w:cs="Arial"/>
                <w:strike/>
                <w:lang w:val="es-ES"/>
              </w:rPr>
              <w:t xml:space="preserve">al Consejo Científico y </w:t>
            </w:r>
            <w:r w:rsidR="00BE7E24" w:rsidRPr="0027307C">
              <w:rPr>
                <w:rFonts w:cs="Arial"/>
                <w:lang w:val="es-ES"/>
              </w:rPr>
              <w:t>a la Secretaría</w:t>
            </w:r>
            <w:r w:rsidR="00BE7E24" w:rsidRPr="0027307C">
              <w:rPr>
                <w:rFonts w:cs="Arial"/>
                <w:strike/>
                <w:lang w:val="es-ES"/>
              </w:rPr>
              <w:t>, sujeto a la disponibilidad de fondos,</w:t>
            </w:r>
            <w:r w:rsidR="00BE7E24" w:rsidRPr="0027307C">
              <w:rPr>
                <w:rFonts w:cs="Arial"/>
                <w:lang w:val="es-ES"/>
              </w:rPr>
              <w:t xml:space="preserve"> que continúe</w:t>
            </w:r>
            <w:r w:rsidR="00BE7E24" w:rsidRPr="0027307C">
              <w:rPr>
                <w:rFonts w:cs="Arial"/>
                <w:strike/>
                <w:lang w:val="es-ES"/>
              </w:rPr>
              <w:t>n</w:t>
            </w:r>
            <w:r w:rsidR="00BE7E24" w:rsidRPr="0027307C">
              <w:rPr>
                <w:rFonts w:cs="Arial"/>
                <w:lang w:val="es-ES"/>
              </w:rPr>
              <w:t xml:space="preserve"> e intensifique</w:t>
            </w:r>
            <w:r w:rsidR="00BE7E24" w:rsidRPr="0027307C">
              <w:rPr>
                <w:rFonts w:cs="Arial"/>
                <w:strike/>
                <w:lang w:val="es-ES"/>
              </w:rPr>
              <w:t>n</w:t>
            </w:r>
            <w:r w:rsidR="00BE7E24" w:rsidRPr="0027307C">
              <w:rPr>
                <w:rFonts w:cs="Arial"/>
                <w:lang w:val="es-ES"/>
              </w:rPr>
              <w:t xml:space="preserve"> sus esfuerzos para colaborar con otros foros</w:t>
            </w:r>
            <w:r w:rsidR="00335B79" w:rsidRPr="0027307C">
              <w:rPr>
                <w:rFonts w:cs="Arial"/>
                <w:u w:val="single"/>
                <w:lang w:val="es-ES"/>
              </w:rPr>
              <w:t>, como los antes mencionados</w:t>
            </w:r>
            <w:r w:rsidR="00BE7E24" w:rsidRPr="0027307C">
              <w:rPr>
                <w:rFonts w:cs="Arial"/>
                <w:lang w:val="es-ES"/>
              </w:rPr>
              <w:t xml:space="preserve"> internacionales pertinentes, con miras a fortalecer las sinergias y la aplicación de la CMS y el CAMI</w:t>
            </w:r>
            <w:r w:rsidRPr="0027307C">
              <w:rPr>
                <w:rFonts w:cs="Arial"/>
                <w:u w:val="single"/>
                <w:lang w:val="es-ES"/>
              </w:rPr>
              <w:t xml:space="preserve"> </w:t>
            </w:r>
            <w:r w:rsidR="00701364" w:rsidRPr="00701364">
              <w:rPr>
                <w:rFonts w:cs="Arial"/>
                <w:u w:val="single"/>
                <w:lang w:val="es-ES"/>
              </w:rPr>
              <w:t>e informar en cada reunión ordinaria de la Conferencia de las Partes sobre los avances en la aplicación de la presente Resolución</w:t>
            </w:r>
            <w:r w:rsidRPr="0027307C">
              <w:rPr>
                <w:rFonts w:cs="Arial"/>
                <w:lang w:val="es-ES"/>
              </w:rPr>
              <w:t>.</w:t>
            </w:r>
          </w:p>
          <w:p w14:paraId="0B0DDF23" w14:textId="77777777" w:rsidR="00935ACE" w:rsidRPr="0027307C" w:rsidRDefault="00935ACE">
            <w:pPr>
              <w:suppressAutoHyphens/>
              <w:spacing w:before="40" w:after="40"/>
              <w:jc w:val="both"/>
              <w:rPr>
                <w:rFonts w:cs="Arial"/>
                <w:iCs/>
                <w:lang w:val="es-ES"/>
              </w:rPr>
            </w:pPr>
          </w:p>
        </w:tc>
        <w:tc>
          <w:tcPr>
            <w:tcW w:w="3118" w:type="dxa"/>
          </w:tcPr>
          <w:p w14:paraId="2E35F3F9" w14:textId="6D757891" w:rsidR="00935ACE" w:rsidRPr="00701364" w:rsidRDefault="00701364">
            <w:pPr>
              <w:widowControl w:val="0"/>
              <w:autoSpaceDE w:val="0"/>
              <w:autoSpaceDN w:val="0"/>
              <w:adjustRightInd w:val="0"/>
              <w:spacing w:before="40" w:after="40"/>
              <w:jc w:val="both"/>
              <w:rPr>
                <w:rFonts w:eastAsia="Times New Roman" w:cs="Arial"/>
                <w:color w:val="000000" w:themeColor="text1"/>
                <w:lang w:val="es-ES"/>
              </w:rPr>
            </w:pPr>
            <w:r w:rsidRPr="00701364">
              <w:rPr>
                <w:rFonts w:eastAsia="Times New Roman" w:cs="Arial"/>
                <w:color w:val="000000" w:themeColor="text1"/>
                <w:lang w:val="es-ES"/>
              </w:rPr>
              <w:t>No entra dentro del mandato del Consejo Científico. Se ha eliminado la frase «siempre que haya fondos disponibles» de acuerdo con las directrices del documento de la COP15.</w:t>
            </w:r>
          </w:p>
        </w:tc>
        <w:tc>
          <w:tcPr>
            <w:tcW w:w="5485" w:type="dxa"/>
          </w:tcPr>
          <w:p w14:paraId="66DD7492" w14:textId="6E77547D" w:rsidR="00935ACE" w:rsidRPr="00527934" w:rsidRDefault="00527934" w:rsidP="0027307C">
            <w:pPr>
              <w:numPr>
                <w:ilvl w:val="0"/>
                <w:numId w:val="11"/>
              </w:numPr>
              <w:spacing w:before="40" w:after="40"/>
              <w:ind w:left="361"/>
              <w:jc w:val="both"/>
              <w:rPr>
                <w:rFonts w:cs="Arial"/>
                <w:i/>
                <w:lang w:val="es-ES"/>
              </w:rPr>
            </w:pPr>
            <w:r w:rsidRPr="00527934">
              <w:rPr>
                <w:rFonts w:eastAsia="Arial" w:cs="Arial"/>
                <w:i/>
                <w:iCs/>
                <w:lang w:val="es-ES"/>
              </w:rPr>
              <w:t xml:space="preserve">Solicita </w:t>
            </w:r>
            <w:r w:rsidRPr="00527934">
              <w:rPr>
                <w:rFonts w:eastAsia="Arial" w:cs="Arial"/>
                <w:lang w:val="es-ES"/>
              </w:rPr>
              <w:t>a la Secretaría que continúe y refuerce sus esfuerzos para colaborar con otros foros internacionales pertinentes, como los mencionados anteriormente, con miras a fortalecer las sinergias y la aplicación de la CMS y la CAMI, y que informe a cada reunión ordinaria de la Conferencia de las Partes sobre los progresos realizados en la aplicación de la presente Resolución.</w:t>
            </w:r>
          </w:p>
        </w:tc>
      </w:tr>
    </w:tbl>
    <w:p w14:paraId="400353AE" w14:textId="77777777" w:rsidR="00935ACE" w:rsidRPr="00527934" w:rsidRDefault="00935ACE" w:rsidP="005E59F8">
      <w:pPr>
        <w:pStyle w:val="Secondnumbering"/>
        <w:numPr>
          <w:ilvl w:val="0"/>
          <w:numId w:val="0"/>
        </w:numPr>
        <w:ind w:left="360" w:hanging="360"/>
        <w:jc w:val="both"/>
        <w:rPr>
          <w:rFonts w:cs="Arial"/>
          <w:lang w:val="es-ES"/>
        </w:rPr>
        <w:sectPr w:rsidR="00935ACE" w:rsidRPr="00527934" w:rsidSect="005E59F8">
          <w:headerReference w:type="even" r:id="rId29"/>
          <w:headerReference w:type="default" r:id="rId30"/>
          <w:headerReference w:type="first" r:id="rId31"/>
          <w:pgSz w:w="16838" w:h="11906" w:orient="landscape" w:code="9"/>
          <w:pgMar w:top="1440" w:right="1440" w:bottom="1440" w:left="1440" w:header="720" w:footer="720" w:gutter="0"/>
          <w:cols w:space="720"/>
          <w:titlePg/>
          <w:docGrid w:linePitch="360"/>
        </w:sectPr>
      </w:pPr>
    </w:p>
    <w:p w14:paraId="14D3A7F8" w14:textId="77777777" w:rsidR="004D3225" w:rsidRPr="00124885" w:rsidRDefault="004D3225" w:rsidP="004D3225">
      <w:pPr>
        <w:pStyle w:val="P68B1DB1-Normal34"/>
        <w:spacing w:after="0" w:line="240" w:lineRule="auto"/>
        <w:jc w:val="right"/>
        <w:rPr>
          <w:lang w:val="es-ES"/>
        </w:rPr>
      </w:pPr>
      <w:r w:rsidRPr="00124885">
        <w:rPr>
          <w:lang w:val="es-ES"/>
        </w:rPr>
        <w:lastRenderedPageBreak/>
        <w:t>Anexo a la Resolución 11.24 (Rev.COP13)</w:t>
      </w:r>
    </w:p>
    <w:p w14:paraId="16DF90F7" w14:textId="77777777" w:rsidR="004D3225" w:rsidRPr="00124885" w:rsidRDefault="004D3225" w:rsidP="004D3225">
      <w:pPr>
        <w:spacing w:after="0" w:line="240" w:lineRule="auto"/>
        <w:jc w:val="center"/>
        <w:rPr>
          <w:rFonts w:eastAsia="Aptos" w:cs="Arial"/>
          <w:b/>
          <w:lang w:val="es-ES"/>
        </w:rPr>
      </w:pPr>
    </w:p>
    <w:p w14:paraId="19C90C3B" w14:textId="77777777" w:rsidR="004D3225" w:rsidRPr="00124885" w:rsidRDefault="004D3225" w:rsidP="004D3225">
      <w:pPr>
        <w:pStyle w:val="P68B1DB1-Normal35"/>
        <w:spacing w:after="0" w:line="240" w:lineRule="auto"/>
        <w:jc w:val="center"/>
        <w:rPr>
          <w:lang w:val="es-ES"/>
        </w:rPr>
      </w:pPr>
      <w:r w:rsidRPr="00124885">
        <w:rPr>
          <w:lang w:val="es-ES"/>
        </w:rPr>
        <w:t>[Téngase en cuenta que todo este Anexo es nuevo]</w:t>
      </w:r>
    </w:p>
    <w:p w14:paraId="50E6E543" w14:textId="77777777" w:rsidR="004D3225" w:rsidRPr="00124885" w:rsidRDefault="004D3225" w:rsidP="004D3225">
      <w:pPr>
        <w:spacing w:after="0" w:line="240" w:lineRule="auto"/>
        <w:jc w:val="center"/>
        <w:rPr>
          <w:rFonts w:eastAsia="Aptos" w:cs="Arial"/>
          <w:b/>
          <w:lang w:val="es-ES"/>
        </w:rPr>
      </w:pPr>
    </w:p>
    <w:p w14:paraId="44F60D29" w14:textId="77777777" w:rsidR="004D3225" w:rsidRPr="00124885" w:rsidRDefault="004D3225" w:rsidP="004D3225">
      <w:pPr>
        <w:spacing w:after="0" w:line="240" w:lineRule="auto"/>
        <w:jc w:val="center"/>
        <w:rPr>
          <w:rFonts w:eastAsia="Aptos" w:cs="Arial"/>
          <w:b/>
          <w:lang w:val="es-ES"/>
        </w:rPr>
      </w:pPr>
    </w:p>
    <w:p w14:paraId="2E63C539" w14:textId="77777777" w:rsidR="004D3225" w:rsidRPr="00124885" w:rsidRDefault="004D3225" w:rsidP="004D3225">
      <w:pPr>
        <w:pStyle w:val="P68B1DB1-Normal36"/>
        <w:spacing w:after="0" w:line="240" w:lineRule="auto"/>
        <w:jc w:val="center"/>
        <w:rPr>
          <w:lang w:val="es-ES"/>
        </w:rPr>
      </w:pPr>
      <w:r w:rsidRPr="00124885">
        <w:rPr>
          <w:lang w:val="es-ES"/>
        </w:rPr>
        <w:t xml:space="preserve">PROGRAMA DE TRABAJO PARA LA INICIATIVA SOBRE LOS MAMÍFEROS DE ASIA CENTRAL </w:t>
      </w:r>
    </w:p>
    <w:p w14:paraId="4491E1B1" w14:textId="77777777" w:rsidR="004D3225" w:rsidRPr="00124885" w:rsidRDefault="004D3225" w:rsidP="004D3225">
      <w:pPr>
        <w:spacing w:after="0" w:line="240" w:lineRule="auto"/>
        <w:jc w:val="center"/>
        <w:rPr>
          <w:rFonts w:eastAsia="Aptos" w:cs="Arial"/>
          <w:b/>
          <w:lang w:val="es-ES"/>
        </w:rPr>
      </w:pPr>
      <w:r w:rsidRPr="00124885">
        <w:rPr>
          <w:rFonts w:eastAsia="Aptos" w:cs="Arial"/>
          <w:b/>
          <w:lang w:val="es-ES"/>
        </w:rPr>
        <w:t>2026-2032</w:t>
      </w:r>
    </w:p>
    <w:p w14:paraId="2B8C0FCE" w14:textId="77777777" w:rsidR="004D3225" w:rsidRPr="00124885" w:rsidRDefault="004D3225" w:rsidP="004D3225">
      <w:pPr>
        <w:spacing w:after="0" w:line="240" w:lineRule="auto"/>
        <w:rPr>
          <w:rFonts w:eastAsia="Aptos" w:cs="Arial"/>
          <w:b/>
          <w:lang w:val="es-ES"/>
        </w:rPr>
      </w:pPr>
    </w:p>
    <w:p w14:paraId="374716C5" w14:textId="77777777" w:rsidR="004D3225" w:rsidRPr="00124885" w:rsidRDefault="004D3225" w:rsidP="004D3225">
      <w:pPr>
        <w:spacing w:after="0" w:line="240" w:lineRule="auto"/>
        <w:rPr>
          <w:rFonts w:eastAsia="Aptos" w:cs="Arial"/>
          <w:b/>
          <w:lang w:val="es-ES"/>
        </w:rPr>
      </w:pPr>
    </w:p>
    <w:p w14:paraId="3D41619A" w14:textId="77777777" w:rsidR="004D3225" w:rsidRPr="00124885" w:rsidRDefault="004D3225" w:rsidP="004D3225">
      <w:pPr>
        <w:pStyle w:val="P68B1DB1-Normal36"/>
        <w:spacing w:after="0" w:line="240" w:lineRule="auto"/>
        <w:rPr>
          <w:lang w:val="es-ES"/>
        </w:rPr>
      </w:pPr>
      <w:r w:rsidRPr="00124885">
        <w:rPr>
          <w:lang w:val="es-ES"/>
        </w:rPr>
        <w:t>Antecedentes</w:t>
      </w:r>
    </w:p>
    <w:p w14:paraId="104A2937" w14:textId="77777777" w:rsidR="004D3225" w:rsidRPr="00124885" w:rsidRDefault="004D3225" w:rsidP="004D3225">
      <w:pPr>
        <w:spacing w:after="0" w:line="240" w:lineRule="auto"/>
        <w:ind w:left="567" w:hanging="567"/>
        <w:jc w:val="both"/>
        <w:rPr>
          <w:rFonts w:eastAsia="Aptos" w:cs="Arial"/>
          <w:lang w:val="es-ES"/>
        </w:rPr>
      </w:pPr>
    </w:p>
    <w:p w14:paraId="081BD569" w14:textId="77777777" w:rsidR="004D3225" w:rsidRPr="00124885" w:rsidRDefault="004D3225" w:rsidP="004D3225">
      <w:pPr>
        <w:pStyle w:val="P68B1DB1-Normal37"/>
        <w:spacing w:after="0" w:line="240" w:lineRule="auto"/>
        <w:ind w:left="567" w:hanging="567"/>
        <w:jc w:val="both"/>
        <w:rPr>
          <w:lang w:val="es-ES"/>
        </w:rPr>
      </w:pPr>
      <w:r w:rsidRPr="00124885">
        <w:rPr>
          <w:lang w:val="es-ES"/>
        </w:rPr>
        <w:t>1.</w:t>
      </w:r>
      <w:r w:rsidRPr="00124885">
        <w:rPr>
          <w:lang w:val="es-ES"/>
        </w:rPr>
        <w:tab/>
        <w:t xml:space="preserve">Dadas las vastas y superpuestas áreas de distribución de muchos mamíferos de Asia Central, así como las amenazas similares a las que están expuestas estas especies, el Programa de Trabajo incorpora un conjunto de actividades transversales destinadas a mejorar la conservación de múltiples especies. Estas incluyen medidas relacionadas con la conectividad de los hábitats, el conflicto y la coexistencia entre humanos y vida silvestre, el uso y comercio sostenibles, las prácticas sostenibles de uso de la tierra, el monitoreo de las poblaciones (incluidas la salud y las enfermedades), la lucha contra la caza furtiva y la implicación de las comunidades. Asimismo, están en consonancia con las obligaciones actuales de los Estados del área de distribución en virtud de la CITES, la CMS, el CDB y otros tratados internacionales pertinentes. El Programa de Trabajo tiene como objetivo favorecer el éxito de la conservación a largo plazo, orientando el desarrollo de políticas nacionales actualizadas y coordinadas entre los Estados del área de distribución para salvaguardar las poblaciones transfronterizas de las especies incluidas en la lista de la CMS. </w:t>
      </w:r>
    </w:p>
    <w:p w14:paraId="2ED6D9FD" w14:textId="77777777" w:rsidR="004D3225" w:rsidRPr="00124885" w:rsidRDefault="004D3225" w:rsidP="004D3225">
      <w:pPr>
        <w:spacing w:after="0" w:line="240" w:lineRule="auto"/>
        <w:ind w:left="567" w:hanging="567"/>
        <w:jc w:val="both"/>
        <w:rPr>
          <w:rFonts w:eastAsia="Aptos" w:cs="Arial"/>
          <w:lang w:val="es-ES"/>
        </w:rPr>
      </w:pPr>
    </w:p>
    <w:p w14:paraId="03758546" w14:textId="77777777" w:rsidR="004D3225" w:rsidRPr="00124885" w:rsidRDefault="004D3225" w:rsidP="004D3225">
      <w:pPr>
        <w:pStyle w:val="P68B1DB1-Normal37"/>
        <w:spacing w:after="40" w:line="240" w:lineRule="auto"/>
        <w:ind w:left="567" w:hanging="567"/>
        <w:jc w:val="both"/>
        <w:rPr>
          <w:lang w:val="es-ES"/>
        </w:rPr>
      </w:pPr>
      <w:r w:rsidRPr="00124885">
        <w:rPr>
          <w:lang w:val="es-ES"/>
        </w:rPr>
        <w:t>2.</w:t>
      </w:r>
      <w:r w:rsidRPr="00124885">
        <w:rPr>
          <w:lang w:val="es-ES"/>
        </w:rPr>
        <w:tab/>
        <w:t xml:space="preserve">El presente Programa de Trabajo también hace referencia a los siguientes instrumentos específicos para cada especie, que ya han sido adoptados por los Estados del área de distribución y forman parte de la CAMI:  </w:t>
      </w:r>
    </w:p>
    <w:p w14:paraId="4E86710C"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2">
        <w:r w:rsidRPr="00124885">
          <w:rPr>
            <w:rFonts w:cs="Arial"/>
            <w:lang w:val="es-ES"/>
          </w:rPr>
          <w:t>Estrategia del Área de Distribución para la Conservación del Leopardo de Persia (2023-2032)</w:t>
        </w:r>
      </w:hyperlink>
      <w:r w:rsidRPr="00124885">
        <w:rPr>
          <w:rFonts w:eastAsia="Aptos" w:cs="Arial"/>
          <w:lang w:val="es-ES"/>
        </w:rPr>
        <w:t>;</w:t>
      </w:r>
    </w:p>
    <w:p w14:paraId="16ABB00E"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3">
        <w:r w:rsidRPr="00124885">
          <w:rPr>
            <w:rFonts w:cs="Arial"/>
            <w:lang w:val="es-ES"/>
          </w:rPr>
          <w:t>Plan de Acción para la Conservación del Argalí (2024-2032)</w:t>
        </w:r>
      </w:hyperlink>
      <w:r w:rsidRPr="00124885">
        <w:rPr>
          <w:rFonts w:eastAsia="Aptos" w:cs="Arial"/>
          <w:lang w:val="es-ES"/>
        </w:rPr>
        <w:t>;</w:t>
      </w:r>
    </w:p>
    <w:p w14:paraId="538DC2A1"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4">
        <w:r w:rsidRPr="00124885">
          <w:rPr>
            <w:rFonts w:cs="Arial"/>
            <w:lang w:val="es-ES"/>
          </w:rPr>
          <w:t>Plan de Acción para el Área de Distribución del Asno Salvaje Euroasiático (2024-2033)</w:t>
        </w:r>
      </w:hyperlink>
      <w:r w:rsidRPr="00124885">
        <w:rPr>
          <w:rFonts w:eastAsia="Aptos" w:cs="Arial"/>
          <w:lang w:val="es-ES"/>
        </w:rPr>
        <w:t>;</w:t>
      </w:r>
    </w:p>
    <w:p w14:paraId="00708783" w14:textId="77777777" w:rsidR="004D3225" w:rsidRPr="00124885" w:rsidRDefault="004D3225" w:rsidP="004D3225">
      <w:pPr>
        <w:widowControl w:val="0"/>
        <w:numPr>
          <w:ilvl w:val="0"/>
          <w:numId w:val="12"/>
        </w:numPr>
        <w:spacing w:after="40" w:line="240" w:lineRule="auto"/>
        <w:ind w:left="851" w:hanging="284"/>
        <w:jc w:val="both"/>
        <w:rPr>
          <w:rFonts w:eastAsia="Aptos" w:cs="Arial"/>
          <w:lang w:val="es-ES"/>
        </w:rPr>
      </w:pPr>
      <w:hyperlink r:id="rId35">
        <w:r w:rsidRPr="00124885">
          <w:rPr>
            <w:rFonts w:cs="Arial"/>
            <w:lang w:val="es-ES"/>
          </w:rPr>
          <w:t>Programa de Trabajo sobre el Ciervo de Bukhara (2025-2032)</w:t>
        </w:r>
      </w:hyperlink>
      <w:r w:rsidRPr="00124885">
        <w:rPr>
          <w:rFonts w:eastAsia="Aptos" w:cs="Arial"/>
          <w:lang w:val="es-ES"/>
        </w:rPr>
        <w:t xml:space="preserve">; y  </w:t>
      </w:r>
    </w:p>
    <w:p w14:paraId="780B6B14" w14:textId="77777777" w:rsidR="004D3225" w:rsidRPr="00124885" w:rsidRDefault="004D3225" w:rsidP="004D3225">
      <w:pPr>
        <w:widowControl w:val="0"/>
        <w:numPr>
          <w:ilvl w:val="0"/>
          <w:numId w:val="12"/>
        </w:numPr>
        <w:spacing w:after="0" w:line="240" w:lineRule="auto"/>
        <w:ind w:left="851" w:hanging="284"/>
        <w:jc w:val="both"/>
        <w:rPr>
          <w:rFonts w:eastAsia="Aptos" w:cs="Arial"/>
          <w:lang w:val="es-ES"/>
        </w:rPr>
      </w:pPr>
      <w:hyperlink r:id="rId36">
        <w:r w:rsidRPr="00124885">
          <w:rPr>
            <w:rFonts w:cs="Arial"/>
            <w:lang w:val="es-ES"/>
          </w:rPr>
          <w:t>Programa de Trabajo Internacional a Medio Plazo para el Antílope Saiga (2025–2030)</w:t>
        </w:r>
      </w:hyperlink>
      <w:r w:rsidRPr="00124885">
        <w:rPr>
          <w:rFonts w:eastAsia="Aptos" w:cs="Arial"/>
          <w:lang w:val="es-ES"/>
        </w:rPr>
        <w:t>.</w:t>
      </w:r>
    </w:p>
    <w:p w14:paraId="6917CAD6" w14:textId="77777777" w:rsidR="004D3225" w:rsidRPr="00124885" w:rsidRDefault="004D3225" w:rsidP="004D3225">
      <w:pPr>
        <w:spacing w:after="0" w:line="240" w:lineRule="auto"/>
        <w:ind w:left="720"/>
        <w:contextualSpacing/>
        <w:rPr>
          <w:rFonts w:eastAsia="Times New Roman" w:cs="Arial"/>
          <w:lang w:val="es-ES"/>
        </w:rPr>
      </w:pPr>
    </w:p>
    <w:p w14:paraId="50CD60C3" w14:textId="77777777" w:rsidR="004D3225" w:rsidRPr="00124885" w:rsidRDefault="004D3225" w:rsidP="004D3225">
      <w:pPr>
        <w:spacing w:after="40" w:line="240" w:lineRule="auto"/>
        <w:ind w:left="567" w:hanging="567"/>
        <w:jc w:val="both"/>
        <w:rPr>
          <w:rFonts w:eastAsia="Times New Roman" w:cs="Arial"/>
          <w:lang w:val="es-ES"/>
        </w:rPr>
      </w:pPr>
      <w:r w:rsidRPr="00124885">
        <w:rPr>
          <w:rFonts w:cs="Arial"/>
          <w:lang w:val="es-ES"/>
        </w:rPr>
        <w:t>3.</w:t>
      </w:r>
      <w:r w:rsidRPr="00124885">
        <w:rPr>
          <w:rFonts w:cs="Arial"/>
          <w:lang w:val="es-ES"/>
        </w:rPr>
        <w:tab/>
        <w:t>Las actividades por zonas del presente Programa de Trabajo se basan en zonas geográficas de gran importancia para la conservación de las especies de la CAMI, denominadas «regiones transfronterizas prioritarias para la conservación» (RTPC)</w:t>
      </w:r>
      <w:r w:rsidRPr="00124885">
        <w:rPr>
          <w:rFonts w:eastAsia="Aptos" w:cs="Arial"/>
          <w:b/>
          <w:lang w:val="es-ES"/>
        </w:rPr>
        <w:t>.</w:t>
      </w:r>
      <w:r w:rsidRPr="00124885">
        <w:rPr>
          <w:rFonts w:eastAsia="Aptos" w:cs="Arial"/>
          <w:lang w:val="es-ES"/>
        </w:rPr>
        <w:t xml:space="preserve"> Para ver un mapa de estas regiones, consulte la Figura 1 y el Anexo del PdT de la CAMI. Las RTPC se definieron en función de los puntos críticos de conservación transfronteriza identificados en el informe de la CMS, </w:t>
      </w:r>
      <w:r w:rsidRPr="00124885">
        <w:rPr>
          <w:rFonts w:eastAsia="Aptos" w:cs="Arial"/>
          <w:i/>
          <w:lang w:val="es-ES"/>
        </w:rPr>
        <w:t>«Transboundary Conservation Hotspots for the Central Asian Mammals Initiative»</w:t>
      </w:r>
      <w:r w:rsidRPr="00124885">
        <w:rPr>
          <w:rFonts w:eastAsia="Aptos" w:cs="Arial"/>
          <w:lang w:val="es-ES"/>
        </w:rPr>
        <w:t xml:space="preserve"> («Puntos críticos de conservación transfronteriza para la Iniciativa sobre los Mamíferos de Asia Central»). </w:t>
      </w:r>
      <w:r w:rsidRPr="00124885">
        <w:rPr>
          <w:rFonts w:eastAsia="Aptos" w:cs="Arial"/>
          <w:color w:val="000000" w:themeColor="text1"/>
          <w:lang w:val="es-ES"/>
        </w:rPr>
        <w:t xml:space="preserve">Por lo tanto, </w:t>
      </w:r>
      <w:r w:rsidRPr="00124885">
        <w:rPr>
          <w:rFonts w:cs="Arial"/>
          <w:lang w:val="es-ES"/>
        </w:rPr>
        <w:t xml:space="preserve">las RTPC para el período 2026-2032 se seleccionaron en función de los siguientes criterios: </w:t>
      </w:r>
    </w:p>
    <w:p w14:paraId="7205FDB1" w14:textId="77777777" w:rsidR="004D3225" w:rsidRPr="00A46A34" w:rsidRDefault="004D3225" w:rsidP="004D3225">
      <w:pPr>
        <w:pStyle w:val="P68B1DB1-Normal37"/>
        <w:widowControl w:val="0"/>
        <w:numPr>
          <w:ilvl w:val="0"/>
          <w:numId w:val="12"/>
        </w:numPr>
        <w:spacing w:after="40" w:line="240" w:lineRule="auto"/>
        <w:ind w:left="851" w:hanging="284"/>
        <w:jc w:val="both"/>
      </w:pPr>
      <w:r w:rsidRPr="00A46A34">
        <w:t>su carácter transfronterizo;</w:t>
      </w:r>
    </w:p>
    <w:p w14:paraId="6AE25BDF"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t>la importancia de cada RTPC para la conservación de las especies en cuestión y el número total de especies de la CAMI que hay en ellas;</w:t>
      </w:r>
    </w:p>
    <w:p w14:paraId="08EB5B7F" w14:textId="77777777" w:rsidR="004D3225" w:rsidRPr="00124885" w:rsidRDefault="004D3225" w:rsidP="004D3225">
      <w:pPr>
        <w:widowControl w:val="0"/>
        <w:numPr>
          <w:ilvl w:val="0"/>
          <w:numId w:val="12"/>
        </w:numPr>
        <w:spacing w:after="40" w:line="240" w:lineRule="auto"/>
        <w:ind w:left="851" w:hanging="284"/>
        <w:jc w:val="both"/>
        <w:rPr>
          <w:rFonts w:eastAsia="Arial" w:cs="Arial"/>
          <w:b/>
          <w:lang w:val="es-ES"/>
        </w:rPr>
      </w:pPr>
      <w:r w:rsidRPr="00124885">
        <w:rPr>
          <w:rFonts w:eastAsia="Aptos" w:cs="Arial"/>
          <w:lang w:val="es-ES"/>
        </w:rPr>
        <w:t>la armonización con las obligaciones de los Estados del área de distribución en virtud de la CMS y otros convenios;</w:t>
      </w:r>
      <w:r w:rsidRPr="00124885">
        <w:rPr>
          <w:rFonts w:eastAsia="Arial" w:cs="Arial"/>
          <w:b/>
          <w:lang w:val="es-ES"/>
        </w:rPr>
        <w:t xml:space="preserve"> </w:t>
      </w:r>
    </w:p>
    <w:p w14:paraId="4821D6C0"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lastRenderedPageBreak/>
        <w:t xml:space="preserve">zonas prioritarias vigentes para la conservación de la biodiversidad; </w:t>
      </w:r>
    </w:p>
    <w:p w14:paraId="553865C1"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t>la necesidad y la urgencia de implementar medidas de conservación en cada RTPC;</w:t>
      </w:r>
    </w:p>
    <w:p w14:paraId="6FA48D6E" w14:textId="77777777" w:rsidR="004D3225" w:rsidRPr="00124885" w:rsidRDefault="004D3225" w:rsidP="004D3225">
      <w:pPr>
        <w:pStyle w:val="P68B1DB1-Normal37"/>
        <w:widowControl w:val="0"/>
        <w:numPr>
          <w:ilvl w:val="0"/>
          <w:numId w:val="12"/>
        </w:numPr>
        <w:spacing w:after="40" w:line="240" w:lineRule="auto"/>
        <w:ind w:left="851" w:hanging="284"/>
        <w:jc w:val="both"/>
        <w:rPr>
          <w:lang w:val="es-ES"/>
        </w:rPr>
      </w:pPr>
      <w:r w:rsidRPr="00124885">
        <w:rPr>
          <w:lang w:val="es-ES"/>
        </w:rPr>
        <w:t xml:space="preserve">los requisitos para la implementación de los instrumentos y mandatos de la CMS, así como de otros acuerdos y proyectos transfronterizos en vigor; y </w:t>
      </w:r>
    </w:p>
    <w:p w14:paraId="16D29984" w14:textId="77777777" w:rsidR="004D3225" w:rsidRDefault="004D3225" w:rsidP="004D3225">
      <w:pPr>
        <w:pStyle w:val="P68B1DB1-Normal37"/>
        <w:widowControl w:val="0"/>
        <w:numPr>
          <w:ilvl w:val="0"/>
          <w:numId w:val="12"/>
        </w:numPr>
        <w:spacing w:after="0" w:line="240" w:lineRule="auto"/>
        <w:ind w:left="851" w:hanging="284"/>
        <w:contextualSpacing/>
        <w:jc w:val="both"/>
        <w:rPr>
          <w:lang w:val="es-ES"/>
        </w:rPr>
      </w:pPr>
      <w:r w:rsidRPr="00124885">
        <w:rPr>
          <w:lang w:val="es-ES"/>
        </w:rPr>
        <w:t>la viabilidad política de desarrollar la cooperación transfronteriza para mejorar la conservación de las RTPC.</w:t>
      </w:r>
    </w:p>
    <w:p w14:paraId="5B5BEEAB" w14:textId="77777777" w:rsidR="004D3225" w:rsidRPr="00124885" w:rsidRDefault="004D3225" w:rsidP="004D3225">
      <w:pPr>
        <w:pStyle w:val="P68B1DB1-Normal37"/>
        <w:widowControl w:val="0"/>
        <w:spacing w:after="0" w:line="240" w:lineRule="auto"/>
        <w:ind w:left="851"/>
        <w:contextualSpacing/>
        <w:jc w:val="both"/>
        <w:rPr>
          <w:lang w:val="es-ES"/>
        </w:rPr>
      </w:pPr>
    </w:p>
    <w:p w14:paraId="59E1EAF0" w14:textId="77777777" w:rsidR="004D3225" w:rsidRPr="004D3225" w:rsidRDefault="004D3225" w:rsidP="004D3225">
      <w:pPr>
        <w:pStyle w:val="P68B1DB1-Normal4"/>
        <w:spacing w:after="80" w:line="240" w:lineRule="auto"/>
        <w:ind w:left="567" w:hanging="567"/>
        <w:jc w:val="both"/>
        <w:rPr>
          <w:rFonts w:eastAsia="Arial"/>
          <w:lang w:val="es-ES"/>
        </w:rPr>
      </w:pPr>
      <w:r w:rsidRPr="004D3225">
        <w:rPr>
          <w:lang w:val="es-ES"/>
        </w:rPr>
        <w:t xml:space="preserve">4. </w:t>
      </w:r>
      <w:r w:rsidRPr="004D3225">
        <w:rPr>
          <w:lang w:val="es-ES"/>
        </w:rPr>
        <w:tab/>
        <w:t xml:space="preserve">Las RTPC están organizadas por el número de Partes de la CMS y grupos geográficos en el siguiente orden: </w:t>
      </w:r>
    </w:p>
    <w:p w14:paraId="4AFECE61" w14:textId="77777777" w:rsidR="004D3225" w:rsidRPr="00A46A34" w:rsidRDefault="004D3225" w:rsidP="004D3225">
      <w:pPr>
        <w:pStyle w:val="P68B1DB1-Normal38"/>
        <w:numPr>
          <w:ilvl w:val="0"/>
          <w:numId w:val="13"/>
        </w:numPr>
        <w:spacing w:after="80" w:line="240" w:lineRule="auto"/>
        <w:ind w:left="1418" w:hanging="516"/>
        <w:jc w:val="both"/>
      </w:pPr>
      <w:r w:rsidRPr="00A46A34">
        <w:t>Ustyurt occidental y meridional</w:t>
      </w:r>
    </w:p>
    <w:p w14:paraId="2C404D3C" w14:textId="77777777" w:rsidR="004D3225" w:rsidRPr="00A46A34" w:rsidRDefault="004D3225" w:rsidP="004D3225">
      <w:pPr>
        <w:pStyle w:val="P68B1DB1-Normal38"/>
        <w:numPr>
          <w:ilvl w:val="0"/>
          <w:numId w:val="13"/>
        </w:numPr>
        <w:spacing w:after="80" w:line="240" w:lineRule="auto"/>
        <w:ind w:left="1418" w:hanging="516"/>
        <w:jc w:val="both"/>
      </w:pPr>
      <w:r w:rsidRPr="00A46A34">
        <w:t>Ustyurt septentrional y oriental</w:t>
      </w:r>
    </w:p>
    <w:p w14:paraId="39DFC326" w14:textId="77777777" w:rsidR="004D3225" w:rsidRPr="00A46A34" w:rsidRDefault="004D3225" w:rsidP="004D3225">
      <w:pPr>
        <w:pStyle w:val="P68B1DB1-Normal38"/>
        <w:numPr>
          <w:ilvl w:val="0"/>
          <w:numId w:val="13"/>
        </w:numPr>
        <w:spacing w:after="80" w:line="240" w:lineRule="auto"/>
        <w:ind w:left="1418" w:hanging="516"/>
        <w:jc w:val="both"/>
      </w:pPr>
      <w:r w:rsidRPr="00A46A34">
        <w:t>Aralkum/desierto de Kyzylkum del noroeste</w:t>
      </w:r>
    </w:p>
    <w:p w14:paraId="584E662A" w14:textId="77777777" w:rsidR="004D3225" w:rsidRPr="00A46A34" w:rsidRDefault="004D3225" w:rsidP="004D3225">
      <w:pPr>
        <w:pStyle w:val="P68B1DB1-Normal38"/>
        <w:numPr>
          <w:ilvl w:val="0"/>
          <w:numId w:val="13"/>
        </w:numPr>
        <w:spacing w:after="80" w:line="240" w:lineRule="auto"/>
        <w:ind w:left="1418" w:hanging="516"/>
        <w:jc w:val="both"/>
      </w:pPr>
      <w:r w:rsidRPr="00A46A34">
        <w:t>Kopetdag</w:t>
      </w:r>
    </w:p>
    <w:p w14:paraId="52B23F89" w14:textId="77777777" w:rsidR="004D3225" w:rsidRPr="00A46A34" w:rsidRDefault="004D3225" w:rsidP="004D3225">
      <w:pPr>
        <w:pStyle w:val="P68B1DB1-Normal38"/>
        <w:numPr>
          <w:ilvl w:val="0"/>
          <w:numId w:val="13"/>
        </w:numPr>
        <w:spacing w:after="80" w:line="240" w:lineRule="auto"/>
        <w:ind w:left="1418" w:hanging="516"/>
        <w:jc w:val="both"/>
      </w:pPr>
      <w:r w:rsidRPr="00A46A34">
        <w:t>Koytendag/Kugitang</w:t>
      </w:r>
    </w:p>
    <w:p w14:paraId="1B3C424A" w14:textId="77777777" w:rsidR="004D3225" w:rsidRPr="00A46A34" w:rsidRDefault="004D3225" w:rsidP="004D3225">
      <w:pPr>
        <w:pStyle w:val="P68B1DB1-Normal38"/>
        <w:numPr>
          <w:ilvl w:val="0"/>
          <w:numId w:val="13"/>
        </w:numPr>
        <w:spacing w:after="80" w:line="240" w:lineRule="auto"/>
        <w:ind w:left="1418" w:hanging="516"/>
        <w:jc w:val="both"/>
      </w:pPr>
      <w:r w:rsidRPr="00A46A34">
        <w:t>Tian Shan occidental</w:t>
      </w:r>
    </w:p>
    <w:p w14:paraId="71C7CA5A" w14:textId="77777777" w:rsidR="004D3225" w:rsidRPr="00A46A34" w:rsidRDefault="004D3225" w:rsidP="004D3225">
      <w:pPr>
        <w:pStyle w:val="P68B1DB1-Normal38"/>
        <w:numPr>
          <w:ilvl w:val="0"/>
          <w:numId w:val="13"/>
        </w:numPr>
        <w:spacing w:after="80" w:line="240" w:lineRule="auto"/>
        <w:ind w:left="1418" w:hanging="516"/>
        <w:jc w:val="both"/>
      </w:pPr>
      <w:r w:rsidRPr="00A46A34">
        <w:t>Tian Shan septentrional e interior</w:t>
      </w:r>
    </w:p>
    <w:p w14:paraId="18AAC4C0" w14:textId="77777777" w:rsidR="004D3225" w:rsidRPr="00A46A34" w:rsidRDefault="004D3225" w:rsidP="004D3225">
      <w:pPr>
        <w:pStyle w:val="P68B1DB1-Normal38"/>
        <w:numPr>
          <w:ilvl w:val="0"/>
          <w:numId w:val="13"/>
        </w:numPr>
        <w:spacing w:after="80" w:line="240" w:lineRule="auto"/>
        <w:ind w:left="1418" w:hanging="516"/>
        <w:jc w:val="both"/>
      </w:pPr>
      <w:r w:rsidRPr="00A46A34">
        <w:t xml:space="preserve">Pamir-Hindukush-Karakoram </w:t>
      </w:r>
    </w:p>
    <w:p w14:paraId="6A4ABC82" w14:textId="77777777" w:rsidR="004D3225" w:rsidRPr="00A46A34" w:rsidRDefault="004D3225" w:rsidP="004D3225">
      <w:pPr>
        <w:pStyle w:val="P68B1DB1-Normal38"/>
        <w:numPr>
          <w:ilvl w:val="0"/>
          <w:numId w:val="13"/>
        </w:numPr>
        <w:spacing w:after="80" w:line="240" w:lineRule="auto"/>
        <w:ind w:left="1418" w:hanging="516"/>
        <w:jc w:val="both"/>
      </w:pPr>
      <w:r w:rsidRPr="00A46A34">
        <w:t>Altái</w:t>
      </w:r>
    </w:p>
    <w:p w14:paraId="502EC15C" w14:textId="77777777" w:rsidR="004D3225" w:rsidRPr="00A46A34" w:rsidRDefault="004D3225" w:rsidP="004D3225">
      <w:pPr>
        <w:pStyle w:val="P68B1DB1-Normal38"/>
        <w:numPr>
          <w:ilvl w:val="0"/>
          <w:numId w:val="13"/>
        </w:numPr>
        <w:spacing w:after="80" w:line="240" w:lineRule="auto"/>
        <w:ind w:left="1418" w:hanging="516"/>
        <w:jc w:val="both"/>
      </w:pPr>
      <w:r w:rsidRPr="00A46A34">
        <w:t>Estepa dauriana</w:t>
      </w:r>
    </w:p>
    <w:p w14:paraId="2CBCC31C" w14:textId="77777777" w:rsidR="004D3225" w:rsidRPr="00A46A34" w:rsidRDefault="004D3225" w:rsidP="004D3225">
      <w:pPr>
        <w:pStyle w:val="P68B1DB1-Normal38"/>
        <w:numPr>
          <w:ilvl w:val="0"/>
          <w:numId w:val="13"/>
        </w:numPr>
        <w:spacing w:after="80" w:line="240" w:lineRule="auto"/>
        <w:ind w:left="1418" w:hanging="516"/>
        <w:jc w:val="both"/>
      </w:pPr>
      <w:r w:rsidRPr="00A46A34">
        <w:t>Gobi</w:t>
      </w:r>
    </w:p>
    <w:p w14:paraId="6095D718" w14:textId="77777777" w:rsidR="004D3225" w:rsidRPr="00A46A34" w:rsidRDefault="004D3225" w:rsidP="004D3225">
      <w:pPr>
        <w:pStyle w:val="P68B1DB1-Normal38"/>
        <w:numPr>
          <w:ilvl w:val="0"/>
          <w:numId w:val="13"/>
        </w:numPr>
        <w:spacing w:after="80" w:line="240" w:lineRule="auto"/>
        <w:ind w:left="1418" w:hanging="516"/>
        <w:jc w:val="both"/>
      </w:pPr>
      <w:r w:rsidRPr="00A46A34">
        <w:t>Himalaya occidental</w:t>
      </w:r>
    </w:p>
    <w:p w14:paraId="6F69B052" w14:textId="77777777" w:rsidR="004D3225" w:rsidRPr="00A46A34" w:rsidRDefault="004D3225" w:rsidP="004D3225">
      <w:pPr>
        <w:pStyle w:val="P68B1DB1-Normal38"/>
        <w:numPr>
          <w:ilvl w:val="0"/>
          <w:numId w:val="13"/>
        </w:numPr>
        <w:spacing w:after="0" w:line="240" w:lineRule="auto"/>
        <w:ind w:left="1418" w:hanging="518"/>
        <w:contextualSpacing/>
        <w:jc w:val="both"/>
      </w:pPr>
      <w:r w:rsidRPr="00A46A34">
        <w:t xml:space="preserve">Himalaya oriental </w:t>
      </w:r>
    </w:p>
    <w:p w14:paraId="6113FB33" w14:textId="77777777" w:rsidR="00E218EF" w:rsidRDefault="00E218EF" w:rsidP="005E59F8">
      <w:pPr>
        <w:pStyle w:val="Secondnumbering"/>
        <w:numPr>
          <w:ilvl w:val="0"/>
          <w:numId w:val="0"/>
        </w:numPr>
        <w:ind w:left="360" w:hanging="360"/>
        <w:jc w:val="both"/>
        <w:rPr>
          <w:rFonts w:cs="Arial"/>
          <w:lang w:val="en-US"/>
        </w:rPr>
      </w:pPr>
    </w:p>
    <w:p w14:paraId="3BC0EF7E" w14:textId="77777777" w:rsidR="004D3225" w:rsidRDefault="004D3225" w:rsidP="005E59F8">
      <w:pPr>
        <w:pStyle w:val="Secondnumbering"/>
        <w:numPr>
          <w:ilvl w:val="0"/>
          <w:numId w:val="0"/>
        </w:numPr>
        <w:ind w:left="360" w:hanging="360"/>
        <w:jc w:val="both"/>
        <w:rPr>
          <w:rFonts w:cs="Arial"/>
          <w:lang w:val="en-US"/>
        </w:rPr>
      </w:pPr>
    </w:p>
    <w:p w14:paraId="7F9356B0" w14:textId="77777777" w:rsidR="004D3225" w:rsidRDefault="004D3225" w:rsidP="005E59F8">
      <w:pPr>
        <w:pStyle w:val="Secondnumbering"/>
        <w:numPr>
          <w:ilvl w:val="0"/>
          <w:numId w:val="0"/>
        </w:numPr>
        <w:ind w:left="360" w:hanging="360"/>
        <w:jc w:val="both"/>
        <w:rPr>
          <w:rFonts w:cs="Arial"/>
          <w:lang w:val="en-US"/>
        </w:rPr>
        <w:sectPr w:rsidR="004D3225" w:rsidSect="00935ACE">
          <w:pgSz w:w="11906" w:h="16838" w:code="9"/>
          <w:pgMar w:top="1440" w:right="1440" w:bottom="1440" w:left="1440" w:header="720" w:footer="720" w:gutter="0"/>
          <w:cols w:space="720"/>
          <w:titlePg/>
          <w:docGrid w:linePitch="360"/>
        </w:sectPr>
      </w:pPr>
    </w:p>
    <w:p w14:paraId="3BDAF1DE" w14:textId="3F63E5B7" w:rsidR="005E59F8" w:rsidRDefault="00396571" w:rsidP="005E59F8">
      <w:pPr>
        <w:pStyle w:val="Secondnumbering"/>
        <w:numPr>
          <w:ilvl w:val="0"/>
          <w:numId w:val="0"/>
        </w:numPr>
        <w:ind w:left="360" w:hanging="360"/>
        <w:jc w:val="both"/>
        <w:rPr>
          <w:rFonts w:cs="Arial"/>
          <w:lang w:val="en-US"/>
        </w:rPr>
      </w:pPr>
      <w:r w:rsidRPr="009B2263">
        <w:rPr>
          <w:rFonts w:eastAsia="Aptos" w:cs="Arial"/>
          <w:b/>
          <w:bCs/>
          <w:noProof/>
          <w:sz w:val="20"/>
          <w:szCs w:val="20"/>
          <w:lang w:val="en-US"/>
        </w:rPr>
        <w:lastRenderedPageBreak/>
        <w:drawing>
          <wp:inline distT="0" distB="0" distL="0" distR="0" wp14:anchorId="76707345" wp14:editId="53031D72">
            <wp:extent cx="7321550" cy="5176587"/>
            <wp:effectExtent l="0" t="0" r="0" b="5080"/>
            <wp:docPr id="380716738" name="Picture 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16738" name="Picture 4" descr="A map of the world&#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33800" cy="5185248"/>
                    </a:xfrm>
                    <a:prstGeom prst="rect">
                      <a:avLst/>
                    </a:prstGeom>
                    <a:noFill/>
                    <a:ln>
                      <a:noFill/>
                    </a:ln>
                  </pic:spPr>
                </pic:pic>
              </a:graphicData>
            </a:graphic>
          </wp:inline>
        </w:drawing>
      </w:r>
    </w:p>
    <w:p w14:paraId="1382DA6A" w14:textId="26FF451B" w:rsidR="00CC77D0" w:rsidRPr="006C08D5" w:rsidRDefault="00CC77D0" w:rsidP="005E59F8">
      <w:pPr>
        <w:pStyle w:val="Secondnumbering"/>
        <w:numPr>
          <w:ilvl w:val="0"/>
          <w:numId w:val="0"/>
        </w:numPr>
        <w:ind w:left="360" w:hanging="360"/>
        <w:jc w:val="both"/>
        <w:rPr>
          <w:rFonts w:eastAsia="Aptos" w:cs="Arial"/>
          <w:b/>
          <w:bCs/>
          <w:sz w:val="20"/>
          <w:szCs w:val="20"/>
          <w:lang w:val="es-ES"/>
        </w:rPr>
        <w:sectPr w:rsidR="00CC77D0" w:rsidRPr="006C08D5" w:rsidSect="00E218EF">
          <w:headerReference w:type="first" r:id="rId38"/>
          <w:footerReference w:type="first" r:id="rId39"/>
          <w:pgSz w:w="16838" w:h="11906" w:orient="landscape" w:code="9"/>
          <w:pgMar w:top="1440" w:right="1440" w:bottom="1440" w:left="1440" w:header="720" w:footer="720" w:gutter="0"/>
          <w:cols w:space="720"/>
          <w:titlePg/>
          <w:docGrid w:linePitch="360"/>
        </w:sectPr>
      </w:pPr>
      <w:r w:rsidRPr="006C08D5">
        <w:rPr>
          <w:rFonts w:eastAsia="Aptos" w:cs="Arial"/>
          <w:b/>
          <w:bCs/>
          <w:sz w:val="20"/>
          <w:szCs w:val="20"/>
          <w:lang w:val="en-US"/>
        </w:rPr>
        <w:t xml:space="preserve">Figure 1. </w:t>
      </w:r>
      <w:r w:rsidR="006C08D5" w:rsidRPr="006C08D5">
        <w:rPr>
          <w:b/>
          <w:bCs/>
          <w:lang w:val="es-ES"/>
        </w:rPr>
        <w:t>Regiones transfronterizas prioritarias para la conservación (RTPC)</w:t>
      </w:r>
    </w:p>
    <w:p w14:paraId="62D4B418" w14:textId="77777777" w:rsidR="00043B82" w:rsidRPr="00124885" w:rsidRDefault="00043B82" w:rsidP="00043B82">
      <w:pPr>
        <w:pStyle w:val="P68B1DB1-Normal36"/>
        <w:spacing w:after="0" w:line="240" w:lineRule="auto"/>
        <w:rPr>
          <w:lang w:val="es-ES"/>
        </w:rPr>
      </w:pPr>
      <w:r w:rsidRPr="00124885">
        <w:rPr>
          <w:lang w:val="es-ES"/>
        </w:rPr>
        <w:lastRenderedPageBreak/>
        <w:t>Ámbito taxonómico y geográfico:</w:t>
      </w:r>
    </w:p>
    <w:p w14:paraId="150DF79B" w14:textId="77777777" w:rsidR="00043B82" w:rsidRPr="00124885" w:rsidRDefault="00043B82" w:rsidP="00043B82">
      <w:pPr>
        <w:spacing w:after="0" w:line="240" w:lineRule="auto"/>
        <w:rPr>
          <w:rFonts w:eastAsia="Aptos" w:cs="Arial"/>
          <w:b/>
          <w:lang w:val="es-ES"/>
        </w:rPr>
      </w:pPr>
    </w:p>
    <w:p w14:paraId="53E0A496" w14:textId="77777777" w:rsidR="00043B82" w:rsidRPr="00A46A34" w:rsidRDefault="00043B82" w:rsidP="00043B82">
      <w:pPr>
        <w:pStyle w:val="P68B1DB1-Normal36"/>
        <w:spacing w:after="0" w:line="240" w:lineRule="auto"/>
      </w:pPr>
      <w:r w:rsidRPr="00124885">
        <w:rPr>
          <w:lang w:val="es-ES"/>
        </w:rPr>
        <w:t xml:space="preserve">Tabla 1. </w:t>
      </w:r>
      <w:r w:rsidRPr="00A46A34">
        <w:t xml:space="preserve">Especies cubiertas </w:t>
      </w:r>
    </w:p>
    <w:p w14:paraId="6C16FFEE" w14:textId="77777777" w:rsidR="00043B82" w:rsidRPr="00A46A34" w:rsidRDefault="00043B82" w:rsidP="00043B82">
      <w:pPr>
        <w:spacing w:after="0" w:line="240" w:lineRule="auto"/>
        <w:rPr>
          <w:rFonts w:eastAsia="Aptos" w:cs="Arial"/>
          <w:sz w:val="20"/>
        </w:rPr>
      </w:pPr>
    </w:p>
    <w:tbl>
      <w:tblPr>
        <w:tblStyle w:val="TableGrid1"/>
        <w:tblW w:w="0" w:type="auto"/>
        <w:tblInd w:w="-5" w:type="dxa"/>
        <w:tblLook w:val="04A0" w:firstRow="1" w:lastRow="0" w:firstColumn="1" w:lastColumn="0" w:noHBand="0" w:noVBand="1"/>
      </w:tblPr>
      <w:tblGrid>
        <w:gridCol w:w="853"/>
        <w:gridCol w:w="2953"/>
        <w:gridCol w:w="2764"/>
        <w:gridCol w:w="2451"/>
      </w:tblGrid>
      <w:tr w:rsidR="00043B82" w:rsidRPr="00A46A34" w14:paraId="59161B6D" w14:textId="77777777" w:rsidTr="00337EFC">
        <w:tc>
          <w:tcPr>
            <w:tcW w:w="853" w:type="dxa"/>
          </w:tcPr>
          <w:p w14:paraId="49654DD0" w14:textId="77777777" w:rsidR="00043B82" w:rsidRPr="00A46A34" w:rsidRDefault="00043B82" w:rsidP="00337EFC">
            <w:pPr>
              <w:rPr>
                <w:rFonts w:ascii="Arial" w:eastAsia="Aptos" w:hAnsi="Arial" w:cs="Arial"/>
                <w:b/>
              </w:rPr>
            </w:pPr>
          </w:p>
        </w:tc>
        <w:tc>
          <w:tcPr>
            <w:tcW w:w="2953" w:type="dxa"/>
          </w:tcPr>
          <w:p w14:paraId="4E67043F" w14:textId="77777777" w:rsidR="00043B82" w:rsidRPr="00A46A34" w:rsidRDefault="00043B82" w:rsidP="00337EFC">
            <w:pPr>
              <w:pStyle w:val="P68B1DB1-Normal45"/>
            </w:pPr>
            <w:r w:rsidRPr="00A46A34">
              <w:t xml:space="preserve">Especie (nombre común) </w:t>
            </w:r>
          </w:p>
        </w:tc>
        <w:tc>
          <w:tcPr>
            <w:tcW w:w="2764" w:type="dxa"/>
          </w:tcPr>
          <w:p w14:paraId="611ABD00" w14:textId="77777777" w:rsidR="00043B82" w:rsidRPr="00A46A34" w:rsidRDefault="00043B82" w:rsidP="00337EFC">
            <w:pPr>
              <w:pStyle w:val="P68B1DB1-Normal45"/>
            </w:pPr>
            <w:r w:rsidRPr="00A46A34">
              <w:t>Especie (nombre científico)</w:t>
            </w:r>
          </w:p>
        </w:tc>
        <w:tc>
          <w:tcPr>
            <w:tcW w:w="2451" w:type="dxa"/>
          </w:tcPr>
          <w:p w14:paraId="59D19A37" w14:textId="77777777" w:rsidR="00043B82" w:rsidRPr="00A46A34" w:rsidRDefault="00043B82" w:rsidP="00337EFC">
            <w:pPr>
              <w:pStyle w:val="P68B1DB1-Normal45"/>
            </w:pPr>
            <w:r w:rsidRPr="00A46A34">
              <w:t>Apéndice de la CMS</w:t>
            </w:r>
          </w:p>
        </w:tc>
      </w:tr>
      <w:tr w:rsidR="00043B82" w:rsidRPr="00A46A34" w14:paraId="7A94AF6E" w14:textId="77777777" w:rsidTr="00337EFC">
        <w:tc>
          <w:tcPr>
            <w:tcW w:w="853" w:type="dxa"/>
          </w:tcPr>
          <w:p w14:paraId="40271092" w14:textId="77777777" w:rsidR="00043B82" w:rsidRPr="00A46A34" w:rsidRDefault="00043B82" w:rsidP="00337EFC">
            <w:pPr>
              <w:pStyle w:val="P68B1DB1-Normal46"/>
            </w:pPr>
            <w:r w:rsidRPr="00A46A34">
              <w:t>1</w:t>
            </w:r>
          </w:p>
        </w:tc>
        <w:tc>
          <w:tcPr>
            <w:tcW w:w="2953" w:type="dxa"/>
          </w:tcPr>
          <w:p w14:paraId="35B38110" w14:textId="77777777" w:rsidR="00043B82" w:rsidRPr="00A46A34" w:rsidRDefault="00043B82" w:rsidP="00337EFC">
            <w:pPr>
              <w:pStyle w:val="P68B1DB1-Normal46"/>
            </w:pPr>
            <w:r w:rsidRPr="00A46A34">
              <w:t xml:space="preserve">Argalí </w:t>
            </w:r>
          </w:p>
        </w:tc>
        <w:tc>
          <w:tcPr>
            <w:tcW w:w="2764" w:type="dxa"/>
          </w:tcPr>
          <w:p w14:paraId="426B1C5A" w14:textId="77777777" w:rsidR="00043B82" w:rsidRPr="00A46A34" w:rsidRDefault="00043B82" w:rsidP="00337EFC">
            <w:pPr>
              <w:pStyle w:val="P68B1DB1-Normal47"/>
              <w:rPr>
                <w:b/>
              </w:rPr>
            </w:pPr>
            <w:r w:rsidRPr="00A46A34">
              <w:t>Ovis ammon</w:t>
            </w:r>
          </w:p>
        </w:tc>
        <w:tc>
          <w:tcPr>
            <w:tcW w:w="2451" w:type="dxa"/>
          </w:tcPr>
          <w:p w14:paraId="222B84DC" w14:textId="77777777" w:rsidR="00043B82" w:rsidRPr="00A46A34" w:rsidRDefault="00043B82" w:rsidP="00337EFC">
            <w:pPr>
              <w:pStyle w:val="P68B1DB1-Normal46"/>
            </w:pPr>
            <w:r w:rsidRPr="00A46A34">
              <w:t>Ap. II</w:t>
            </w:r>
          </w:p>
        </w:tc>
      </w:tr>
      <w:tr w:rsidR="00043B82" w:rsidRPr="00A46A34" w14:paraId="40D25C6A" w14:textId="77777777" w:rsidTr="00337EFC">
        <w:tc>
          <w:tcPr>
            <w:tcW w:w="853" w:type="dxa"/>
          </w:tcPr>
          <w:p w14:paraId="351B020D" w14:textId="77777777" w:rsidR="00043B82" w:rsidRPr="00A46A34" w:rsidRDefault="00043B82" w:rsidP="00337EFC">
            <w:pPr>
              <w:pStyle w:val="P68B1DB1-Normal46"/>
            </w:pPr>
            <w:r w:rsidRPr="00A46A34">
              <w:t>2</w:t>
            </w:r>
          </w:p>
        </w:tc>
        <w:tc>
          <w:tcPr>
            <w:tcW w:w="2953" w:type="dxa"/>
          </w:tcPr>
          <w:p w14:paraId="682A868F" w14:textId="77777777" w:rsidR="00043B82" w:rsidRPr="00A46A34" w:rsidRDefault="00043B82" w:rsidP="00337EFC">
            <w:pPr>
              <w:pStyle w:val="P68B1DB1-Normal46"/>
            </w:pPr>
            <w:r w:rsidRPr="00A46A34">
              <w:t xml:space="preserve">Guepardo asiático </w:t>
            </w:r>
          </w:p>
        </w:tc>
        <w:tc>
          <w:tcPr>
            <w:tcW w:w="2764" w:type="dxa"/>
          </w:tcPr>
          <w:p w14:paraId="427913FC" w14:textId="77777777" w:rsidR="00043B82" w:rsidRPr="00A46A34" w:rsidRDefault="00043B82" w:rsidP="00337EFC">
            <w:pPr>
              <w:pStyle w:val="P68B1DB1-Normal47"/>
              <w:rPr>
                <w:b/>
              </w:rPr>
            </w:pPr>
            <w:r w:rsidRPr="00A46A34">
              <w:t>Acinonyx jubatus</w:t>
            </w:r>
          </w:p>
        </w:tc>
        <w:tc>
          <w:tcPr>
            <w:tcW w:w="2451" w:type="dxa"/>
          </w:tcPr>
          <w:p w14:paraId="3A0083F0" w14:textId="77777777" w:rsidR="00043B82" w:rsidRPr="00A46A34" w:rsidRDefault="00043B82" w:rsidP="00337EFC">
            <w:pPr>
              <w:pStyle w:val="P68B1DB1-Normal46"/>
            </w:pPr>
            <w:r w:rsidRPr="00A46A34">
              <w:t>Ap. I</w:t>
            </w:r>
          </w:p>
        </w:tc>
      </w:tr>
      <w:tr w:rsidR="00043B82" w:rsidRPr="00A46A34" w14:paraId="0A62E4FE" w14:textId="77777777" w:rsidTr="00337EFC">
        <w:tc>
          <w:tcPr>
            <w:tcW w:w="853" w:type="dxa"/>
          </w:tcPr>
          <w:p w14:paraId="61301A42" w14:textId="77777777" w:rsidR="00043B82" w:rsidRPr="00A46A34" w:rsidRDefault="00043B82" w:rsidP="00337EFC">
            <w:pPr>
              <w:pStyle w:val="P68B1DB1-Normal46"/>
            </w:pPr>
            <w:r w:rsidRPr="00A46A34">
              <w:t>3</w:t>
            </w:r>
          </w:p>
        </w:tc>
        <w:tc>
          <w:tcPr>
            <w:tcW w:w="2953" w:type="dxa"/>
          </w:tcPr>
          <w:p w14:paraId="0D6C4852" w14:textId="77777777" w:rsidR="00043B82" w:rsidRPr="00A46A34" w:rsidRDefault="00043B82" w:rsidP="00337EFC">
            <w:pPr>
              <w:pStyle w:val="P68B1DB1-Normal46"/>
            </w:pPr>
            <w:r w:rsidRPr="00A46A34">
              <w:t xml:space="preserve">Asno salvaje euroasiático </w:t>
            </w:r>
          </w:p>
        </w:tc>
        <w:tc>
          <w:tcPr>
            <w:tcW w:w="2764" w:type="dxa"/>
          </w:tcPr>
          <w:p w14:paraId="0E1F2C50" w14:textId="77777777" w:rsidR="00043B82" w:rsidRPr="00A46A34" w:rsidRDefault="00043B82" w:rsidP="00337EFC">
            <w:pPr>
              <w:pStyle w:val="P68B1DB1-Normal46"/>
              <w:rPr>
                <w:b/>
              </w:rPr>
            </w:pPr>
            <w:r w:rsidRPr="00A46A34">
              <w:rPr>
                <w:i/>
              </w:rPr>
              <w:t>Equus hemionus</w:t>
            </w:r>
            <w:r w:rsidRPr="00A46A34">
              <w:t xml:space="preserve"> </w:t>
            </w:r>
          </w:p>
        </w:tc>
        <w:tc>
          <w:tcPr>
            <w:tcW w:w="2451" w:type="dxa"/>
          </w:tcPr>
          <w:p w14:paraId="5CF3A738" w14:textId="77777777" w:rsidR="00043B82" w:rsidRPr="00A46A34" w:rsidRDefault="00043B82" w:rsidP="00337EFC">
            <w:pPr>
              <w:pStyle w:val="P68B1DB1-Normal46"/>
              <w:rPr>
                <w:b/>
              </w:rPr>
            </w:pPr>
            <w:r w:rsidRPr="00A46A34">
              <w:t>Ap. II</w:t>
            </w:r>
          </w:p>
        </w:tc>
      </w:tr>
      <w:tr w:rsidR="00043B82" w:rsidRPr="00A46A34" w14:paraId="34BFB6D5" w14:textId="77777777" w:rsidTr="00337EFC">
        <w:tc>
          <w:tcPr>
            <w:tcW w:w="853" w:type="dxa"/>
          </w:tcPr>
          <w:p w14:paraId="0EF788FE" w14:textId="77777777" w:rsidR="00043B82" w:rsidRPr="00A46A34" w:rsidRDefault="00043B82" w:rsidP="00337EFC">
            <w:pPr>
              <w:pStyle w:val="P68B1DB1-Normal46"/>
            </w:pPr>
            <w:r w:rsidRPr="00A46A34">
              <w:t>4</w:t>
            </w:r>
          </w:p>
        </w:tc>
        <w:tc>
          <w:tcPr>
            <w:tcW w:w="2953" w:type="dxa"/>
          </w:tcPr>
          <w:p w14:paraId="494F2BE6" w14:textId="77777777" w:rsidR="00043B82" w:rsidRPr="00A46A34" w:rsidRDefault="00043B82" w:rsidP="00337EFC">
            <w:pPr>
              <w:pStyle w:val="P68B1DB1-Normal46"/>
            </w:pPr>
            <w:r w:rsidRPr="00A46A34">
              <w:t xml:space="preserve">Ciervo de Bukhara </w:t>
            </w:r>
          </w:p>
        </w:tc>
        <w:tc>
          <w:tcPr>
            <w:tcW w:w="2764" w:type="dxa"/>
          </w:tcPr>
          <w:p w14:paraId="7D53F629" w14:textId="77777777" w:rsidR="00043B82" w:rsidRPr="00A46A34" w:rsidRDefault="00043B82" w:rsidP="00337EFC">
            <w:pPr>
              <w:pStyle w:val="P68B1DB1-Normal47"/>
              <w:rPr>
                <w:b/>
              </w:rPr>
            </w:pPr>
            <w:r w:rsidRPr="00A46A34">
              <w:t>Cervus elaphus yarkandensis</w:t>
            </w:r>
          </w:p>
        </w:tc>
        <w:tc>
          <w:tcPr>
            <w:tcW w:w="2451" w:type="dxa"/>
          </w:tcPr>
          <w:p w14:paraId="19177A68" w14:textId="77777777" w:rsidR="00043B82" w:rsidRPr="00A46A34" w:rsidRDefault="00043B82" w:rsidP="00337EFC">
            <w:pPr>
              <w:pStyle w:val="P68B1DB1-Normal46"/>
              <w:rPr>
                <w:b/>
              </w:rPr>
            </w:pPr>
            <w:r w:rsidRPr="00A46A34">
              <w:t>Ap. I y II</w:t>
            </w:r>
          </w:p>
        </w:tc>
      </w:tr>
      <w:tr w:rsidR="00043B82" w:rsidRPr="00A46A34" w14:paraId="449F56AD" w14:textId="77777777" w:rsidTr="00337EFC">
        <w:tc>
          <w:tcPr>
            <w:tcW w:w="853" w:type="dxa"/>
          </w:tcPr>
          <w:p w14:paraId="39D5D50F" w14:textId="77777777" w:rsidR="00043B82" w:rsidRPr="00A46A34" w:rsidRDefault="00043B82" w:rsidP="00337EFC">
            <w:pPr>
              <w:pStyle w:val="P68B1DB1-Normal46"/>
            </w:pPr>
            <w:r w:rsidRPr="00A46A34">
              <w:t>5</w:t>
            </w:r>
          </w:p>
        </w:tc>
        <w:tc>
          <w:tcPr>
            <w:tcW w:w="2953" w:type="dxa"/>
          </w:tcPr>
          <w:p w14:paraId="5B5B6575" w14:textId="77777777" w:rsidR="00043B82" w:rsidRPr="00A46A34" w:rsidRDefault="00043B82" w:rsidP="00337EFC">
            <w:pPr>
              <w:pStyle w:val="P68B1DB1-Normal46"/>
            </w:pPr>
            <w:r w:rsidRPr="00A46A34">
              <w:t>Lince euroasiático</w:t>
            </w:r>
          </w:p>
        </w:tc>
        <w:tc>
          <w:tcPr>
            <w:tcW w:w="2764" w:type="dxa"/>
          </w:tcPr>
          <w:p w14:paraId="5C501E81" w14:textId="77777777" w:rsidR="00043B82" w:rsidRPr="00A46A34" w:rsidRDefault="00043B82" w:rsidP="00337EFC">
            <w:pPr>
              <w:pStyle w:val="P68B1DB1-Normal47"/>
            </w:pPr>
            <w:r w:rsidRPr="00A46A34">
              <w:t>Lynx lynx</w:t>
            </w:r>
          </w:p>
        </w:tc>
        <w:tc>
          <w:tcPr>
            <w:tcW w:w="2451" w:type="dxa"/>
          </w:tcPr>
          <w:p w14:paraId="08AF3560" w14:textId="77777777" w:rsidR="00043B82" w:rsidRPr="00A46A34" w:rsidRDefault="00043B82" w:rsidP="00337EFC">
            <w:pPr>
              <w:pStyle w:val="P68B1DB1-Normal46"/>
            </w:pPr>
            <w:r w:rsidRPr="00A46A34">
              <w:t>Ap. II</w:t>
            </w:r>
          </w:p>
        </w:tc>
      </w:tr>
      <w:tr w:rsidR="00043B82" w:rsidRPr="00A46A34" w14:paraId="1699912B" w14:textId="77777777" w:rsidTr="00337EFC">
        <w:tc>
          <w:tcPr>
            <w:tcW w:w="853" w:type="dxa"/>
          </w:tcPr>
          <w:p w14:paraId="2FCD0A88" w14:textId="77777777" w:rsidR="00043B82" w:rsidRPr="00A46A34" w:rsidRDefault="00043B82" w:rsidP="00337EFC">
            <w:pPr>
              <w:pStyle w:val="P68B1DB1-Normal46"/>
            </w:pPr>
            <w:r w:rsidRPr="00A46A34">
              <w:t>6</w:t>
            </w:r>
          </w:p>
        </w:tc>
        <w:tc>
          <w:tcPr>
            <w:tcW w:w="2953" w:type="dxa"/>
          </w:tcPr>
          <w:p w14:paraId="6819DB85" w14:textId="77777777" w:rsidR="00043B82" w:rsidRPr="00A46A34" w:rsidRDefault="00043B82" w:rsidP="00337EFC">
            <w:pPr>
              <w:pStyle w:val="P68B1DB1-Normal46"/>
            </w:pPr>
            <w:r w:rsidRPr="00A46A34">
              <w:t xml:space="preserve">Oso del Gobi </w:t>
            </w:r>
          </w:p>
        </w:tc>
        <w:tc>
          <w:tcPr>
            <w:tcW w:w="2764" w:type="dxa"/>
          </w:tcPr>
          <w:p w14:paraId="43076E88" w14:textId="77777777" w:rsidR="00043B82" w:rsidRPr="00A46A34" w:rsidRDefault="00043B82" w:rsidP="00337EFC">
            <w:pPr>
              <w:pStyle w:val="P68B1DB1-Normal47"/>
              <w:rPr>
                <w:b/>
              </w:rPr>
            </w:pPr>
            <w:r w:rsidRPr="00A46A34">
              <w:t>Ursus arctos isabellinus</w:t>
            </w:r>
          </w:p>
        </w:tc>
        <w:tc>
          <w:tcPr>
            <w:tcW w:w="2451" w:type="dxa"/>
          </w:tcPr>
          <w:p w14:paraId="0F2842DB" w14:textId="77777777" w:rsidR="00043B82" w:rsidRPr="00A46A34" w:rsidRDefault="00043B82" w:rsidP="00337EFC">
            <w:pPr>
              <w:pStyle w:val="P68B1DB1-Normal46"/>
              <w:rPr>
                <w:b/>
              </w:rPr>
            </w:pPr>
            <w:r w:rsidRPr="00A46A34">
              <w:t>Ap. II</w:t>
            </w:r>
          </w:p>
        </w:tc>
      </w:tr>
      <w:tr w:rsidR="00043B82" w:rsidRPr="00A46A34" w14:paraId="148A6BC6" w14:textId="77777777" w:rsidTr="00337EFC">
        <w:tc>
          <w:tcPr>
            <w:tcW w:w="853" w:type="dxa"/>
          </w:tcPr>
          <w:p w14:paraId="1C62EEA6" w14:textId="77777777" w:rsidR="00043B82" w:rsidRPr="00A46A34" w:rsidRDefault="00043B82" w:rsidP="00337EFC">
            <w:pPr>
              <w:pStyle w:val="P68B1DB1-Normal46"/>
            </w:pPr>
            <w:r w:rsidRPr="00A46A34">
              <w:t>7</w:t>
            </w:r>
          </w:p>
        </w:tc>
        <w:tc>
          <w:tcPr>
            <w:tcW w:w="2953" w:type="dxa"/>
          </w:tcPr>
          <w:p w14:paraId="1A6A097C" w14:textId="77777777" w:rsidR="00043B82" w:rsidRPr="00A46A34" w:rsidRDefault="00043B82" w:rsidP="00337EFC">
            <w:pPr>
              <w:pStyle w:val="P68B1DB1-Normal46"/>
            </w:pPr>
            <w:r w:rsidRPr="00A46A34">
              <w:t xml:space="preserve">Gacela persa </w:t>
            </w:r>
          </w:p>
        </w:tc>
        <w:tc>
          <w:tcPr>
            <w:tcW w:w="2764" w:type="dxa"/>
          </w:tcPr>
          <w:p w14:paraId="70FA8FD8" w14:textId="77777777" w:rsidR="00043B82" w:rsidRPr="00A46A34" w:rsidRDefault="00043B82" w:rsidP="00337EFC">
            <w:pPr>
              <w:pStyle w:val="P68B1DB1-Normal47"/>
              <w:rPr>
                <w:b/>
              </w:rPr>
            </w:pPr>
            <w:r w:rsidRPr="00A46A34">
              <w:t>Gazella subgutturosa</w:t>
            </w:r>
          </w:p>
        </w:tc>
        <w:tc>
          <w:tcPr>
            <w:tcW w:w="2451" w:type="dxa"/>
          </w:tcPr>
          <w:p w14:paraId="576D3B57" w14:textId="77777777" w:rsidR="00043B82" w:rsidRPr="00A46A34" w:rsidRDefault="00043B82" w:rsidP="00337EFC">
            <w:pPr>
              <w:pStyle w:val="P68B1DB1-Normal46"/>
              <w:rPr>
                <w:b/>
              </w:rPr>
            </w:pPr>
            <w:r w:rsidRPr="00A46A34">
              <w:t>Ap. II</w:t>
            </w:r>
          </w:p>
        </w:tc>
      </w:tr>
      <w:tr w:rsidR="00043B82" w:rsidRPr="00A46A34" w14:paraId="087C16BE" w14:textId="77777777" w:rsidTr="00337EFC">
        <w:tc>
          <w:tcPr>
            <w:tcW w:w="853" w:type="dxa"/>
          </w:tcPr>
          <w:p w14:paraId="1D554560" w14:textId="77777777" w:rsidR="00043B82" w:rsidRPr="00A46A34" w:rsidRDefault="00043B82" w:rsidP="00337EFC">
            <w:pPr>
              <w:pStyle w:val="P68B1DB1-Normal46"/>
            </w:pPr>
            <w:r w:rsidRPr="00A46A34">
              <w:t>8</w:t>
            </w:r>
          </w:p>
        </w:tc>
        <w:tc>
          <w:tcPr>
            <w:tcW w:w="2953" w:type="dxa"/>
          </w:tcPr>
          <w:p w14:paraId="6B53416C" w14:textId="77777777" w:rsidR="00043B82" w:rsidRPr="00A46A34" w:rsidRDefault="00043B82" w:rsidP="00337EFC">
            <w:pPr>
              <w:pStyle w:val="P68B1DB1-Normal46"/>
            </w:pPr>
            <w:r w:rsidRPr="00A46A34">
              <w:t xml:space="preserve">Kiang </w:t>
            </w:r>
          </w:p>
        </w:tc>
        <w:tc>
          <w:tcPr>
            <w:tcW w:w="2764" w:type="dxa"/>
          </w:tcPr>
          <w:p w14:paraId="7401CC5C" w14:textId="77777777" w:rsidR="00043B82" w:rsidRPr="00A46A34" w:rsidRDefault="00043B82" w:rsidP="00337EFC">
            <w:pPr>
              <w:pStyle w:val="P68B1DB1-Normal46"/>
              <w:rPr>
                <w:b/>
              </w:rPr>
            </w:pPr>
            <w:r w:rsidRPr="00A46A34">
              <w:rPr>
                <w:i/>
              </w:rPr>
              <w:t>Equus kiang</w:t>
            </w:r>
            <w:r w:rsidRPr="00A46A34">
              <w:t xml:space="preserve"> </w:t>
            </w:r>
          </w:p>
        </w:tc>
        <w:tc>
          <w:tcPr>
            <w:tcW w:w="2451" w:type="dxa"/>
          </w:tcPr>
          <w:p w14:paraId="0409D6A4" w14:textId="77777777" w:rsidR="00043B82" w:rsidRPr="00A46A34" w:rsidRDefault="00043B82" w:rsidP="00337EFC">
            <w:pPr>
              <w:pStyle w:val="P68B1DB1-Normal46"/>
              <w:rPr>
                <w:b/>
              </w:rPr>
            </w:pPr>
            <w:r w:rsidRPr="00A46A34">
              <w:t>Ap. II</w:t>
            </w:r>
          </w:p>
        </w:tc>
      </w:tr>
      <w:tr w:rsidR="00043B82" w:rsidRPr="00A46A34" w14:paraId="07AC98E4" w14:textId="77777777" w:rsidTr="00337EFC">
        <w:tc>
          <w:tcPr>
            <w:tcW w:w="853" w:type="dxa"/>
          </w:tcPr>
          <w:p w14:paraId="1B811D3D" w14:textId="77777777" w:rsidR="00043B82" w:rsidRPr="00A46A34" w:rsidRDefault="00043B82" w:rsidP="00337EFC">
            <w:pPr>
              <w:pStyle w:val="P68B1DB1-Normal46"/>
            </w:pPr>
            <w:r w:rsidRPr="00A46A34">
              <w:t>9</w:t>
            </w:r>
          </w:p>
        </w:tc>
        <w:tc>
          <w:tcPr>
            <w:tcW w:w="2953" w:type="dxa"/>
          </w:tcPr>
          <w:p w14:paraId="434B7910" w14:textId="77777777" w:rsidR="00043B82" w:rsidRPr="00A46A34" w:rsidRDefault="00043B82" w:rsidP="00337EFC">
            <w:pPr>
              <w:pStyle w:val="P68B1DB1-Normal46"/>
            </w:pPr>
            <w:r w:rsidRPr="00A46A34">
              <w:t xml:space="preserve">Gacela de Mongolia </w:t>
            </w:r>
          </w:p>
        </w:tc>
        <w:tc>
          <w:tcPr>
            <w:tcW w:w="2764" w:type="dxa"/>
          </w:tcPr>
          <w:p w14:paraId="417034BA" w14:textId="77777777" w:rsidR="00043B82" w:rsidRPr="00A46A34" w:rsidRDefault="00043B82" w:rsidP="00337EFC">
            <w:pPr>
              <w:pStyle w:val="P68B1DB1-Normal47"/>
              <w:rPr>
                <w:b/>
              </w:rPr>
            </w:pPr>
            <w:r w:rsidRPr="00A46A34">
              <w:t>Procapra gutturosa</w:t>
            </w:r>
          </w:p>
        </w:tc>
        <w:tc>
          <w:tcPr>
            <w:tcW w:w="2451" w:type="dxa"/>
          </w:tcPr>
          <w:p w14:paraId="08A39C37" w14:textId="77777777" w:rsidR="00043B82" w:rsidRPr="00A46A34" w:rsidRDefault="00043B82" w:rsidP="00337EFC">
            <w:pPr>
              <w:pStyle w:val="P68B1DB1-Normal46"/>
              <w:rPr>
                <w:b/>
              </w:rPr>
            </w:pPr>
            <w:r w:rsidRPr="00A46A34">
              <w:t>Ap. II</w:t>
            </w:r>
          </w:p>
        </w:tc>
      </w:tr>
      <w:tr w:rsidR="00043B82" w:rsidRPr="00A46A34" w14:paraId="35F3B507" w14:textId="77777777" w:rsidTr="00337EFC">
        <w:tc>
          <w:tcPr>
            <w:tcW w:w="853" w:type="dxa"/>
          </w:tcPr>
          <w:p w14:paraId="03720B12" w14:textId="77777777" w:rsidR="00043B82" w:rsidRPr="00A46A34" w:rsidRDefault="00043B82" w:rsidP="00337EFC">
            <w:pPr>
              <w:pStyle w:val="P68B1DB1-Normal46"/>
            </w:pPr>
            <w:r w:rsidRPr="00A46A34">
              <w:t>10</w:t>
            </w:r>
          </w:p>
        </w:tc>
        <w:tc>
          <w:tcPr>
            <w:tcW w:w="2953" w:type="dxa"/>
          </w:tcPr>
          <w:p w14:paraId="491F5368" w14:textId="77777777" w:rsidR="00043B82" w:rsidRPr="00A46A34" w:rsidRDefault="00043B82" w:rsidP="00337EFC">
            <w:pPr>
              <w:pStyle w:val="P68B1DB1-Normal46"/>
            </w:pPr>
            <w:r w:rsidRPr="00A46A34">
              <w:t>Manul</w:t>
            </w:r>
          </w:p>
        </w:tc>
        <w:tc>
          <w:tcPr>
            <w:tcW w:w="2764" w:type="dxa"/>
          </w:tcPr>
          <w:p w14:paraId="51CF9A84" w14:textId="77777777" w:rsidR="00043B82" w:rsidRPr="00A46A34" w:rsidRDefault="00043B82" w:rsidP="00337EFC">
            <w:pPr>
              <w:pStyle w:val="P68B1DB1-Normal47"/>
            </w:pPr>
            <w:r w:rsidRPr="00A46A34">
              <w:t>Felis manul</w:t>
            </w:r>
          </w:p>
        </w:tc>
        <w:tc>
          <w:tcPr>
            <w:tcW w:w="2451" w:type="dxa"/>
          </w:tcPr>
          <w:p w14:paraId="24679CB6" w14:textId="77777777" w:rsidR="00043B82" w:rsidRPr="00A46A34" w:rsidRDefault="00043B82" w:rsidP="00337EFC">
            <w:pPr>
              <w:pStyle w:val="P68B1DB1-Normal46"/>
            </w:pPr>
            <w:r w:rsidRPr="00A46A34">
              <w:t>Ap. II</w:t>
            </w:r>
          </w:p>
        </w:tc>
      </w:tr>
      <w:tr w:rsidR="00043B82" w:rsidRPr="00A46A34" w14:paraId="2521B974" w14:textId="77777777" w:rsidTr="00337EFC">
        <w:tc>
          <w:tcPr>
            <w:tcW w:w="853" w:type="dxa"/>
          </w:tcPr>
          <w:p w14:paraId="6174AF3F" w14:textId="77777777" w:rsidR="00043B82" w:rsidRPr="00A46A34" w:rsidRDefault="00043B82" w:rsidP="00337EFC">
            <w:pPr>
              <w:pStyle w:val="P68B1DB1-Normal46"/>
            </w:pPr>
            <w:r w:rsidRPr="00A46A34">
              <w:t>11</w:t>
            </w:r>
          </w:p>
        </w:tc>
        <w:tc>
          <w:tcPr>
            <w:tcW w:w="2953" w:type="dxa"/>
          </w:tcPr>
          <w:p w14:paraId="5473FEB1" w14:textId="77777777" w:rsidR="00043B82" w:rsidRPr="00A46A34" w:rsidRDefault="00043B82" w:rsidP="00337EFC">
            <w:pPr>
              <w:pStyle w:val="P68B1DB1-Normal46"/>
            </w:pPr>
            <w:r w:rsidRPr="00A46A34">
              <w:t xml:space="preserve">Leopardo de Persia </w:t>
            </w:r>
          </w:p>
        </w:tc>
        <w:tc>
          <w:tcPr>
            <w:tcW w:w="2764" w:type="dxa"/>
          </w:tcPr>
          <w:p w14:paraId="00FEC158" w14:textId="77777777" w:rsidR="00043B82" w:rsidRPr="00A46A34" w:rsidRDefault="00043B82" w:rsidP="00337EFC">
            <w:pPr>
              <w:pStyle w:val="P68B1DB1-Normal47"/>
              <w:rPr>
                <w:b/>
              </w:rPr>
            </w:pPr>
            <w:r w:rsidRPr="00A46A34">
              <w:t>Panthera pardus tulliana</w:t>
            </w:r>
          </w:p>
        </w:tc>
        <w:tc>
          <w:tcPr>
            <w:tcW w:w="2451" w:type="dxa"/>
          </w:tcPr>
          <w:p w14:paraId="484BF5CE" w14:textId="77777777" w:rsidR="00043B82" w:rsidRPr="00A46A34" w:rsidRDefault="00043B82" w:rsidP="00337EFC">
            <w:pPr>
              <w:pStyle w:val="P68B1DB1-Normal46"/>
              <w:rPr>
                <w:b/>
              </w:rPr>
            </w:pPr>
            <w:r w:rsidRPr="00A46A34">
              <w:t>Ap. II</w:t>
            </w:r>
          </w:p>
        </w:tc>
      </w:tr>
      <w:tr w:rsidR="00043B82" w:rsidRPr="00A46A34" w14:paraId="3F73D4FA" w14:textId="77777777" w:rsidTr="00337EFC">
        <w:tc>
          <w:tcPr>
            <w:tcW w:w="853" w:type="dxa"/>
          </w:tcPr>
          <w:p w14:paraId="19D45F60" w14:textId="77777777" w:rsidR="00043B82" w:rsidRPr="00A46A34" w:rsidRDefault="00043B82" w:rsidP="00337EFC">
            <w:pPr>
              <w:pStyle w:val="P68B1DB1-Normal46"/>
            </w:pPr>
            <w:r w:rsidRPr="00A46A34">
              <w:t>12</w:t>
            </w:r>
          </w:p>
        </w:tc>
        <w:tc>
          <w:tcPr>
            <w:tcW w:w="2953" w:type="dxa"/>
          </w:tcPr>
          <w:p w14:paraId="035B9D40" w14:textId="77777777" w:rsidR="00043B82" w:rsidRPr="00A46A34" w:rsidRDefault="00043B82" w:rsidP="00337EFC">
            <w:pPr>
              <w:pStyle w:val="P68B1DB1-Normal46"/>
            </w:pPr>
            <w:r w:rsidRPr="00A46A34">
              <w:t xml:space="preserve">Caballo de Przewalski </w:t>
            </w:r>
          </w:p>
        </w:tc>
        <w:tc>
          <w:tcPr>
            <w:tcW w:w="2764" w:type="dxa"/>
          </w:tcPr>
          <w:p w14:paraId="6CAC5CA4" w14:textId="77777777" w:rsidR="00043B82" w:rsidRPr="00A46A34" w:rsidRDefault="00043B82" w:rsidP="00337EFC">
            <w:pPr>
              <w:pStyle w:val="P68B1DB1-Normal47"/>
              <w:rPr>
                <w:b/>
              </w:rPr>
            </w:pPr>
            <w:r w:rsidRPr="00A46A34">
              <w:t>Equus ferus przewalskii</w:t>
            </w:r>
          </w:p>
        </w:tc>
        <w:tc>
          <w:tcPr>
            <w:tcW w:w="2451" w:type="dxa"/>
          </w:tcPr>
          <w:p w14:paraId="2B6AE8DB" w14:textId="77777777" w:rsidR="00043B82" w:rsidRPr="00A46A34" w:rsidRDefault="00043B82" w:rsidP="00337EFC">
            <w:pPr>
              <w:pStyle w:val="P68B1DB1-Normal46"/>
              <w:rPr>
                <w:b/>
              </w:rPr>
            </w:pPr>
            <w:r w:rsidRPr="00A46A34">
              <w:t>Ap. I</w:t>
            </w:r>
          </w:p>
        </w:tc>
      </w:tr>
      <w:tr w:rsidR="00043B82" w:rsidRPr="00A46A34" w14:paraId="459ED629" w14:textId="77777777" w:rsidTr="00337EFC">
        <w:tc>
          <w:tcPr>
            <w:tcW w:w="853" w:type="dxa"/>
          </w:tcPr>
          <w:p w14:paraId="59BE563B" w14:textId="77777777" w:rsidR="00043B82" w:rsidRPr="00A46A34" w:rsidRDefault="00043B82" w:rsidP="00337EFC">
            <w:pPr>
              <w:pStyle w:val="P68B1DB1-Normal46"/>
            </w:pPr>
            <w:r w:rsidRPr="00A46A34">
              <w:t>13</w:t>
            </w:r>
          </w:p>
        </w:tc>
        <w:tc>
          <w:tcPr>
            <w:tcW w:w="2953" w:type="dxa"/>
          </w:tcPr>
          <w:p w14:paraId="75FF0659" w14:textId="77777777" w:rsidR="00043B82" w:rsidRPr="00A46A34" w:rsidRDefault="00043B82" w:rsidP="00337EFC">
            <w:pPr>
              <w:pStyle w:val="P68B1DB1-Normal46"/>
            </w:pPr>
            <w:r w:rsidRPr="00A46A34">
              <w:t>Antílope saiga</w:t>
            </w:r>
            <w:r w:rsidRPr="00A46A34">
              <w:rPr>
                <w:i/>
              </w:rPr>
              <w:t xml:space="preserve"> </w:t>
            </w:r>
          </w:p>
        </w:tc>
        <w:tc>
          <w:tcPr>
            <w:tcW w:w="2764" w:type="dxa"/>
          </w:tcPr>
          <w:p w14:paraId="53A37A45" w14:textId="77777777" w:rsidR="00043B82" w:rsidRPr="00A46A34" w:rsidRDefault="00043B82" w:rsidP="00337EFC">
            <w:pPr>
              <w:pStyle w:val="P68B1DB1-Normal47"/>
              <w:rPr>
                <w:b/>
              </w:rPr>
            </w:pPr>
            <w:r w:rsidRPr="00A46A34">
              <w:t>Saiga spp.</w:t>
            </w:r>
          </w:p>
        </w:tc>
        <w:tc>
          <w:tcPr>
            <w:tcW w:w="2451" w:type="dxa"/>
          </w:tcPr>
          <w:p w14:paraId="41967F4F" w14:textId="77777777" w:rsidR="00043B82" w:rsidRPr="00A46A34" w:rsidRDefault="00043B82" w:rsidP="00337EFC">
            <w:pPr>
              <w:pStyle w:val="P68B1DB1-Normal46"/>
              <w:rPr>
                <w:b/>
              </w:rPr>
            </w:pPr>
            <w:r w:rsidRPr="00A46A34">
              <w:t>Ap. II</w:t>
            </w:r>
          </w:p>
        </w:tc>
      </w:tr>
      <w:tr w:rsidR="00043B82" w:rsidRPr="00A46A34" w14:paraId="2C86497D" w14:textId="77777777" w:rsidTr="00337EFC">
        <w:tc>
          <w:tcPr>
            <w:tcW w:w="853" w:type="dxa"/>
          </w:tcPr>
          <w:p w14:paraId="798AC246" w14:textId="77777777" w:rsidR="00043B82" w:rsidRPr="00A46A34" w:rsidRDefault="00043B82" w:rsidP="00337EFC">
            <w:pPr>
              <w:pStyle w:val="P68B1DB1-Normal46"/>
            </w:pPr>
            <w:r w:rsidRPr="00A46A34">
              <w:t>14</w:t>
            </w:r>
          </w:p>
        </w:tc>
        <w:tc>
          <w:tcPr>
            <w:tcW w:w="2953" w:type="dxa"/>
          </w:tcPr>
          <w:p w14:paraId="5B4C0066" w14:textId="77777777" w:rsidR="00043B82" w:rsidRPr="00A46A34" w:rsidRDefault="00043B82" w:rsidP="00337EFC">
            <w:pPr>
              <w:pStyle w:val="P68B1DB1-Normal46"/>
            </w:pPr>
            <w:r w:rsidRPr="00A46A34">
              <w:t xml:space="preserve">Leopardo de las nieves </w:t>
            </w:r>
          </w:p>
        </w:tc>
        <w:tc>
          <w:tcPr>
            <w:tcW w:w="2764" w:type="dxa"/>
          </w:tcPr>
          <w:p w14:paraId="0DB82465" w14:textId="77777777" w:rsidR="00043B82" w:rsidRPr="00A46A34" w:rsidRDefault="00043B82" w:rsidP="00337EFC">
            <w:pPr>
              <w:pStyle w:val="P68B1DB1-Normal47"/>
              <w:rPr>
                <w:b/>
              </w:rPr>
            </w:pPr>
            <w:r w:rsidRPr="00A46A34">
              <w:t>Uncia uncia</w:t>
            </w:r>
          </w:p>
        </w:tc>
        <w:tc>
          <w:tcPr>
            <w:tcW w:w="2451" w:type="dxa"/>
          </w:tcPr>
          <w:p w14:paraId="6C58FA46" w14:textId="77777777" w:rsidR="00043B82" w:rsidRPr="00A46A34" w:rsidRDefault="00043B82" w:rsidP="00337EFC">
            <w:pPr>
              <w:pStyle w:val="P68B1DB1-Normal46"/>
              <w:rPr>
                <w:b/>
              </w:rPr>
            </w:pPr>
            <w:r w:rsidRPr="00A46A34">
              <w:t>Ap. I</w:t>
            </w:r>
          </w:p>
        </w:tc>
      </w:tr>
      <w:tr w:rsidR="00043B82" w:rsidRPr="00A46A34" w14:paraId="502A0F05" w14:textId="77777777" w:rsidTr="00337EFC">
        <w:tc>
          <w:tcPr>
            <w:tcW w:w="853" w:type="dxa"/>
          </w:tcPr>
          <w:p w14:paraId="36BE1634" w14:textId="77777777" w:rsidR="00043B82" w:rsidRPr="00A46A34" w:rsidRDefault="00043B82" w:rsidP="00337EFC">
            <w:pPr>
              <w:pStyle w:val="P68B1DB1-Normal46"/>
            </w:pPr>
            <w:r w:rsidRPr="00A46A34">
              <w:t>15</w:t>
            </w:r>
          </w:p>
        </w:tc>
        <w:tc>
          <w:tcPr>
            <w:tcW w:w="2953" w:type="dxa"/>
          </w:tcPr>
          <w:p w14:paraId="3566A1E8" w14:textId="77777777" w:rsidR="00043B82" w:rsidRPr="00A46A34" w:rsidRDefault="00043B82" w:rsidP="00337EFC">
            <w:pPr>
              <w:pStyle w:val="P68B1DB1-Normal46"/>
            </w:pPr>
            <w:r w:rsidRPr="00A46A34">
              <w:t xml:space="preserve">Urial </w:t>
            </w:r>
          </w:p>
        </w:tc>
        <w:tc>
          <w:tcPr>
            <w:tcW w:w="2764" w:type="dxa"/>
          </w:tcPr>
          <w:p w14:paraId="3D5E1307" w14:textId="77777777" w:rsidR="00043B82" w:rsidRPr="00A46A34" w:rsidRDefault="00043B82" w:rsidP="00337EFC">
            <w:pPr>
              <w:pStyle w:val="P68B1DB1-Normal47"/>
              <w:rPr>
                <w:b/>
              </w:rPr>
            </w:pPr>
            <w:r w:rsidRPr="00A46A34">
              <w:t>Ovis vignei</w:t>
            </w:r>
          </w:p>
        </w:tc>
        <w:tc>
          <w:tcPr>
            <w:tcW w:w="2451" w:type="dxa"/>
          </w:tcPr>
          <w:p w14:paraId="5D0CD3E6" w14:textId="77777777" w:rsidR="00043B82" w:rsidRPr="00A46A34" w:rsidRDefault="00043B82" w:rsidP="00337EFC">
            <w:pPr>
              <w:pStyle w:val="P68B1DB1-Normal46"/>
              <w:rPr>
                <w:b/>
              </w:rPr>
            </w:pPr>
            <w:r w:rsidRPr="00A46A34">
              <w:t>Ap. II</w:t>
            </w:r>
          </w:p>
        </w:tc>
      </w:tr>
      <w:tr w:rsidR="00043B82" w:rsidRPr="00A46A34" w14:paraId="37306E25" w14:textId="77777777" w:rsidTr="00337EFC">
        <w:tc>
          <w:tcPr>
            <w:tcW w:w="853" w:type="dxa"/>
          </w:tcPr>
          <w:p w14:paraId="788F254E" w14:textId="77777777" w:rsidR="00043B82" w:rsidRPr="00A46A34" w:rsidRDefault="00043B82" w:rsidP="00337EFC">
            <w:pPr>
              <w:pStyle w:val="P68B1DB1-Normal46"/>
            </w:pPr>
            <w:r w:rsidRPr="00A46A34">
              <w:t>16</w:t>
            </w:r>
          </w:p>
        </w:tc>
        <w:tc>
          <w:tcPr>
            <w:tcW w:w="2953" w:type="dxa"/>
          </w:tcPr>
          <w:p w14:paraId="26971028" w14:textId="77777777" w:rsidR="00043B82" w:rsidRPr="00A46A34" w:rsidRDefault="00043B82" w:rsidP="00337EFC">
            <w:pPr>
              <w:pStyle w:val="P68B1DB1-Normal46"/>
            </w:pPr>
            <w:r w:rsidRPr="00A46A34">
              <w:t xml:space="preserve">Camello bactriano </w:t>
            </w:r>
          </w:p>
        </w:tc>
        <w:tc>
          <w:tcPr>
            <w:tcW w:w="2764" w:type="dxa"/>
          </w:tcPr>
          <w:p w14:paraId="0C539AE3" w14:textId="77777777" w:rsidR="00043B82" w:rsidRPr="00A46A34" w:rsidRDefault="00043B82" w:rsidP="00337EFC">
            <w:pPr>
              <w:pStyle w:val="P68B1DB1-Normal47"/>
              <w:rPr>
                <w:b/>
              </w:rPr>
            </w:pPr>
            <w:r w:rsidRPr="00A46A34">
              <w:t>Camelus bactrianus</w:t>
            </w:r>
          </w:p>
        </w:tc>
        <w:tc>
          <w:tcPr>
            <w:tcW w:w="2451" w:type="dxa"/>
          </w:tcPr>
          <w:p w14:paraId="7E69AD75" w14:textId="77777777" w:rsidR="00043B82" w:rsidRPr="00A46A34" w:rsidRDefault="00043B82" w:rsidP="00337EFC">
            <w:pPr>
              <w:pStyle w:val="P68B1DB1-Normal46"/>
              <w:rPr>
                <w:b/>
              </w:rPr>
            </w:pPr>
            <w:r w:rsidRPr="00A46A34">
              <w:t>Ap. I</w:t>
            </w:r>
          </w:p>
        </w:tc>
      </w:tr>
      <w:tr w:rsidR="00043B82" w:rsidRPr="00A46A34" w14:paraId="53DD8F69" w14:textId="77777777" w:rsidTr="00337EFC">
        <w:tc>
          <w:tcPr>
            <w:tcW w:w="853" w:type="dxa"/>
          </w:tcPr>
          <w:p w14:paraId="57FE5908" w14:textId="77777777" w:rsidR="00043B82" w:rsidRPr="00A46A34" w:rsidRDefault="00043B82" w:rsidP="00337EFC">
            <w:pPr>
              <w:pStyle w:val="P68B1DB1-Normal46"/>
            </w:pPr>
            <w:r w:rsidRPr="00A46A34">
              <w:t>17</w:t>
            </w:r>
          </w:p>
        </w:tc>
        <w:tc>
          <w:tcPr>
            <w:tcW w:w="2953" w:type="dxa"/>
          </w:tcPr>
          <w:p w14:paraId="53AA6EB5" w14:textId="77777777" w:rsidR="00043B82" w:rsidRPr="00A46A34" w:rsidRDefault="00043B82" w:rsidP="00337EFC">
            <w:pPr>
              <w:pStyle w:val="P68B1DB1-Normal46"/>
            </w:pPr>
            <w:r w:rsidRPr="00A46A34">
              <w:t xml:space="preserve">Yak salvaje </w:t>
            </w:r>
          </w:p>
        </w:tc>
        <w:tc>
          <w:tcPr>
            <w:tcW w:w="2764" w:type="dxa"/>
          </w:tcPr>
          <w:p w14:paraId="4C65F7AF" w14:textId="77777777" w:rsidR="00043B82" w:rsidRPr="00A46A34" w:rsidRDefault="00043B82" w:rsidP="00337EFC">
            <w:pPr>
              <w:pStyle w:val="P68B1DB1-Normal47"/>
              <w:rPr>
                <w:b/>
              </w:rPr>
            </w:pPr>
            <w:r w:rsidRPr="00A46A34">
              <w:t>Bos grunniens</w:t>
            </w:r>
          </w:p>
        </w:tc>
        <w:tc>
          <w:tcPr>
            <w:tcW w:w="2451" w:type="dxa"/>
          </w:tcPr>
          <w:p w14:paraId="7EDBDDEB" w14:textId="77777777" w:rsidR="00043B82" w:rsidRPr="00A46A34" w:rsidRDefault="00043B82" w:rsidP="00337EFC">
            <w:pPr>
              <w:pStyle w:val="P68B1DB1-Normal46"/>
              <w:rPr>
                <w:b/>
              </w:rPr>
            </w:pPr>
            <w:r w:rsidRPr="00A46A34">
              <w:t>Ap. I</w:t>
            </w:r>
          </w:p>
        </w:tc>
      </w:tr>
    </w:tbl>
    <w:p w14:paraId="75D37F8A" w14:textId="77777777" w:rsidR="00043B82" w:rsidRPr="00A46A34" w:rsidRDefault="00043B82" w:rsidP="00043B82">
      <w:pPr>
        <w:spacing w:after="0" w:line="240" w:lineRule="auto"/>
        <w:rPr>
          <w:rFonts w:eastAsia="Aptos" w:cs="Arial"/>
          <w:b/>
        </w:rPr>
      </w:pPr>
    </w:p>
    <w:p w14:paraId="4DD0CD83" w14:textId="77777777" w:rsidR="00043B82" w:rsidRPr="00A46A34" w:rsidRDefault="00043B82" w:rsidP="00043B82">
      <w:pPr>
        <w:spacing w:after="0" w:line="240" w:lineRule="auto"/>
        <w:rPr>
          <w:rFonts w:eastAsia="Aptos" w:cs="Arial"/>
          <w:b/>
        </w:rPr>
      </w:pPr>
    </w:p>
    <w:p w14:paraId="5E690882" w14:textId="77777777" w:rsidR="00043B82" w:rsidRPr="00124885" w:rsidRDefault="00043B82" w:rsidP="00043B82">
      <w:pPr>
        <w:pStyle w:val="P68B1DB1-Normal37"/>
        <w:spacing w:after="0" w:line="240" w:lineRule="auto"/>
        <w:jc w:val="both"/>
        <w:rPr>
          <w:lang w:val="es-ES"/>
        </w:rPr>
      </w:pPr>
      <w:r w:rsidRPr="00124885">
        <w:rPr>
          <w:lang w:val="es-ES"/>
        </w:rPr>
        <w:t>Los nombres científicos se basan en la 3.ª edición de «Mammal Species of the World» (Wilson &amp; Reeder 2005), la referencia taxonómica estándar para mamíferos utilizada por CMS. Los nombres utilizados no tienen en cuenta los cambios de nomenclatura realizados desde 2005 y, en varios casos, los nombres de las especies difieren de los utilizados actualmente por la Lista Roja de Especies Amenazadas de la UICN y otras autoridades. Las especies en cuestión son el leopardo de las nieves (</w:t>
      </w:r>
      <w:r w:rsidRPr="00124885">
        <w:rPr>
          <w:i/>
          <w:lang w:val="es-ES"/>
        </w:rPr>
        <w:t>Panthera uncia</w:t>
      </w:r>
      <w:r w:rsidRPr="00124885">
        <w:rPr>
          <w:lang w:val="es-ES"/>
        </w:rPr>
        <w:t>), el camello bactriano (</w:t>
      </w:r>
      <w:r w:rsidRPr="00124885">
        <w:rPr>
          <w:i/>
          <w:lang w:val="es-ES"/>
        </w:rPr>
        <w:t>Camelus ferus</w:t>
      </w:r>
      <w:r w:rsidRPr="00124885">
        <w:rPr>
          <w:lang w:val="es-ES"/>
        </w:rPr>
        <w:t>), el caballo de Przewalski (</w:t>
      </w:r>
      <w:r w:rsidRPr="00124885">
        <w:rPr>
          <w:i/>
          <w:lang w:val="es-ES"/>
        </w:rPr>
        <w:t>Equus ferus</w:t>
      </w:r>
      <w:r w:rsidRPr="00124885">
        <w:rPr>
          <w:lang w:val="es-ES"/>
        </w:rPr>
        <w:t>), el manul (</w:t>
      </w:r>
      <w:r w:rsidRPr="00124885">
        <w:rPr>
          <w:i/>
          <w:lang w:val="es-ES"/>
        </w:rPr>
        <w:t>Otocolobus manul</w:t>
      </w:r>
      <w:r w:rsidRPr="00124885">
        <w:rPr>
          <w:lang w:val="es-ES"/>
        </w:rPr>
        <w:t>), el antílope saiga (</w:t>
      </w:r>
      <w:r w:rsidRPr="00124885">
        <w:rPr>
          <w:i/>
          <w:lang w:val="es-ES"/>
        </w:rPr>
        <w:t>Saiga tatarica tatarica y Saiga tatarica mongolica</w:t>
      </w:r>
      <w:r w:rsidRPr="00124885">
        <w:rPr>
          <w:lang w:val="es-ES"/>
        </w:rPr>
        <w:t>) y el ciervo de Bukhara (</w:t>
      </w:r>
      <w:r w:rsidRPr="00124885">
        <w:rPr>
          <w:i/>
          <w:lang w:val="es-ES"/>
        </w:rPr>
        <w:t>Cervus hanglu bactrianus</w:t>
      </w:r>
      <w:r w:rsidRPr="00124885">
        <w:rPr>
          <w:lang w:val="es-ES"/>
        </w:rPr>
        <w:t xml:space="preserve">). </w:t>
      </w:r>
    </w:p>
    <w:p w14:paraId="7E784EF8" w14:textId="77777777" w:rsidR="00043B82" w:rsidRPr="00124885" w:rsidRDefault="00043B82" w:rsidP="00043B82">
      <w:pPr>
        <w:spacing w:after="0" w:line="240" w:lineRule="auto"/>
        <w:jc w:val="both"/>
        <w:rPr>
          <w:rFonts w:eastAsia="Aptos" w:cs="Arial"/>
          <w:i/>
          <w:lang w:val="es-ES"/>
        </w:rPr>
      </w:pPr>
    </w:p>
    <w:p w14:paraId="687A87F0" w14:textId="77777777" w:rsidR="00043B82" w:rsidRPr="00124885" w:rsidRDefault="00043B82" w:rsidP="00043B82">
      <w:pPr>
        <w:pStyle w:val="P68B1DB1-Normal37"/>
        <w:spacing w:after="0" w:line="240" w:lineRule="auto"/>
        <w:jc w:val="both"/>
        <w:rPr>
          <w:lang w:val="es-ES"/>
        </w:rPr>
      </w:pPr>
      <w:r w:rsidRPr="00124885">
        <w:rPr>
          <w:lang w:val="es-ES"/>
        </w:rPr>
        <w:t>Se consideran Estados del área de distribución de la CAMI: AFGANISTÁN, Bhután, China, INDIA, República Islámica de IRÁN, KAZAJISTÁN, KIRGUISTÁN, MONGOLIA, Nepal, PAKISTÁN, Federación de Rusia, TAYIKISTÁN, TURKMENISTÁN y UZBEKISTÁN (los nombres de las Partes de la CMS están en mayúsculas).</w:t>
      </w:r>
    </w:p>
    <w:p w14:paraId="4EA70B7B" w14:textId="77777777" w:rsidR="009068F8" w:rsidRPr="00043B82" w:rsidRDefault="009068F8" w:rsidP="005E59F8">
      <w:pPr>
        <w:pStyle w:val="Secondnumbering"/>
        <w:numPr>
          <w:ilvl w:val="0"/>
          <w:numId w:val="0"/>
        </w:numPr>
        <w:ind w:left="360" w:hanging="360"/>
        <w:jc w:val="both"/>
        <w:rPr>
          <w:rFonts w:cs="Arial"/>
          <w:lang w:val="es-ES"/>
        </w:rPr>
      </w:pPr>
    </w:p>
    <w:p w14:paraId="62E7D7B0" w14:textId="77777777" w:rsidR="00043B82" w:rsidRPr="00043B82" w:rsidRDefault="00043B82" w:rsidP="005E59F8">
      <w:pPr>
        <w:pStyle w:val="Secondnumbering"/>
        <w:numPr>
          <w:ilvl w:val="0"/>
          <w:numId w:val="0"/>
        </w:numPr>
        <w:ind w:left="360" w:hanging="360"/>
        <w:jc w:val="both"/>
        <w:rPr>
          <w:rFonts w:cs="Arial"/>
          <w:lang w:val="es-ES"/>
        </w:rPr>
      </w:pPr>
    </w:p>
    <w:p w14:paraId="5A0DB9FB" w14:textId="77777777" w:rsidR="00043B82" w:rsidRPr="00043B82" w:rsidRDefault="00043B82" w:rsidP="005E59F8">
      <w:pPr>
        <w:pStyle w:val="Secondnumbering"/>
        <w:numPr>
          <w:ilvl w:val="0"/>
          <w:numId w:val="0"/>
        </w:numPr>
        <w:ind w:left="360" w:hanging="360"/>
        <w:jc w:val="both"/>
        <w:rPr>
          <w:rFonts w:cs="Arial"/>
          <w:lang w:val="es-ES"/>
        </w:rPr>
        <w:sectPr w:rsidR="00043B82" w:rsidRPr="00043B82" w:rsidSect="00CC77D0">
          <w:headerReference w:type="first" r:id="rId40"/>
          <w:pgSz w:w="11906" w:h="16838" w:code="9"/>
          <w:pgMar w:top="1440" w:right="1440" w:bottom="1440" w:left="1440" w:header="720" w:footer="720" w:gutter="0"/>
          <w:cols w:space="720"/>
          <w:titlePg/>
          <w:docGrid w:linePitch="360"/>
        </w:sectPr>
      </w:pPr>
    </w:p>
    <w:p w14:paraId="50E8D785" w14:textId="77777777" w:rsidR="0050347E" w:rsidRPr="00124885" w:rsidRDefault="0050347E" w:rsidP="0050347E">
      <w:pPr>
        <w:spacing w:after="0" w:line="240" w:lineRule="auto"/>
        <w:ind w:left="851"/>
        <w:jc w:val="center"/>
        <w:rPr>
          <w:rFonts w:eastAsia="Aptos" w:cs="Arial"/>
          <w:b/>
          <w:lang w:val="es-ES"/>
        </w:rPr>
      </w:pPr>
      <w:r w:rsidRPr="00124885">
        <w:rPr>
          <w:rFonts w:eastAsia="Aptos" w:cs="Arial"/>
          <w:b/>
          <w:lang w:val="es-ES"/>
        </w:rPr>
        <w:lastRenderedPageBreak/>
        <w:t>PROGRAMA DE TRABAJO DE LA CAMI 2026</w:t>
      </w:r>
      <w:r w:rsidRPr="00124885">
        <w:rPr>
          <w:rFonts w:cs="Arial"/>
          <w:lang w:val="es-ES"/>
        </w:rPr>
        <w:t>-</w:t>
      </w:r>
      <w:r w:rsidRPr="00124885">
        <w:rPr>
          <w:rFonts w:eastAsia="Aptos" w:cs="Arial"/>
          <w:b/>
          <w:lang w:val="es-ES"/>
        </w:rPr>
        <w:t>2032</w:t>
      </w:r>
    </w:p>
    <w:p w14:paraId="0FA0E34F" w14:textId="77777777" w:rsidR="0050347E" w:rsidRPr="00124885" w:rsidRDefault="0050347E" w:rsidP="0050347E">
      <w:pPr>
        <w:spacing w:after="0" w:line="240" w:lineRule="auto"/>
        <w:ind w:left="851"/>
        <w:rPr>
          <w:rFonts w:eastAsia="Aptos" w:cs="Arial"/>
          <w:b/>
          <w:lang w:val="es-ES"/>
        </w:rPr>
      </w:pPr>
    </w:p>
    <w:p w14:paraId="2A3D06F2" w14:textId="77777777" w:rsidR="0050347E" w:rsidRPr="00124885" w:rsidRDefault="0050347E" w:rsidP="0050347E">
      <w:pPr>
        <w:pStyle w:val="P68B1DB1-Normal37"/>
        <w:spacing w:after="0" w:line="240" w:lineRule="auto"/>
        <w:jc w:val="both"/>
        <w:rPr>
          <w:b/>
          <w:lang w:val="es-ES"/>
        </w:rPr>
      </w:pPr>
      <w:r w:rsidRPr="00124885">
        <w:rPr>
          <w:b/>
          <w:lang w:val="es-ES"/>
        </w:rPr>
        <w:t xml:space="preserve">Visión: </w:t>
      </w:r>
      <w:r w:rsidRPr="00124885">
        <w:rPr>
          <w:lang w:val="es-ES"/>
        </w:rPr>
        <w:t>las poblaciones seguras y funcionales de mamíferos migratorios que se extienden por los paisajes de la región de Asia Central en ecosistemas saludables son valoradas por todas las partes interesadas y, en particular, por las comunidades locales que comparten su área de distribución, y aportan beneficios a todas ellas.</w:t>
      </w:r>
    </w:p>
    <w:p w14:paraId="02404311" w14:textId="77777777" w:rsidR="0050347E" w:rsidRPr="00124885" w:rsidRDefault="0050347E" w:rsidP="0050347E">
      <w:pPr>
        <w:spacing w:after="0" w:line="240" w:lineRule="auto"/>
        <w:jc w:val="both"/>
        <w:rPr>
          <w:rFonts w:eastAsia="Aptos" w:cs="Arial"/>
          <w:b/>
          <w:lang w:val="es-ES"/>
        </w:rPr>
      </w:pPr>
    </w:p>
    <w:p w14:paraId="76598BC9" w14:textId="77777777" w:rsidR="0050347E" w:rsidRPr="00124885" w:rsidRDefault="0050347E" w:rsidP="0050347E">
      <w:pPr>
        <w:pStyle w:val="P68B1DB1-Normal37"/>
        <w:spacing w:after="0" w:line="240" w:lineRule="auto"/>
        <w:jc w:val="both"/>
        <w:rPr>
          <w:lang w:val="es-ES"/>
        </w:rPr>
      </w:pPr>
      <w:r w:rsidRPr="00124885">
        <w:rPr>
          <w:b/>
          <w:lang w:val="es-ES"/>
        </w:rPr>
        <w:t xml:space="preserve">Objetivo: </w:t>
      </w:r>
      <w:r w:rsidRPr="00124885">
        <w:rPr>
          <w:lang w:val="es-ES"/>
        </w:rPr>
        <w:t xml:space="preserve">facilitar acciones coordinadas para la conservación de los mamíferos incluidos en la CMS y sus hábitats en toda la región de Asia Central mediante el fortalecimiento de la cooperación transfronteriza para abordar la captura y el comercio ilegales, mejorar la conectividad de los hábitats, garantizar el uso sostenible de los recursos naturales y promover la coexistencia de la vida silvestre y las comunidades locales. </w:t>
      </w:r>
    </w:p>
    <w:p w14:paraId="64548918" w14:textId="77777777" w:rsidR="0050347E" w:rsidRPr="00124885" w:rsidRDefault="0050347E" w:rsidP="0050347E">
      <w:pPr>
        <w:spacing w:after="0" w:line="240" w:lineRule="auto"/>
        <w:ind w:left="851"/>
        <w:rPr>
          <w:rFonts w:eastAsia="Aptos" w:cs="Arial"/>
          <w:b/>
          <w:sz w:val="20"/>
          <w:lang w:val="es-ES"/>
        </w:rPr>
      </w:pPr>
    </w:p>
    <w:tbl>
      <w:tblPr>
        <w:tblStyle w:val="TableGrid1"/>
        <w:tblW w:w="14000" w:type="dxa"/>
        <w:tblInd w:w="-113" w:type="dxa"/>
        <w:tblLayout w:type="fixed"/>
        <w:tblLook w:val="0480" w:firstRow="0" w:lastRow="0" w:firstColumn="1" w:lastColumn="0" w:noHBand="0" w:noVBand="1"/>
      </w:tblPr>
      <w:tblGrid>
        <w:gridCol w:w="738"/>
        <w:gridCol w:w="5622"/>
        <w:gridCol w:w="1939"/>
        <w:gridCol w:w="2490"/>
        <w:gridCol w:w="1250"/>
        <w:gridCol w:w="1961"/>
      </w:tblGrid>
      <w:tr w:rsidR="0050347E" w:rsidRPr="00006DF4" w14:paraId="16085C9C" w14:textId="77777777" w:rsidTr="00006DF4">
        <w:trPr>
          <w:cantSplit/>
          <w:tblHeader/>
        </w:trPr>
        <w:tc>
          <w:tcPr>
            <w:tcW w:w="6360" w:type="dxa"/>
            <w:gridSpan w:val="2"/>
            <w:shd w:val="clear" w:color="auto" w:fill="C1E4F5"/>
            <w:vAlign w:val="center"/>
          </w:tcPr>
          <w:p w14:paraId="1A1C3DDB" w14:textId="77777777" w:rsidR="0050347E" w:rsidRPr="00006DF4" w:rsidRDefault="0050347E" w:rsidP="00337EFC">
            <w:pPr>
              <w:pStyle w:val="P68B1DB1-Normal48"/>
              <w:spacing w:before="40" w:after="40"/>
              <w:rPr>
                <w:rFonts w:ascii="Arial" w:hAnsi="Arial"/>
              </w:rPr>
            </w:pPr>
            <w:r w:rsidRPr="00006DF4">
              <w:rPr>
                <w:rFonts w:ascii="Arial" w:hAnsi="Arial"/>
              </w:rPr>
              <w:t>Actividades que se implementarán para 2032</w:t>
            </w:r>
          </w:p>
        </w:tc>
        <w:tc>
          <w:tcPr>
            <w:tcW w:w="1939" w:type="dxa"/>
            <w:shd w:val="clear" w:color="auto" w:fill="C1E4F5"/>
            <w:vAlign w:val="center"/>
          </w:tcPr>
          <w:p w14:paraId="487DAFC2" w14:textId="77777777" w:rsidR="0050347E" w:rsidRPr="00006DF4" w:rsidRDefault="0050347E" w:rsidP="00337EFC">
            <w:pPr>
              <w:pStyle w:val="P68B1DB1-Normal48"/>
              <w:spacing w:before="40" w:after="40"/>
              <w:rPr>
                <w:rFonts w:ascii="Arial" w:hAnsi="Arial"/>
              </w:rPr>
            </w:pPr>
            <w:r w:rsidRPr="00006DF4">
              <w:rPr>
                <w:rFonts w:ascii="Arial" w:hAnsi="Arial"/>
              </w:rPr>
              <w:t>Responsable</w:t>
            </w:r>
          </w:p>
        </w:tc>
        <w:tc>
          <w:tcPr>
            <w:tcW w:w="2490" w:type="dxa"/>
            <w:shd w:val="clear" w:color="auto" w:fill="C1E4F5"/>
            <w:vAlign w:val="center"/>
          </w:tcPr>
          <w:p w14:paraId="18CC7DF8" w14:textId="77777777" w:rsidR="0050347E" w:rsidRPr="00006DF4" w:rsidRDefault="0050347E" w:rsidP="00337EFC">
            <w:pPr>
              <w:pStyle w:val="P68B1DB1-Normal48"/>
              <w:spacing w:before="40" w:after="40"/>
              <w:rPr>
                <w:rFonts w:ascii="Arial" w:hAnsi="Arial"/>
              </w:rPr>
            </w:pPr>
            <w:r w:rsidRPr="00006DF4">
              <w:rPr>
                <w:rFonts w:ascii="Arial" w:hAnsi="Arial"/>
              </w:rPr>
              <w:t>Indicador</w:t>
            </w:r>
          </w:p>
        </w:tc>
        <w:tc>
          <w:tcPr>
            <w:tcW w:w="1250" w:type="dxa"/>
            <w:shd w:val="clear" w:color="auto" w:fill="C1E4F5"/>
            <w:vAlign w:val="center"/>
          </w:tcPr>
          <w:p w14:paraId="78095A6C" w14:textId="77777777" w:rsidR="0050347E" w:rsidRPr="00006DF4" w:rsidRDefault="0050347E" w:rsidP="00337EFC">
            <w:pPr>
              <w:pStyle w:val="P68B1DB1-Normal48"/>
              <w:spacing w:before="40" w:after="40"/>
              <w:rPr>
                <w:rFonts w:ascii="Arial" w:hAnsi="Arial"/>
              </w:rPr>
            </w:pPr>
            <w:r w:rsidRPr="00006DF4">
              <w:rPr>
                <w:rFonts w:ascii="Arial" w:hAnsi="Arial"/>
              </w:rPr>
              <w:t>Prioridad</w:t>
            </w:r>
            <w:r w:rsidRPr="00006DF4">
              <w:rPr>
                <w:rFonts w:ascii="Arial" w:hAnsi="Arial"/>
              </w:rPr>
              <w:footnoteReference w:id="3"/>
            </w:r>
          </w:p>
        </w:tc>
        <w:tc>
          <w:tcPr>
            <w:tcW w:w="1961" w:type="dxa"/>
            <w:shd w:val="clear" w:color="auto" w:fill="C1E4F5"/>
          </w:tcPr>
          <w:p w14:paraId="19DEDE71" w14:textId="77777777" w:rsidR="0050347E" w:rsidRPr="00006DF4" w:rsidRDefault="0050347E" w:rsidP="00337EFC">
            <w:pPr>
              <w:pStyle w:val="P68B1DB1-Normal48"/>
              <w:spacing w:before="40" w:after="40"/>
              <w:rPr>
                <w:rFonts w:ascii="Arial" w:hAnsi="Arial"/>
              </w:rPr>
            </w:pPr>
            <w:r w:rsidRPr="00006DF4">
              <w:rPr>
                <w:rFonts w:ascii="Arial" w:hAnsi="Arial"/>
              </w:rPr>
              <w:t>Programas relacionados</w:t>
            </w:r>
          </w:p>
        </w:tc>
      </w:tr>
      <w:tr w:rsidR="0050347E" w:rsidRPr="00006DF4" w14:paraId="71510491" w14:textId="77777777" w:rsidTr="00006DF4">
        <w:trPr>
          <w:cantSplit/>
        </w:trPr>
        <w:tc>
          <w:tcPr>
            <w:tcW w:w="14000" w:type="dxa"/>
            <w:gridSpan w:val="6"/>
            <w:shd w:val="clear" w:color="auto" w:fill="C1E4F5"/>
            <w:vAlign w:val="center"/>
          </w:tcPr>
          <w:p w14:paraId="59D5920E" w14:textId="77777777" w:rsidR="0050347E" w:rsidRPr="00006DF4" w:rsidRDefault="0050347E" w:rsidP="00337EFC">
            <w:pPr>
              <w:pStyle w:val="P68B1DB1-Normal48"/>
              <w:spacing w:before="40" w:after="40"/>
              <w:rPr>
                <w:rFonts w:ascii="Arial" w:hAnsi="Arial"/>
                <w:lang w:val="es-ES"/>
              </w:rPr>
            </w:pPr>
            <w:r w:rsidRPr="00006DF4">
              <w:rPr>
                <w:rFonts w:ascii="Arial" w:hAnsi="Arial"/>
                <w:lang w:val="es-ES"/>
              </w:rPr>
              <w:t>Actividades transversales aplicables a la conservación de todas las especies de la CAMI</w:t>
            </w:r>
            <w:r w:rsidRPr="00006DF4">
              <w:rPr>
                <w:rFonts w:ascii="Arial" w:hAnsi="Arial"/>
              </w:rPr>
              <w:footnoteReference w:id="4"/>
            </w:r>
            <w:r w:rsidRPr="00006DF4">
              <w:rPr>
                <w:rFonts w:ascii="Arial" w:hAnsi="Arial"/>
                <w:lang w:val="es-ES"/>
              </w:rPr>
              <w:t xml:space="preserve"> en las regiones transfronterizas prioritarias para la conservación identificadas y a los instrumentos específicos para cada especie que se muestran a continuación.</w:t>
            </w:r>
          </w:p>
        </w:tc>
      </w:tr>
      <w:tr w:rsidR="0050347E" w:rsidRPr="00006DF4" w14:paraId="5F074CCD" w14:textId="77777777" w:rsidTr="00006DF4">
        <w:trPr>
          <w:cantSplit/>
        </w:trPr>
        <w:tc>
          <w:tcPr>
            <w:tcW w:w="14000" w:type="dxa"/>
            <w:gridSpan w:val="6"/>
            <w:shd w:val="clear" w:color="auto" w:fill="C1E4F5"/>
            <w:vAlign w:val="center"/>
          </w:tcPr>
          <w:p w14:paraId="4C291494" w14:textId="77777777" w:rsidR="0050347E" w:rsidRPr="00006DF4" w:rsidRDefault="0050347E" w:rsidP="00337EFC">
            <w:pPr>
              <w:pStyle w:val="P68B1DB1-Normal48"/>
              <w:spacing w:before="40" w:after="40"/>
              <w:rPr>
                <w:rFonts w:ascii="Arial" w:hAnsi="Arial"/>
                <w:lang w:val="es-ES"/>
              </w:rPr>
            </w:pPr>
            <w:r w:rsidRPr="00006DF4">
              <w:rPr>
                <w:rFonts w:ascii="Arial" w:hAnsi="Arial"/>
                <w:lang w:val="es-ES"/>
              </w:rPr>
              <w:t>Instrumentos complementarios de la CAMI</w:t>
            </w:r>
            <w:r w:rsidRPr="00006DF4">
              <w:rPr>
                <w:rFonts w:ascii="Arial" w:hAnsi="Arial"/>
              </w:rPr>
              <w:footnoteReference w:id="5"/>
            </w:r>
            <w:r w:rsidRPr="00006DF4">
              <w:rPr>
                <w:rFonts w:ascii="Arial" w:hAnsi="Arial"/>
                <w:lang w:val="es-ES"/>
              </w:rPr>
              <w:t xml:space="preserve">: </w:t>
            </w:r>
          </w:p>
        </w:tc>
      </w:tr>
      <w:tr w:rsidR="0050347E" w:rsidRPr="00006DF4" w14:paraId="296BF6D3" w14:textId="77777777" w:rsidTr="00006DF4">
        <w:trPr>
          <w:cantSplit/>
        </w:trPr>
        <w:tc>
          <w:tcPr>
            <w:tcW w:w="14000" w:type="dxa"/>
            <w:gridSpan w:val="6"/>
            <w:shd w:val="clear" w:color="auto" w:fill="D9F2D0"/>
          </w:tcPr>
          <w:p w14:paraId="361A48EA" w14:textId="77777777" w:rsidR="0050347E" w:rsidRPr="00006DF4" w:rsidRDefault="0050347E" w:rsidP="00337EFC">
            <w:pPr>
              <w:pStyle w:val="P68B1DB1-Normal49"/>
              <w:spacing w:before="40" w:after="40"/>
              <w:rPr>
                <w:rFonts w:ascii="Arial" w:hAnsi="Arial"/>
                <w:b/>
                <w:lang w:val="es-ES"/>
              </w:rPr>
            </w:pPr>
            <w:hyperlink r:id="rId41">
              <w:r w:rsidRPr="00006DF4">
                <w:rPr>
                  <w:rFonts w:ascii="Arial" w:hAnsi="Arial"/>
                  <w:lang w:val="es-ES"/>
                </w:rPr>
                <w:t>Estrategia del Área de Distribución para la Conservación del Leopardo de Persia (2023-2032)</w:t>
              </w:r>
            </w:hyperlink>
          </w:p>
        </w:tc>
      </w:tr>
      <w:tr w:rsidR="0050347E" w:rsidRPr="00006DF4" w14:paraId="57A1DB25" w14:textId="77777777" w:rsidTr="00006DF4">
        <w:trPr>
          <w:cantSplit/>
        </w:trPr>
        <w:tc>
          <w:tcPr>
            <w:tcW w:w="14000" w:type="dxa"/>
            <w:gridSpan w:val="6"/>
            <w:shd w:val="clear" w:color="auto" w:fill="D9F2D0"/>
          </w:tcPr>
          <w:p w14:paraId="2DE8D0E0" w14:textId="77777777" w:rsidR="0050347E" w:rsidRPr="00006DF4" w:rsidRDefault="0050347E" w:rsidP="00337EFC">
            <w:pPr>
              <w:pStyle w:val="P68B1DB1-Normal49"/>
              <w:spacing w:before="40" w:after="40"/>
              <w:rPr>
                <w:rFonts w:ascii="Arial" w:hAnsi="Arial"/>
                <w:b/>
                <w:lang w:val="es-ES"/>
              </w:rPr>
            </w:pPr>
            <w:hyperlink r:id="rId42">
              <w:r w:rsidRPr="00006DF4">
                <w:rPr>
                  <w:rFonts w:ascii="Arial" w:hAnsi="Arial"/>
                  <w:lang w:val="es-ES"/>
                </w:rPr>
                <w:t>Plan de Acción para la Conservación del Argalí (2024-2032)</w:t>
              </w:r>
            </w:hyperlink>
          </w:p>
        </w:tc>
      </w:tr>
      <w:tr w:rsidR="0050347E" w:rsidRPr="00006DF4" w14:paraId="5DCA5CDA" w14:textId="77777777" w:rsidTr="00006DF4">
        <w:trPr>
          <w:cantSplit/>
        </w:trPr>
        <w:tc>
          <w:tcPr>
            <w:tcW w:w="14000" w:type="dxa"/>
            <w:gridSpan w:val="6"/>
            <w:shd w:val="clear" w:color="auto" w:fill="D9F2D0"/>
          </w:tcPr>
          <w:p w14:paraId="7760F600" w14:textId="77777777" w:rsidR="0050347E" w:rsidRPr="00006DF4" w:rsidRDefault="0050347E" w:rsidP="00337EFC">
            <w:pPr>
              <w:pStyle w:val="P68B1DB1-Normal49"/>
              <w:spacing w:before="40" w:after="40"/>
              <w:rPr>
                <w:rFonts w:ascii="Arial" w:hAnsi="Arial"/>
                <w:lang w:val="es-ES"/>
              </w:rPr>
            </w:pPr>
            <w:hyperlink r:id="rId43">
              <w:r w:rsidRPr="00006DF4">
                <w:rPr>
                  <w:rFonts w:ascii="Arial" w:hAnsi="Arial"/>
                  <w:lang w:val="es-ES"/>
                </w:rPr>
                <w:t>Plan de Acción para el Área de Distribución del Asno Salvaje Euroasiático (2024-2033)</w:t>
              </w:r>
            </w:hyperlink>
          </w:p>
        </w:tc>
      </w:tr>
      <w:tr w:rsidR="0050347E" w:rsidRPr="00006DF4" w14:paraId="6D20558A" w14:textId="77777777" w:rsidTr="00006DF4">
        <w:trPr>
          <w:cantSplit/>
        </w:trPr>
        <w:tc>
          <w:tcPr>
            <w:tcW w:w="14000" w:type="dxa"/>
            <w:gridSpan w:val="6"/>
            <w:shd w:val="clear" w:color="auto" w:fill="D9F2D0"/>
          </w:tcPr>
          <w:p w14:paraId="375904F7" w14:textId="77777777" w:rsidR="0050347E" w:rsidRPr="00006DF4" w:rsidRDefault="0050347E" w:rsidP="00337EFC">
            <w:pPr>
              <w:pStyle w:val="P68B1DB1-Normal49"/>
              <w:spacing w:before="40" w:after="40"/>
              <w:rPr>
                <w:rFonts w:ascii="Arial" w:hAnsi="Arial"/>
                <w:lang w:val="es-ES"/>
              </w:rPr>
            </w:pPr>
            <w:hyperlink r:id="rId44">
              <w:r w:rsidRPr="00006DF4">
                <w:rPr>
                  <w:rFonts w:ascii="Arial" w:hAnsi="Arial"/>
                  <w:lang w:val="es-ES"/>
                </w:rPr>
                <w:t>Programa de Trabajo sobre el Ciervo de Bukhara (2025-2032)</w:t>
              </w:r>
            </w:hyperlink>
          </w:p>
        </w:tc>
      </w:tr>
      <w:tr w:rsidR="0050347E" w:rsidRPr="00006DF4" w14:paraId="6AEF4EC9" w14:textId="77777777" w:rsidTr="00006DF4">
        <w:trPr>
          <w:cantSplit/>
        </w:trPr>
        <w:tc>
          <w:tcPr>
            <w:tcW w:w="14000" w:type="dxa"/>
            <w:gridSpan w:val="6"/>
            <w:shd w:val="clear" w:color="auto" w:fill="D9F2D0"/>
          </w:tcPr>
          <w:p w14:paraId="0C7E78DC" w14:textId="77777777" w:rsidR="0050347E" w:rsidRPr="00006DF4" w:rsidRDefault="0050347E" w:rsidP="00337EFC">
            <w:pPr>
              <w:pStyle w:val="P68B1DB1-Normal49"/>
              <w:spacing w:before="40" w:after="40"/>
              <w:rPr>
                <w:rFonts w:ascii="Arial" w:hAnsi="Arial"/>
                <w:lang w:val="es-ES"/>
              </w:rPr>
            </w:pPr>
            <w:hyperlink r:id="rId45" w:history="1">
              <w:r w:rsidRPr="00006DF4">
                <w:rPr>
                  <w:rFonts w:ascii="Arial" w:hAnsi="Arial"/>
                  <w:lang w:val="es-ES"/>
                </w:rPr>
                <w:t>Programa de Trabajo Internacional a Medio Plazo para el Antílope Saiga (2025-2030)</w:t>
              </w:r>
            </w:hyperlink>
          </w:p>
        </w:tc>
      </w:tr>
      <w:tr w:rsidR="0050347E" w:rsidRPr="00006DF4" w14:paraId="315BA57E" w14:textId="77777777" w:rsidTr="00006DF4">
        <w:trPr>
          <w:cantSplit/>
        </w:trPr>
        <w:tc>
          <w:tcPr>
            <w:tcW w:w="14000" w:type="dxa"/>
            <w:gridSpan w:val="6"/>
            <w:shd w:val="clear" w:color="auto" w:fill="D9F2D0"/>
            <w:vAlign w:val="center"/>
          </w:tcPr>
          <w:p w14:paraId="79AE5E11" w14:textId="77777777" w:rsidR="0050347E" w:rsidRPr="00006DF4" w:rsidRDefault="0050347E" w:rsidP="0050347E">
            <w:pPr>
              <w:pStyle w:val="P68B1DB1-Normal50"/>
              <w:widowControl w:val="0"/>
              <w:numPr>
                <w:ilvl w:val="0"/>
                <w:numId w:val="17"/>
              </w:numPr>
              <w:spacing w:before="40" w:after="40"/>
              <w:ind w:left="360"/>
              <w:jc w:val="both"/>
              <w:rPr>
                <w:rFonts w:ascii="Arial" w:hAnsi="Arial"/>
                <w:lang w:val="es-ES"/>
              </w:rPr>
            </w:pPr>
            <w:r w:rsidRPr="00006DF4">
              <w:rPr>
                <w:rFonts w:ascii="Arial" w:hAnsi="Arial"/>
                <w:lang w:val="es-ES"/>
              </w:rPr>
              <w:t>Implementación y coordinación del PdT de la CAMI</w:t>
            </w:r>
          </w:p>
        </w:tc>
      </w:tr>
      <w:tr w:rsidR="0050347E" w:rsidRPr="00006DF4" w14:paraId="5B4A0179" w14:textId="77777777" w:rsidTr="00006DF4">
        <w:trPr>
          <w:cantSplit/>
        </w:trPr>
        <w:tc>
          <w:tcPr>
            <w:tcW w:w="738" w:type="dxa"/>
          </w:tcPr>
          <w:p w14:paraId="23E89B3B"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1.1</w:t>
            </w:r>
          </w:p>
        </w:tc>
        <w:tc>
          <w:tcPr>
            <w:tcW w:w="5622" w:type="dxa"/>
          </w:tcPr>
          <w:p w14:paraId="2D97F2B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La Secretaría de la CMS organizará:</w:t>
            </w:r>
          </w:p>
          <w:p w14:paraId="39470683" w14:textId="77777777" w:rsidR="0050347E" w:rsidRPr="00006DF4" w:rsidRDefault="0050347E" w:rsidP="0050347E">
            <w:pPr>
              <w:pStyle w:val="P68B1DB1-ListParagraph52"/>
              <w:numPr>
                <w:ilvl w:val="0"/>
                <w:numId w:val="30"/>
              </w:numPr>
              <w:spacing w:before="40" w:after="40"/>
              <w:ind w:left="357" w:hanging="357"/>
              <w:contextualSpacing w:val="0"/>
              <w:jc w:val="both"/>
              <w:rPr>
                <w:rFonts w:ascii="Arial" w:hAnsi="Arial"/>
                <w:lang w:val="es-ES"/>
              </w:rPr>
            </w:pPr>
            <w:r w:rsidRPr="00006DF4">
              <w:rPr>
                <w:rFonts w:ascii="Arial" w:hAnsi="Arial"/>
                <w:lang w:val="es-ES"/>
              </w:rPr>
              <w:t>una reunión de mitad de período en 2028/29 para evaluar el estado de la implementación de este Programa de Trabajo, valorar los éxitos y abordar los desafíos e informar a la COP16 de la CMS;</w:t>
            </w:r>
          </w:p>
          <w:p w14:paraId="74D1939F" w14:textId="77777777" w:rsidR="0050347E" w:rsidRPr="00006DF4" w:rsidRDefault="0050347E" w:rsidP="0050347E">
            <w:pPr>
              <w:pStyle w:val="P68B1DB1-ListParagraph53"/>
              <w:numPr>
                <w:ilvl w:val="0"/>
                <w:numId w:val="30"/>
              </w:numPr>
              <w:spacing w:before="40" w:after="40"/>
              <w:contextualSpacing w:val="0"/>
              <w:jc w:val="both"/>
              <w:rPr>
                <w:rFonts w:ascii="Arial" w:eastAsia="Aptos" w:hAnsi="Arial" w:cs="Arial"/>
                <w:lang w:val="es-ES"/>
              </w:rPr>
            </w:pPr>
            <w:r w:rsidRPr="00006DF4">
              <w:rPr>
                <w:rFonts w:ascii="Arial" w:eastAsia="Aptos" w:hAnsi="Arial" w:cs="Arial"/>
                <w:lang w:val="es-ES"/>
              </w:rPr>
              <w:t xml:space="preserve">la 4.ª Reunión de los Estados del Área de Distribución de la CAMI en 2031/32 para evaluar la implementación, valorar los éxitos y abordar los desafíos y revisar y presentar un nuevo PdT a la COP17 de la CMS. </w:t>
            </w:r>
          </w:p>
        </w:tc>
        <w:tc>
          <w:tcPr>
            <w:tcW w:w="1939" w:type="dxa"/>
          </w:tcPr>
          <w:p w14:paraId="2719384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instituciones científicas, ONG</w:t>
            </w:r>
          </w:p>
        </w:tc>
        <w:tc>
          <w:tcPr>
            <w:tcW w:w="2490" w:type="dxa"/>
          </w:tcPr>
          <w:p w14:paraId="0D906C23" w14:textId="77777777" w:rsidR="0050347E" w:rsidRPr="00006DF4" w:rsidRDefault="0050347E" w:rsidP="00337EFC">
            <w:pPr>
              <w:pStyle w:val="P68B1DB1-Normal54"/>
              <w:spacing w:before="40" w:after="40"/>
              <w:jc w:val="both"/>
              <w:rPr>
                <w:rFonts w:ascii="Arial" w:eastAsia="Aptos" w:hAnsi="Arial" w:cs="Arial"/>
                <w:lang w:val="es-ES"/>
              </w:rPr>
            </w:pPr>
            <w:r w:rsidRPr="00006DF4">
              <w:rPr>
                <w:rFonts w:ascii="Arial" w:eastAsia="Aptos" w:hAnsi="Arial" w:cs="Arial"/>
                <w:lang w:val="es-ES"/>
              </w:rPr>
              <w:t>Se celebran de forma consecutiva con otras reuniones pertinentes, siempre que sea posible, en coordinación con el Programa Mundial para el Leopardo de las Nieves y los Ecosistemas (GSLEP), la Iniciativa de la Ruta Migratoria de Asia Central, el Grupo de Trabajo sobre el Leopardo de Persia, la Pallas' Cat International Conservation Alliance (</w:t>
            </w:r>
            <w:r w:rsidRPr="00006DF4">
              <w:rPr>
                <w:rFonts w:ascii="Arial" w:eastAsia="Aptos" w:hAnsi="Arial" w:cs="Arial"/>
                <w:color w:val="000000" w:themeColor="text1"/>
                <w:lang w:val="es-ES"/>
              </w:rPr>
              <w:t>PICA</w:t>
            </w:r>
            <w:r w:rsidRPr="00006DF4">
              <w:rPr>
                <w:rFonts w:ascii="Arial" w:eastAsia="Aptos" w:hAnsi="Arial" w:cs="Arial"/>
                <w:lang w:val="es-ES"/>
              </w:rPr>
              <w:t xml:space="preserve">), el Grupo de Trabajo sobre el Manul, entre otros, según corresponda, para aprovechar las posibles sinergias con el fin de mejorar la implementación del PdT. </w:t>
            </w:r>
          </w:p>
        </w:tc>
        <w:tc>
          <w:tcPr>
            <w:tcW w:w="1250" w:type="dxa"/>
          </w:tcPr>
          <w:p w14:paraId="78912F9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4DC7D0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20 del Marco Mundial de Biodiversidad de Kunming-Montreal (GBF), Objetivos 1 y 6 del Plan Estratégico de Samarcanda para </w:t>
            </w:r>
          </w:p>
          <w:p w14:paraId="49B4DA58" w14:textId="77777777" w:rsidR="0050347E" w:rsidRPr="00006DF4" w:rsidRDefault="0050347E" w:rsidP="00337EFC">
            <w:pPr>
              <w:pStyle w:val="P68B1DB1-Normal51"/>
              <w:spacing w:before="40" w:after="40"/>
              <w:rPr>
                <w:rFonts w:ascii="Arial" w:hAnsi="Arial"/>
              </w:rPr>
            </w:pPr>
            <w:r w:rsidRPr="00006DF4">
              <w:rPr>
                <w:rFonts w:ascii="Arial" w:hAnsi="Arial"/>
              </w:rPr>
              <w:t>las Especies Migratorias (2024-2032) (PEEM)</w:t>
            </w:r>
          </w:p>
          <w:p w14:paraId="3A293E5B" w14:textId="77777777" w:rsidR="0050347E" w:rsidRPr="00006DF4" w:rsidRDefault="0050347E" w:rsidP="00337EFC">
            <w:pPr>
              <w:pStyle w:val="P68B1DB1-Normal51"/>
              <w:spacing w:before="40" w:after="40"/>
              <w:rPr>
                <w:rFonts w:ascii="Arial" w:hAnsi="Arial"/>
              </w:rPr>
            </w:pPr>
            <w:r w:rsidRPr="00006DF4">
              <w:rPr>
                <w:rFonts w:ascii="Arial" w:hAnsi="Arial"/>
              </w:rPr>
              <w:t xml:space="preserve"> </w:t>
            </w:r>
          </w:p>
        </w:tc>
      </w:tr>
      <w:tr w:rsidR="0050347E" w:rsidRPr="00006DF4" w14:paraId="64BD8EBB" w14:textId="77777777" w:rsidTr="00006DF4">
        <w:trPr>
          <w:cantSplit/>
        </w:trPr>
        <w:tc>
          <w:tcPr>
            <w:tcW w:w="738" w:type="dxa"/>
          </w:tcPr>
          <w:p w14:paraId="412765AF" w14:textId="77777777" w:rsidR="0050347E" w:rsidRPr="00006DF4" w:rsidRDefault="0050347E" w:rsidP="00337EFC">
            <w:pPr>
              <w:pStyle w:val="P68B1DB1-Normal51"/>
              <w:spacing w:before="40" w:after="40"/>
              <w:rPr>
                <w:rFonts w:ascii="Arial" w:hAnsi="Arial"/>
              </w:rPr>
            </w:pPr>
            <w:r w:rsidRPr="00006DF4">
              <w:rPr>
                <w:rFonts w:ascii="Arial" w:hAnsi="Arial"/>
              </w:rPr>
              <w:t>1.2</w:t>
            </w:r>
          </w:p>
        </w:tc>
        <w:tc>
          <w:tcPr>
            <w:tcW w:w="5622" w:type="dxa"/>
          </w:tcPr>
          <w:p w14:paraId="1F74C58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Mantener un registro de las actividades implementadas y presentar informes nacionales sobre la implementación del PT cada 3 años, utilizando los formularios de presentación de informes proporcionados por la Secretaría de la CMS.</w:t>
            </w:r>
          </w:p>
        </w:tc>
        <w:tc>
          <w:tcPr>
            <w:tcW w:w="1939" w:type="dxa"/>
          </w:tcPr>
          <w:p w14:paraId="5DCB063D"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50BB3A7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Se elaboran informes utilizando los formularios de presentación de informes distribuidos por la Secretaría de la CMS. </w:t>
            </w:r>
          </w:p>
        </w:tc>
        <w:tc>
          <w:tcPr>
            <w:tcW w:w="1250" w:type="dxa"/>
          </w:tcPr>
          <w:p w14:paraId="39BE94B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5BEDC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006DF4" w14:paraId="51E27105" w14:textId="77777777" w:rsidTr="00006DF4">
        <w:trPr>
          <w:cantSplit/>
        </w:trPr>
        <w:tc>
          <w:tcPr>
            <w:tcW w:w="738" w:type="dxa"/>
          </w:tcPr>
          <w:p w14:paraId="571998EA" w14:textId="77777777" w:rsidR="0050347E" w:rsidRPr="00006DF4" w:rsidRDefault="0050347E" w:rsidP="00337EFC">
            <w:pPr>
              <w:pStyle w:val="P68B1DB1-Normal51"/>
              <w:spacing w:before="40" w:after="40"/>
              <w:rPr>
                <w:rFonts w:ascii="Arial" w:hAnsi="Arial"/>
              </w:rPr>
            </w:pPr>
            <w:r w:rsidRPr="00006DF4">
              <w:rPr>
                <w:rFonts w:ascii="Arial" w:hAnsi="Arial"/>
              </w:rPr>
              <w:t>1.3</w:t>
            </w:r>
          </w:p>
        </w:tc>
        <w:tc>
          <w:tcPr>
            <w:tcW w:w="5622" w:type="dxa"/>
          </w:tcPr>
          <w:p w14:paraId="0C0C21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Establecer términos de referencia (TdR) para las organizaciones cooperantes que presten apoyo técnico a la implementación del PdT de la CAMI, así como las estrategias y los planes de acción relacionados, y publicarlos en el sitio web de la CAMI.</w:t>
            </w:r>
          </w:p>
        </w:tc>
        <w:tc>
          <w:tcPr>
            <w:tcW w:w="1939" w:type="dxa"/>
          </w:tcPr>
          <w:p w14:paraId="487F320E"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Secretaría de la CMS </w:t>
            </w:r>
          </w:p>
        </w:tc>
        <w:tc>
          <w:tcPr>
            <w:tcW w:w="2490" w:type="dxa"/>
          </w:tcPr>
          <w:p w14:paraId="52B0279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Se desarrollan y publican los TdR.</w:t>
            </w:r>
          </w:p>
        </w:tc>
        <w:tc>
          <w:tcPr>
            <w:tcW w:w="1250" w:type="dxa"/>
          </w:tcPr>
          <w:p w14:paraId="4AEAAF6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857F86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006DF4" w14:paraId="178F0411" w14:textId="77777777" w:rsidTr="00006DF4">
        <w:trPr>
          <w:cantSplit/>
        </w:trPr>
        <w:tc>
          <w:tcPr>
            <w:tcW w:w="738" w:type="dxa"/>
          </w:tcPr>
          <w:p w14:paraId="7716BD95"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1.4</w:t>
            </w:r>
          </w:p>
        </w:tc>
        <w:tc>
          <w:tcPr>
            <w:tcW w:w="5622" w:type="dxa"/>
          </w:tcPr>
          <w:p w14:paraId="3E73E52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Nombrar Puntos Focales gubernamentales para cada RTPC de este Programa de Trabajo y organizaciones de apoyo técnico que cubran todas las RTPC. </w:t>
            </w:r>
          </w:p>
        </w:tc>
        <w:tc>
          <w:tcPr>
            <w:tcW w:w="1939" w:type="dxa"/>
          </w:tcPr>
          <w:p w14:paraId="7F2A015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09819AE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Se designan los Puntos Focales gubernamentales y se identifican organizaciones de apoyo técnico.</w:t>
            </w:r>
          </w:p>
        </w:tc>
        <w:tc>
          <w:tcPr>
            <w:tcW w:w="1250" w:type="dxa"/>
          </w:tcPr>
          <w:p w14:paraId="4C2164EB"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82957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p w14:paraId="251451B3" w14:textId="77777777" w:rsidR="0050347E" w:rsidRPr="00006DF4" w:rsidRDefault="0050347E" w:rsidP="00337EFC">
            <w:pPr>
              <w:spacing w:before="40" w:after="40"/>
              <w:rPr>
                <w:rFonts w:ascii="Arial" w:eastAsia="Aptos" w:hAnsi="Arial" w:cs="Arial"/>
                <w:sz w:val="20"/>
                <w:lang w:val="es-ES"/>
              </w:rPr>
            </w:pPr>
          </w:p>
        </w:tc>
      </w:tr>
      <w:tr w:rsidR="0050347E" w:rsidRPr="00006DF4" w14:paraId="1BD73DFF" w14:textId="77777777" w:rsidTr="00006DF4">
        <w:trPr>
          <w:cantSplit/>
        </w:trPr>
        <w:tc>
          <w:tcPr>
            <w:tcW w:w="738" w:type="dxa"/>
          </w:tcPr>
          <w:p w14:paraId="649BB0F4" w14:textId="77777777" w:rsidR="0050347E" w:rsidRPr="00006DF4" w:rsidRDefault="0050347E" w:rsidP="00337EFC">
            <w:pPr>
              <w:pStyle w:val="P68B1DB1-Normal51"/>
              <w:spacing w:before="40" w:after="40"/>
              <w:rPr>
                <w:rFonts w:ascii="Arial" w:hAnsi="Arial"/>
              </w:rPr>
            </w:pPr>
            <w:r w:rsidRPr="00006DF4">
              <w:rPr>
                <w:rFonts w:ascii="Arial" w:hAnsi="Arial"/>
              </w:rPr>
              <w:t>1.5</w:t>
            </w:r>
          </w:p>
        </w:tc>
        <w:tc>
          <w:tcPr>
            <w:tcW w:w="5622" w:type="dxa"/>
          </w:tcPr>
          <w:p w14:paraId="43E063F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Convocar al menos una reunión anual para los Puntos Focales de la CAMI y las </w:t>
            </w:r>
            <w:r w:rsidRPr="00006DF4">
              <w:rPr>
                <w:rFonts w:ascii="Arial" w:hAnsi="Arial"/>
                <w:color w:val="000000" w:themeColor="text1"/>
                <w:lang w:val="es-ES"/>
              </w:rPr>
              <w:t xml:space="preserve">Autoridades de Gestión (AG) </w:t>
            </w:r>
            <w:r w:rsidRPr="00006DF4">
              <w:rPr>
                <w:rFonts w:ascii="Arial" w:hAnsi="Arial"/>
                <w:lang w:val="es-ES"/>
              </w:rPr>
              <w:t>de la CITES responsables de establecer contacto con sus homólogos de otros Estados del área de distribución y organizaciones cooperantes para intercambiar información sobre la implementación del PdT, las decisiones pertinentes de la CITES y los conocimientos técnicos sobre las medidas de conservación de las especies de la CAMI.</w:t>
            </w:r>
          </w:p>
        </w:tc>
        <w:tc>
          <w:tcPr>
            <w:tcW w:w="1939" w:type="dxa"/>
          </w:tcPr>
          <w:p w14:paraId="126901EF" w14:textId="77777777" w:rsidR="0050347E" w:rsidRPr="00006DF4" w:rsidRDefault="0050347E" w:rsidP="00337EFC">
            <w:pPr>
              <w:pStyle w:val="P68B1DB1-Normal51"/>
              <w:spacing w:before="40" w:after="40"/>
              <w:rPr>
                <w:rFonts w:ascii="Arial" w:hAnsi="Arial"/>
              </w:rPr>
            </w:pPr>
            <w:r w:rsidRPr="00006DF4">
              <w:rPr>
                <w:rFonts w:ascii="Arial" w:hAnsi="Arial"/>
              </w:rPr>
              <w:t>Puntos Focales de la CAMI, AG de la CITES</w:t>
            </w:r>
          </w:p>
        </w:tc>
        <w:tc>
          <w:tcPr>
            <w:tcW w:w="2490" w:type="dxa"/>
          </w:tcPr>
          <w:p w14:paraId="617BEE9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Se difunden la lista de participantes en la reunión, el resumen del tipo de información y las decisiones pertinentes de la CITES y se concreta la naturaleza de los conocimientos técnicos. </w:t>
            </w:r>
          </w:p>
        </w:tc>
        <w:tc>
          <w:tcPr>
            <w:tcW w:w="1250" w:type="dxa"/>
          </w:tcPr>
          <w:p w14:paraId="6A7BE1C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D9081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006DF4" w14:paraId="5A875481" w14:textId="77777777" w:rsidTr="00006DF4">
        <w:trPr>
          <w:cantSplit/>
        </w:trPr>
        <w:tc>
          <w:tcPr>
            <w:tcW w:w="738" w:type="dxa"/>
          </w:tcPr>
          <w:p w14:paraId="2B7221E0" w14:textId="77777777" w:rsidR="0050347E" w:rsidRPr="00006DF4" w:rsidRDefault="0050347E" w:rsidP="00337EFC">
            <w:pPr>
              <w:pStyle w:val="P68B1DB1-Normal51"/>
              <w:spacing w:before="40" w:after="40"/>
              <w:rPr>
                <w:rFonts w:ascii="Arial" w:hAnsi="Arial"/>
              </w:rPr>
            </w:pPr>
            <w:r w:rsidRPr="00006DF4">
              <w:rPr>
                <w:rFonts w:ascii="Arial" w:hAnsi="Arial"/>
              </w:rPr>
              <w:t>1.6</w:t>
            </w:r>
          </w:p>
        </w:tc>
        <w:tc>
          <w:tcPr>
            <w:tcW w:w="5622" w:type="dxa"/>
          </w:tcPr>
          <w:p w14:paraId="548A57B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Integrar los aspectos pertinentes de este PdT en el programa de trabajo conjunto de las Secretarías de la CITES y la CMS, cuando se renueve, para armonizar y fortalecer aún más las actividades conjuntas sobre las especies de la CAMI y buscar oportunidades de financiación colaborativa.</w:t>
            </w:r>
          </w:p>
        </w:tc>
        <w:tc>
          <w:tcPr>
            <w:tcW w:w="1939" w:type="dxa"/>
          </w:tcPr>
          <w:p w14:paraId="5A5474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Secretarías de la CMS y la CITES</w:t>
            </w:r>
          </w:p>
        </w:tc>
        <w:tc>
          <w:tcPr>
            <w:tcW w:w="2490" w:type="dxa"/>
          </w:tcPr>
          <w:p w14:paraId="74F6FB1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Nuevo programa de trabajo conjunto de la CITES y la CMS 2026-2032 teniendo en cuenta las actividades pertinentes de este PdT. </w:t>
            </w:r>
          </w:p>
        </w:tc>
        <w:tc>
          <w:tcPr>
            <w:tcW w:w="1250" w:type="dxa"/>
          </w:tcPr>
          <w:p w14:paraId="420C501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D686F6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006DF4" w14:paraId="79EEDF30" w14:textId="77777777" w:rsidTr="00006DF4">
        <w:trPr>
          <w:cantSplit/>
        </w:trPr>
        <w:tc>
          <w:tcPr>
            <w:tcW w:w="738" w:type="dxa"/>
          </w:tcPr>
          <w:p w14:paraId="14C1C3CA" w14:textId="77777777" w:rsidR="0050347E" w:rsidRPr="00006DF4" w:rsidRDefault="0050347E" w:rsidP="00337EFC">
            <w:pPr>
              <w:pStyle w:val="P68B1DB1-Normal51"/>
              <w:spacing w:before="40" w:after="40"/>
              <w:rPr>
                <w:rFonts w:ascii="Arial" w:hAnsi="Arial"/>
              </w:rPr>
            </w:pPr>
            <w:r w:rsidRPr="00006DF4">
              <w:rPr>
                <w:rFonts w:ascii="Arial" w:hAnsi="Arial"/>
              </w:rPr>
              <w:t>1.7</w:t>
            </w:r>
          </w:p>
        </w:tc>
        <w:tc>
          <w:tcPr>
            <w:tcW w:w="5622" w:type="dxa"/>
          </w:tcPr>
          <w:p w14:paraId="6880D79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Proponer a las CP de la CMS y la CITES que conviertan la CAMI en una Iniciativa Conjunta sobre los Mamíferos de Asia Central de la CMS y la CITES, siguiendo el ejemplo de la Iniciativa sobre los Carnívoros Africanos.</w:t>
            </w:r>
          </w:p>
        </w:tc>
        <w:tc>
          <w:tcPr>
            <w:tcW w:w="1939" w:type="dxa"/>
          </w:tcPr>
          <w:p w14:paraId="31DB0F46" w14:textId="77777777" w:rsidR="0050347E" w:rsidRPr="00006DF4" w:rsidRDefault="0050347E" w:rsidP="00337EFC">
            <w:pPr>
              <w:pStyle w:val="P68B1DB1-Normal51"/>
              <w:spacing w:before="40" w:after="40"/>
              <w:rPr>
                <w:rFonts w:ascii="Arial" w:hAnsi="Arial"/>
              </w:rPr>
            </w:pPr>
            <w:r w:rsidRPr="00006DF4">
              <w:rPr>
                <w:rFonts w:ascii="Arial" w:hAnsi="Arial"/>
              </w:rPr>
              <w:t xml:space="preserve">Partes de la CMS y la CITES </w:t>
            </w:r>
          </w:p>
        </w:tc>
        <w:tc>
          <w:tcPr>
            <w:tcW w:w="2490" w:type="dxa"/>
          </w:tcPr>
          <w:p w14:paraId="3BE5C7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la propuesta en cuestión a las CP de la CITES y la CMS.</w:t>
            </w:r>
          </w:p>
        </w:tc>
        <w:tc>
          <w:tcPr>
            <w:tcW w:w="1250" w:type="dxa"/>
          </w:tcPr>
          <w:p w14:paraId="791D6FC7"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9562C5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1 y 6 del PEEM</w:t>
            </w:r>
          </w:p>
        </w:tc>
      </w:tr>
      <w:tr w:rsidR="0050347E" w:rsidRPr="00006DF4" w14:paraId="5BCA74F9" w14:textId="77777777" w:rsidTr="00006DF4">
        <w:trPr>
          <w:cantSplit/>
        </w:trPr>
        <w:tc>
          <w:tcPr>
            <w:tcW w:w="738" w:type="dxa"/>
          </w:tcPr>
          <w:p w14:paraId="5BF52474" w14:textId="77777777" w:rsidR="0050347E" w:rsidRPr="00006DF4" w:rsidRDefault="0050347E" w:rsidP="00337EFC">
            <w:pPr>
              <w:pStyle w:val="P68B1DB1-Normal51"/>
              <w:spacing w:before="40" w:after="40"/>
              <w:rPr>
                <w:rFonts w:ascii="Arial" w:hAnsi="Arial"/>
              </w:rPr>
            </w:pPr>
            <w:r w:rsidRPr="00006DF4">
              <w:rPr>
                <w:rFonts w:ascii="Arial" w:hAnsi="Arial"/>
              </w:rPr>
              <w:t>1.8</w:t>
            </w:r>
          </w:p>
        </w:tc>
        <w:tc>
          <w:tcPr>
            <w:tcW w:w="5622" w:type="dxa"/>
          </w:tcPr>
          <w:p w14:paraId="6684654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Solicitar a los Estados del área de distribución que no son Partes que designen un Punto Focal para la CAMI, en los casos en que no se identifique un Punto Focal de la CMS.</w:t>
            </w:r>
          </w:p>
        </w:tc>
        <w:tc>
          <w:tcPr>
            <w:tcW w:w="1939" w:type="dxa"/>
          </w:tcPr>
          <w:p w14:paraId="002D7D22"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Secretaría de la CMS </w:t>
            </w:r>
          </w:p>
        </w:tc>
        <w:tc>
          <w:tcPr>
            <w:tcW w:w="2490" w:type="dxa"/>
          </w:tcPr>
          <w:p w14:paraId="6C2620E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designan los Puntos Focales.</w:t>
            </w:r>
          </w:p>
        </w:tc>
        <w:tc>
          <w:tcPr>
            <w:tcW w:w="1250" w:type="dxa"/>
          </w:tcPr>
          <w:p w14:paraId="0DC8DD1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DD692C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006DF4" w14:paraId="10941DE4" w14:textId="77777777" w:rsidTr="00006DF4">
        <w:trPr>
          <w:cantSplit/>
        </w:trPr>
        <w:tc>
          <w:tcPr>
            <w:tcW w:w="738" w:type="dxa"/>
          </w:tcPr>
          <w:p w14:paraId="00F65EC9" w14:textId="77777777" w:rsidR="0050347E" w:rsidRPr="00006DF4" w:rsidRDefault="0050347E" w:rsidP="00337EFC">
            <w:pPr>
              <w:pStyle w:val="P68B1DB1-Normal51"/>
              <w:spacing w:before="40" w:after="40"/>
              <w:rPr>
                <w:rFonts w:ascii="Arial" w:hAnsi="Arial"/>
              </w:rPr>
            </w:pPr>
            <w:r w:rsidRPr="00006DF4">
              <w:rPr>
                <w:rFonts w:ascii="Arial" w:hAnsi="Arial"/>
              </w:rPr>
              <w:t>1.9</w:t>
            </w:r>
          </w:p>
        </w:tc>
        <w:tc>
          <w:tcPr>
            <w:tcW w:w="5622" w:type="dxa"/>
          </w:tcPr>
          <w:p w14:paraId="069EEED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w:t>
            </w:r>
            <w:r w:rsidRPr="00006DF4">
              <w:rPr>
                <w:rFonts w:ascii="Arial" w:hAnsi="Arial"/>
                <w:color w:val="000000" w:themeColor="text1"/>
                <w:lang w:val="es-ES"/>
              </w:rPr>
              <w:t>talleres técnicos ecorregionales sobre los componentes del Programa de Trabajo (por ejemplo, sobre la gestión comunitaria</w:t>
            </w:r>
            <w:r w:rsidRPr="00006DF4">
              <w:rPr>
                <w:rFonts w:ascii="Arial" w:hAnsi="Arial"/>
                <w:lang w:val="es-ES"/>
              </w:rPr>
              <w:t xml:space="preserve"> de la vida silvestre) para elaborar directrices, según sea necesario.</w:t>
            </w:r>
          </w:p>
        </w:tc>
        <w:tc>
          <w:tcPr>
            <w:tcW w:w="1939" w:type="dxa"/>
          </w:tcPr>
          <w:p w14:paraId="1A3D227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w:t>
            </w:r>
          </w:p>
        </w:tc>
        <w:tc>
          <w:tcPr>
            <w:tcW w:w="2490" w:type="dxa"/>
          </w:tcPr>
          <w:p w14:paraId="36611B3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organizan tres o más talleres antes de 2032.</w:t>
            </w:r>
          </w:p>
        </w:tc>
        <w:tc>
          <w:tcPr>
            <w:tcW w:w="1250" w:type="dxa"/>
          </w:tcPr>
          <w:p w14:paraId="465CF21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6C006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20 y 22 del GBF, </w:t>
            </w:r>
          </w:p>
          <w:p w14:paraId="3FC200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Objetivos 1 y 6 del PEEM</w:t>
            </w:r>
          </w:p>
        </w:tc>
      </w:tr>
      <w:tr w:rsidR="0050347E" w:rsidRPr="00006DF4" w14:paraId="0804E3DB" w14:textId="77777777" w:rsidTr="00006DF4">
        <w:trPr>
          <w:cantSplit/>
        </w:trPr>
        <w:tc>
          <w:tcPr>
            <w:tcW w:w="738" w:type="dxa"/>
          </w:tcPr>
          <w:p w14:paraId="1D4B7937"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1.10</w:t>
            </w:r>
          </w:p>
        </w:tc>
        <w:tc>
          <w:tcPr>
            <w:tcW w:w="5622" w:type="dxa"/>
          </w:tcPr>
          <w:p w14:paraId="7375EE1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grupos de trabajo intersectoriales a nivel nacional, compuestos por las autoridades gubernamentales pertinentes y otras partes interesadas, que se reúnan al menos cada dos años, para coordinar la implementación de este Programa de Trabajo, aprovechando los mecanismos en vigor, cuando estén disponibles.  </w:t>
            </w:r>
          </w:p>
        </w:tc>
        <w:tc>
          <w:tcPr>
            <w:tcW w:w="1939" w:type="dxa"/>
          </w:tcPr>
          <w:p w14:paraId="0E3C1A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ONG, Secretaría de la CMS (si es necesario)</w:t>
            </w:r>
          </w:p>
        </w:tc>
        <w:tc>
          <w:tcPr>
            <w:tcW w:w="2490" w:type="dxa"/>
          </w:tcPr>
          <w:p w14:paraId="32E4109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celebran dos o más reuniones anuales, se acuerdan los TdR y se publican las actas.</w:t>
            </w:r>
          </w:p>
        </w:tc>
        <w:tc>
          <w:tcPr>
            <w:tcW w:w="1250" w:type="dxa"/>
          </w:tcPr>
          <w:p w14:paraId="725D189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6626197"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Meta 14 del GBF, Objetivo 5 del PEEM, recomendaciones de la orientación técnica de las EPANB </w:t>
            </w:r>
          </w:p>
          <w:p w14:paraId="788456DA" w14:textId="77777777" w:rsidR="00006DF4" w:rsidRPr="00006DF4" w:rsidRDefault="00006DF4" w:rsidP="00337EFC">
            <w:pPr>
              <w:pStyle w:val="P68B1DB1-Normal51"/>
              <w:spacing w:before="40" w:after="40"/>
              <w:rPr>
                <w:rFonts w:ascii="Arial" w:hAnsi="Arial"/>
                <w:lang w:val="es-ES"/>
              </w:rPr>
            </w:pPr>
          </w:p>
        </w:tc>
      </w:tr>
      <w:tr w:rsidR="0050347E" w:rsidRPr="00006DF4" w14:paraId="04A1F6F2" w14:textId="77777777" w:rsidTr="00006DF4">
        <w:trPr>
          <w:cantSplit/>
        </w:trPr>
        <w:tc>
          <w:tcPr>
            <w:tcW w:w="738" w:type="dxa"/>
          </w:tcPr>
          <w:p w14:paraId="3EA6095F" w14:textId="77777777" w:rsidR="0050347E" w:rsidRPr="00006DF4" w:rsidRDefault="0050347E" w:rsidP="00337EFC">
            <w:pPr>
              <w:pStyle w:val="P68B1DB1-Normal51"/>
              <w:spacing w:before="40" w:after="40"/>
              <w:rPr>
                <w:rFonts w:ascii="Arial" w:hAnsi="Arial"/>
              </w:rPr>
            </w:pPr>
            <w:r w:rsidRPr="00006DF4">
              <w:rPr>
                <w:rFonts w:ascii="Arial" w:hAnsi="Arial"/>
              </w:rPr>
              <w:t>1.11</w:t>
            </w:r>
          </w:p>
        </w:tc>
        <w:tc>
          <w:tcPr>
            <w:tcW w:w="5622" w:type="dxa"/>
          </w:tcPr>
          <w:p w14:paraId="02C25FE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Presentar en 2026 a la Secretaría del CDB propuestas sobre cómo integrar los componentes relevantes de este Programa de Trabajo en la revisión del Programa de Trabajo de Zonas Protegidas del CDB. </w:t>
            </w:r>
          </w:p>
        </w:tc>
        <w:tc>
          <w:tcPr>
            <w:tcW w:w="1939" w:type="dxa"/>
          </w:tcPr>
          <w:p w14:paraId="75E6B57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ONG, Secretaría de la CMS</w:t>
            </w:r>
          </w:p>
        </w:tc>
        <w:tc>
          <w:tcPr>
            <w:tcW w:w="2490" w:type="dxa"/>
          </w:tcPr>
          <w:p w14:paraId="2ECCF3DF" w14:textId="77777777" w:rsidR="0050347E" w:rsidRPr="00006DF4" w:rsidRDefault="0050347E" w:rsidP="00337EFC">
            <w:pPr>
              <w:pStyle w:val="P68B1DB1-Normal51"/>
              <w:spacing w:before="40" w:after="40"/>
              <w:rPr>
                <w:rFonts w:ascii="Arial" w:hAnsi="Arial"/>
              </w:rPr>
            </w:pPr>
            <w:r w:rsidRPr="00006DF4">
              <w:rPr>
                <w:rFonts w:ascii="Arial" w:hAnsi="Arial"/>
              </w:rPr>
              <w:t>Se presentan las propuestas.</w:t>
            </w:r>
          </w:p>
        </w:tc>
        <w:tc>
          <w:tcPr>
            <w:tcW w:w="1250" w:type="dxa"/>
          </w:tcPr>
          <w:p w14:paraId="07B487C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B6F8223" w14:textId="77777777" w:rsidR="0050347E" w:rsidRDefault="0050347E" w:rsidP="00337EFC">
            <w:pPr>
              <w:pStyle w:val="P68B1DB1-Normal51"/>
              <w:spacing w:before="40" w:after="40"/>
              <w:rPr>
                <w:rFonts w:ascii="Arial" w:hAnsi="Arial"/>
                <w:lang w:val="es-ES"/>
              </w:rPr>
            </w:pPr>
            <w:r w:rsidRPr="00006DF4">
              <w:rPr>
                <w:rFonts w:ascii="Arial" w:hAnsi="Arial"/>
                <w:lang w:val="es-ES"/>
              </w:rPr>
              <w:t>Meta 14 del GBF, Objetivo 5 del PEEM, Programa de Trabajo sobre Zonas Protegidas del CDB</w:t>
            </w:r>
          </w:p>
          <w:p w14:paraId="33CAC2DA" w14:textId="77777777" w:rsidR="00006DF4" w:rsidRPr="00006DF4" w:rsidRDefault="00006DF4" w:rsidP="00337EFC">
            <w:pPr>
              <w:pStyle w:val="P68B1DB1-Normal51"/>
              <w:spacing w:before="40" w:after="40"/>
              <w:rPr>
                <w:rFonts w:ascii="Arial" w:hAnsi="Arial"/>
                <w:lang w:val="es-ES"/>
              </w:rPr>
            </w:pPr>
          </w:p>
        </w:tc>
      </w:tr>
      <w:tr w:rsidR="0050347E" w:rsidRPr="00006DF4" w14:paraId="6BE635B8" w14:textId="77777777" w:rsidTr="00006DF4">
        <w:trPr>
          <w:cantSplit/>
        </w:trPr>
        <w:tc>
          <w:tcPr>
            <w:tcW w:w="738" w:type="dxa"/>
          </w:tcPr>
          <w:p w14:paraId="548B5BE8" w14:textId="77777777" w:rsidR="0050347E" w:rsidRPr="00006DF4" w:rsidRDefault="0050347E" w:rsidP="00337EFC">
            <w:pPr>
              <w:pStyle w:val="P68B1DB1-Normal51"/>
              <w:spacing w:before="40" w:after="40"/>
              <w:rPr>
                <w:rFonts w:ascii="Arial" w:hAnsi="Arial"/>
              </w:rPr>
            </w:pPr>
            <w:r w:rsidRPr="00006DF4">
              <w:rPr>
                <w:rFonts w:ascii="Arial" w:hAnsi="Arial"/>
              </w:rPr>
              <w:t>1.12</w:t>
            </w:r>
          </w:p>
        </w:tc>
        <w:tc>
          <w:tcPr>
            <w:tcW w:w="5622" w:type="dxa"/>
          </w:tcPr>
          <w:p w14:paraId="0151C3C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Contribuir al Grupo Interregional de Asia Central y Rusia de la CNULD y a sus comisiones temáticas para facilitar la cooperación entre las actividades de la CNULD y la CMS en la región.</w:t>
            </w:r>
          </w:p>
        </w:tc>
        <w:tc>
          <w:tcPr>
            <w:tcW w:w="1939" w:type="dxa"/>
          </w:tcPr>
          <w:p w14:paraId="38CF68E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Secretaría de la CMS</w:t>
            </w:r>
          </w:p>
        </w:tc>
        <w:tc>
          <w:tcPr>
            <w:tcW w:w="2490" w:type="dxa"/>
          </w:tcPr>
          <w:p w14:paraId="07F74833" w14:textId="77777777" w:rsidR="0050347E" w:rsidRPr="00006DF4" w:rsidRDefault="0050347E" w:rsidP="00337EFC">
            <w:pPr>
              <w:pStyle w:val="P68B1DB1-Normal51"/>
              <w:spacing w:before="40" w:after="40"/>
              <w:rPr>
                <w:rFonts w:ascii="Arial" w:hAnsi="Arial"/>
              </w:rPr>
            </w:pPr>
            <w:r w:rsidRPr="00006DF4">
              <w:rPr>
                <w:rFonts w:ascii="Arial" w:hAnsi="Arial"/>
              </w:rPr>
              <w:t>Se presenta la información.</w:t>
            </w:r>
          </w:p>
        </w:tc>
        <w:tc>
          <w:tcPr>
            <w:tcW w:w="1250" w:type="dxa"/>
          </w:tcPr>
          <w:p w14:paraId="34997DE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6FBFEA4" w14:textId="77777777" w:rsidR="0050347E" w:rsidRDefault="0050347E" w:rsidP="00337EFC">
            <w:pPr>
              <w:pStyle w:val="P68B1DB1-Normal51"/>
              <w:spacing w:before="40" w:after="40"/>
              <w:rPr>
                <w:rFonts w:ascii="Arial" w:hAnsi="Arial"/>
                <w:lang w:val="es-ES"/>
              </w:rPr>
            </w:pPr>
            <w:r w:rsidRPr="00006DF4">
              <w:rPr>
                <w:rFonts w:ascii="Arial" w:hAnsi="Arial"/>
                <w:lang w:val="es-ES"/>
              </w:rPr>
              <w:t>Meta 14 del GBF, Objetivo 5 del PEEM, Grupo Interregional de Asia Central y Rusia de la CNULD</w:t>
            </w:r>
          </w:p>
          <w:p w14:paraId="7F7FFBA7" w14:textId="77777777" w:rsidR="00006DF4" w:rsidRPr="00006DF4" w:rsidRDefault="00006DF4" w:rsidP="00337EFC">
            <w:pPr>
              <w:pStyle w:val="P68B1DB1-Normal51"/>
              <w:spacing w:before="40" w:after="40"/>
              <w:rPr>
                <w:rFonts w:ascii="Arial" w:hAnsi="Arial"/>
                <w:lang w:val="es-ES"/>
              </w:rPr>
            </w:pPr>
          </w:p>
        </w:tc>
      </w:tr>
      <w:tr w:rsidR="0050347E" w:rsidRPr="00006DF4" w14:paraId="18EEEA6F" w14:textId="77777777" w:rsidTr="00006DF4">
        <w:trPr>
          <w:cantSplit/>
        </w:trPr>
        <w:tc>
          <w:tcPr>
            <w:tcW w:w="738" w:type="dxa"/>
          </w:tcPr>
          <w:p w14:paraId="79A7BE04" w14:textId="77777777" w:rsidR="0050347E" w:rsidRPr="00006DF4" w:rsidRDefault="0050347E" w:rsidP="00337EFC">
            <w:pPr>
              <w:pStyle w:val="P68B1DB1-Normal51"/>
              <w:spacing w:before="40" w:after="40"/>
              <w:rPr>
                <w:rFonts w:ascii="Arial" w:hAnsi="Arial"/>
              </w:rPr>
            </w:pPr>
            <w:r w:rsidRPr="00006DF4">
              <w:rPr>
                <w:rFonts w:ascii="Arial" w:hAnsi="Arial"/>
              </w:rPr>
              <w:t>1.13</w:t>
            </w:r>
          </w:p>
        </w:tc>
        <w:tc>
          <w:tcPr>
            <w:tcW w:w="5622" w:type="dxa"/>
          </w:tcPr>
          <w:p w14:paraId="3331882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Contactar con la Oficina Regional de la UICN para Europa Oriental y Asia Central </w:t>
            </w:r>
            <w:r w:rsidRPr="00006DF4">
              <w:rPr>
                <w:rFonts w:ascii="Arial" w:hAnsi="Arial"/>
                <w:color w:val="000000" w:themeColor="text1"/>
                <w:lang w:val="es-ES"/>
              </w:rPr>
              <w:t>en relación con la posibilidad de recibir apoyo en el marco del Mecanismo de Cooperación Técnica y Científica del CDB</w:t>
            </w:r>
            <w:r w:rsidRPr="00006DF4">
              <w:rPr>
                <w:rFonts w:ascii="Arial" w:hAnsi="Arial"/>
                <w:lang w:val="es-ES"/>
              </w:rPr>
              <w:t>.</w:t>
            </w:r>
          </w:p>
        </w:tc>
        <w:tc>
          <w:tcPr>
            <w:tcW w:w="1939" w:type="dxa"/>
          </w:tcPr>
          <w:p w14:paraId="5FF4FF00" w14:textId="77777777" w:rsidR="0050347E" w:rsidRDefault="0050347E" w:rsidP="00337EFC">
            <w:pPr>
              <w:pStyle w:val="P68B1DB1-Normal51"/>
              <w:spacing w:before="40" w:after="40"/>
              <w:rPr>
                <w:rFonts w:ascii="Arial" w:hAnsi="Arial"/>
                <w:lang w:val="es-ES"/>
              </w:rPr>
            </w:pPr>
            <w:r w:rsidRPr="00006DF4">
              <w:rPr>
                <w:rFonts w:ascii="Arial" w:hAnsi="Arial"/>
                <w:lang w:val="es-ES"/>
              </w:rPr>
              <w:t>Kazajistán, Kirguistán, Tayikistán, Turkmenistán y Uzbekistán</w:t>
            </w:r>
          </w:p>
          <w:p w14:paraId="0E402A64" w14:textId="77777777" w:rsidR="00006DF4" w:rsidRPr="00006DF4" w:rsidRDefault="00006DF4" w:rsidP="00337EFC">
            <w:pPr>
              <w:pStyle w:val="P68B1DB1-Normal51"/>
              <w:spacing w:before="40" w:after="40"/>
              <w:rPr>
                <w:rFonts w:ascii="Arial" w:hAnsi="Arial"/>
                <w:lang w:val="es-ES"/>
              </w:rPr>
            </w:pPr>
          </w:p>
        </w:tc>
        <w:tc>
          <w:tcPr>
            <w:tcW w:w="2490" w:type="dxa"/>
          </w:tcPr>
          <w:p w14:paraId="4EA6ED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Los Estados del área de distribución solicitan apoyo.</w:t>
            </w:r>
          </w:p>
        </w:tc>
        <w:tc>
          <w:tcPr>
            <w:tcW w:w="1250" w:type="dxa"/>
          </w:tcPr>
          <w:p w14:paraId="7504A41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E18653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6 del PEEM</w:t>
            </w:r>
          </w:p>
        </w:tc>
      </w:tr>
      <w:tr w:rsidR="0050347E" w:rsidRPr="00006DF4" w14:paraId="3845E869" w14:textId="77777777" w:rsidTr="00006DF4">
        <w:trPr>
          <w:cantSplit/>
        </w:trPr>
        <w:tc>
          <w:tcPr>
            <w:tcW w:w="738" w:type="dxa"/>
          </w:tcPr>
          <w:p w14:paraId="20A471CD" w14:textId="77777777" w:rsidR="0050347E" w:rsidRPr="00006DF4" w:rsidRDefault="0050347E" w:rsidP="00337EFC">
            <w:pPr>
              <w:pStyle w:val="P68B1DB1-Normal51"/>
              <w:spacing w:before="40" w:after="40"/>
              <w:rPr>
                <w:rFonts w:ascii="Arial" w:hAnsi="Arial"/>
              </w:rPr>
            </w:pPr>
            <w:r w:rsidRPr="00006DF4">
              <w:rPr>
                <w:rFonts w:ascii="Arial" w:hAnsi="Arial"/>
              </w:rPr>
              <w:t>1.14</w:t>
            </w:r>
          </w:p>
        </w:tc>
        <w:tc>
          <w:tcPr>
            <w:tcW w:w="5622" w:type="dxa"/>
          </w:tcPr>
          <w:p w14:paraId="5FAE984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Designar Puntos Focales de Especies (PFE) para todas las especies de la CAMI de acuerdo con los TdR acordados. </w:t>
            </w:r>
          </w:p>
          <w:p w14:paraId="48145DE4" w14:textId="77777777" w:rsidR="0050347E" w:rsidRPr="00006DF4" w:rsidRDefault="0050347E" w:rsidP="00337EFC">
            <w:pPr>
              <w:spacing w:before="40" w:after="40"/>
              <w:jc w:val="both"/>
              <w:rPr>
                <w:rFonts w:ascii="Arial" w:eastAsia="Aptos" w:hAnsi="Arial" w:cs="Arial"/>
                <w:sz w:val="20"/>
                <w:lang w:val="es-ES"/>
              </w:rPr>
            </w:pPr>
          </w:p>
        </w:tc>
        <w:tc>
          <w:tcPr>
            <w:tcW w:w="1939" w:type="dxa"/>
          </w:tcPr>
          <w:p w14:paraId="5062D0F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w:t>
            </w:r>
          </w:p>
        </w:tc>
        <w:tc>
          <w:tcPr>
            <w:tcW w:w="2490" w:type="dxa"/>
          </w:tcPr>
          <w:p w14:paraId="79F76519"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designan los PFE. </w:t>
            </w:r>
          </w:p>
        </w:tc>
        <w:tc>
          <w:tcPr>
            <w:tcW w:w="1250" w:type="dxa"/>
          </w:tcPr>
          <w:p w14:paraId="22EE7A5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4B4DBD7" w14:textId="77777777" w:rsidR="0050347E"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p w14:paraId="31D7A0F0" w14:textId="77777777" w:rsidR="00006DF4" w:rsidRPr="00006DF4" w:rsidRDefault="00006DF4" w:rsidP="00337EFC">
            <w:pPr>
              <w:pStyle w:val="P68B1DB1-Normal51"/>
              <w:spacing w:before="40" w:after="40"/>
              <w:rPr>
                <w:rFonts w:ascii="Arial" w:hAnsi="Arial"/>
                <w:lang w:val="es-ES"/>
              </w:rPr>
            </w:pPr>
          </w:p>
        </w:tc>
      </w:tr>
      <w:tr w:rsidR="0050347E" w:rsidRPr="00006DF4" w14:paraId="154864F2" w14:textId="77777777" w:rsidTr="00006DF4">
        <w:trPr>
          <w:cantSplit/>
        </w:trPr>
        <w:tc>
          <w:tcPr>
            <w:tcW w:w="14000" w:type="dxa"/>
            <w:gridSpan w:val="6"/>
            <w:shd w:val="clear" w:color="auto" w:fill="B3E5A1"/>
            <w:vAlign w:val="center"/>
          </w:tcPr>
          <w:p w14:paraId="6CF1DA16" w14:textId="77777777" w:rsidR="0050347E" w:rsidRPr="00006DF4" w:rsidRDefault="0050347E" w:rsidP="00337EFC">
            <w:pPr>
              <w:pStyle w:val="P68B1DB1-Normal48"/>
              <w:spacing w:before="40" w:after="40"/>
              <w:rPr>
                <w:rFonts w:ascii="Arial" w:hAnsi="Arial"/>
              </w:rPr>
            </w:pPr>
            <w:r w:rsidRPr="00006DF4">
              <w:rPr>
                <w:rFonts w:ascii="Arial" w:hAnsi="Arial"/>
              </w:rPr>
              <w:lastRenderedPageBreak/>
              <w:t xml:space="preserve">2. Financiación y fondos </w:t>
            </w:r>
          </w:p>
        </w:tc>
      </w:tr>
      <w:tr w:rsidR="0050347E" w:rsidRPr="00006DF4" w14:paraId="395AD2BB" w14:textId="77777777" w:rsidTr="00006DF4">
        <w:trPr>
          <w:cantSplit/>
        </w:trPr>
        <w:tc>
          <w:tcPr>
            <w:tcW w:w="738" w:type="dxa"/>
          </w:tcPr>
          <w:p w14:paraId="15556192" w14:textId="77777777" w:rsidR="0050347E" w:rsidRPr="00006DF4" w:rsidRDefault="0050347E" w:rsidP="00337EFC">
            <w:pPr>
              <w:pStyle w:val="P68B1DB1-Normal51"/>
              <w:spacing w:before="40" w:after="40"/>
              <w:rPr>
                <w:rFonts w:ascii="Arial" w:hAnsi="Arial"/>
              </w:rPr>
            </w:pPr>
            <w:r w:rsidRPr="00006DF4">
              <w:rPr>
                <w:rFonts w:ascii="Arial" w:hAnsi="Arial"/>
              </w:rPr>
              <w:t>2.1</w:t>
            </w:r>
          </w:p>
        </w:tc>
        <w:tc>
          <w:tcPr>
            <w:tcW w:w="5622" w:type="dxa"/>
          </w:tcPr>
          <w:p w14:paraId="078CE6B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valoraciones del capital natural para cada una de las regiones transfronterizas prioritarias para la conservación (RTPC) con el fin de demostrar el valor que suponen para multitud de beneficiarios, utilizando un marco de evaluación de servicios ecosistémicos (ESE) para identificar los vínculos entre el activo ecológico (incluidas las poblaciones y hábitats de especies de la CAMI), la posterior prestación de servicios ecosistémicos y los beneficios proporcionados a la sociedad, basándose en las valoraciones existentes, cuando estén disponibles.</w:t>
            </w:r>
          </w:p>
        </w:tc>
        <w:tc>
          <w:tcPr>
            <w:tcW w:w="1939" w:type="dxa"/>
          </w:tcPr>
          <w:p w14:paraId="437C020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ONG, Secretaría de la CMS</w:t>
            </w:r>
          </w:p>
        </w:tc>
        <w:tc>
          <w:tcPr>
            <w:tcW w:w="2490" w:type="dxa"/>
          </w:tcPr>
          <w:p w14:paraId="07669093"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realizan las valoraciones. </w:t>
            </w:r>
          </w:p>
        </w:tc>
        <w:tc>
          <w:tcPr>
            <w:tcW w:w="1250" w:type="dxa"/>
          </w:tcPr>
          <w:p w14:paraId="04C51C9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8E58CE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006DF4" w14:paraId="4F76941B" w14:textId="77777777" w:rsidTr="00006DF4">
        <w:trPr>
          <w:cantSplit/>
        </w:trPr>
        <w:tc>
          <w:tcPr>
            <w:tcW w:w="738" w:type="dxa"/>
          </w:tcPr>
          <w:p w14:paraId="6C5329D8" w14:textId="77777777" w:rsidR="0050347E" w:rsidRPr="00006DF4" w:rsidRDefault="0050347E" w:rsidP="00337EFC">
            <w:pPr>
              <w:pStyle w:val="P68B1DB1-Normal51"/>
              <w:spacing w:before="40" w:after="40"/>
              <w:rPr>
                <w:rFonts w:ascii="Arial" w:hAnsi="Arial"/>
              </w:rPr>
            </w:pPr>
            <w:r w:rsidRPr="00006DF4">
              <w:rPr>
                <w:rFonts w:ascii="Arial" w:hAnsi="Arial"/>
              </w:rPr>
              <w:t>2.2</w:t>
            </w:r>
          </w:p>
        </w:tc>
        <w:tc>
          <w:tcPr>
            <w:tcW w:w="5622" w:type="dxa"/>
          </w:tcPr>
          <w:p w14:paraId="4D79427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Sobre la base de los resultados de 2.1, utilizar una metodología sistemática para desarrollar estrategias nacionales de financiación para identificar mecanismos económicos adecuados para implementar este Programa de Trabajo, incluido el uso sostenible de la tierra y la mitigación, teniendo en cuenta el </w:t>
            </w:r>
            <w:hyperlink r:id="rId46" w:history="1">
              <w:r w:rsidRPr="00006DF4">
                <w:rPr>
                  <w:rFonts w:ascii="Arial" w:hAnsi="Arial"/>
                  <w:i/>
                  <w:u w:val="single"/>
                  <w:lang w:val="es-ES"/>
                </w:rPr>
                <w:t>«Informe de la CMS/BfN sobre la identificación de opciones de financiación para la implementación de la CAMI»</w:t>
              </w:r>
            </w:hyperlink>
            <w:r w:rsidRPr="00006DF4">
              <w:rPr>
                <w:rFonts w:ascii="Arial" w:hAnsi="Arial"/>
                <w:lang w:val="es-ES"/>
              </w:rPr>
              <w:t xml:space="preserve">. </w:t>
            </w:r>
          </w:p>
        </w:tc>
        <w:tc>
          <w:tcPr>
            <w:tcW w:w="1939" w:type="dxa"/>
          </w:tcPr>
          <w:p w14:paraId="3FF7F1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Secretaría de la CMS (si es necesario)</w:t>
            </w:r>
          </w:p>
        </w:tc>
        <w:tc>
          <w:tcPr>
            <w:tcW w:w="2490" w:type="dxa"/>
          </w:tcPr>
          <w:p w14:paraId="25F0EC8B" w14:textId="77777777" w:rsidR="0050347E" w:rsidRPr="00006DF4" w:rsidRDefault="0050347E" w:rsidP="00337EFC">
            <w:pPr>
              <w:pStyle w:val="P68B1DB1-Normal51"/>
              <w:spacing w:before="40" w:after="40"/>
              <w:rPr>
                <w:rFonts w:ascii="Arial" w:hAnsi="Arial"/>
              </w:rPr>
            </w:pPr>
            <w:r w:rsidRPr="00006DF4">
              <w:rPr>
                <w:rFonts w:ascii="Arial" w:hAnsi="Arial"/>
                <w:lang w:val="es-ES"/>
              </w:rPr>
              <w:t xml:space="preserve">Se aprueban estrategias y soluciones económicas por parte de las partes interesadas. </w:t>
            </w:r>
            <w:r w:rsidRPr="00006DF4">
              <w:rPr>
                <w:rFonts w:ascii="Arial" w:hAnsi="Arial"/>
              </w:rPr>
              <w:t>Se movilizan los recursos.</w:t>
            </w:r>
          </w:p>
        </w:tc>
        <w:tc>
          <w:tcPr>
            <w:tcW w:w="1250" w:type="dxa"/>
          </w:tcPr>
          <w:p w14:paraId="26AF549C"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F4D9C6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006DF4" w14:paraId="716AB654" w14:textId="77777777" w:rsidTr="00006DF4">
        <w:trPr>
          <w:cantSplit/>
        </w:trPr>
        <w:tc>
          <w:tcPr>
            <w:tcW w:w="738" w:type="dxa"/>
          </w:tcPr>
          <w:p w14:paraId="131CA47B" w14:textId="77777777" w:rsidR="0050347E" w:rsidRPr="00006DF4" w:rsidRDefault="0050347E" w:rsidP="00337EFC">
            <w:pPr>
              <w:pStyle w:val="P68B1DB1-Normal51"/>
              <w:spacing w:before="40" w:after="40"/>
              <w:rPr>
                <w:rFonts w:ascii="Arial" w:hAnsi="Arial"/>
              </w:rPr>
            </w:pPr>
            <w:r w:rsidRPr="00006DF4">
              <w:rPr>
                <w:rFonts w:ascii="Arial" w:hAnsi="Arial"/>
              </w:rPr>
              <w:t>2.3</w:t>
            </w:r>
          </w:p>
        </w:tc>
        <w:tc>
          <w:tcPr>
            <w:tcW w:w="5622" w:type="dxa"/>
          </w:tcPr>
          <w:p w14:paraId="4CDEBFE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Celebrar un taller en línea para los Estados del área de distribución de la CAMI, las partes interesadas y las ONG con el fin de presentar las conclusiones del </w:t>
            </w:r>
            <w:hyperlink r:id="rId47" w:history="1">
              <w:r w:rsidRPr="00006DF4">
                <w:rPr>
                  <w:rFonts w:ascii="Arial" w:hAnsi="Arial"/>
                  <w:i/>
                  <w:u w:val="single"/>
                  <w:lang w:val="es-ES"/>
                </w:rPr>
                <w:t>«Informe sobre la identificación de opciones de financiación para la implementación de la CAMI»</w:t>
              </w:r>
            </w:hyperlink>
            <w:r w:rsidRPr="00006DF4">
              <w:rPr>
                <w:rFonts w:ascii="Arial" w:hAnsi="Arial"/>
                <w:lang w:val="es-ES"/>
              </w:rPr>
              <w:t>.</w:t>
            </w:r>
          </w:p>
        </w:tc>
        <w:tc>
          <w:tcPr>
            <w:tcW w:w="1939" w:type="dxa"/>
          </w:tcPr>
          <w:p w14:paraId="1874C3C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w:t>
            </w:r>
          </w:p>
        </w:tc>
        <w:tc>
          <w:tcPr>
            <w:tcW w:w="2490" w:type="dxa"/>
          </w:tcPr>
          <w:p w14:paraId="52869DDA" w14:textId="77777777" w:rsidR="0050347E" w:rsidRPr="00006DF4" w:rsidRDefault="0050347E" w:rsidP="00337EFC">
            <w:pPr>
              <w:pStyle w:val="P68B1DB1-Normal51"/>
              <w:spacing w:before="40" w:after="40"/>
              <w:rPr>
                <w:rFonts w:ascii="Arial" w:hAnsi="Arial"/>
              </w:rPr>
            </w:pPr>
            <w:r w:rsidRPr="00006DF4">
              <w:rPr>
                <w:rFonts w:ascii="Arial" w:hAnsi="Arial"/>
              </w:rPr>
              <w:t>Taller en línea.</w:t>
            </w:r>
          </w:p>
        </w:tc>
        <w:tc>
          <w:tcPr>
            <w:tcW w:w="1250" w:type="dxa"/>
          </w:tcPr>
          <w:p w14:paraId="11628CC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CBEE32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p w14:paraId="121CAECD" w14:textId="77777777" w:rsidR="0050347E" w:rsidRPr="00006DF4" w:rsidRDefault="0050347E" w:rsidP="00337EFC">
            <w:pPr>
              <w:spacing w:before="40" w:after="40"/>
              <w:rPr>
                <w:rFonts w:ascii="Arial" w:eastAsia="Aptos" w:hAnsi="Arial" w:cs="Arial"/>
                <w:sz w:val="20"/>
                <w:lang w:val="es-ES"/>
              </w:rPr>
            </w:pPr>
          </w:p>
        </w:tc>
      </w:tr>
      <w:tr w:rsidR="0050347E" w:rsidRPr="00006DF4" w14:paraId="459DB43D" w14:textId="77777777" w:rsidTr="00006DF4">
        <w:trPr>
          <w:cantSplit/>
        </w:trPr>
        <w:tc>
          <w:tcPr>
            <w:tcW w:w="738" w:type="dxa"/>
          </w:tcPr>
          <w:p w14:paraId="25E195C6" w14:textId="77777777" w:rsidR="0050347E" w:rsidRPr="00006DF4" w:rsidRDefault="0050347E" w:rsidP="00337EFC">
            <w:pPr>
              <w:pStyle w:val="P68B1DB1-Normal51"/>
              <w:spacing w:before="40" w:after="40"/>
              <w:rPr>
                <w:rFonts w:ascii="Arial" w:hAnsi="Arial"/>
              </w:rPr>
            </w:pPr>
            <w:r w:rsidRPr="00006DF4">
              <w:rPr>
                <w:rFonts w:ascii="Arial" w:hAnsi="Arial"/>
              </w:rPr>
              <w:t>2.4</w:t>
            </w:r>
          </w:p>
        </w:tc>
        <w:tc>
          <w:tcPr>
            <w:tcW w:w="5622" w:type="dxa"/>
          </w:tcPr>
          <w:p w14:paraId="5A3B9E1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Impartir formación en profundidad sobre economía y finanzas de la conservación, destacando las soluciones económicas identificadas en las estrategias de financiación (véase la Actividad 2.2) para favorecer la conservación en las RTPC. </w:t>
            </w:r>
          </w:p>
        </w:tc>
        <w:tc>
          <w:tcPr>
            <w:tcW w:w="1939" w:type="dxa"/>
          </w:tcPr>
          <w:p w14:paraId="3C2C343E" w14:textId="77777777" w:rsidR="0050347E" w:rsidRPr="00006DF4" w:rsidRDefault="0050347E" w:rsidP="00337EFC">
            <w:pPr>
              <w:pStyle w:val="P68B1DB1-Normal51"/>
              <w:spacing w:before="40" w:after="40"/>
              <w:rPr>
                <w:rFonts w:ascii="Arial" w:hAnsi="Arial"/>
              </w:rPr>
            </w:pPr>
            <w:r w:rsidRPr="00006DF4">
              <w:rPr>
                <w:rFonts w:ascii="Arial" w:hAnsi="Arial"/>
              </w:rPr>
              <w:t>ONG, OG</w:t>
            </w:r>
          </w:p>
        </w:tc>
        <w:tc>
          <w:tcPr>
            <w:tcW w:w="2490" w:type="dxa"/>
          </w:tcPr>
          <w:p w14:paraId="06DCF3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imparte la formación y se elabora el informe.</w:t>
            </w:r>
          </w:p>
        </w:tc>
        <w:tc>
          <w:tcPr>
            <w:tcW w:w="1250" w:type="dxa"/>
          </w:tcPr>
          <w:p w14:paraId="656C0DE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D5F21B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006DF4" w14:paraId="360D748F" w14:textId="77777777" w:rsidTr="00006DF4">
        <w:trPr>
          <w:cantSplit/>
        </w:trPr>
        <w:tc>
          <w:tcPr>
            <w:tcW w:w="738" w:type="dxa"/>
          </w:tcPr>
          <w:p w14:paraId="4E184FB7" w14:textId="77777777" w:rsidR="0050347E" w:rsidRPr="00006DF4" w:rsidRDefault="0050347E" w:rsidP="00337EFC">
            <w:pPr>
              <w:pStyle w:val="P68B1DB1-Normal51"/>
              <w:spacing w:before="40" w:after="40"/>
              <w:rPr>
                <w:rFonts w:ascii="Arial" w:hAnsi="Arial"/>
              </w:rPr>
            </w:pPr>
            <w:r w:rsidRPr="00006DF4">
              <w:rPr>
                <w:rFonts w:ascii="Arial" w:hAnsi="Arial"/>
              </w:rPr>
              <w:t>2.5</w:t>
            </w:r>
          </w:p>
        </w:tc>
        <w:tc>
          <w:tcPr>
            <w:tcW w:w="5622" w:type="dxa"/>
          </w:tcPr>
          <w:p w14:paraId="3368C6B7"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Desarrollar propuestas de financiación conjunta y mecanismos económicos innovadores que involucren a los Estados del área de distribución pertinentes para la conservación de las RTPC identificadas en este PdT y presentarlos a los donantes pertinentes.</w:t>
            </w:r>
          </w:p>
          <w:p w14:paraId="15B70B3B"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2A36918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en consulta con los PFE, Secretaría de la CMS (si es necesario)</w:t>
            </w:r>
          </w:p>
        </w:tc>
        <w:tc>
          <w:tcPr>
            <w:tcW w:w="2490" w:type="dxa"/>
          </w:tcPr>
          <w:p w14:paraId="0A7AB42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financian los nuevos proyectos.</w:t>
            </w:r>
          </w:p>
        </w:tc>
        <w:tc>
          <w:tcPr>
            <w:tcW w:w="1250" w:type="dxa"/>
          </w:tcPr>
          <w:p w14:paraId="205D0AA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C6EE9D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006DF4" w14:paraId="77855FC0" w14:textId="77777777" w:rsidTr="00006DF4">
        <w:trPr>
          <w:cantSplit/>
        </w:trPr>
        <w:tc>
          <w:tcPr>
            <w:tcW w:w="14000" w:type="dxa"/>
            <w:gridSpan w:val="6"/>
            <w:shd w:val="clear" w:color="auto" w:fill="B3E5A1"/>
            <w:vAlign w:val="center"/>
          </w:tcPr>
          <w:p w14:paraId="3D3D662B" w14:textId="77777777" w:rsidR="0050347E" w:rsidRPr="00006DF4" w:rsidRDefault="0050347E" w:rsidP="00337EFC">
            <w:pPr>
              <w:pStyle w:val="P68B1DB1-Normal48"/>
              <w:spacing w:before="40" w:after="40"/>
              <w:rPr>
                <w:rFonts w:ascii="Arial" w:hAnsi="Arial"/>
              </w:rPr>
            </w:pPr>
            <w:r w:rsidRPr="00006DF4">
              <w:rPr>
                <w:rFonts w:ascii="Arial" w:hAnsi="Arial"/>
              </w:rPr>
              <w:lastRenderedPageBreak/>
              <w:t xml:space="preserve">3. Legislación </w:t>
            </w:r>
          </w:p>
        </w:tc>
      </w:tr>
      <w:tr w:rsidR="0050347E" w:rsidRPr="00006DF4" w14:paraId="216D3184" w14:textId="77777777" w:rsidTr="00006DF4">
        <w:trPr>
          <w:cantSplit/>
        </w:trPr>
        <w:tc>
          <w:tcPr>
            <w:tcW w:w="738" w:type="dxa"/>
          </w:tcPr>
          <w:p w14:paraId="52B74AAD" w14:textId="77777777" w:rsidR="0050347E" w:rsidRPr="00006DF4" w:rsidRDefault="0050347E" w:rsidP="00337EFC">
            <w:pPr>
              <w:pStyle w:val="P68B1DB1-Normal51"/>
              <w:spacing w:before="40" w:after="40"/>
              <w:rPr>
                <w:rFonts w:ascii="Arial" w:hAnsi="Arial"/>
              </w:rPr>
            </w:pPr>
            <w:r w:rsidRPr="00006DF4">
              <w:rPr>
                <w:rFonts w:ascii="Arial" w:hAnsi="Arial"/>
              </w:rPr>
              <w:t>3.1</w:t>
            </w:r>
          </w:p>
        </w:tc>
        <w:tc>
          <w:tcPr>
            <w:tcW w:w="5622" w:type="dxa"/>
          </w:tcPr>
          <w:p w14:paraId="5CB8A77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Integrar las actividades pertinentes del PdT de la CAMI en la legislación/las políticas nacionales apropiadas y en las Estrategias y Planes de Acción Nacionales para la Diversidad Biológica (EPANB) e informar a la Secretaría de la CMS sobre esta actividad en el plazo de un año desde la adopción del PdT. </w:t>
            </w:r>
          </w:p>
        </w:tc>
        <w:tc>
          <w:tcPr>
            <w:tcW w:w="1939" w:type="dxa"/>
          </w:tcPr>
          <w:p w14:paraId="32FE3BAE" w14:textId="77777777" w:rsidR="0050347E" w:rsidRPr="00006DF4" w:rsidRDefault="0050347E" w:rsidP="00337EFC">
            <w:pPr>
              <w:pStyle w:val="P68B1DB1-Normal51"/>
              <w:spacing w:before="40" w:after="40"/>
              <w:rPr>
                <w:rFonts w:ascii="Arial" w:hAnsi="Arial"/>
              </w:rPr>
            </w:pPr>
            <w:r w:rsidRPr="00006DF4">
              <w:rPr>
                <w:rFonts w:ascii="Arial" w:hAnsi="Arial"/>
              </w:rPr>
              <w:t>OG</w:t>
            </w:r>
          </w:p>
        </w:tc>
        <w:tc>
          <w:tcPr>
            <w:tcW w:w="2490" w:type="dxa"/>
          </w:tcPr>
          <w:p w14:paraId="5E4450C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El PdT de la CAMI se integra en la legislación nacional pertinente y en las EPANB y el informe correspondiente se presenta a la Secretaría de la CMS. </w:t>
            </w:r>
          </w:p>
        </w:tc>
        <w:tc>
          <w:tcPr>
            <w:tcW w:w="1250" w:type="dxa"/>
          </w:tcPr>
          <w:p w14:paraId="7DDD03C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2E7607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23 del GBF, Objetivo 5 del PEEM</w:t>
            </w:r>
          </w:p>
        </w:tc>
      </w:tr>
      <w:tr w:rsidR="0050347E" w:rsidRPr="00006DF4" w14:paraId="365FC08A" w14:textId="77777777" w:rsidTr="00006DF4">
        <w:trPr>
          <w:cantSplit/>
        </w:trPr>
        <w:tc>
          <w:tcPr>
            <w:tcW w:w="738" w:type="dxa"/>
          </w:tcPr>
          <w:p w14:paraId="75115ED4" w14:textId="77777777" w:rsidR="0050347E" w:rsidRPr="00006DF4" w:rsidRDefault="0050347E" w:rsidP="00337EFC">
            <w:pPr>
              <w:pStyle w:val="P68B1DB1-Normal51"/>
              <w:spacing w:before="40" w:after="40"/>
              <w:rPr>
                <w:rFonts w:ascii="Arial" w:hAnsi="Arial"/>
              </w:rPr>
            </w:pPr>
            <w:r w:rsidRPr="00006DF4">
              <w:rPr>
                <w:rFonts w:ascii="Arial" w:hAnsi="Arial"/>
              </w:rPr>
              <w:t>3.2</w:t>
            </w:r>
          </w:p>
        </w:tc>
        <w:tc>
          <w:tcPr>
            <w:tcW w:w="5622" w:type="dxa"/>
          </w:tcPr>
          <w:p w14:paraId="366FEEF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Unirse al Programa de Legislación Nacional (PLN) de la CMS, si aún no se han unido. </w:t>
            </w:r>
          </w:p>
        </w:tc>
        <w:tc>
          <w:tcPr>
            <w:tcW w:w="1939" w:type="dxa"/>
          </w:tcPr>
          <w:p w14:paraId="7F2F4E9F" w14:textId="77777777" w:rsidR="0050347E" w:rsidRPr="00006DF4" w:rsidRDefault="0050347E" w:rsidP="00337EFC">
            <w:pPr>
              <w:pStyle w:val="P68B1DB1-Normal51"/>
              <w:spacing w:before="40" w:after="40"/>
              <w:rPr>
                <w:rFonts w:ascii="Arial" w:hAnsi="Arial"/>
              </w:rPr>
            </w:pPr>
            <w:r w:rsidRPr="00006DF4">
              <w:rPr>
                <w:rFonts w:ascii="Arial" w:hAnsi="Arial"/>
              </w:rPr>
              <w:t>Partes de la CMS</w:t>
            </w:r>
          </w:p>
        </w:tc>
        <w:tc>
          <w:tcPr>
            <w:tcW w:w="2490" w:type="dxa"/>
          </w:tcPr>
          <w:p w14:paraId="54E8223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Al menos tres Partes presentan cuestionarios del PLN a la Secretaría de la CMS.</w:t>
            </w:r>
          </w:p>
        </w:tc>
        <w:tc>
          <w:tcPr>
            <w:tcW w:w="1250" w:type="dxa"/>
          </w:tcPr>
          <w:p w14:paraId="6876A7B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B0D401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006DF4" w14:paraId="381F515F" w14:textId="77777777" w:rsidTr="00006DF4">
        <w:trPr>
          <w:cantSplit/>
        </w:trPr>
        <w:tc>
          <w:tcPr>
            <w:tcW w:w="738" w:type="dxa"/>
          </w:tcPr>
          <w:p w14:paraId="126A4B59" w14:textId="77777777" w:rsidR="0050347E" w:rsidRPr="00006DF4" w:rsidRDefault="0050347E" w:rsidP="00337EFC">
            <w:pPr>
              <w:pStyle w:val="P68B1DB1-Normal51"/>
              <w:spacing w:before="40" w:after="40"/>
              <w:rPr>
                <w:rFonts w:ascii="Arial" w:hAnsi="Arial"/>
              </w:rPr>
            </w:pPr>
            <w:r w:rsidRPr="00006DF4">
              <w:rPr>
                <w:rFonts w:ascii="Arial" w:hAnsi="Arial"/>
              </w:rPr>
              <w:t>3.3</w:t>
            </w:r>
          </w:p>
        </w:tc>
        <w:tc>
          <w:tcPr>
            <w:tcW w:w="5622" w:type="dxa"/>
          </w:tcPr>
          <w:p w14:paraId="12D9475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Preparar una evaluación de los posibles beneficios de incluir a las especies de la CAMI que ya figuran en el Apéndice II de la CMS</w:t>
            </w:r>
            <w:r w:rsidRPr="00006DF4">
              <w:rPr>
                <w:rFonts w:ascii="Arial" w:hAnsi="Arial"/>
                <w:color w:val="000000" w:themeColor="text1"/>
                <w:lang w:val="es-ES"/>
              </w:rPr>
              <w:t xml:space="preserve"> también </w:t>
            </w:r>
            <w:r w:rsidRPr="00006DF4">
              <w:rPr>
                <w:rFonts w:ascii="Arial" w:hAnsi="Arial"/>
                <w:lang w:val="es-ES"/>
              </w:rPr>
              <w:t xml:space="preserve">en el Apéndice I y presentar las propuestas pertinentes a la CP de la CMS, cuando sea necesario. </w:t>
            </w:r>
          </w:p>
        </w:tc>
        <w:tc>
          <w:tcPr>
            <w:tcW w:w="1939" w:type="dxa"/>
          </w:tcPr>
          <w:p w14:paraId="34918175"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4D20449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la evaluación y se presenta la propuesta a la COP16/COP17, de ser necesario.</w:t>
            </w:r>
          </w:p>
        </w:tc>
        <w:tc>
          <w:tcPr>
            <w:tcW w:w="1250" w:type="dxa"/>
          </w:tcPr>
          <w:p w14:paraId="69F41B9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54D3355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p w14:paraId="45B12683" w14:textId="77777777" w:rsidR="0050347E" w:rsidRPr="00006DF4" w:rsidRDefault="0050347E" w:rsidP="00337EFC">
            <w:pPr>
              <w:spacing w:before="40" w:after="40"/>
              <w:rPr>
                <w:rFonts w:ascii="Arial" w:eastAsia="Aptos" w:hAnsi="Arial" w:cs="Arial"/>
                <w:sz w:val="20"/>
                <w:lang w:val="es-ES"/>
              </w:rPr>
            </w:pPr>
          </w:p>
        </w:tc>
      </w:tr>
      <w:tr w:rsidR="0050347E" w:rsidRPr="00006DF4" w14:paraId="73F10909" w14:textId="77777777" w:rsidTr="00006DF4">
        <w:trPr>
          <w:cantSplit/>
        </w:trPr>
        <w:tc>
          <w:tcPr>
            <w:tcW w:w="738" w:type="dxa"/>
          </w:tcPr>
          <w:p w14:paraId="248184ED" w14:textId="77777777" w:rsidR="0050347E" w:rsidRPr="00006DF4" w:rsidRDefault="0050347E" w:rsidP="00337EFC">
            <w:pPr>
              <w:pStyle w:val="P68B1DB1-Normal51"/>
              <w:spacing w:before="40" w:after="40"/>
              <w:rPr>
                <w:rFonts w:ascii="Arial" w:hAnsi="Arial"/>
              </w:rPr>
            </w:pPr>
            <w:r w:rsidRPr="00006DF4">
              <w:rPr>
                <w:rFonts w:ascii="Arial" w:hAnsi="Arial"/>
              </w:rPr>
              <w:t>3.4</w:t>
            </w:r>
          </w:p>
        </w:tc>
        <w:tc>
          <w:tcPr>
            <w:tcW w:w="5622" w:type="dxa"/>
          </w:tcPr>
          <w:p w14:paraId="17D542A7" w14:textId="77777777" w:rsidR="0050347E" w:rsidRPr="00006DF4" w:rsidRDefault="0050347E" w:rsidP="00337EFC">
            <w:pPr>
              <w:pStyle w:val="P68B1DB1-Normal55"/>
              <w:spacing w:before="40" w:after="40"/>
              <w:jc w:val="both"/>
              <w:rPr>
                <w:rFonts w:ascii="Arial" w:hAnsi="Arial"/>
                <w:lang w:val="es-ES"/>
              </w:rPr>
            </w:pPr>
            <w:r w:rsidRPr="00006DF4">
              <w:rPr>
                <w:rFonts w:ascii="Arial" w:hAnsi="Arial"/>
                <w:lang w:val="es-ES"/>
              </w:rPr>
              <w:t xml:space="preserve">Presentar los casos de posibles problemas de implementación que afecten a las especies de la CAMI incluidas en el Apéndice I a la Secretaría de la CMS, a través del Mecanismo de Revisión de la CMS, e incluir información sobre los impactos de estas actividades en las especies del Apéndice II. </w:t>
            </w:r>
          </w:p>
        </w:tc>
        <w:tc>
          <w:tcPr>
            <w:tcW w:w="1939" w:type="dxa"/>
          </w:tcPr>
          <w:p w14:paraId="6B6AD03D" w14:textId="77777777" w:rsidR="0050347E" w:rsidRPr="00006DF4" w:rsidRDefault="0050347E" w:rsidP="00337EFC">
            <w:pPr>
              <w:pStyle w:val="P68B1DB1-Normal51"/>
              <w:spacing w:before="40" w:after="40"/>
              <w:rPr>
                <w:rFonts w:ascii="Arial" w:hAnsi="Arial"/>
              </w:rPr>
            </w:pPr>
            <w:r w:rsidRPr="00006DF4">
              <w:rPr>
                <w:rFonts w:ascii="Arial" w:hAnsi="Arial"/>
              </w:rPr>
              <w:t>OG, institutos científicos, ONG</w:t>
            </w:r>
          </w:p>
        </w:tc>
        <w:tc>
          <w:tcPr>
            <w:tcW w:w="2490" w:type="dxa"/>
          </w:tcPr>
          <w:p w14:paraId="7BC3B09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En caso de que surjan problemas de implementación, los casos se presentan a través del Mecanismo de Revisión. </w:t>
            </w:r>
          </w:p>
        </w:tc>
        <w:tc>
          <w:tcPr>
            <w:tcW w:w="1250" w:type="dxa"/>
          </w:tcPr>
          <w:p w14:paraId="1D5B6C0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74B044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006DF4" w14:paraId="4B8824E1" w14:textId="77777777" w:rsidTr="00006DF4">
        <w:trPr>
          <w:cantSplit/>
        </w:trPr>
        <w:tc>
          <w:tcPr>
            <w:tcW w:w="738" w:type="dxa"/>
          </w:tcPr>
          <w:p w14:paraId="00F4A345" w14:textId="77777777" w:rsidR="0050347E" w:rsidRPr="00006DF4" w:rsidRDefault="0050347E" w:rsidP="00337EFC">
            <w:pPr>
              <w:pStyle w:val="P68B1DB1-Normal51"/>
              <w:spacing w:before="40" w:after="40"/>
              <w:rPr>
                <w:rFonts w:ascii="Arial" w:hAnsi="Arial"/>
              </w:rPr>
            </w:pPr>
            <w:r w:rsidRPr="00006DF4">
              <w:rPr>
                <w:rFonts w:ascii="Arial" w:hAnsi="Arial"/>
              </w:rPr>
              <w:t>3.5</w:t>
            </w:r>
          </w:p>
        </w:tc>
        <w:tc>
          <w:tcPr>
            <w:tcW w:w="5622" w:type="dxa"/>
          </w:tcPr>
          <w:p w14:paraId="4428516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Utilizar </w:t>
            </w:r>
            <w:hyperlink r:id="rId48">
              <w:r w:rsidRPr="00006DF4">
                <w:rPr>
                  <w:rFonts w:ascii="Arial" w:hAnsi="Arial"/>
                  <w:lang w:val="es-ES"/>
                </w:rPr>
                <w:t xml:space="preserve">las </w:t>
              </w:r>
              <w:r w:rsidRPr="00006DF4">
                <w:rPr>
                  <w:rFonts w:ascii="Arial" w:hAnsi="Arial"/>
                  <w:i/>
                  <w:u w:val="single"/>
                  <w:lang w:val="es-ES"/>
                </w:rPr>
                <w:t>«Directrices para la conservación de la conectividad a través de redes y corredores ecológicos» de la UICN</w:t>
              </w:r>
            </w:hyperlink>
            <w:r w:rsidRPr="00006DF4">
              <w:rPr>
                <w:rFonts w:ascii="Arial" w:hAnsi="Arial"/>
                <w:lang w:val="es-ES"/>
              </w:rPr>
              <w:t xml:space="preserve"> y ejemplos de la región (por ejemplo, desarrollados en el marco </w:t>
            </w:r>
            <w:hyperlink r:id="rId49" w:history="1">
              <w:r w:rsidRPr="00006DF4">
                <w:rPr>
                  <w:rFonts w:ascii="Arial" w:hAnsi="Arial"/>
                  <w:u w:val="single"/>
                  <w:lang w:val="es-ES"/>
                </w:rPr>
                <w:t>del proyecto CAMCA</w:t>
              </w:r>
            </w:hyperlink>
            <w:r w:rsidRPr="00006DF4">
              <w:rPr>
                <w:rFonts w:ascii="Arial" w:hAnsi="Arial"/>
                <w:lang w:val="es-ES"/>
              </w:rPr>
              <w:t xml:space="preserve"> en Kirguistán) para definir corredores ecológicos e integrar dichos corredores en la legislación nacional y así implementar medidas adecuadas para conservar las especies de la CAMI, aprovechando la experiencia en la región y fuera de ella.</w:t>
            </w:r>
          </w:p>
        </w:tc>
        <w:tc>
          <w:tcPr>
            <w:tcW w:w="1939" w:type="dxa"/>
          </w:tcPr>
          <w:p w14:paraId="59C8A7C0" w14:textId="77777777" w:rsidR="0050347E" w:rsidRPr="00006DF4" w:rsidRDefault="0050347E" w:rsidP="00337EFC">
            <w:pPr>
              <w:pStyle w:val="P68B1DB1-Normal51"/>
              <w:spacing w:before="40" w:after="40"/>
              <w:rPr>
                <w:rFonts w:ascii="Arial" w:hAnsi="Arial"/>
              </w:rPr>
            </w:pPr>
            <w:r w:rsidRPr="00006DF4">
              <w:rPr>
                <w:rFonts w:ascii="Arial" w:hAnsi="Arial"/>
              </w:rPr>
              <w:t>OG, institutos científicos, ONG</w:t>
            </w:r>
          </w:p>
        </w:tc>
        <w:tc>
          <w:tcPr>
            <w:tcW w:w="2490" w:type="dxa"/>
          </w:tcPr>
          <w:p w14:paraId="01D85E4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Se utilizan las directrices de la UICN, se establece una metodología para definir los corredores ecológicos y se desarrolla legislación sobre corredores ecológicos en todos los Estados del área de distribución de la CAMI.</w:t>
            </w:r>
          </w:p>
        </w:tc>
        <w:tc>
          <w:tcPr>
            <w:tcW w:w="1250" w:type="dxa"/>
          </w:tcPr>
          <w:p w14:paraId="64A6528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BB861A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y 14 del GBF, Objetivo 5 del PEEM</w:t>
            </w:r>
          </w:p>
        </w:tc>
      </w:tr>
      <w:tr w:rsidR="0050347E" w:rsidRPr="00006DF4" w14:paraId="494DA390" w14:textId="77777777" w:rsidTr="00006DF4">
        <w:trPr>
          <w:cantSplit/>
        </w:trPr>
        <w:tc>
          <w:tcPr>
            <w:tcW w:w="738" w:type="dxa"/>
          </w:tcPr>
          <w:p w14:paraId="40FBAF5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3.6</w:t>
            </w:r>
          </w:p>
        </w:tc>
        <w:tc>
          <w:tcPr>
            <w:tcW w:w="5622" w:type="dxa"/>
          </w:tcPr>
          <w:p w14:paraId="12819FA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Prevenir las barreras a la migración, siempre que sea posible, mediante: </w:t>
            </w:r>
          </w:p>
          <w:p w14:paraId="11D597DE" w14:textId="77777777" w:rsidR="0050347E" w:rsidRPr="00006DF4" w:rsidRDefault="0050347E" w:rsidP="0050347E">
            <w:pPr>
              <w:pStyle w:val="P68B1DB1-Normal51"/>
              <w:numPr>
                <w:ilvl w:val="0"/>
                <w:numId w:val="20"/>
              </w:numPr>
              <w:spacing w:before="40" w:after="40"/>
              <w:jc w:val="both"/>
              <w:rPr>
                <w:rFonts w:ascii="Arial" w:hAnsi="Arial"/>
                <w:lang w:val="es-ES"/>
              </w:rPr>
            </w:pPr>
            <w:r w:rsidRPr="00006DF4">
              <w:rPr>
                <w:rFonts w:ascii="Arial" w:hAnsi="Arial"/>
                <w:lang w:val="es-ES"/>
              </w:rPr>
              <w:t xml:space="preserve">la integración de las </w:t>
            </w:r>
            <w:hyperlink r:id="rId50">
              <w:r w:rsidRPr="00006DF4">
                <w:rPr>
                  <w:rFonts w:ascii="Arial" w:hAnsi="Arial"/>
                  <w:i/>
                  <w:u w:val="single"/>
                  <w:lang w:val="es-ES"/>
                </w:rPr>
                <w:t>«Directrices para mitigar el impacto de las infraestructuras lineales y las perturbaciones relacionadas en los mamíferos de Asia Central»</w:t>
              </w:r>
            </w:hyperlink>
            <w:r w:rsidRPr="00006DF4">
              <w:rPr>
                <w:rFonts w:ascii="Arial" w:hAnsi="Arial"/>
                <w:lang w:val="es-ES"/>
              </w:rPr>
              <w:t xml:space="preserve"> en la legislación nacional, si es necesario, en particular exigiendo un proceso riguroso de EIA antes de otorgar el permiso de construcción y el uso de la jerarquía de mitigación de acuerdo con las normas reconocidas internacionalmente IFC1 e IFC6;</w:t>
            </w:r>
          </w:p>
          <w:p w14:paraId="4A2FD1DA" w14:textId="77777777" w:rsidR="0050347E" w:rsidRPr="00006DF4" w:rsidRDefault="0050347E" w:rsidP="0050347E">
            <w:pPr>
              <w:pStyle w:val="P68B1DB1-Normal51"/>
              <w:numPr>
                <w:ilvl w:val="0"/>
                <w:numId w:val="20"/>
              </w:numPr>
              <w:spacing w:before="40" w:after="40"/>
              <w:jc w:val="both"/>
              <w:rPr>
                <w:rFonts w:ascii="Arial" w:hAnsi="Arial"/>
                <w:lang w:val="es-ES"/>
              </w:rPr>
            </w:pPr>
            <w:r w:rsidRPr="00006DF4">
              <w:rPr>
                <w:rFonts w:ascii="Arial" w:hAnsi="Arial"/>
                <w:lang w:val="es-ES"/>
              </w:rPr>
              <w:t xml:space="preserve">la exigencia de que los procedimientos de evaluación de impacto para proyectos que afecten a las especies de la CAMI incluyan consultas con la Secretaría de la CMS y los Puntos Focales de Especies de la CAMI y tengan en cuenta las recomendaciones del </w:t>
            </w:r>
            <w:hyperlink r:id="rId51">
              <w:r w:rsidRPr="00006DF4">
                <w:rPr>
                  <w:rFonts w:ascii="Arial" w:hAnsi="Arial"/>
                  <w:i/>
                  <w:u w:val="single"/>
                  <w:lang w:val="es-ES"/>
                </w:rPr>
                <w:t>«Atlas de migración de mamíferos de Asia Central e infraestructuras lineales»</w:t>
              </w:r>
            </w:hyperlink>
            <w:r w:rsidRPr="00006DF4">
              <w:rPr>
                <w:rFonts w:ascii="Arial" w:hAnsi="Arial"/>
                <w:lang w:val="es-ES"/>
              </w:rPr>
              <w:t>, si es necesario;</w:t>
            </w:r>
          </w:p>
          <w:p w14:paraId="2792667F" w14:textId="77777777" w:rsidR="0050347E" w:rsidRPr="00006DF4" w:rsidRDefault="0050347E" w:rsidP="0050347E">
            <w:pPr>
              <w:pStyle w:val="P68B1DB1-Normal51"/>
              <w:numPr>
                <w:ilvl w:val="0"/>
                <w:numId w:val="20"/>
              </w:numPr>
              <w:spacing w:before="40" w:after="40"/>
              <w:jc w:val="both"/>
              <w:rPr>
                <w:rFonts w:ascii="Arial" w:hAnsi="Arial"/>
                <w:lang w:val="es-ES"/>
              </w:rPr>
            </w:pPr>
            <w:r w:rsidRPr="00006DF4">
              <w:rPr>
                <w:rFonts w:ascii="Arial" w:hAnsi="Arial"/>
                <w:lang w:val="es-ES"/>
              </w:rPr>
              <w:t xml:space="preserve">la exigencia de evaluaciones de impacto para las vallas planificadas, por ejemplo, a lo largo de carreteras y vías férreas. </w:t>
            </w:r>
          </w:p>
        </w:tc>
        <w:tc>
          <w:tcPr>
            <w:tcW w:w="1939" w:type="dxa"/>
          </w:tcPr>
          <w:p w14:paraId="3672E8DC"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715C07C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Legislación con instrucciones claras para la evaluación de impacto de los proyectos planificados que se encuentren dentro del área de distribución de las especies de la CAMI para utilizar las herramientas mencionadas y consultar con la Secretaría de la CMS. </w:t>
            </w:r>
          </w:p>
        </w:tc>
        <w:tc>
          <w:tcPr>
            <w:tcW w:w="1250" w:type="dxa"/>
          </w:tcPr>
          <w:p w14:paraId="72A33E8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BA3785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006DF4" w14:paraId="238DAE50" w14:textId="77777777" w:rsidTr="00006DF4">
        <w:trPr>
          <w:cantSplit/>
        </w:trPr>
        <w:tc>
          <w:tcPr>
            <w:tcW w:w="738" w:type="dxa"/>
          </w:tcPr>
          <w:p w14:paraId="4288971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3.7</w:t>
            </w:r>
          </w:p>
        </w:tc>
        <w:tc>
          <w:tcPr>
            <w:tcW w:w="5622" w:type="dxa"/>
          </w:tcPr>
          <w:p w14:paraId="0D18332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Adoptar e implementar la legislación nacional de conformidad con los Artículos III.5 y V.1 de la CMS para mejorar las medidas para abordar la captura ilegal de especies de la CAMI, en particular:</w:t>
            </w:r>
          </w:p>
          <w:p w14:paraId="746F400C"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reforzar las medidas de implementación y las sanciones proporcionales al incidente y al tipo de actores involucrados para disuadir la caza, la posesión, el uso y el comercio ilegales de especies de la CAMI;</w:t>
            </w:r>
          </w:p>
          <w:p w14:paraId="6AF9073D"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 xml:space="preserve">introducir incentivos (económicos y no económicos) para los guardabosques, los guardias fronterizos y la sociedad civil para que denuncien los incidentes de captura, posesión y comercio ilegales; </w:t>
            </w:r>
          </w:p>
          <w:p w14:paraId="6E97AB2A" w14:textId="77777777" w:rsidR="0050347E" w:rsidRPr="00006DF4" w:rsidRDefault="0050347E" w:rsidP="0050347E">
            <w:pPr>
              <w:pStyle w:val="P68B1DB1-Normal57"/>
              <w:widowControl w:val="0"/>
              <w:numPr>
                <w:ilvl w:val="0"/>
                <w:numId w:val="18"/>
              </w:numPr>
              <w:spacing w:before="40" w:after="40"/>
              <w:jc w:val="both"/>
              <w:rPr>
                <w:rFonts w:ascii="Arial" w:hAnsi="Arial"/>
                <w:lang w:val="es-ES"/>
              </w:rPr>
            </w:pPr>
            <w:r w:rsidRPr="00006DF4">
              <w:rPr>
                <w:rFonts w:ascii="Arial" w:hAnsi="Arial"/>
                <w:lang w:val="es-ES"/>
              </w:rPr>
              <w:t xml:space="preserve">invertir los ingresos de las multas en conservación; </w:t>
            </w:r>
          </w:p>
          <w:p w14:paraId="4B8E5BC6"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 xml:space="preserve">dotar a los guardabosques comunitarios de poderes para hacer cumplir la ley; y </w:t>
            </w:r>
          </w:p>
          <w:p w14:paraId="2F639BF7" w14:textId="77777777" w:rsidR="0050347E" w:rsidRPr="00006DF4" w:rsidRDefault="0050347E" w:rsidP="0050347E">
            <w:pPr>
              <w:pStyle w:val="P68B1DB1-Normal56"/>
              <w:widowControl w:val="0"/>
              <w:numPr>
                <w:ilvl w:val="0"/>
                <w:numId w:val="18"/>
              </w:numPr>
              <w:spacing w:before="40" w:after="40"/>
              <w:jc w:val="both"/>
              <w:rPr>
                <w:rFonts w:ascii="Arial" w:hAnsi="Arial"/>
                <w:lang w:val="es-ES"/>
              </w:rPr>
            </w:pPr>
            <w:r w:rsidRPr="00006DF4">
              <w:rPr>
                <w:rFonts w:ascii="Arial" w:hAnsi="Arial"/>
                <w:lang w:val="es-ES"/>
              </w:rPr>
              <w:t xml:space="preserve">monitorear y controlar escrupulosamente las plataformas en línea que promueven el comercio ilegal de especies silvestres. </w:t>
            </w:r>
          </w:p>
        </w:tc>
        <w:tc>
          <w:tcPr>
            <w:tcW w:w="1939" w:type="dxa"/>
          </w:tcPr>
          <w:p w14:paraId="1B630ED3" w14:textId="77777777" w:rsidR="0050347E" w:rsidRPr="00006DF4" w:rsidRDefault="0050347E" w:rsidP="00337EFC">
            <w:pPr>
              <w:pStyle w:val="P68B1DB1-Normal51"/>
              <w:spacing w:before="40" w:after="40"/>
              <w:rPr>
                <w:rFonts w:ascii="Arial" w:hAnsi="Arial"/>
              </w:rPr>
            </w:pPr>
            <w:r w:rsidRPr="00006DF4">
              <w:rPr>
                <w:rFonts w:ascii="Arial" w:hAnsi="Arial"/>
              </w:rPr>
              <w:t>OG, ONG, OIG</w:t>
            </w:r>
          </w:p>
        </w:tc>
        <w:tc>
          <w:tcPr>
            <w:tcW w:w="2490" w:type="dxa"/>
          </w:tcPr>
          <w:p w14:paraId="423C820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Se actualiza la legislación, las directrices y la hoja de ruta.</w:t>
            </w:r>
          </w:p>
          <w:p w14:paraId="26561EEA" w14:textId="77777777" w:rsidR="0050347E" w:rsidRPr="00006DF4" w:rsidRDefault="0050347E" w:rsidP="00337EFC">
            <w:pPr>
              <w:spacing w:before="40" w:after="40"/>
              <w:rPr>
                <w:rFonts w:ascii="Arial" w:eastAsia="Aptos" w:hAnsi="Arial" w:cs="Arial"/>
                <w:sz w:val="20"/>
                <w:lang w:val="es-ES"/>
              </w:rPr>
            </w:pPr>
          </w:p>
        </w:tc>
        <w:tc>
          <w:tcPr>
            <w:tcW w:w="1250" w:type="dxa"/>
          </w:tcPr>
          <w:p w14:paraId="50ECC9F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70C726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5 del GBF, Objetivo 5 del PEEM</w:t>
            </w:r>
          </w:p>
        </w:tc>
      </w:tr>
      <w:tr w:rsidR="0050347E" w:rsidRPr="00006DF4" w14:paraId="5E6F4B4D" w14:textId="77777777" w:rsidTr="00006DF4">
        <w:trPr>
          <w:cantSplit/>
        </w:trPr>
        <w:tc>
          <w:tcPr>
            <w:tcW w:w="738" w:type="dxa"/>
          </w:tcPr>
          <w:p w14:paraId="0D650530" w14:textId="77777777" w:rsidR="0050347E" w:rsidRPr="00006DF4" w:rsidRDefault="0050347E" w:rsidP="00337EFC">
            <w:pPr>
              <w:pStyle w:val="P68B1DB1-Normal51"/>
              <w:spacing w:before="40" w:after="40"/>
              <w:rPr>
                <w:rFonts w:ascii="Arial" w:hAnsi="Arial"/>
              </w:rPr>
            </w:pPr>
            <w:r w:rsidRPr="00006DF4">
              <w:rPr>
                <w:rFonts w:ascii="Arial" w:hAnsi="Arial"/>
              </w:rPr>
              <w:t>3.8</w:t>
            </w:r>
          </w:p>
        </w:tc>
        <w:tc>
          <w:tcPr>
            <w:tcW w:w="5622" w:type="dxa"/>
          </w:tcPr>
          <w:p w14:paraId="7784B8E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En los casos de poblaciones abundantes de especies incluidas en el Apéndice II de la CMS, y de conformidad con el Artículo V.1 de la CMS, se debe valorar la posibilidad de preparar planes nacionales de gestión de las especies de forma transparente, implicando a todas las partes interesadas y garantizando beneficios para las comunidades locales de cualquier uso sostenible de las especies.  </w:t>
            </w:r>
          </w:p>
        </w:tc>
        <w:tc>
          <w:tcPr>
            <w:tcW w:w="1939" w:type="dxa"/>
          </w:tcPr>
          <w:p w14:paraId="39B69E8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DEBAF6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desarrollan planes de conservación y gestión para poblaciones abundantes de especies del Apéndice II, de conformidad con la </w:t>
            </w:r>
            <w:hyperlink r:id="rId52">
              <w:r w:rsidRPr="00006DF4">
                <w:rPr>
                  <w:rFonts w:ascii="Arial" w:hAnsi="Arial"/>
                  <w:u w:val="single"/>
                  <w:lang w:val="es-ES"/>
                </w:rPr>
                <w:t xml:space="preserve">Resolución 14.17 relativa a la </w:t>
              </w:r>
              <w:r w:rsidRPr="00006DF4">
                <w:rPr>
                  <w:rFonts w:ascii="Arial" w:hAnsi="Arial"/>
                  <w:i/>
                  <w:u w:val="single"/>
                  <w:lang w:val="es-ES"/>
                </w:rPr>
                <w:t>participación comunitaria y los medios de subsistencia</w:t>
              </w:r>
            </w:hyperlink>
            <w:r w:rsidRPr="00006DF4">
              <w:rPr>
                <w:rFonts w:ascii="Arial" w:hAnsi="Arial"/>
                <w:lang w:val="es-ES"/>
              </w:rPr>
              <w:t xml:space="preserve"> y utilizando las recomendaciones del estudio </w:t>
            </w:r>
            <w:hyperlink r:id="rId53">
              <w:r w:rsidRPr="00006DF4">
                <w:rPr>
                  <w:rFonts w:ascii="Arial" w:hAnsi="Arial"/>
                  <w:i/>
                  <w:u w:val="single"/>
                  <w:lang w:val="es-ES"/>
                </w:rPr>
                <w:t>«Potencial para la gestión comunitaria de la vida silvestre en Asia Central»</w:t>
              </w:r>
            </w:hyperlink>
            <w:r w:rsidRPr="00006DF4">
              <w:rPr>
                <w:rFonts w:ascii="Arial" w:hAnsi="Arial"/>
                <w:i/>
                <w:lang w:val="es-ES"/>
              </w:rPr>
              <w:t>,</w:t>
            </w:r>
            <w:r w:rsidRPr="00006DF4">
              <w:rPr>
                <w:rFonts w:ascii="Arial" w:hAnsi="Arial"/>
                <w:lang w:val="es-ES"/>
              </w:rPr>
              <w:t xml:space="preserve"> cuando corresponda. </w:t>
            </w:r>
          </w:p>
        </w:tc>
        <w:tc>
          <w:tcPr>
            <w:tcW w:w="1250" w:type="dxa"/>
          </w:tcPr>
          <w:p w14:paraId="45B3E106"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0CC734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9 del GBF, Objetivos 1 y 3 del PEEM</w:t>
            </w:r>
          </w:p>
        </w:tc>
      </w:tr>
      <w:tr w:rsidR="0050347E" w:rsidRPr="00006DF4" w14:paraId="34806D5F" w14:textId="77777777" w:rsidTr="00006DF4">
        <w:trPr>
          <w:cantSplit/>
        </w:trPr>
        <w:tc>
          <w:tcPr>
            <w:tcW w:w="738" w:type="dxa"/>
          </w:tcPr>
          <w:p w14:paraId="6EA8A10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3.9</w:t>
            </w:r>
          </w:p>
        </w:tc>
        <w:tc>
          <w:tcPr>
            <w:tcW w:w="5622" w:type="dxa"/>
          </w:tcPr>
          <w:p w14:paraId="5635DA5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Para apoyar la implementación del Artículo V.1 de la CMS, se deben establecer procedimientos sólidos y claros para las cuotas desarrolladas científicamente para la captura sostenible de especies migratorias, de acuerdo con la legislación nacional, que aborden los riesgos de la presión acumulada por las capturas, garantizando que las poblaciones transfronterizas de especies de la CAMI no sean sobreexplotadas por diferentes países debido a la falta de evaluaciones/toma de decisiones coordinadas.</w:t>
            </w:r>
          </w:p>
        </w:tc>
        <w:tc>
          <w:tcPr>
            <w:tcW w:w="1939" w:type="dxa"/>
          </w:tcPr>
          <w:p w14:paraId="6B0604F5"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60F9248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Decretos de establecimiento de cuotas sostenibles para las especies de la CAMI que se pueden utilizar de manera sostenible.</w:t>
            </w:r>
          </w:p>
        </w:tc>
        <w:tc>
          <w:tcPr>
            <w:tcW w:w="1250" w:type="dxa"/>
          </w:tcPr>
          <w:p w14:paraId="50FB8D9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D7389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9 del GBF, Objetivo 1 del PEEM</w:t>
            </w:r>
          </w:p>
        </w:tc>
      </w:tr>
      <w:tr w:rsidR="0050347E" w:rsidRPr="00006DF4" w14:paraId="582EF9FA" w14:textId="77777777" w:rsidTr="00006DF4">
        <w:trPr>
          <w:cantSplit/>
        </w:trPr>
        <w:tc>
          <w:tcPr>
            <w:tcW w:w="738" w:type="dxa"/>
          </w:tcPr>
          <w:p w14:paraId="3DF0A888" w14:textId="77777777" w:rsidR="0050347E" w:rsidRPr="00006DF4" w:rsidRDefault="0050347E" w:rsidP="00337EFC">
            <w:pPr>
              <w:pStyle w:val="P68B1DB1-Normal51"/>
              <w:spacing w:before="40" w:after="40"/>
              <w:rPr>
                <w:rFonts w:ascii="Arial" w:hAnsi="Arial"/>
              </w:rPr>
            </w:pPr>
            <w:r w:rsidRPr="00006DF4">
              <w:rPr>
                <w:rFonts w:ascii="Arial" w:hAnsi="Arial"/>
              </w:rPr>
              <w:t>3.10</w:t>
            </w:r>
          </w:p>
        </w:tc>
        <w:tc>
          <w:tcPr>
            <w:tcW w:w="5622" w:type="dxa"/>
          </w:tcPr>
          <w:p w14:paraId="547E4D2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En los países donde se utilicen libros rojos nacionales, adaptar los procedimientos de evaluación de especies de los libros rojos nacionales a las </w:t>
            </w:r>
            <w:hyperlink r:id="rId54">
              <w:r w:rsidRPr="00006DF4">
                <w:rPr>
                  <w:rFonts w:ascii="Arial" w:hAnsi="Arial"/>
                  <w:i/>
                  <w:u w:val="single"/>
                  <w:lang w:val="es-ES"/>
                </w:rPr>
                <w:t>«Directrices para el uso de las categorías y criterios de la Lista Roja de la UICN»</w:t>
              </w:r>
            </w:hyperlink>
            <w:r w:rsidRPr="00006DF4">
              <w:rPr>
                <w:rFonts w:ascii="Arial" w:hAnsi="Arial"/>
                <w:lang w:val="es-ES"/>
              </w:rPr>
              <w:t xml:space="preserve"> a nivel nacional.</w:t>
            </w:r>
          </w:p>
        </w:tc>
        <w:tc>
          <w:tcPr>
            <w:tcW w:w="1939" w:type="dxa"/>
          </w:tcPr>
          <w:p w14:paraId="0C62087E"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7EC75E8" w14:textId="77777777" w:rsidR="0050347E" w:rsidRPr="00006DF4" w:rsidRDefault="0050347E" w:rsidP="00337EFC">
            <w:pPr>
              <w:pStyle w:val="P68B1DB1-Normal51"/>
              <w:spacing w:before="40" w:after="40"/>
              <w:rPr>
                <w:rFonts w:ascii="Arial" w:hAnsi="Arial"/>
              </w:rPr>
            </w:pPr>
            <w:r w:rsidRPr="00006DF4">
              <w:rPr>
                <w:rFonts w:ascii="Arial" w:hAnsi="Arial"/>
              </w:rPr>
              <w:t>Manual/directrices.</w:t>
            </w:r>
          </w:p>
        </w:tc>
        <w:tc>
          <w:tcPr>
            <w:tcW w:w="1250" w:type="dxa"/>
          </w:tcPr>
          <w:p w14:paraId="35741E99"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2C69AD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3DE577C" w14:textId="77777777" w:rsidTr="00006DF4">
        <w:trPr>
          <w:cantSplit/>
        </w:trPr>
        <w:tc>
          <w:tcPr>
            <w:tcW w:w="738" w:type="dxa"/>
          </w:tcPr>
          <w:p w14:paraId="1D38DDCA" w14:textId="77777777" w:rsidR="0050347E" w:rsidRPr="00006DF4" w:rsidRDefault="0050347E" w:rsidP="00337EFC">
            <w:pPr>
              <w:pStyle w:val="P68B1DB1-Normal51"/>
              <w:spacing w:before="40" w:after="40"/>
              <w:rPr>
                <w:rFonts w:ascii="Arial" w:hAnsi="Arial"/>
              </w:rPr>
            </w:pPr>
            <w:r w:rsidRPr="00006DF4">
              <w:rPr>
                <w:rFonts w:ascii="Arial" w:hAnsi="Arial"/>
              </w:rPr>
              <w:t>3.11</w:t>
            </w:r>
          </w:p>
        </w:tc>
        <w:tc>
          <w:tcPr>
            <w:tcW w:w="5622" w:type="dxa"/>
          </w:tcPr>
          <w:p w14:paraId="7B82B704"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En los casos de las especies incluidas en el Apéndice II, de acuerdo con la legislación nacional, se debe permitir el uso extractivo limitado (en tiempo y cantidades) de las especies seleccionadas incluidas en el libro rojo nacional si se puede demostrar de manera científicamente sólida que esto contribuirá a la conservación de las especies, así como a las Metas 4, 5 y 9 del GBF.</w:t>
            </w:r>
          </w:p>
          <w:p w14:paraId="29A14C6D"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2BFDB45C"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3EFD0131" w14:textId="77777777" w:rsidR="0050347E" w:rsidRPr="00006DF4" w:rsidRDefault="0050347E" w:rsidP="00337EFC">
            <w:pPr>
              <w:pStyle w:val="P68B1DB1-Normal51"/>
              <w:spacing w:before="40" w:after="40"/>
              <w:rPr>
                <w:rFonts w:ascii="Arial" w:hAnsi="Arial"/>
              </w:rPr>
            </w:pPr>
            <w:r w:rsidRPr="00006DF4">
              <w:rPr>
                <w:rFonts w:ascii="Arial" w:hAnsi="Arial"/>
              </w:rPr>
              <w:t>Legislación/decreto de cuotas.</w:t>
            </w:r>
          </w:p>
        </w:tc>
        <w:tc>
          <w:tcPr>
            <w:tcW w:w="1250" w:type="dxa"/>
          </w:tcPr>
          <w:p w14:paraId="0B23917E"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6E91365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tc>
      </w:tr>
      <w:tr w:rsidR="0050347E" w:rsidRPr="00006DF4" w14:paraId="28ED7520" w14:textId="77777777" w:rsidTr="00006DF4">
        <w:trPr>
          <w:cantSplit/>
        </w:trPr>
        <w:tc>
          <w:tcPr>
            <w:tcW w:w="738" w:type="dxa"/>
          </w:tcPr>
          <w:p w14:paraId="13CF0C96" w14:textId="77777777" w:rsidR="0050347E" w:rsidRPr="00006DF4" w:rsidRDefault="0050347E" w:rsidP="00337EFC">
            <w:pPr>
              <w:pStyle w:val="P68B1DB1-Normal51"/>
              <w:spacing w:before="40" w:after="40"/>
              <w:rPr>
                <w:rFonts w:ascii="Arial" w:hAnsi="Arial"/>
              </w:rPr>
            </w:pPr>
            <w:r w:rsidRPr="00006DF4">
              <w:rPr>
                <w:rFonts w:ascii="Arial" w:hAnsi="Arial"/>
              </w:rPr>
              <w:t>3.12</w:t>
            </w:r>
          </w:p>
        </w:tc>
        <w:tc>
          <w:tcPr>
            <w:tcW w:w="5622" w:type="dxa"/>
            <w:shd w:val="clear" w:color="auto" w:fill="FFFFFF"/>
          </w:tcPr>
          <w:p w14:paraId="68EE077C"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Elaborar y promover políticas, reglamentos e instrumentos y desarrollar las capacidades de los responsables de la toma de decisiones y los planificadores para una gestión sostenible de las pradera que permita la coexistencia de los humanos, el ganado y la fauna y flora silvestres.</w:t>
            </w:r>
          </w:p>
          <w:p w14:paraId="0922967C"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0EF3CB2C"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39C60C5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Número de políticas, reglamentos y herramientas nacionales. </w:t>
            </w:r>
          </w:p>
        </w:tc>
        <w:tc>
          <w:tcPr>
            <w:tcW w:w="1250" w:type="dxa"/>
          </w:tcPr>
          <w:p w14:paraId="7DD3FF4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8F638C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4,20 del GBF, Objetivo 4 del PEEM</w:t>
            </w:r>
          </w:p>
        </w:tc>
      </w:tr>
      <w:tr w:rsidR="0050347E" w:rsidRPr="00006DF4" w14:paraId="04FEA23D" w14:textId="77777777" w:rsidTr="00006DF4">
        <w:trPr>
          <w:cantSplit/>
        </w:trPr>
        <w:tc>
          <w:tcPr>
            <w:tcW w:w="738" w:type="dxa"/>
          </w:tcPr>
          <w:p w14:paraId="38B31B00" w14:textId="77777777" w:rsidR="0050347E" w:rsidRPr="00006DF4" w:rsidRDefault="0050347E" w:rsidP="00337EFC">
            <w:pPr>
              <w:pStyle w:val="P68B1DB1-Normal51"/>
              <w:spacing w:before="40" w:after="40"/>
              <w:rPr>
                <w:rFonts w:ascii="Arial" w:hAnsi="Arial"/>
              </w:rPr>
            </w:pPr>
            <w:r w:rsidRPr="00006DF4">
              <w:rPr>
                <w:rFonts w:ascii="Arial" w:hAnsi="Arial"/>
              </w:rPr>
              <w:t>3.13</w:t>
            </w:r>
          </w:p>
        </w:tc>
        <w:tc>
          <w:tcPr>
            <w:tcW w:w="5622" w:type="dxa"/>
          </w:tcPr>
          <w:p w14:paraId="64E91B73"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Desarrollar y promulgar legislación para permitir la gestión de zonas protegidas y conservadas (incluidas las zonas de caza) por parte de organizaciones privadas o comunitarias, según las prioridades nacionales, donde no exista.</w:t>
            </w:r>
          </w:p>
          <w:p w14:paraId="4A1FA8B0"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3B97520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373304E7"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propone la legislación. </w:t>
            </w:r>
          </w:p>
        </w:tc>
        <w:tc>
          <w:tcPr>
            <w:tcW w:w="1250" w:type="dxa"/>
          </w:tcPr>
          <w:p w14:paraId="3B4FDF6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239F87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3 del PEEM</w:t>
            </w:r>
          </w:p>
        </w:tc>
      </w:tr>
      <w:tr w:rsidR="0050347E" w:rsidRPr="00006DF4" w14:paraId="78041D30" w14:textId="77777777" w:rsidTr="00006DF4">
        <w:trPr>
          <w:cantSplit/>
        </w:trPr>
        <w:tc>
          <w:tcPr>
            <w:tcW w:w="14000" w:type="dxa"/>
            <w:gridSpan w:val="6"/>
            <w:shd w:val="clear" w:color="auto" w:fill="B3E5A1"/>
            <w:vAlign w:val="center"/>
          </w:tcPr>
          <w:p w14:paraId="37A2B4F0" w14:textId="77777777" w:rsidR="0050347E" w:rsidRPr="00006DF4" w:rsidRDefault="0050347E" w:rsidP="00337EFC">
            <w:pPr>
              <w:pStyle w:val="P68B1DB1-Normal48"/>
              <w:spacing w:before="40" w:after="40"/>
              <w:jc w:val="both"/>
              <w:rPr>
                <w:rFonts w:ascii="Arial" w:hAnsi="Arial"/>
              </w:rPr>
            </w:pPr>
            <w:r w:rsidRPr="00006DF4">
              <w:rPr>
                <w:rFonts w:ascii="Arial" w:hAnsi="Arial"/>
              </w:rPr>
              <w:lastRenderedPageBreak/>
              <w:t xml:space="preserve">4. Cooperación transfronteriza  </w:t>
            </w:r>
          </w:p>
        </w:tc>
      </w:tr>
      <w:tr w:rsidR="0050347E" w:rsidRPr="00006DF4" w14:paraId="6A698EA6" w14:textId="77777777" w:rsidTr="00006DF4">
        <w:trPr>
          <w:cantSplit/>
        </w:trPr>
        <w:tc>
          <w:tcPr>
            <w:tcW w:w="738" w:type="dxa"/>
          </w:tcPr>
          <w:p w14:paraId="50E0AC54" w14:textId="77777777" w:rsidR="0050347E" w:rsidRPr="00006DF4" w:rsidRDefault="0050347E" w:rsidP="00337EFC">
            <w:pPr>
              <w:pStyle w:val="P68B1DB1-Normal51"/>
              <w:spacing w:before="40" w:after="40"/>
              <w:rPr>
                <w:rFonts w:ascii="Arial" w:hAnsi="Arial"/>
              </w:rPr>
            </w:pPr>
            <w:r w:rsidRPr="00006DF4">
              <w:rPr>
                <w:rFonts w:ascii="Arial" w:hAnsi="Arial"/>
              </w:rPr>
              <w:t>4.1</w:t>
            </w:r>
          </w:p>
        </w:tc>
        <w:tc>
          <w:tcPr>
            <w:tcW w:w="5622" w:type="dxa"/>
          </w:tcPr>
          <w:p w14:paraId="563FEFF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Apoyar a los Estados del área de distribución de la CAMI en sus esfuerzos por celebrar acuerdos bilaterales/multilaterales para fortalecer la conservación de RTPC específicas. </w:t>
            </w:r>
          </w:p>
        </w:tc>
        <w:tc>
          <w:tcPr>
            <w:tcW w:w="1939" w:type="dxa"/>
          </w:tcPr>
          <w:p w14:paraId="6DE52A8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 OIG, GSLEP</w:t>
            </w:r>
          </w:p>
        </w:tc>
        <w:tc>
          <w:tcPr>
            <w:tcW w:w="2490" w:type="dxa"/>
          </w:tcPr>
          <w:p w14:paraId="0B9D2A1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y ponen en marcha acuerdos, memorandos de entendimiento y programas de trabajo para apoyar la implementación del MdE.</w:t>
            </w:r>
          </w:p>
        </w:tc>
        <w:tc>
          <w:tcPr>
            <w:tcW w:w="1250" w:type="dxa"/>
          </w:tcPr>
          <w:p w14:paraId="2763FB3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1A8239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12 del GBF, Objetivo 5 del PEEM</w:t>
            </w:r>
          </w:p>
        </w:tc>
      </w:tr>
      <w:tr w:rsidR="0050347E" w:rsidRPr="00006DF4" w14:paraId="36A9D764" w14:textId="77777777" w:rsidTr="00006DF4">
        <w:trPr>
          <w:cantSplit/>
        </w:trPr>
        <w:tc>
          <w:tcPr>
            <w:tcW w:w="738" w:type="dxa"/>
            <w:tcBorders>
              <w:bottom w:val="single" w:sz="2" w:space="0" w:color="000000"/>
            </w:tcBorders>
          </w:tcPr>
          <w:p w14:paraId="6E9264BF" w14:textId="77777777" w:rsidR="0050347E" w:rsidRPr="00006DF4" w:rsidRDefault="0050347E" w:rsidP="00337EFC">
            <w:pPr>
              <w:pStyle w:val="P68B1DB1-Normal51"/>
              <w:spacing w:before="40" w:after="40"/>
              <w:rPr>
                <w:rFonts w:ascii="Arial" w:hAnsi="Arial"/>
              </w:rPr>
            </w:pPr>
            <w:r w:rsidRPr="00006DF4">
              <w:rPr>
                <w:rFonts w:ascii="Arial" w:hAnsi="Arial"/>
              </w:rPr>
              <w:t>4.2</w:t>
            </w:r>
          </w:p>
        </w:tc>
        <w:tc>
          <w:tcPr>
            <w:tcW w:w="5622" w:type="dxa"/>
            <w:tcBorders>
              <w:bottom w:val="single" w:sz="2" w:space="0" w:color="000000"/>
            </w:tcBorders>
          </w:tcPr>
          <w:p w14:paraId="012FE98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Establecer grupos de trabajo interinstitucionales en los que participen tanto los organismos de seguridad fronteriza como los de protección de la naturaleza y otras partes interesadas para la cooperación interinstitucional periódica y el intercambio de información sobre cuestiones de conservación a nivel nacional y transfronterizo, con el fin de mejorar la conservación transfronteriza de los ecosistemas naturales y las especies migratorias.</w:t>
            </w:r>
          </w:p>
        </w:tc>
        <w:tc>
          <w:tcPr>
            <w:tcW w:w="1939" w:type="dxa"/>
            <w:tcBorders>
              <w:bottom w:val="single" w:sz="2" w:space="0" w:color="000000"/>
            </w:tcBorders>
          </w:tcPr>
          <w:p w14:paraId="261F8AEF" w14:textId="77777777" w:rsidR="0050347E" w:rsidRPr="00006DF4" w:rsidRDefault="0050347E" w:rsidP="00337EFC">
            <w:pPr>
              <w:pStyle w:val="P68B1DB1-Normal51"/>
              <w:spacing w:before="40" w:after="40"/>
              <w:rPr>
                <w:rFonts w:ascii="Arial" w:hAnsi="Arial"/>
              </w:rPr>
            </w:pPr>
            <w:r w:rsidRPr="00006DF4">
              <w:rPr>
                <w:rFonts w:ascii="Arial" w:hAnsi="Arial"/>
              </w:rPr>
              <w:t>OG, ONG, OIG, autoridades locales</w:t>
            </w:r>
          </w:p>
        </w:tc>
        <w:tc>
          <w:tcPr>
            <w:tcW w:w="2490" w:type="dxa"/>
            <w:tcBorders>
              <w:bottom w:val="single" w:sz="2" w:space="0" w:color="000000"/>
            </w:tcBorders>
          </w:tcPr>
          <w:p w14:paraId="2321BB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establecen los grupos de trabajo para la conservación de las RTPC y están operativos.</w:t>
            </w:r>
          </w:p>
        </w:tc>
        <w:tc>
          <w:tcPr>
            <w:tcW w:w="1250" w:type="dxa"/>
            <w:tcBorders>
              <w:bottom w:val="single" w:sz="2" w:space="0" w:color="000000"/>
            </w:tcBorders>
          </w:tcPr>
          <w:p w14:paraId="60346FC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2" w:space="0" w:color="000000"/>
            </w:tcBorders>
          </w:tcPr>
          <w:p w14:paraId="56B0BEE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12 y 20 del GBF, Objetivo 5 del PEEM, </w:t>
            </w:r>
            <w:hyperlink r:id="rId55">
              <w:r w:rsidRPr="00006DF4">
                <w:rPr>
                  <w:rFonts w:ascii="Arial" w:hAnsi="Arial"/>
                  <w:u w:val="single"/>
                  <w:lang w:val="es-ES"/>
                </w:rPr>
                <w:t>Comunicado de Ashgabat</w:t>
              </w:r>
            </w:hyperlink>
            <w:r w:rsidRPr="00006DF4">
              <w:rPr>
                <w:rFonts w:ascii="Arial" w:hAnsi="Arial"/>
                <w:lang w:val="es-ES"/>
              </w:rPr>
              <w:t>; recomendaciones de orientación técnica para las EPANB</w:t>
            </w:r>
          </w:p>
          <w:p w14:paraId="5597ABE2" w14:textId="77777777" w:rsidR="0050347E" w:rsidRPr="00006DF4" w:rsidRDefault="0050347E" w:rsidP="00337EFC">
            <w:pPr>
              <w:spacing w:before="40" w:after="40"/>
              <w:rPr>
                <w:rFonts w:ascii="Arial" w:eastAsia="Aptos" w:hAnsi="Arial" w:cs="Arial"/>
                <w:sz w:val="20"/>
                <w:lang w:val="es-ES"/>
              </w:rPr>
            </w:pPr>
          </w:p>
        </w:tc>
      </w:tr>
      <w:tr w:rsidR="0050347E" w:rsidRPr="00006DF4" w14:paraId="13113BB8" w14:textId="77777777" w:rsidTr="00006DF4">
        <w:trPr>
          <w:cantSplit/>
        </w:trPr>
        <w:tc>
          <w:tcPr>
            <w:tcW w:w="738" w:type="dxa"/>
            <w:tcBorders>
              <w:top w:val="single" w:sz="2" w:space="0" w:color="000000"/>
              <w:bottom w:val="single" w:sz="4" w:space="0" w:color="auto"/>
            </w:tcBorders>
          </w:tcPr>
          <w:p w14:paraId="2CB8EC73" w14:textId="77777777" w:rsidR="0050347E" w:rsidRPr="00006DF4" w:rsidRDefault="0050347E" w:rsidP="00337EFC">
            <w:pPr>
              <w:pStyle w:val="P68B1DB1-Normal51"/>
              <w:spacing w:before="40" w:after="40"/>
              <w:rPr>
                <w:rFonts w:ascii="Arial" w:hAnsi="Arial"/>
              </w:rPr>
            </w:pPr>
            <w:r w:rsidRPr="00006DF4">
              <w:rPr>
                <w:rFonts w:ascii="Arial" w:hAnsi="Arial"/>
              </w:rPr>
              <w:t>4.3</w:t>
            </w:r>
          </w:p>
        </w:tc>
        <w:tc>
          <w:tcPr>
            <w:tcW w:w="5622" w:type="dxa"/>
            <w:tcBorders>
              <w:top w:val="single" w:sz="2" w:space="0" w:color="000000"/>
              <w:bottom w:val="single" w:sz="4" w:space="0" w:color="auto"/>
            </w:tcBorders>
          </w:tcPr>
          <w:p w14:paraId="4D53B87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Aprovechar los programas de sensibilización en curso para desarrollar e impartir formación sobre conservación de la fauna y flora silvestres a los funcionarios fronterizos y aduaneros en los idiomas nacionales, aclarando su papel y autoridad con respecto a la conservación de la fauna y flora silvestres y, cuando sea posible, colaborar con organizaciones nacionales e internacionales y socios para el desarrollo.</w:t>
            </w:r>
          </w:p>
        </w:tc>
        <w:tc>
          <w:tcPr>
            <w:tcW w:w="1939" w:type="dxa"/>
            <w:tcBorders>
              <w:top w:val="single" w:sz="2" w:space="0" w:color="000000"/>
              <w:bottom w:val="single" w:sz="4" w:space="0" w:color="auto"/>
            </w:tcBorders>
          </w:tcPr>
          <w:p w14:paraId="1FD79787" w14:textId="77777777" w:rsidR="0050347E" w:rsidRPr="00006DF4" w:rsidRDefault="0050347E" w:rsidP="00337EFC">
            <w:pPr>
              <w:pStyle w:val="P68B1DB1-Normal51"/>
              <w:spacing w:before="40" w:after="40"/>
              <w:rPr>
                <w:rFonts w:ascii="Arial" w:hAnsi="Arial"/>
              </w:rPr>
            </w:pPr>
            <w:r w:rsidRPr="00006DF4">
              <w:rPr>
                <w:rFonts w:ascii="Arial" w:hAnsi="Arial"/>
              </w:rPr>
              <w:t>Secretaría de la CMS, OG, ONG, OIG, Partes de la CITES</w:t>
            </w:r>
          </w:p>
        </w:tc>
        <w:tc>
          <w:tcPr>
            <w:tcW w:w="2490" w:type="dxa"/>
            <w:tcBorders>
              <w:top w:val="single" w:sz="2" w:space="0" w:color="000000"/>
              <w:bottom w:val="single" w:sz="4" w:space="0" w:color="auto"/>
            </w:tcBorders>
          </w:tcPr>
          <w:p w14:paraId="2CDCCCA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materiales de formación y se utilizan en las formaciones realizadas para al menos tres RTPC.</w:t>
            </w:r>
          </w:p>
        </w:tc>
        <w:tc>
          <w:tcPr>
            <w:tcW w:w="1250" w:type="dxa"/>
            <w:tcBorders>
              <w:top w:val="single" w:sz="2" w:space="0" w:color="000000"/>
              <w:bottom w:val="single" w:sz="4" w:space="0" w:color="auto"/>
            </w:tcBorders>
          </w:tcPr>
          <w:p w14:paraId="2DA47F8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top w:val="single" w:sz="2" w:space="0" w:color="000000"/>
              <w:bottom w:val="single" w:sz="4" w:space="0" w:color="auto"/>
            </w:tcBorders>
          </w:tcPr>
          <w:p w14:paraId="1ABE56B6"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Meta 20 del GBF, Objetivo 4 del PEEM, </w:t>
            </w:r>
            <w:hyperlink r:id="rId56">
              <w:r w:rsidRPr="00006DF4">
                <w:rPr>
                  <w:rFonts w:ascii="Arial" w:hAnsi="Arial"/>
                  <w:u w:val="single"/>
                </w:rPr>
                <w:t>Comunicado de Asjabad</w:t>
              </w:r>
            </w:hyperlink>
            <w:r w:rsidRPr="00006DF4">
              <w:rPr>
                <w:rFonts w:ascii="Arial" w:hAnsi="Arial"/>
              </w:rPr>
              <w:t xml:space="preserve"> </w:t>
            </w:r>
          </w:p>
        </w:tc>
      </w:tr>
      <w:tr w:rsidR="0050347E" w:rsidRPr="00006DF4" w14:paraId="0B09C948" w14:textId="77777777" w:rsidTr="00006DF4">
        <w:trPr>
          <w:cantSplit/>
        </w:trPr>
        <w:tc>
          <w:tcPr>
            <w:tcW w:w="738" w:type="dxa"/>
            <w:tcBorders>
              <w:bottom w:val="single" w:sz="4" w:space="0" w:color="auto"/>
            </w:tcBorders>
          </w:tcPr>
          <w:p w14:paraId="172CACC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4.4</w:t>
            </w:r>
          </w:p>
        </w:tc>
        <w:tc>
          <w:tcPr>
            <w:tcW w:w="5622" w:type="dxa"/>
            <w:tcBorders>
              <w:bottom w:val="single" w:sz="4" w:space="0" w:color="auto"/>
            </w:tcBorders>
          </w:tcPr>
          <w:p w14:paraId="27ED2B3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Apoyar el reconocimiento de las zonas fronterizas seleccionadas como «otras medidas eficaces de conservación por zonas» (OECM). </w:t>
            </w:r>
          </w:p>
        </w:tc>
        <w:tc>
          <w:tcPr>
            <w:tcW w:w="1939" w:type="dxa"/>
            <w:tcBorders>
              <w:bottom w:val="single" w:sz="4" w:space="0" w:color="auto"/>
            </w:tcBorders>
          </w:tcPr>
          <w:p w14:paraId="509F4CB8" w14:textId="77777777" w:rsidR="0050347E" w:rsidRPr="00006DF4" w:rsidRDefault="0050347E" w:rsidP="00337EFC">
            <w:pPr>
              <w:pStyle w:val="P68B1DB1-Normal51"/>
              <w:spacing w:before="40" w:after="40"/>
              <w:rPr>
                <w:rFonts w:ascii="Arial" w:hAnsi="Arial"/>
              </w:rPr>
            </w:pPr>
            <w:r w:rsidRPr="00006DF4">
              <w:rPr>
                <w:rFonts w:ascii="Arial" w:hAnsi="Arial"/>
              </w:rPr>
              <w:t>OG, ONG, OIG</w:t>
            </w:r>
          </w:p>
        </w:tc>
        <w:tc>
          <w:tcPr>
            <w:tcW w:w="2490" w:type="dxa"/>
            <w:tcBorders>
              <w:bottom w:val="single" w:sz="4" w:space="0" w:color="auto"/>
            </w:tcBorders>
          </w:tcPr>
          <w:p w14:paraId="0A4F1F1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reconocen como OECM al menos dos zonas fronterizas en RTPC por parte de los gobiernos nacionales y se establecen programas de monitoreo; se crean grupos de trabajo para al menos 2 RTPC; el intercambio de información entre organismos se lleva a cabo mediante llamadas y reuniones.</w:t>
            </w:r>
          </w:p>
        </w:tc>
        <w:tc>
          <w:tcPr>
            <w:tcW w:w="1250" w:type="dxa"/>
            <w:tcBorders>
              <w:bottom w:val="single" w:sz="4" w:space="0" w:color="auto"/>
            </w:tcBorders>
          </w:tcPr>
          <w:p w14:paraId="18686C9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bottom w:val="single" w:sz="4" w:space="0" w:color="auto"/>
            </w:tcBorders>
          </w:tcPr>
          <w:p w14:paraId="791A3E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3 del GBF, Objetivo 2 del PEEM, </w:t>
            </w:r>
          </w:p>
          <w:p w14:paraId="7EDFCBA4" w14:textId="77777777" w:rsidR="0050347E" w:rsidRPr="00006DF4" w:rsidRDefault="0050347E" w:rsidP="00337EFC">
            <w:pPr>
              <w:pStyle w:val="P68B1DB1-Normal49"/>
              <w:spacing w:before="40" w:after="40"/>
              <w:rPr>
                <w:rFonts w:ascii="Arial" w:hAnsi="Arial"/>
              </w:rPr>
            </w:pPr>
            <w:hyperlink r:id="rId57" w:history="1">
              <w:r w:rsidRPr="00006DF4">
                <w:rPr>
                  <w:rFonts w:ascii="Arial" w:hAnsi="Arial"/>
                </w:rPr>
                <w:t>Comunicado de Ashgabat</w:t>
              </w:r>
            </w:hyperlink>
          </w:p>
          <w:p w14:paraId="6A9459F9" w14:textId="77777777" w:rsidR="0050347E" w:rsidRPr="00006DF4" w:rsidRDefault="0050347E" w:rsidP="00337EFC">
            <w:pPr>
              <w:spacing w:before="40" w:after="40"/>
              <w:rPr>
                <w:rFonts w:ascii="Arial" w:eastAsia="Aptos" w:hAnsi="Arial" w:cs="Arial"/>
                <w:sz w:val="20"/>
              </w:rPr>
            </w:pPr>
          </w:p>
          <w:p w14:paraId="584C87FD" w14:textId="77777777" w:rsidR="0050347E" w:rsidRPr="00006DF4" w:rsidRDefault="0050347E" w:rsidP="00337EFC">
            <w:pPr>
              <w:spacing w:before="40" w:after="40"/>
              <w:rPr>
                <w:rFonts w:ascii="Arial" w:eastAsia="Aptos" w:hAnsi="Arial" w:cs="Arial"/>
                <w:sz w:val="20"/>
              </w:rPr>
            </w:pPr>
          </w:p>
        </w:tc>
      </w:tr>
      <w:tr w:rsidR="0050347E" w:rsidRPr="00006DF4" w14:paraId="53EA43EF" w14:textId="77777777" w:rsidTr="00006DF4">
        <w:trPr>
          <w:cantSplit/>
        </w:trPr>
        <w:tc>
          <w:tcPr>
            <w:tcW w:w="738" w:type="dxa"/>
            <w:tcBorders>
              <w:bottom w:val="single" w:sz="4" w:space="0" w:color="auto"/>
            </w:tcBorders>
          </w:tcPr>
          <w:p w14:paraId="117B96DE" w14:textId="77777777" w:rsidR="0050347E" w:rsidRPr="00006DF4" w:rsidRDefault="0050347E" w:rsidP="00337EFC">
            <w:pPr>
              <w:pStyle w:val="P68B1DB1-Normal51"/>
              <w:spacing w:before="40" w:after="40"/>
              <w:rPr>
                <w:rFonts w:ascii="Arial" w:hAnsi="Arial"/>
              </w:rPr>
            </w:pPr>
            <w:r w:rsidRPr="00006DF4">
              <w:rPr>
                <w:rFonts w:ascii="Arial" w:hAnsi="Arial"/>
              </w:rPr>
              <w:t>4.5</w:t>
            </w:r>
          </w:p>
        </w:tc>
        <w:tc>
          <w:tcPr>
            <w:tcW w:w="5622" w:type="dxa"/>
            <w:tcBorders>
              <w:bottom w:val="single" w:sz="4" w:space="0" w:color="auto"/>
            </w:tcBorders>
          </w:tcPr>
          <w:p w14:paraId="4D576F9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Actualizar el informe </w:t>
            </w:r>
            <w:hyperlink r:id="rId58" w:history="1">
              <w:r w:rsidRPr="00006DF4">
                <w:rPr>
                  <w:rFonts w:ascii="Arial" w:hAnsi="Arial"/>
                  <w:i/>
                  <w:color w:val="000000" w:themeColor="text1"/>
                  <w:u w:val="single"/>
                  <w:lang w:val="es-ES"/>
                </w:rPr>
                <w:t>Puntos críticos de conservación transfronteriza para la Iniciativa sobre los Mamíferos de Asia Central</w:t>
              </w:r>
            </w:hyperlink>
            <w:r w:rsidRPr="00006DF4">
              <w:rPr>
                <w:rFonts w:ascii="Arial" w:hAnsi="Arial"/>
                <w:color w:val="000000" w:themeColor="text1"/>
                <w:lang w:val="es-ES"/>
              </w:rPr>
              <w:t xml:space="preserve"> </w:t>
            </w:r>
            <w:r w:rsidRPr="00006DF4">
              <w:rPr>
                <w:rFonts w:ascii="Arial" w:hAnsi="Arial"/>
                <w:lang w:val="es-ES"/>
              </w:rPr>
              <w:t xml:space="preserve">para 2028 incluyendo las especies sugeridas por la COP14 de la CMS y, si corresponde, por la COP15 de la CMS, y añadir un mapeo espacial explícito de los desafíos y oportunidades, y presentarlo a los Estados del área de distribución de la CAMI y al Comité Permanente de la CMS para su aprobación. Una vez refrendado, </w:t>
            </w:r>
            <w:r w:rsidRPr="00006DF4">
              <w:rPr>
                <w:rFonts w:ascii="Arial" w:hAnsi="Arial"/>
                <w:color w:val="000000" w:themeColor="text1"/>
                <w:lang w:val="es-ES"/>
              </w:rPr>
              <w:t xml:space="preserve">reflejar los cambios pertinentes en </w:t>
            </w:r>
            <w:r w:rsidRPr="00006DF4">
              <w:rPr>
                <w:rFonts w:ascii="Arial" w:hAnsi="Arial"/>
                <w:lang w:val="es-ES"/>
              </w:rPr>
              <w:t>las actividades para RTPC específicas en este PdT.</w:t>
            </w:r>
          </w:p>
        </w:tc>
        <w:tc>
          <w:tcPr>
            <w:tcW w:w="1939" w:type="dxa"/>
            <w:tcBorders>
              <w:bottom w:val="single" w:sz="4" w:space="0" w:color="auto"/>
            </w:tcBorders>
          </w:tcPr>
          <w:p w14:paraId="2E61668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w:t>
            </w:r>
          </w:p>
        </w:tc>
        <w:tc>
          <w:tcPr>
            <w:tcW w:w="2490" w:type="dxa"/>
            <w:tcBorders>
              <w:bottom w:val="single" w:sz="4" w:space="0" w:color="auto"/>
            </w:tcBorders>
          </w:tcPr>
          <w:p w14:paraId="69A7EF8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En 2028, se publica el informa actualizado. </w:t>
            </w:r>
          </w:p>
          <w:p w14:paraId="6A9C48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Si es necesario, se actualiza el PdT de la CAMI para incluir nuevas especies y actividades para ellas.</w:t>
            </w:r>
          </w:p>
        </w:tc>
        <w:tc>
          <w:tcPr>
            <w:tcW w:w="1250" w:type="dxa"/>
            <w:tcBorders>
              <w:bottom w:val="single" w:sz="4" w:space="0" w:color="auto"/>
            </w:tcBorders>
          </w:tcPr>
          <w:p w14:paraId="08996DB9"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011313C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006DF4" w14:paraId="6A412833" w14:textId="77777777" w:rsidTr="00006DF4">
        <w:trPr>
          <w:cantSplit/>
        </w:trPr>
        <w:tc>
          <w:tcPr>
            <w:tcW w:w="14000" w:type="dxa"/>
            <w:gridSpan w:val="6"/>
            <w:tcBorders>
              <w:top w:val="nil"/>
            </w:tcBorders>
            <w:shd w:val="clear" w:color="auto" w:fill="B3E5A1"/>
            <w:vAlign w:val="center"/>
          </w:tcPr>
          <w:p w14:paraId="43673AA2" w14:textId="77777777" w:rsidR="0050347E" w:rsidRPr="00006DF4" w:rsidRDefault="0050347E" w:rsidP="00337EFC">
            <w:pPr>
              <w:pStyle w:val="P68B1DB1-Normal48"/>
              <w:spacing w:before="40" w:after="40"/>
              <w:rPr>
                <w:rFonts w:ascii="Arial" w:hAnsi="Arial"/>
              </w:rPr>
            </w:pPr>
            <w:r w:rsidRPr="00006DF4">
              <w:rPr>
                <w:rFonts w:ascii="Arial" w:hAnsi="Arial"/>
              </w:rPr>
              <w:t xml:space="preserve">5. Conectividad ecológica </w:t>
            </w:r>
          </w:p>
        </w:tc>
      </w:tr>
      <w:tr w:rsidR="0050347E" w:rsidRPr="00006DF4" w14:paraId="54DB63B1" w14:textId="77777777" w:rsidTr="00006DF4">
        <w:trPr>
          <w:cantSplit/>
        </w:trPr>
        <w:tc>
          <w:tcPr>
            <w:tcW w:w="738" w:type="dxa"/>
          </w:tcPr>
          <w:p w14:paraId="60B01414" w14:textId="77777777" w:rsidR="0050347E" w:rsidRPr="00006DF4" w:rsidRDefault="0050347E" w:rsidP="00337EFC">
            <w:pPr>
              <w:pStyle w:val="P68B1DB1-Normal51"/>
              <w:spacing w:before="40" w:after="40"/>
              <w:rPr>
                <w:rFonts w:ascii="Arial" w:hAnsi="Arial"/>
              </w:rPr>
            </w:pPr>
            <w:r w:rsidRPr="00006DF4">
              <w:rPr>
                <w:rFonts w:ascii="Arial" w:hAnsi="Arial"/>
              </w:rPr>
              <w:t>5.1</w:t>
            </w:r>
          </w:p>
        </w:tc>
        <w:tc>
          <w:tcPr>
            <w:tcW w:w="5622" w:type="dxa"/>
          </w:tcPr>
          <w:p w14:paraId="5DFF1E2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Monitorear con frecuencia (cada 6 meses) los planes de desarrollo de infraestructuras que puedan afectar a las especies incluidas en la lista de la CMS y valorar la posibilidad de solicitar orientación a la Secretaría de la CMS antes del proceso de aprobación, si es necesario. </w:t>
            </w:r>
          </w:p>
        </w:tc>
        <w:tc>
          <w:tcPr>
            <w:tcW w:w="1939" w:type="dxa"/>
          </w:tcPr>
          <w:p w14:paraId="1F34A4A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Partes de la CMS y Puntos Focales de los Estados del área de distribución de la CAMI, ONG</w:t>
            </w:r>
          </w:p>
        </w:tc>
        <w:tc>
          <w:tcPr>
            <w:tcW w:w="2490" w:type="dxa"/>
          </w:tcPr>
          <w:p w14:paraId="419E208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presenta la información a la Secretaría de la CMS antes de que se apruebe el proyecto.</w:t>
            </w:r>
          </w:p>
        </w:tc>
        <w:tc>
          <w:tcPr>
            <w:tcW w:w="1250" w:type="dxa"/>
          </w:tcPr>
          <w:p w14:paraId="6A5347F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7FCB5E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20 y 23 del GBF, Objetivos 2 y 4 del PEEM</w:t>
            </w:r>
          </w:p>
        </w:tc>
      </w:tr>
      <w:tr w:rsidR="0050347E" w:rsidRPr="00006DF4" w14:paraId="78C76EFE" w14:textId="77777777" w:rsidTr="00006DF4">
        <w:trPr>
          <w:cantSplit/>
        </w:trPr>
        <w:tc>
          <w:tcPr>
            <w:tcW w:w="738" w:type="dxa"/>
          </w:tcPr>
          <w:p w14:paraId="7F8C520B"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5.2</w:t>
            </w:r>
          </w:p>
        </w:tc>
        <w:tc>
          <w:tcPr>
            <w:tcW w:w="5622" w:type="dxa"/>
          </w:tcPr>
          <w:p w14:paraId="45345A8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Celebrar reuniones en línea para facilitar el debate de los problemas indicados en 5.1 e identificar soluciones que involucren a desarrolladores y planificadores de infraestructuras, la Alianza Mundial sobre Conectividad Ecológica de la CMS, los Puntos Focales de Especies (PFE) de la CAMI y los Puntos Focales Nacionales (PFN) de los Estados del área de distribución de la CAMI. </w:t>
            </w:r>
          </w:p>
        </w:tc>
        <w:tc>
          <w:tcPr>
            <w:tcW w:w="1939" w:type="dxa"/>
          </w:tcPr>
          <w:p w14:paraId="04826BB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PFE, PFN, otras OG relevantes, ONG, instituciones científicas</w:t>
            </w:r>
          </w:p>
        </w:tc>
        <w:tc>
          <w:tcPr>
            <w:tcW w:w="2490" w:type="dxa"/>
          </w:tcPr>
          <w:p w14:paraId="1A6B814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al menos una reunión en línea y se elaboran protocolos. </w:t>
            </w:r>
          </w:p>
        </w:tc>
        <w:tc>
          <w:tcPr>
            <w:tcW w:w="1250" w:type="dxa"/>
          </w:tcPr>
          <w:p w14:paraId="294A8DC8"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C2DEC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20 y 23 del GBF, Objetivos 2 y 4 del PEEM</w:t>
            </w:r>
          </w:p>
        </w:tc>
      </w:tr>
      <w:tr w:rsidR="0050347E" w:rsidRPr="00006DF4" w14:paraId="0FE10537" w14:textId="77777777" w:rsidTr="00006DF4">
        <w:trPr>
          <w:cantSplit/>
        </w:trPr>
        <w:tc>
          <w:tcPr>
            <w:tcW w:w="738" w:type="dxa"/>
          </w:tcPr>
          <w:p w14:paraId="15FA0667" w14:textId="77777777" w:rsidR="0050347E" w:rsidRPr="00006DF4" w:rsidRDefault="0050347E" w:rsidP="00337EFC">
            <w:pPr>
              <w:pStyle w:val="P68B1DB1-Normal51"/>
              <w:spacing w:before="40" w:after="40"/>
              <w:rPr>
                <w:rFonts w:ascii="Arial" w:hAnsi="Arial"/>
              </w:rPr>
            </w:pPr>
            <w:r w:rsidRPr="00006DF4">
              <w:rPr>
                <w:rFonts w:ascii="Arial" w:hAnsi="Arial"/>
              </w:rPr>
              <w:t>5.3</w:t>
            </w:r>
          </w:p>
        </w:tc>
        <w:tc>
          <w:tcPr>
            <w:tcW w:w="5622" w:type="dxa"/>
          </w:tcPr>
          <w:p w14:paraId="33D4684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Recopilar la información disponible, en cooperación con los socios, sobre las soluciones de mitigación para abordar los impactos de las infraestructuras en las especies incluidas en la CMS, teniendo en cuenta los requisitos específicos de las especies, los paisajes y los tipos de barreras en la región de la CAMI, y las lecciones extraídas; e identificar aquellas especies que necesitan un mayor análisis/investigación.</w:t>
            </w:r>
          </w:p>
        </w:tc>
        <w:tc>
          <w:tcPr>
            <w:tcW w:w="1939" w:type="dxa"/>
          </w:tcPr>
          <w:p w14:paraId="76B10A8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 instituciones científicas</w:t>
            </w:r>
          </w:p>
        </w:tc>
        <w:tc>
          <w:tcPr>
            <w:tcW w:w="2490" w:type="dxa"/>
          </w:tcPr>
          <w:p w14:paraId="00ED2F9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Informe que detalla las medidas de mitigación disponibles para varios tipos de infraestructura lineal y especies, su efectividad y las lecciones extraídas, así como las especies y soluciones que requieren más investigación. </w:t>
            </w:r>
          </w:p>
        </w:tc>
        <w:tc>
          <w:tcPr>
            <w:tcW w:w="1250" w:type="dxa"/>
          </w:tcPr>
          <w:p w14:paraId="2646776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85FD7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20 y 23 del GBF, Objetivos 2 y 4 del PEEM</w:t>
            </w:r>
          </w:p>
        </w:tc>
      </w:tr>
      <w:tr w:rsidR="0050347E" w:rsidRPr="00006DF4" w14:paraId="190F06D9" w14:textId="77777777" w:rsidTr="00006DF4">
        <w:trPr>
          <w:cantSplit/>
        </w:trPr>
        <w:tc>
          <w:tcPr>
            <w:tcW w:w="738" w:type="dxa"/>
          </w:tcPr>
          <w:p w14:paraId="4691BB43" w14:textId="77777777" w:rsidR="0050347E" w:rsidRPr="00006DF4" w:rsidRDefault="0050347E" w:rsidP="00337EFC">
            <w:pPr>
              <w:pStyle w:val="P68B1DB1-Normal51"/>
              <w:spacing w:before="40" w:after="40"/>
              <w:rPr>
                <w:rFonts w:ascii="Arial" w:hAnsi="Arial"/>
              </w:rPr>
            </w:pPr>
            <w:r w:rsidRPr="00006DF4">
              <w:rPr>
                <w:rFonts w:ascii="Arial" w:hAnsi="Arial"/>
              </w:rPr>
              <w:t>5.4</w:t>
            </w:r>
          </w:p>
        </w:tc>
        <w:tc>
          <w:tcPr>
            <w:tcW w:w="5622" w:type="dxa"/>
          </w:tcPr>
          <w:p w14:paraId="5FC9E09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Estudiar opciones para integrar el «Atlas de la CAMI» en la Herramienta de Evaluación Integrada de la Biodiversidad (</w:t>
            </w:r>
            <w:hyperlink r:id="rId59">
              <w:r w:rsidRPr="00006DF4">
                <w:rPr>
                  <w:rFonts w:ascii="Arial" w:hAnsi="Arial"/>
                  <w:u w:val="single"/>
                  <w:lang w:val="es-ES"/>
                </w:rPr>
                <w:t>IBAT</w:t>
              </w:r>
            </w:hyperlink>
            <w:r w:rsidRPr="00006DF4">
              <w:rPr>
                <w:rFonts w:ascii="Arial" w:hAnsi="Arial"/>
                <w:lang w:val="es-ES"/>
              </w:rPr>
              <w:t>) y en los sistemas y portales nacionales de cartografía (por ejemplo, Tabigat en Kazajistán)</w:t>
            </w:r>
          </w:p>
        </w:tc>
        <w:tc>
          <w:tcPr>
            <w:tcW w:w="1939" w:type="dxa"/>
          </w:tcPr>
          <w:p w14:paraId="5EB9E63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OG</w:t>
            </w:r>
          </w:p>
        </w:tc>
        <w:tc>
          <w:tcPr>
            <w:tcW w:w="2490" w:type="dxa"/>
          </w:tcPr>
          <w:p w14:paraId="1CC25C6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integra el «Atlas de la CAMI» en la IBAT y en otros sistemas.</w:t>
            </w:r>
          </w:p>
        </w:tc>
        <w:tc>
          <w:tcPr>
            <w:tcW w:w="1250" w:type="dxa"/>
          </w:tcPr>
          <w:p w14:paraId="67605FCB"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7747D0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006DF4" w14:paraId="3556005F" w14:textId="77777777" w:rsidTr="00006DF4">
        <w:trPr>
          <w:cantSplit/>
        </w:trPr>
        <w:tc>
          <w:tcPr>
            <w:tcW w:w="738" w:type="dxa"/>
          </w:tcPr>
          <w:p w14:paraId="70866375" w14:textId="77777777" w:rsidR="0050347E" w:rsidRPr="00006DF4" w:rsidRDefault="0050347E" w:rsidP="00337EFC">
            <w:pPr>
              <w:pStyle w:val="P68B1DB1-Normal51"/>
              <w:spacing w:before="40" w:after="40"/>
              <w:rPr>
                <w:rFonts w:ascii="Arial" w:hAnsi="Arial"/>
              </w:rPr>
            </w:pPr>
            <w:r w:rsidRPr="00006DF4">
              <w:rPr>
                <w:rFonts w:ascii="Arial" w:hAnsi="Arial"/>
              </w:rPr>
              <w:t>5.5</w:t>
            </w:r>
          </w:p>
        </w:tc>
        <w:tc>
          <w:tcPr>
            <w:tcW w:w="5622" w:type="dxa"/>
          </w:tcPr>
          <w:p w14:paraId="6EA27B4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talleres de desarrollo de capacidades sobre la mitigación de los impactos de las infraestructuras, incorporando las herramientas de la CMS y otras herramientas disponibles, como atlas y directrices. </w:t>
            </w:r>
          </w:p>
        </w:tc>
        <w:tc>
          <w:tcPr>
            <w:tcW w:w="1939" w:type="dxa"/>
          </w:tcPr>
          <w:p w14:paraId="6A607C0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Secretaría de la CMS, OG, ONG, instituciones científicas </w:t>
            </w:r>
          </w:p>
        </w:tc>
        <w:tc>
          <w:tcPr>
            <w:tcW w:w="2490" w:type="dxa"/>
          </w:tcPr>
          <w:p w14:paraId="12840B8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al menos un taller para la región en cuestión en el que participan los actores pertinentes, incluidos los planificadores de infraestructuras y los financiadores. </w:t>
            </w:r>
          </w:p>
        </w:tc>
        <w:tc>
          <w:tcPr>
            <w:tcW w:w="1250" w:type="dxa"/>
          </w:tcPr>
          <w:p w14:paraId="6EBA860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4B52B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20 y 23 del GBF, Objetivos 2 y 4 del PEEM </w:t>
            </w:r>
          </w:p>
        </w:tc>
      </w:tr>
      <w:tr w:rsidR="0050347E" w:rsidRPr="00006DF4" w14:paraId="0C3BE701" w14:textId="77777777" w:rsidTr="00006DF4">
        <w:trPr>
          <w:cantSplit/>
        </w:trPr>
        <w:tc>
          <w:tcPr>
            <w:tcW w:w="738" w:type="dxa"/>
          </w:tcPr>
          <w:p w14:paraId="3F58FF0C" w14:textId="77777777" w:rsidR="0050347E" w:rsidRPr="00006DF4" w:rsidRDefault="0050347E" w:rsidP="00337EFC">
            <w:pPr>
              <w:pStyle w:val="P68B1DB1-Normal51"/>
              <w:spacing w:before="40" w:after="40"/>
              <w:rPr>
                <w:rFonts w:ascii="Arial" w:hAnsi="Arial"/>
              </w:rPr>
            </w:pPr>
            <w:r w:rsidRPr="00006DF4">
              <w:rPr>
                <w:rFonts w:ascii="Arial" w:hAnsi="Arial"/>
              </w:rPr>
              <w:t>5.6</w:t>
            </w:r>
          </w:p>
        </w:tc>
        <w:tc>
          <w:tcPr>
            <w:tcW w:w="5622" w:type="dxa"/>
          </w:tcPr>
          <w:p w14:paraId="543D549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Planificar y crear zonas protegidas, OMCE y corredores ecológicos para garantizar la conectividad ecológica de las especies de la CAMI y facilitar la conservación de zonas y redes más grandes de sus hábitats (véase la Actividad 6.2). </w:t>
            </w:r>
          </w:p>
        </w:tc>
        <w:tc>
          <w:tcPr>
            <w:tcW w:w="1939" w:type="dxa"/>
          </w:tcPr>
          <w:p w14:paraId="4FE2E78A"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4ED98C4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amplía el número de zonas protegidas y se establecen OECM y corredores ecológicos entre zonas protegidas. </w:t>
            </w:r>
          </w:p>
        </w:tc>
        <w:tc>
          <w:tcPr>
            <w:tcW w:w="1250" w:type="dxa"/>
          </w:tcPr>
          <w:p w14:paraId="0AE8206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630766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y 3 del GBF, Objetivo 2 del PEEM</w:t>
            </w:r>
          </w:p>
        </w:tc>
      </w:tr>
      <w:tr w:rsidR="0050347E" w:rsidRPr="00006DF4" w14:paraId="5F0A4E79" w14:textId="77777777" w:rsidTr="00006DF4">
        <w:trPr>
          <w:cantSplit/>
        </w:trPr>
        <w:tc>
          <w:tcPr>
            <w:tcW w:w="738" w:type="dxa"/>
          </w:tcPr>
          <w:p w14:paraId="7119B5B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5.7</w:t>
            </w:r>
          </w:p>
        </w:tc>
        <w:tc>
          <w:tcPr>
            <w:tcW w:w="5622" w:type="dxa"/>
          </w:tcPr>
          <w:p w14:paraId="025C97E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Identificar e implementar medidas adecuadas para mitigar los efectos negativos de las estructuras fronterizas en el movimiento de las especies de la CAMI, siempre que sea posible.</w:t>
            </w:r>
          </w:p>
        </w:tc>
        <w:tc>
          <w:tcPr>
            <w:tcW w:w="1939" w:type="dxa"/>
          </w:tcPr>
          <w:p w14:paraId="353C46C5"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6473C2D7" w14:textId="77777777" w:rsidR="0050347E" w:rsidRPr="00006DF4" w:rsidRDefault="0050347E" w:rsidP="00337EFC">
            <w:pPr>
              <w:pStyle w:val="P68B1DB1-Normal51"/>
              <w:spacing w:before="40" w:after="40"/>
              <w:rPr>
                <w:rFonts w:ascii="Arial" w:hAnsi="Arial"/>
                <w:lang w:val="es-ES"/>
              </w:rPr>
            </w:pPr>
            <w:r w:rsidRPr="00006DF4">
              <w:rPr>
                <w:rFonts w:ascii="Arial" w:hAnsi="Arial"/>
                <w:color w:val="000000" w:themeColor="text1"/>
                <w:lang w:val="es-ES"/>
              </w:rPr>
              <w:t>Informe sobre dichas medidas en el marco de los informes nacionales</w:t>
            </w:r>
            <w:r w:rsidRPr="00006DF4">
              <w:rPr>
                <w:rFonts w:ascii="Arial" w:hAnsi="Arial"/>
                <w:lang w:val="es-ES"/>
              </w:rPr>
              <w:t xml:space="preserve"> sobre la implementación de la CAMI y la CMS.</w:t>
            </w:r>
          </w:p>
        </w:tc>
        <w:tc>
          <w:tcPr>
            <w:tcW w:w="1250" w:type="dxa"/>
          </w:tcPr>
          <w:p w14:paraId="4806A9B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42A8C13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 y 3 del GBF, Objetivo 2 del PEEM</w:t>
            </w:r>
          </w:p>
        </w:tc>
      </w:tr>
      <w:tr w:rsidR="0050347E" w:rsidRPr="00006DF4" w14:paraId="367C8286" w14:textId="77777777" w:rsidTr="00006DF4">
        <w:trPr>
          <w:cantSplit/>
        </w:trPr>
        <w:tc>
          <w:tcPr>
            <w:tcW w:w="738" w:type="dxa"/>
          </w:tcPr>
          <w:p w14:paraId="297167D4" w14:textId="77777777" w:rsidR="0050347E" w:rsidRPr="00006DF4" w:rsidRDefault="0050347E" w:rsidP="00337EFC">
            <w:pPr>
              <w:pStyle w:val="P68B1DB1-Normal51"/>
              <w:spacing w:before="40" w:after="40"/>
              <w:rPr>
                <w:rFonts w:ascii="Arial" w:hAnsi="Arial"/>
              </w:rPr>
            </w:pPr>
            <w:r w:rsidRPr="00006DF4">
              <w:rPr>
                <w:rFonts w:ascii="Arial" w:hAnsi="Arial"/>
              </w:rPr>
              <w:t>5.8</w:t>
            </w:r>
          </w:p>
        </w:tc>
        <w:tc>
          <w:tcPr>
            <w:tcW w:w="5622" w:type="dxa"/>
          </w:tcPr>
          <w:p w14:paraId="7EA8EAC2" w14:textId="77777777" w:rsidR="0050347E" w:rsidRPr="00006DF4" w:rsidRDefault="0050347E" w:rsidP="00337EFC">
            <w:pPr>
              <w:pStyle w:val="P68B1DB1-Normal51"/>
              <w:spacing w:before="40" w:after="40"/>
              <w:jc w:val="both"/>
              <w:rPr>
                <w:rFonts w:ascii="Arial" w:hAnsi="Arial"/>
              </w:rPr>
            </w:pPr>
            <w:r w:rsidRPr="00006DF4">
              <w:rPr>
                <w:rFonts w:ascii="Arial" w:hAnsi="Arial"/>
                <w:lang w:val="es-ES"/>
              </w:rPr>
              <w:t xml:space="preserve">Actualizar el </w:t>
            </w:r>
            <w:r w:rsidRPr="00006DF4">
              <w:rPr>
                <w:rFonts w:ascii="Arial" w:hAnsi="Arial"/>
                <w:i/>
                <w:lang w:val="es-ES"/>
              </w:rPr>
              <w:t>«Atlas de migración de mamíferos de Asia Central e infraestructuras lineales»</w:t>
            </w:r>
            <w:r w:rsidRPr="00006DF4">
              <w:rPr>
                <w:rFonts w:ascii="Arial" w:hAnsi="Arial"/>
                <w:lang w:val="es-ES"/>
              </w:rPr>
              <w:t xml:space="preserve"> para 2032, incluyendo nueva información sobre los cambios en las infraestructuras y en la distribución de las especies, si es posible, en sintonía con los estándares y procesos de mapeo de la Lista Roja de la UICN, en cooperación con la Iniciativa Mundial sobre la Migración de Ungulados </w:t>
            </w:r>
            <w:r w:rsidRPr="00006DF4">
              <w:rPr>
                <w:rFonts w:ascii="Arial" w:hAnsi="Arial"/>
                <w:color w:val="000000" w:themeColor="text1"/>
                <w:lang w:val="es-ES"/>
              </w:rPr>
              <w:t>(GIUM)</w:t>
            </w:r>
            <w:r w:rsidRPr="00006DF4">
              <w:rPr>
                <w:rFonts w:ascii="Arial" w:hAnsi="Arial"/>
                <w:lang w:val="es-ES"/>
              </w:rPr>
              <w:t xml:space="preserve">, y utilizando datos obtenidos por investigadores internacionales y nacionales. </w:t>
            </w:r>
            <w:r w:rsidRPr="00006DF4">
              <w:rPr>
                <w:rFonts w:ascii="Arial" w:hAnsi="Arial"/>
              </w:rPr>
              <w:t>(Incluir el resultado de la Actividad 10.8).</w:t>
            </w:r>
          </w:p>
        </w:tc>
        <w:tc>
          <w:tcPr>
            <w:tcW w:w="1939" w:type="dxa"/>
          </w:tcPr>
          <w:p w14:paraId="3142FDE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instituciones científicas, ONG</w:t>
            </w:r>
          </w:p>
        </w:tc>
        <w:tc>
          <w:tcPr>
            <w:tcW w:w="2490" w:type="dxa"/>
          </w:tcPr>
          <w:p w14:paraId="7213504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El Atlas se actualiza antes de 2032.</w:t>
            </w:r>
          </w:p>
        </w:tc>
        <w:tc>
          <w:tcPr>
            <w:tcW w:w="1250" w:type="dxa"/>
          </w:tcPr>
          <w:p w14:paraId="69FB6099"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6BB5BF6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y 2 del GBF, Objetivo 2 del PEEM</w:t>
            </w:r>
          </w:p>
        </w:tc>
      </w:tr>
      <w:tr w:rsidR="0050347E" w:rsidRPr="00006DF4" w14:paraId="08F3E157" w14:textId="77777777" w:rsidTr="00006DF4">
        <w:trPr>
          <w:cantSplit/>
        </w:trPr>
        <w:tc>
          <w:tcPr>
            <w:tcW w:w="14000" w:type="dxa"/>
            <w:gridSpan w:val="6"/>
            <w:shd w:val="clear" w:color="auto" w:fill="B3E5A1"/>
          </w:tcPr>
          <w:p w14:paraId="61A819D5" w14:textId="77777777" w:rsidR="0050347E" w:rsidRPr="00006DF4" w:rsidRDefault="0050347E" w:rsidP="00337EFC">
            <w:pPr>
              <w:pStyle w:val="P68B1DB1-Normal48"/>
              <w:spacing w:before="40" w:after="40"/>
              <w:jc w:val="both"/>
              <w:rPr>
                <w:rFonts w:ascii="Arial" w:hAnsi="Arial"/>
              </w:rPr>
            </w:pPr>
            <w:r w:rsidRPr="00006DF4">
              <w:rPr>
                <w:rFonts w:ascii="Arial" w:hAnsi="Arial"/>
              </w:rPr>
              <w:t xml:space="preserve">6. Zonas protegidas y conservadas </w:t>
            </w:r>
          </w:p>
        </w:tc>
      </w:tr>
      <w:tr w:rsidR="0050347E" w:rsidRPr="00006DF4" w14:paraId="451987B2" w14:textId="77777777" w:rsidTr="00006DF4">
        <w:trPr>
          <w:cantSplit/>
        </w:trPr>
        <w:tc>
          <w:tcPr>
            <w:tcW w:w="738" w:type="dxa"/>
          </w:tcPr>
          <w:p w14:paraId="0F187BBC" w14:textId="77777777" w:rsidR="0050347E" w:rsidRPr="00006DF4" w:rsidRDefault="0050347E" w:rsidP="00337EFC">
            <w:pPr>
              <w:pStyle w:val="P68B1DB1-Normal51"/>
              <w:spacing w:before="40" w:after="40"/>
              <w:rPr>
                <w:rFonts w:ascii="Arial" w:hAnsi="Arial"/>
              </w:rPr>
            </w:pPr>
            <w:r w:rsidRPr="00006DF4">
              <w:rPr>
                <w:rFonts w:ascii="Arial" w:hAnsi="Arial"/>
              </w:rPr>
              <w:t>6.1</w:t>
            </w:r>
          </w:p>
        </w:tc>
        <w:tc>
          <w:tcPr>
            <w:tcW w:w="5622" w:type="dxa"/>
          </w:tcPr>
          <w:p w14:paraId="394F8675" w14:textId="77777777" w:rsidR="0050347E" w:rsidRPr="00006DF4" w:rsidRDefault="0050347E" w:rsidP="00337EFC">
            <w:pPr>
              <w:pStyle w:val="P68B1DB1-Normal51"/>
              <w:spacing w:before="40" w:after="40"/>
              <w:jc w:val="both"/>
              <w:rPr>
                <w:rFonts w:ascii="Arial" w:hAnsi="Arial"/>
                <w:highlight w:val="yellow"/>
                <w:lang w:val="es-ES"/>
              </w:rPr>
            </w:pPr>
            <w:r w:rsidRPr="00006DF4">
              <w:rPr>
                <w:rFonts w:ascii="Arial" w:hAnsi="Arial"/>
                <w:lang w:val="es-ES"/>
              </w:rPr>
              <w:t>Aplicar las diversas directrices de la UICN para promover las mejores prácticas relacionadas con la identificación, los informes, el monitoreo y el fortalecimiento de las OECM en apoyo de la Meta 3 del GBF.</w:t>
            </w:r>
          </w:p>
        </w:tc>
        <w:tc>
          <w:tcPr>
            <w:tcW w:w="1939" w:type="dxa"/>
          </w:tcPr>
          <w:p w14:paraId="3AE601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OG, Comisión Mundial de Áreas Protegidas de la UICN (CMAP)</w:t>
            </w:r>
          </w:p>
        </w:tc>
        <w:tc>
          <w:tcPr>
            <w:tcW w:w="2490" w:type="dxa"/>
          </w:tcPr>
          <w:p w14:paraId="24E5EA79" w14:textId="77777777" w:rsidR="0050347E" w:rsidRPr="00006DF4" w:rsidRDefault="0050347E" w:rsidP="00337EFC">
            <w:pPr>
              <w:pStyle w:val="P68B1DB1-Normal51"/>
              <w:spacing w:before="40" w:after="40"/>
              <w:rPr>
                <w:rFonts w:ascii="Arial" w:hAnsi="Arial"/>
              </w:rPr>
            </w:pPr>
            <w:r w:rsidRPr="00006DF4">
              <w:rPr>
                <w:rFonts w:ascii="Arial" w:hAnsi="Arial"/>
              </w:rPr>
              <w:t>Taller sobre OECM.</w:t>
            </w:r>
          </w:p>
        </w:tc>
        <w:tc>
          <w:tcPr>
            <w:tcW w:w="1250" w:type="dxa"/>
          </w:tcPr>
          <w:p w14:paraId="2360EEF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8BC26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02901287" w14:textId="77777777" w:rsidTr="00006DF4">
        <w:trPr>
          <w:cantSplit/>
        </w:trPr>
        <w:tc>
          <w:tcPr>
            <w:tcW w:w="738" w:type="dxa"/>
          </w:tcPr>
          <w:p w14:paraId="7F77886F" w14:textId="77777777" w:rsidR="0050347E" w:rsidRPr="00006DF4" w:rsidRDefault="0050347E" w:rsidP="00337EFC">
            <w:pPr>
              <w:pStyle w:val="P68B1DB1-Normal51"/>
              <w:spacing w:before="40" w:after="40"/>
              <w:rPr>
                <w:rFonts w:ascii="Arial" w:hAnsi="Arial"/>
              </w:rPr>
            </w:pPr>
            <w:r w:rsidRPr="00006DF4">
              <w:rPr>
                <w:rFonts w:ascii="Arial" w:hAnsi="Arial"/>
              </w:rPr>
              <w:t>6.2</w:t>
            </w:r>
          </w:p>
        </w:tc>
        <w:tc>
          <w:tcPr>
            <w:tcW w:w="5622" w:type="dxa"/>
          </w:tcPr>
          <w:p w14:paraId="27BA032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Apoyar a los Estados del área de distribución de la CAMI en sus esfuerzos por alcanzar la Meta 3 «30 x 30» del GBF y garantizar que la red de zonas protegidas y conservadas sea relevante para el área de distribución y los movimientos actuales de las especies de la CAMI y armonizar los sistemas de conservación en estos territorios con las necesidades de conservación de las especies de la CAMI.</w:t>
            </w:r>
          </w:p>
        </w:tc>
        <w:tc>
          <w:tcPr>
            <w:tcW w:w="1939" w:type="dxa"/>
          </w:tcPr>
          <w:p w14:paraId="2618FB77" w14:textId="77777777" w:rsidR="0050347E" w:rsidRPr="00006DF4" w:rsidRDefault="0050347E" w:rsidP="00337EFC">
            <w:pPr>
              <w:pStyle w:val="P68B1DB1-Normal51"/>
              <w:spacing w:before="40" w:after="40"/>
              <w:rPr>
                <w:rFonts w:ascii="Arial" w:hAnsi="Arial"/>
              </w:rPr>
            </w:pPr>
            <w:r w:rsidRPr="00006DF4">
              <w:rPr>
                <w:rFonts w:ascii="Arial" w:hAnsi="Arial"/>
              </w:rPr>
              <w:t>OG, ONG, CMAP de la UICN</w:t>
            </w:r>
          </w:p>
        </w:tc>
        <w:tc>
          <w:tcPr>
            <w:tcW w:w="2490" w:type="dxa"/>
          </w:tcPr>
          <w:p w14:paraId="2773D275" w14:textId="77777777" w:rsidR="0050347E" w:rsidRPr="00006DF4" w:rsidRDefault="0050347E" w:rsidP="00337EFC">
            <w:pPr>
              <w:pStyle w:val="P68B1DB1-Normal51"/>
              <w:spacing w:before="40" w:after="40"/>
              <w:rPr>
                <w:rFonts w:ascii="Arial" w:hAnsi="Arial"/>
              </w:rPr>
            </w:pPr>
            <w:r w:rsidRPr="00006DF4">
              <w:rPr>
                <w:rFonts w:ascii="Arial" w:hAnsi="Arial"/>
                <w:lang w:val="es-ES"/>
              </w:rPr>
              <w:t xml:space="preserve">Reuniones/comunicaciones, informes de progreso para las Secretarías del CDB y la CMS. </w:t>
            </w:r>
            <w:r w:rsidRPr="00006DF4">
              <w:rPr>
                <w:rFonts w:ascii="Arial" w:hAnsi="Arial"/>
              </w:rPr>
              <w:t xml:space="preserve">Lista Verde de la UICN. </w:t>
            </w:r>
          </w:p>
        </w:tc>
        <w:tc>
          <w:tcPr>
            <w:tcW w:w="1250" w:type="dxa"/>
          </w:tcPr>
          <w:p w14:paraId="215D9E4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F8D15F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3 del GBF, Objetivo 2 del PEEM, Decisión n.º 11 del Consejo de Jefes de Estado de la Organización de Cooperación de Shanghái (4 de julio de 2024) </w:t>
            </w:r>
          </w:p>
        </w:tc>
      </w:tr>
      <w:tr w:rsidR="0050347E" w:rsidRPr="00006DF4" w14:paraId="766FD88C" w14:textId="77777777" w:rsidTr="00006DF4">
        <w:trPr>
          <w:cantSplit/>
        </w:trPr>
        <w:tc>
          <w:tcPr>
            <w:tcW w:w="738" w:type="dxa"/>
          </w:tcPr>
          <w:p w14:paraId="6C237332"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6.3</w:t>
            </w:r>
          </w:p>
        </w:tc>
        <w:tc>
          <w:tcPr>
            <w:tcW w:w="5622" w:type="dxa"/>
          </w:tcPr>
          <w:p w14:paraId="2707412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en qué medida los planes de gestión de las zonas protegidas y conservadas integran las cuestiones sobre el cambio climático, incluidas las medidas de adaptación (por ejemplo, la protección de las fuentes de agua para la fauna y flora silvestres, la ampliación de las zonas protegidas y conservadas) y en qué medida se implementan.</w:t>
            </w:r>
          </w:p>
        </w:tc>
        <w:tc>
          <w:tcPr>
            <w:tcW w:w="1939" w:type="dxa"/>
          </w:tcPr>
          <w:p w14:paraId="5C5C1710"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3EDB81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elabora un informe sobre los retos relacionados con el cambio climático identificados y las medidas implementadas.</w:t>
            </w:r>
          </w:p>
        </w:tc>
        <w:tc>
          <w:tcPr>
            <w:tcW w:w="1250" w:type="dxa"/>
          </w:tcPr>
          <w:p w14:paraId="61BC7783"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1641D40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37657BD8" w14:textId="77777777" w:rsidTr="00006DF4">
        <w:trPr>
          <w:cantSplit/>
        </w:trPr>
        <w:tc>
          <w:tcPr>
            <w:tcW w:w="14000" w:type="dxa"/>
            <w:gridSpan w:val="6"/>
            <w:shd w:val="clear" w:color="auto" w:fill="B3E5A1"/>
          </w:tcPr>
          <w:p w14:paraId="3BD3620E"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t xml:space="preserve">7. Caza, posesión y comercio ilegales </w:t>
            </w:r>
          </w:p>
        </w:tc>
      </w:tr>
      <w:tr w:rsidR="0050347E" w:rsidRPr="00006DF4" w14:paraId="7278B391" w14:textId="77777777" w:rsidTr="00006DF4">
        <w:trPr>
          <w:cantSplit/>
        </w:trPr>
        <w:tc>
          <w:tcPr>
            <w:tcW w:w="738" w:type="dxa"/>
          </w:tcPr>
          <w:p w14:paraId="4B4CCF41" w14:textId="77777777" w:rsidR="0050347E" w:rsidRPr="00006DF4" w:rsidRDefault="0050347E" w:rsidP="00337EFC">
            <w:pPr>
              <w:pStyle w:val="P68B1DB1-Normal51"/>
              <w:spacing w:before="40" w:after="40"/>
              <w:rPr>
                <w:rFonts w:ascii="Arial" w:hAnsi="Arial"/>
              </w:rPr>
            </w:pPr>
            <w:r w:rsidRPr="00006DF4">
              <w:rPr>
                <w:rFonts w:ascii="Arial" w:hAnsi="Arial"/>
              </w:rPr>
              <w:t>7.1</w:t>
            </w:r>
          </w:p>
        </w:tc>
        <w:tc>
          <w:tcPr>
            <w:tcW w:w="5622" w:type="dxa"/>
          </w:tcPr>
          <w:p w14:paraId="5CB7DCE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En colaboración con la Iniciativa Mundial sobre la Captura Ilegal e Insostenible de Especies de la CMS, se deben identificar las prioridades para mejorar la capacidad de las Partes para monitorear y hacer cumplir la legislación y las regulaciones nacionales y otras medidas relacionadas con la captura ilegal de especies de la CAMI.</w:t>
            </w:r>
          </w:p>
        </w:tc>
        <w:tc>
          <w:tcPr>
            <w:tcW w:w="1939" w:type="dxa"/>
          </w:tcPr>
          <w:p w14:paraId="14A1B60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Secretaría de la CITES, OG, instituciones científicas, ONG</w:t>
            </w:r>
          </w:p>
        </w:tc>
        <w:tc>
          <w:tcPr>
            <w:tcW w:w="2490" w:type="dxa"/>
          </w:tcPr>
          <w:p w14:paraId="1ACFE70F" w14:textId="77777777" w:rsidR="0050347E" w:rsidRPr="00006DF4" w:rsidRDefault="0050347E" w:rsidP="00337EFC">
            <w:pPr>
              <w:pStyle w:val="P68B1DB1-Normal51"/>
              <w:spacing w:before="40" w:after="40"/>
              <w:rPr>
                <w:rFonts w:ascii="Arial" w:hAnsi="Arial"/>
              </w:rPr>
            </w:pPr>
            <w:r w:rsidRPr="00006DF4">
              <w:rPr>
                <w:rFonts w:ascii="Arial" w:hAnsi="Arial"/>
              </w:rPr>
              <w:t xml:space="preserve">Informe y recomendaciones para 2027. </w:t>
            </w:r>
          </w:p>
        </w:tc>
        <w:tc>
          <w:tcPr>
            <w:tcW w:w="1250" w:type="dxa"/>
          </w:tcPr>
          <w:p w14:paraId="34DFE1B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BE4382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p w14:paraId="4D4BDD61" w14:textId="77777777" w:rsidR="0050347E" w:rsidRPr="00006DF4" w:rsidRDefault="0050347E" w:rsidP="00337EFC">
            <w:pPr>
              <w:spacing w:before="40" w:after="40"/>
              <w:rPr>
                <w:rFonts w:ascii="Arial" w:eastAsia="Aptos" w:hAnsi="Arial" w:cs="Arial"/>
                <w:sz w:val="20"/>
                <w:lang w:val="es-ES"/>
              </w:rPr>
            </w:pPr>
          </w:p>
        </w:tc>
      </w:tr>
      <w:tr w:rsidR="0050347E" w:rsidRPr="00006DF4" w14:paraId="1BDCA02D" w14:textId="77777777" w:rsidTr="00006DF4">
        <w:trPr>
          <w:cantSplit/>
        </w:trPr>
        <w:tc>
          <w:tcPr>
            <w:tcW w:w="738" w:type="dxa"/>
          </w:tcPr>
          <w:p w14:paraId="1B8DC002" w14:textId="77777777" w:rsidR="0050347E" w:rsidRPr="00006DF4" w:rsidRDefault="0050347E" w:rsidP="00337EFC">
            <w:pPr>
              <w:pStyle w:val="P68B1DB1-Normal51"/>
              <w:spacing w:before="40" w:after="40"/>
              <w:rPr>
                <w:rFonts w:ascii="Arial" w:hAnsi="Arial"/>
              </w:rPr>
            </w:pPr>
            <w:r w:rsidRPr="00006DF4">
              <w:rPr>
                <w:rFonts w:ascii="Arial" w:hAnsi="Arial"/>
              </w:rPr>
              <w:t>7.2</w:t>
            </w:r>
          </w:p>
        </w:tc>
        <w:tc>
          <w:tcPr>
            <w:tcW w:w="5622" w:type="dxa"/>
          </w:tcPr>
          <w:p w14:paraId="280BC9C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Mejorar las condiciones de trabajo, incluida la seguridad y la salud en el trabajo (SST), y la seguridad social de los inspectores y otros funcionarios pertinentes de los organismos de protección de la naturaleza.  </w:t>
            </w:r>
          </w:p>
        </w:tc>
        <w:tc>
          <w:tcPr>
            <w:tcW w:w="1939" w:type="dxa"/>
          </w:tcPr>
          <w:p w14:paraId="67494C0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 OIG</w:t>
            </w:r>
          </w:p>
        </w:tc>
        <w:tc>
          <w:tcPr>
            <w:tcW w:w="2490" w:type="dxa"/>
          </w:tcPr>
          <w:p w14:paraId="01F5CBB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Mayor satisfacción con los salarios, el prestigio y la seguridad social, según los resultados de una encuesta anónima. </w:t>
            </w:r>
          </w:p>
        </w:tc>
        <w:tc>
          <w:tcPr>
            <w:tcW w:w="1250" w:type="dxa"/>
          </w:tcPr>
          <w:p w14:paraId="4D94B69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D2CD46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tc>
      </w:tr>
      <w:tr w:rsidR="0050347E" w:rsidRPr="00006DF4" w14:paraId="5B69AD06" w14:textId="77777777" w:rsidTr="00006DF4">
        <w:trPr>
          <w:cantSplit/>
        </w:trPr>
        <w:tc>
          <w:tcPr>
            <w:tcW w:w="738" w:type="dxa"/>
          </w:tcPr>
          <w:p w14:paraId="79F99963" w14:textId="77777777" w:rsidR="0050347E" w:rsidRPr="00006DF4" w:rsidRDefault="0050347E" w:rsidP="00337EFC">
            <w:pPr>
              <w:pStyle w:val="P68B1DB1-Normal51"/>
              <w:spacing w:before="40" w:after="40"/>
              <w:rPr>
                <w:rFonts w:ascii="Arial" w:hAnsi="Arial"/>
              </w:rPr>
            </w:pPr>
            <w:r w:rsidRPr="00006DF4">
              <w:rPr>
                <w:rFonts w:ascii="Arial" w:hAnsi="Arial"/>
              </w:rPr>
              <w:t>7.3</w:t>
            </w:r>
          </w:p>
        </w:tc>
        <w:tc>
          <w:tcPr>
            <w:tcW w:w="5622" w:type="dxa"/>
          </w:tcPr>
          <w:p w14:paraId="777E704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Proporcionar formación y equipo a los inspectores y otros funcionarios pertinentes de los organismos de protección de la naturaleza de cara a mejorar su capacidad para luchar contra la caza, la posesión, el uso y el comercio ilegales (incluso en línea) de especies de la CAMI y ampliar el uso de la Herramienta de Seguimiento Espacial y Elaboración de Informes (SMART).</w:t>
            </w:r>
          </w:p>
        </w:tc>
        <w:tc>
          <w:tcPr>
            <w:tcW w:w="1939" w:type="dxa"/>
          </w:tcPr>
          <w:p w14:paraId="48A59993"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 OIG</w:t>
            </w:r>
          </w:p>
        </w:tc>
        <w:tc>
          <w:tcPr>
            <w:tcW w:w="2490" w:type="dxa"/>
          </w:tcPr>
          <w:p w14:paraId="1401712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mejora del equipamiento de los guardabosques, incluidos ordenadores, teléfonos móviles y SMART.</w:t>
            </w:r>
          </w:p>
        </w:tc>
        <w:tc>
          <w:tcPr>
            <w:tcW w:w="1250" w:type="dxa"/>
          </w:tcPr>
          <w:p w14:paraId="165E82F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2D408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tc>
      </w:tr>
      <w:tr w:rsidR="0050347E" w:rsidRPr="00006DF4" w14:paraId="0AE226C9" w14:textId="77777777" w:rsidTr="00006DF4">
        <w:trPr>
          <w:cantSplit/>
        </w:trPr>
        <w:tc>
          <w:tcPr>
            <w:tcW w:w="738" w:type="dxa"/>
          </w:tcPr>
          <w:p w14:paraId="001F943A" w14:textId="77777777" w:rsidR="0050347E" w:rsidRPr="00006DF4" w:rsidRDefault="0050347E" w:rsidP="00337EFC">
            <w:pPr>
              <w:pStyle w:val="P68B1DB1-Normal51"/>
              <w:spacing w:before="40" w:after="40"/>
              <w:rPr>
                <w:rFonts w:ascii="Arial" w:hAnsi="Arial"/>
              </w:rPr>
            </w:pPr>
            <w:r w:rsidRPr="00006DF4">
              <w:rPr>
                <w:rFonts w:ascii="Arial" w:hAnsi="Arial"/>
              </w:rPr>
              <w:t>7.4</w:t>
            </w:r>
          </w:p>
        </w:tc>
        <w:tc>
          <w:tcPr>
            <w:tcW w:w="5622" w:type="dxa"/>
          </w:tcPr>
          <w:p w14:paraId="56862EC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Monitorear y medir los trabajos y los impactos de la lucha contra la caza furtiva a través de SMART y utilizar estos análisis para fundamentar la mejora de las estrategias de lucha contra la caza furtiva.</w:t>
            </w:r>
          </w:p>
        </w:tc>
        <w:tc>
          <w:tcPr>
            <w:tcW w:w="1939" w:type="dxa"/>
          </w:tcPr>
          <w:p w14:paraId="74BCE9CC"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0E62221C" w14:textId="77777777" w:rsidR="0050347E" w:rsidRPr="00006DF4" w:rsidRDefault="0050347E" w:rsidP="00337EFC">
            <w:pPr>
              <w:pStyle w:val="P68B1DB1-Normal51"/>
              <w:spacing w:before="40" w:after="40"/>
              <w:rPr>
                <w:rFonts w:ascii="Arial" w:hAnsi="Arial"/>
              </w:rPr>
            </w:pPr>
            <w:r w:rsidRPr="00006DF4">
              <w:rPr>
                <w:rFonts w:ascii="Arial" w:hAnsi="Arial"/>
              </w:rPr>
              <w:t>Informes SMART.</w:t>
            </w:r>
          </w:p>
        </w:tc>
        <w:tc>
          <w:tcPr>
            <w:tcW w:w="1250" w:type="dxa"/>
          </w:tcPr>
          <w:p w14:paraId="65C34E5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0A0FBA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tc>
      </w:tr>
      <w:tr w:rsidR="0050347E" w:rsidRPr="00006DF4" w14:paraId="67031D20" w14:textId="77777777" w:rsidTr="00006DF4">
        <w:trPr>
          <w:cantSplit/>
        </w:trPr>
        <w:tc>
          <w:tcPr>
            <w:tcW w:w="738" w:type="dxa"/>
          </w:tcPr>
          <w:p w14:paraId="20F69196"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7.5</w:t>
            </w:r>
          </w:p>
        </w:tc>
        <w:tc>
          <w:tcPr>
            <w:tcW w:w="5622" w:type="dxa"/>
          </w:tcPr>
          <w:p w14:paraId="2E3BF38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estudios periódicos para comprender el nivel y los factores determinantes de la caza furtiva de especies silvestres, utilizando métodos científicamente sólidos para desarrollar estrategias eficaces de lucha contra la caza furtiva. Estandarizar y compartir los formatos de las encuestas siempre que sea posible. </w:t>
            </w:r>
          </w:p>
        </w:tc>
        <w:tc>
          <w:tcPr>
            <w:tcW w:w="1939" w:type="dxa"/>
          </w:tcPr>
          <w:p w14:paraId="4CFB035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54BC3DB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Disponibilidad de informes de estudios y estrategias de lucha contra la caza furtiva para cada Estado del área de distribución. </w:t>
            </w:r>
          </w:p>
        </w:tc>
        <w:tc>
          <w:tcPr>
            <w:tcW w:w="1250" w:type="dxa"/>
          </w:tcPr>
          <w:p w14:paraId="549904F3"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D5FCC3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p w14:paraId="2F2985EA" w14:textId="77777777" w:rsidR="0050347E" w:rsidRPr="00006DF4" w:rsidRDefault="0050347E" w:rsidP="00337EFC">
            <w:pPr>
              <w:spacing w:before="40" w:after="40"/>
              <w:rPr>
                <w:rFonts w:ascii="Arial" w:eastAsia="Aptos" w:hAnsi="Arial" w:cs="Arial"/>
                <w:sz w:val="20"/>
                <w:lang w:val="es-ES"/>
              </w:rPr>
            </w:pPr>
          </w:p>
        </w:tc>
      </w:tr>
      <w:tr w:rsidR="0050347E" w:rsidRPr="00006DF4" w14:paraId="4AA1B9B1" w14:textId="77777777" w:rsidTr="00006DF4">
        <w:trPr>
          <w:cantSplit/>
        </w:trPr>
        <w:tc>
          <w:tcPr>
            <w:tcW w:w="738" w:type="dxa"/>
          </w:tcPr>
          <w:p w14:paraId="7D813A86" w14:textId="77777777" w:rsidR="0050347E" w:rsidRPr="00006DF4" w:rsidRDefault="0050347E" w:rsidP="00337EFC">
            <w:pPr>
              <w:pStyle w:val="P68B1DB1-Normal51"/>
              <w:spacing w:before="40" w:after="40"/>
              <w:rPr>
                <w:rFonts w:ascii="Arial" w:hAnsi="Arial"/>
              </w:rPr>
            </w:pPr>
            <w:r w:rsidRPr="00006DF4">
              <w:rPr>
                <w:rFonts w:ascii="Arial" w:hAnsi="Arial"/>
              </w:rPr>
              <w:t>7.6</w:t>
            </w:r>
          </w:p>
        </w:tc>
        <w:tc>
          <w:tcPr>
            <w:tcW w:w="5622" w:type="dxa"/>
          </w:tcPr>
          <w:p w14:paraId="61AF281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Crear bases de datos nacionales centralizadas y procedimientos relacionados sobre casos de caza furtiva y comercio ilegal para propiciar una estimación del impacto sobre las poblaciones de especies de la CAMI.</w:t>
            </w:r>
          </w:p>
        </w:tc>
        <w:tc>
          <w:tcPr>
            <w:tcW w:w="1939" w:type="dxa"/>
          </w:tcPr>
          <w:p w14:paraId="17A17BC8"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9166C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bases de datos y procedimientos.</w:t>
            </w:r>
          </w:p>
        </w:tc>
        <w:tc>
          <w:tcPr>
            <w:tcW w:w="1250" w:type="dxa"/>
          </w:tcPr>
          <w:p w14:paraId="5C4AFB2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391C15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4, 5 y 9 del GBF, </w:t>
            </w:r>
          </w:p>
          <w:p w14:paraId="49B1F2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Objetivo 3 del PEEM</w:t>
            </w:r>
          </w:p>
        </w:tc>
      </w:tr>
      <w:tr w:rsidR="0050347E" w:rsidRPr="00006DF4" w14:paraId="4D65690F" w14:textId="77777777" w:rsidTr="00006DF4">
        <w:trPr>
          <w:cantSplit/>
        </w:trPr>
        <w:tc>
          <w:tcPr>
            <w:tcW w:w="738" w:type="dxa"/>
          </w:tcPr>
          <w:p w14:paraId="395DAADF" w14:textId="77777777" w:rsidR="0050347E" w:rsidRPr="00006DF4" w:rsidRDefault="0050347E" w:rsidP="00337EFC">
            <w:pPr>
              <w:pStyle w:val="P68B1DB1-Normal51"/>
              <w:spacing w:before="40" w:after="40"/>
              <w:rPr>
                <w:rFonts w:ascii="Arial" w:hAnsi="Arial"/>
              </w:rPr>
            </w:pPr>
            <w:r w:rsidRPr="00006DF4">
              <w:rPr>
                <w:rFonts w:ascii="Arial" w:hAnsi="Arial"/>
              </w:rPr>
              <w:t>7.7</w:t>
            </w:r>
          </w:p>
        </w:tc>
        <w:tc>
          <w:tcPr>
            <w:tcW w:w="5622" w:type="dxa"/>
          </w:tcPr>
          <w:p w14:paraId="5970F23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Desarrollar y distribuir materiales informativos sobre productos de especies silvestres y proporcionar formación a los guardias fronterizos, a los funcionarios de aduanas y a la policía para reforzar su capacidad de detección del comercio ilegal de especies silvestres. </w:t>
            </w:r>
          </w:p>
        </w:tc>
        <w:tc>
          <w:tcPr>
            <w:tcW w:w="1939" w:type="dxa"/>
          </w:tcPr>
          <w:p w14:paraId="5D0A2E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ONG, OG, UNODC, instituciones científicas </w:t>
            </w:r>
          </w:p>
        </w:tc>
        <w:tc>
          <w:tcPr>
            <w:tcW w:w="2490" w:type="dxa"/>
          </w:tcPr>
          <w:p w14:paraId="6AA4201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Número de cursos de formación; materiales disponibles en todos los Estados del área de distribución. </w:t>
            </w:r>
          </w:p>
        </w:tc>
        <w:tc>
          <w:tcPr>
            <w:tcW w:w="1250" w:type="dxa"/>
          </w:tcPr>
          <w:p w14:paraId="35708619"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38D5423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9 y 20 del GBF, Objetivos 3 y 4 del PEEM</w:t>
            </w:r>
          </w:p>
          <w:p w14:paraId="6859858D" w14:textId="77777777" w:rsidR="0050347E" w:rsidRPr="00006DF4" w:rsidRDefault="0050347E" w:rsidP="00337EFC">
            <w:pPr>
              <w:spacing w:before="40" w:after="40"/>
              <w:rPr>
                <w:rFonts w:ascii="Arial" w:eastAsia="Aptos" w:hAnsi="Arial" w:cs="Arial"/>
                <w:sz w:val="20"/>
                <w:lang w:val="es-ES"/>
              </w:rPr>
            </w:pPr>
          </w:p>
        </w:tc>
      </w:tr>
      <w:tr w:rsidR="0050347E" w:rsidRPr="00006DF4" w14:paraId="48EC7E3F" w14:textId="77777777" w:rsidTr="00006DF4">
        <w:trPr>
          <w:cantSplit/>
        </w:trPr>
        <w:tc>
          <w:tcPr>
            <w:tcW w:w="738" w:type="dxa"/>
          </w:tcPr>
          <w:p w14:paraId="467C416F" w14:textId="77777777" w:rsidR="0050347E" w:rsidRPr="00006DF4" w:rsidRDefault="0050347E" w:rsidP="00337EFC">
            <w:pPr>
              <w:pStyle w:val="P68B1DB1-Normal51"/>
              <w:spacing w:before="40" w:after="40"/>
              <w:rPr>
                <w:rFonts w:ascii="Arial" w:hAnsi="Arial"/>
              </w:rPr>
            </w:pPr>
            <w:r w:rsidRPr="00006DF4">
              <w:rPr>
                <w:rFonts w:ascii="Arial" w:hAnsi="Arial"/>
              </w:rPr>
              <w:t>7.8</w:t>
            </w:r>
          </w:p>
        </w:tc>
        <w:tc>
          <w:tcPr>
            <w:tcW w:w="5622" w:type="dxa"/>
          </w:tcPr>
          <w:p w14:paraId="27E7292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Promover el despliegue de un número suficiente de perros de detección de especies silvestres y de kits de herramientas de ADN para que los funcionarios de aduanas, los guardias fronterizos y la policía puedan identificar e interceptar eficazmente el comercio de productos y derivados de especies silvestres.</w:t>
            </w:r>
          </w:p>
        </w:tc>
        <w:tc>
          <w:tcPr>
            <w:tcW w:w="1939" w:type="dxa"/>
          </w:tcPr>
          <w:p w14:paraId="6A217662"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20C76B9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han desplegado perros y se usan kits de herramientas de ADN en los puestos fronterizos/aduaneros de los Estados del área de distribución. </w:t>
            </w:r>
          </w:p>
        </w:tc>
        <w:tc>
          <w:tcPr>
            <w:tcW w:w="1250" w:type="dxa"/>
          </w:tcPr>
          <w:p w14:paraId="1D76449D"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5D32F1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p w14:paraId="066AC3F7" w14:textId="77777777" w:rsidR="0050347E" w:rsidRPr="00006DF4" w:rsidRDefault="0050347E" w:rsidP="00337EFC">
            <w:pPr>
              <w:spacing w:before="40" w:after="40"/>
              <w:rPr>
                <w:rFonts w:ascii="Arial" w:eastAsia="Aptos" w:hAnsi="Arial" w:cs="Arial"/>
                <w:sz w:val="20"/>
                <w:lang w:val="es-ES"/>
              </w:rPr>
            </w:pPr>
          </w:p>
        </w:tc>
      </w:tr>
      <w:tr w:rsidR="0050347E" w:rsidRPr="00006DF4" w14:paraId="78AF5221" w14:textId="77777777" w:rsidTr="00006DF4">
        <w:trPr>
          <w:cantSplit/>
        </w:trPr>
        <w:tc>
          <w:tcPr>
            <w:tcW w:w="738" w:type="dxa"/>
          </w:tcPr>
          <w:p w14:paraId="33B41479" w14:textId="77777777" w:rsidR="0050347E" w:rsidRPr="00006DF4" w:rsidRDefault="0050347E" w:rsidP="00337EFC">
            <w:pPr>
              <w:pStyle w:val="P68B1DB1-Normal51"/>
              <w:spacing w:before="40" w:after="40"/>
              <w:rPr>
                <w:rFonts w:ascii="Arial" w:hAnsi="Arial"/>
              </w:rPr>
            </w:pPr>
            <w:r w:rsidRPr="00006DF4">
              <w:rPr>
                <w:rFonts w:ascii="Arial" w:hAnsi="Arial"/>
              </w:rPr>
              <w:t>7.9</w:t>
            </w:r>
          </w:p>
        </w:tc>
        <w:tc>
          <w:tcPr>
            <w:tcW w:w="5622" w:type="dxa"/>
          </w:tcPr>
          <w:p w14:paraId="1E823AC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e implementar políticas/mecanismos de denuncia de irregularidades para garantizar la seguridad de los informantes que faciliten información sobre infracciones de la legislación relativa a especies silvestres (por ejemplo, incidentes de caza furtiva, comercio ilegal, etc.).</w:t>
            </w:r>
          </w:p>
        </w:tc>
        <w:tc>
          <w:tcPr>
            <w:tcW w:w="1939" w:type="dxa"/>
          </w:tcPr>
          <w:p w14:paraId="0515AF73" w14:textId="77777777" w:rsidR="0050347E" w:rsidRPr="00006DF4" w:rsidRDefault="0050347E" w:rsidP="00337EFC">
            <w:pPr>
              <w:pStyle w:val="P68B1DB1-Normal51"/>
              <w:spacing w:before="40" w:after="40"/>
              <w:rPr>
                <w:rFonts w:ascii="Arial" w:hAnsi="Arial"/>
              </w:rPr>
            </w:pPr>
            <w:r w:rsidRPr="00006DF4">
              <w:rPr>
                <w:rFonts w:ascii="Arial" w:hAnsi="Arial"/>
              </w:rPr>
              <w:t>OG</w:t>
            </w:r>
          </w:p>
        </w:tc>
        <w:tc>
          <w:tcPr>
            <w:tcW w:w="2490" w:type="dxa"/>
          </w:tcPr>
          <w:p w14:paraId="2BF8895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implementan políticas y mecanismos. </w:t>
            </w:r>
          </w:p>
        </w:tc>
        <w:tc>
          <w:tcPr>
            <w:tcW w:w="1250" w:type="dxa"/>
          </w:tcPr>
          <w:p w14:paraId="78BADCFF"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33BD1A8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9 del GBF, Objetivo 3 del PEEM</w:t>
            </w:r>
          </w:p>
        </w:tc>
      </w:tr>
      <w:tr w:rsidR="0050347E" w:rsidRPr="00006DF4" w14:paraId="3D941F77" w14:textId="77777777" w:rsidTr="00006DF4">
        <w:trPr>
          <w:cantSplit/>
        </w:trPr>
        <w:tc>
          <w:tcPr>
            <w:tcW w:w="738" w:type="dxa"/>
          </w:tcPr>
          <w:p w14:paraId="78EEB8D1" w14:textId="77777777" w:rsidR="0050347E" w:rsidRPr="00006DF4" w:rsidRDefault="0050347E" w:rsidP="00337EFC">
            <w:pPr>
              <w:pStyle w:val="P68B1DB1-Normal51"/>
              <w:spacing w:before="40" w:after="40"/>
              <w:rPr>
                <w:rFonts w:ascii="Arial" w:hAnsi="Arial"/>
              </w:rPr>
            </w:pPr>
            <w:r w:rsidRPr="00006DF4">
              <w:rPr>
                <w:rFonts w:ascii="Arial" w:hAnsi="Arial"/>
              </w:rPr>
              <w:t>7.10</w:t>
            </w:r>
          </w:p>
        </w:tc>
        <w:tc>
          <w:tcPr>
            <w:tcW w:w="5622" w:type="dxa"/>
          </w:tcPr>
          <w:p w14:paraId="79351B7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Crear una colección de muestras de referencia de derivados de la CAMI y otras especies silvestres con fines formativos y de desarrollo de capacidades.</w:t>
            </w:r>
          </w:p>
        </w:tc>
        <w:tc>
          <w:tcPr>
            <w:tcW w:w="1939" w:type="dxa"/>
          </w:tcPr>
          <w:p w14:paraId="056A9F1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Secretaría de la CITES</w:t>
            </w:r>
          </w:p>
        </w:tc>
        <w:tc>
          <w:tcPr>
            <w:tcW w:w="2490" w:type="dxa"/>
          </w:tcPr>
          <w:p w14:paraId="6665CB2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crea y se utiliza la colección. </w:t>
            </w:r>
          </w:p>
        </w:tc>
        <w:tc>
          <w:tcPr>
            <w:tcW w:w="1250" w:type="dxa"/>
          </w:tcPr>
          <w:p w14:paraId="6A2FB84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3BCD06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2A19B550" w14:textId="77777777" w:rsidTr="00006DF4">
        <w:trPr>
          <w:cantSplit/>
        </w:trPr>
        <w:tc>
          <w:tcPr>
            <w:tcW w:w="738" w:type="dxa"/>
          </w:tcPr>
          <w:p w14:paraId="7687F17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7.11</w:t>
            </w:r>
          </w:p>
        </w:tc>
        <w:tc>
          <w:tcPr>
            <w:tcW w:w="5622" w:type="dxa"/>
          </w:tcPr>
          <w:p w14:paraId="58476F3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Intercambiar colecciones de derivados de especies de la CAMI entre los Estados del área de distribución, de acuerdo con las regulaciones de la CITES, de cara a mejorar las capacidades para una correcta identificación. </w:t>
            </w:r>
          </w:p>
        </w:tc>
        <w:tc>
          <w:tcPr>
            <w:tcW w:w="1939" w:type="dxa"/>
          </w:tcPr>
          <w:p w14:paraId="4783980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Secretaría de la CITES</w:t>
            </w:r>
          </w:p>
        </w:tc>
        <w:tc>
          <w:tcPr>
            <w:tcW w:w="2490" w:type="dxa"/>
          </w:tcPr>
          <w:p w14:paraId="1E6C441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lleva a cabo el intercambio de colecciones entre instituciones científicas. </w:t>
            </w:r>
          </w:p>
        </w:tc>
        <w:tc>
          <w:tcPr>
            <w:tcW w:w="1250" w:type="dxa"/>
          </w:tcPr>
          <w:p w14:paraId="3A7C463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C9ED0D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p w14:paraId="03BDF982" w14:textId="77777777" w:rsidR="0050347E" w:rsidRPr="00006DF4" w:rsidRDefault="0050347E" w:rsidP="00337EFC">
            <w:pPr>
              <w:spacing w:before="40" w:after="40"/>
              <w:rPr>
                <w:rFonts w:ascii="Arial" w:eastAsia="Aptos" w:hAnsi="Arial" w:cs="Arial"/>
                <w:sz w:val="20"/>
                <w:lang w:val="es-ES"/>
              </w:rPr>
            </w:pPr>
          </w:p>
        </w:tc>
      </w:tr>
      <w:tr w:rsidR="0050347E" w:rsidRPr="00006DF4" w14:paraId="528E001B" w14:textId="77777777" w:rsidTr="00006DF4">
        <w:trPr>
          <w:cantSplit/>
        </w:trPr>
        <w:tc>
          <w:tcPr>
            <w:tcW w:w="738" w:type="dxa"/>
          </w:tcPr>
          <w:p w14:paraId="374D83AC" w14:textId="77777777" w:rsidR="0050347E" w:rsidRPr="00006DF4" w:rsidRDefault="0050347E" w:rsidP="00337EFC">
            <w:pPr>
              <w:pStyle w:val="P68B1DB1-Normal51"/>
              <w:spacing w:before="40" w:after="40"/>
              <w:rPr>
                <w:rFonts w:ascii="Arial" w:hAnsi="Arial"/>
              </w:rPr>
            </w:pPr>
            <w:r w:rsidRPr="00006DF4">
              <w:rPr>
                <w:rFonts w:ascii="Arial" w:hAnsi="Arial"/>
              </w:rPr>
              <w:t>7.12</w:t>
            </w:r>
          </w:p>
        </w:tc>
        <w:tc>
          <w:tcPr>
            <w:tcW w:w="5622" w:type="dxa"/>
          </w:tcPr>
          <w:p w14:paraId="33C12D8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Informar a los artesanos y a las empresas para que puedan reconocer los derivados de especies silvestres recolectados ilegalmente y</w:t>
            </w:r>
            <w:r w:rsidRPr="00006DF4">
              <w:rPr>
                <w:rFonts w:ascii="Arial" w:hAnsi="Arial"/>
                <w:color w:val="000000" w:themeColor="text1"/>
                <w:lang w:val="es-ES"/>
              </w:rPr>
              <w:t xml:space="preserve"> se abstengan de producir artesanías tradicionales con ellos</w:t>
            </w:r>
            <w:r w:rsidRPr="00006DF4">
              <w:rPr>
                <w:rFonts w:ascii="Arial" w:hAnsi="Arial"/>
                <w:lang w:val="es-ES"/>
              </w:rPr>
              <w:t xml:space="preserve">. </w:t>
            </w:r>
          </w:p>
        </w:tc>
        <w:tc>
          <w:tcPr>
            <w:tcW w:w="1939" w:type="dxa"/>
          </w:tcPr>
          <w:p w14:paraId="14FBADC5"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ONG</w:t>
            </w:r>
          </w:p>
        </w:tc>
        <w:tc>
          <w:tcPr>
            <w:tcW w:w="2490" w:type="dxa"/>
          </w:tcPr>
          <w:p w14:paraId="1646145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Reducción del uso de artículos ilegales.</w:t>
            </w:r>
          </w:p>
          <w:p w14:paraId="19881DA9" w14:textId="77777777" w:rsidR="0050347E" w:rsidRPr="00006DF4" w:rsidRDefault="0050347E" w:rsidP="00337EFC">
            <w:pPr>
              <w:spacing w:before="40" w:after="40"/>
              <w:rPr>
                <w:rFonts w:ascii="Arial" w:eastAsia="Aptos" w:hAnsi="Arial" w:cs="Arial"/>
                <w:sz w:val="20"/>
                <w:lang w:val="es-ES"/>
              </w:rPr>
            </w:pPr>
          </w:p>
          <w:p w14:paraId="15E6A920" w14:textId="77777777" w:rsidR="0050347E" w:rsidRPr="00006DF4" w:rsidRDefault="0050347E" w:rsidP="00337EFC">
            <w:pPr>
              <w:spacing w:before="40" w:after="40"/>
              <w:rPr>
                <w:rFonts w:ascii="Arial" w:eastAsia="Aptos" w:hAnsi="Arial" w:cs="Arial"/>
                <w:sz w:val="20"/>
                <w:lang w:val="es-ES"/>
              </w:rPr>
            </w:pPr>
          </w:p>
        </w:tc>
        <w:tc>
          <w:tcPr>
            <w:tcW w:w="1250" w:type="dxa"/>
          </w:tcPr>
          <w:p w14:paraId="4CF2E41A"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D258B1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p w14:paraId="4456D74A" w14:textId="77777777" w:rsidR="0050347E" w:rsidRPr="00006DF4" w:rsidRDefault="0050347E" w:rsidP="00337EFC">
            <w:pPr>
              <w:spacing w:before="40" w:after="40"/>
              <w:rPr>
                <w:rFonts w:ascii="Arial" w:eastAsia="Aptos" w:hAnsi="Arial" w:cs="Arial"/>
                <w:sz w:val="20"/>
                <w:lang w:val="es-ES"/>
              </w:rPr>
            </w:pPr>
          </w:p>
        </w:tc>
      </w:tr>
      <w:tr w:rsidR="0050347E" w:rsidRPr="00006DF4" w14:paraId="00378781" w14:textId="77777777" w:rsidTr="00006DF4">
        <w:trPr>
          <w:cantSplit/>
        </w:trPr>
        <w:tc>
          <w:tcPr>
            <w:tcW w:w="738" w:type="dxa"/>
          </w:tcPr>
          <w:p w14:paraId="2CA6FDED" w14:textId="77777777" w:rsidR="0050347E" w:rsidRPr="00006DF4" w:rsidRDefault="0050347E" w:rsidP="00337EFC">
            <w:pPr>
              <w:pStyle w:val="P68B1DB1-Normal51"/>
              <w:spacing w:before="40" w:after="40"/>
              <w:rPr>
                <w:rFonts w:ascii="Arial" w:hAnsi="Arial"/>
              </w:rPr>
            </w:pPr>
            <w:r w:rsidRPr="00006DF4">
              <w:rPr>
                <w:rFonts w:ascii="Arial" w:hAnsi="Arial"/>
              </w:rPr>
              <w:t>7.13</w:t>
            </w:r>
          </w:p>
        </w:tc>
        <w:tc>
          <w:tcPr>
            <w:tcW w:w="5622" w:type="dxa"/>
          </w:tcPr>
          <w:p w14:paraId="1D68391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un plan de respuesta coordinado para abordar el comercio en línea de especies silvestres, incluida la formación de unidades de aplicación de la ley, mecanismos de detección mejorados, aplicación legal reforzada e intercambio de datos entre organismos.</w:t>
            </w:r>
          </w:p>
        </w:tc>
        <w:tc>
          <w:tcPr>
            <w:tcW w:w="1939" w:type="dxa"/>
          </w:tcPr>
          <w:p w14:paraId="42626EC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instituciones científicas, Interpol, UNODC, ONG</w:t>
            </w:r>
          </w:p>
        </w:tc>
        <w:tc>
          <w:tcPr>
            <w:tcW w:w="2490" w:type="dxa"/>
          </w:tcPr>
          <w:p w14:paraId="5540E98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desarrolla e implementa el plan. </w:t>
            </w:r>
          </w:p>
        </w:tc>
        <w:tc>
          <w:tcPr>
            <w:tcW w:w="1250" w:type="dxa"/>
          </w:tcPr>
          <w:p w14:paraId="364C28C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2C5256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1B0E1853" w14:textId="77777777" w:rsidTr="00006DF4">
        <w:trPr>
          <w:cantSplit/>
        </w:trPr>
        <w:tc>
          <w:tcPr>
            <w:tcW w:w="14000" w:type="dxa"/>
            <w:gridSpan w:val="6"/>
            <w:shd w:val="clear" w:color="auto" w:fill="B3E5A1"/>
            <w:vAlign w:val="center"/>
          </w:tcPr>
          <w:p w14:paraId="6D56191B"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t xml:space="preserve">8. Uso de la tierra y conflicto y coexistencia entre humanos y vida silvestre </w:t>
            </w:r>
          </w:p>
        </w:tc>
      </w:tr>
      <w:tr w:rsidR="0050347E" w:rsidRPr="00006DF4" w14:paraId="418C4CEC" w14:textId="77777777" w:rsidTr="00006DF4">
        <w:trPr>
          <w:cantSplit/>
        </w:trPr>
        <w:tc>
          <w:tcPr>
            <w:tcW w:w="738" w:type="dxa"/>
          </w:tcPr>
          <w:p w14:paraId="06C7DF3A" w14:textId="77777777" w:rsidR="0050347E" w:rsidRPr="00006DF4" w:rsidRDefault="0050347E" w:rsidP="00337EFC">
            <w:pPr>
              <w:pStyle w:val="P68B1DB1-Normal51"/>
              <w:spacing w:before="40" w:after="40"/>
              <w:rPr>
                <w:rFonts w:ascii="Arial" w:hAnsi="Arial"/>
              </w:rPr>
            </w:pPr>
            <w:r w:rsidRPr="00006DF4">
              <w:rPr>
                <w:rFonts w:ascii="Arial" w:hAnsi="Arial"/>
              </w:rPr>
              <w:t>8.1</w:t>
            </w:r>
          </w:p>
        </w:tc>
        <w:tc>
          <w:tcPr>
            <w:tcW w:w="5622" w:type="dxa"/>
          </w:tcPr>
          <w:p w14:paraId="3CCB7A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Desarrollar las capacidades y aumentar la concienciación de los responsables de la toma de decisiones y las comunidades locales respecto a la aplicación de las </w:t>
            </w:r>
            <w:hyperlink r:id="rId60" w:history="1">
              <w:r w:rsidRPr="00006DF4">
                <w:rPr>
                  <w:rFonts w:ascii="Arial" w:hAnsi="Arial"/>
                  <w:i/>
                  <w:u w:val="single"/>
                  <w:lang w:val="es-ES"/>
                </w:rPr>
                <w:t>«Directrices de la SSC de la UICN sobre conflictos y coexistencia entre humanos y vida silvestre»</w:t>
              </w:r>
            </w:hyperlink>
            <w:r w:rsidRPr="00006DF4">
              <w:rPr>
                <w:rFonts w:ascii="Arial" w:hAnsi="Arial"/>
                <w:lang w:val="es-ES"/>
              </w:rPr>
              <w:t xml:space="preserve"> y las recomendaciones del informe de la CMS </w:t>
            </w:r>
            <w:r w:rsidRPr="00006DF4">
              <w:rPr>
                <w:rFonts w:ascii="Arial" w:hAnsi="Arial"/>
                <w:i/>
                <w:lang w:val="es-ES"/>
              </w:rPr>
              <w:t>«Potencial para la gestión comunitaria de la vida silvestre en Asia Central»</w:t>
            </w:r>
            <w:r w:rsidRPr="00006DF4">
              <w:rPr>
                <w:rFonts w:ascii="Arial" w:hAnsi="Arial"/>
                <w:lang w:val="es-ES"/>
              </w:rPr>
              <w:t>.</w:t>
            </w:r>
          </w:p>
        </w:tc>
        <w:tc>
          <w:tcPr>
            <w:tcW w:w="1939" w:type="dxa"/>
          </w:tcPr>
          <w:p w14:paraId="6538B60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CMS, ONG, OG, Grupo de Trabajo sobre Conflictos y Coexistencia entre Humanos y Vida Silvestre (HWCC) de la UICN, Grupo de Trabajo sobre Uso Sostenible y Medios de Subsistencia (SuLi)</w:t>
            </w:r>
          </w:p>
        </w:tc>
        <w:tc>
          <w:tcPr>
            <w:tcW w:w="2490" w:type="dxa"/>
          </w:tcPr>
          <w:p w14:paraId="4BAC577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 al menos un taller antes de 2027.</w:t>
            </w:r>
          </w:p>
        </w:tc>
        <w:tc>
          <w:tcPr>
            <w:tcW w:w="1250" w:type="dxa"/>
          </w:tcPr>
          <w:p w14:paraId="2DA4C5D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547109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Metas 4, 20 y 22 del GBF, </w:t>
            </w:r>
          </w:p>
          <w:p w14:paraId="3253526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Objetivo 4 del PEEM</w:t>
            </w:r>
          </w:p>
        </w:tc>
      </w:tr>
      <w:tr w:rsidR="0050347E" w:rsidRPr="00006DF4" w14:paraId="575F205D" w14:textId="77777777" w:rsidTr="00006DF4">
        <w:trPr>
          <w:cantSplit/>
          <w:trHeight w:val="908"/>
        </w:trPr>
        <w:tc>
          <w:tcPr>
            <w:tcW w:w="738" w:type="dxa"/>
          </w:tcPr>
          <w:p w14:paraId="3E6FD2F9" w14:textId="77777777" w:rsidR="0050347E" w:rsidRPr="00006DF4" w:rsidRDefault="0050347E" w:rsidP="00337EFC">
            <w:pPr>
              <w:pStyle w:val="P68B1DB1-Normal51"/>
              <w:spacing w:before="40" w:after="40"/>
              <w:rPr>
                <w:rFonts w:ascii="Arial" w:hAnsi="Arial"/>
              </w:rPr>
            </w:pPr>
            <w:r w:rsidRPr="00006DF4">
              <w:rPr>
                <w:rFonts w:ascii="Arial" w:hAnsi="Arial"/>
              </w:rPr>
              <w:t>8.2</w:t>
            </w:r>
          </w:p>
        </w:tc>
        <w:tc>
          <w:tcPr>
            <w:tcW w:w="5622" w:type="dxa"/>
          </w:tcPr>
          <w:p w14:paraId="62FD811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Reforzar la implicación de las diferentes partes interesadas, incluidas las comunidades locales, en la conservación y gestión de las especies de la CAMI a través de campañas de concienciación para el cambio de comportamiento.</w:t>
            </w:r>
          </w:p>
        </w:tc>
        <w:tc>
          <w:tcPr>
            <w:tcW w:w="1939" w:type="dxa"/>
          </w:tcPr>
          <w:p w14:paraId="324EE32B"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instituciones científicas, ONG </w:t>
            </w:r>
          </w:p>
        </w:tc>
        <w:tc>
          <w:tcPr>
            <w:tcW w:w="2490" w:type="dxa"/>
          </w:tcPr>
          <w:p w14:paraId="176DB3D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Aumenta el número de partes interesadas involucradas en la conservación. </w:t>
            </w:r>
          </w:p>
        </w:tc>
        <w:tc>
          <w:tcPr>
            <w:tcW w:w="1250" w:type="dxa"/>
          </w:tcPr>
          <w:p w14:paraId="669973C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7FAB0D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77E482EC" w14:textId="77777777" w:rsidTr="00006DF4">
        <w:trPr>
          <w:cantSplit/>
        </w:trPr>
        <w:tc>
          <w:tcPr>
            <w:tcW w:w="738" w:type="dxa"/>
          </w:tcPr>
          <w:p w14:paraId="77697E14"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8.3</w:t>
            </w:r>
          </w:p>
        </w:tc>
        <w:tc>
          <w:tcPr>
            <w:tcW w:w="5622" w:type="dxa"/>
          </w:tcPr>
          <w:p w14:paraId="2516AD7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talleres para una planificación del uso del suelo a escala de paisaje que incluya la biodiversidad en los que participen las partes interesadas pertinentes de todos los organismos y sectores, incluidas las comunidades locales, para tener en cuenta los hábitats prioritarios de las especies de la CAMI que favorecen el uso sostenible de los pastos. </w:t>
            </w:r>
          </w:p>
        </w:tc>
        <w:tc>
          <w:tcPr>
            <w:tcW w:w="1939" w:type="dxa"/>
          </w:tcPr>
          <w:p w14:paraId="720A87B9"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905B2F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 al menos un taller de planificación en cada país.</w:t>
            </w:r>
          </w:p>
        </w:tc>
        <w:tc>
          <w:tcPr>
            <w:tcW w:w="1250" w:type="dxa"/>
          </w:tcPr>
          <w:p w14:paraId="0AAF001A"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76A3A78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1 del GBF, Objetivo 1 del PEEM, </w:t>
            </w:r>
            <w:hyperlink r:id="rId61" w:history="1">
              <w:r w:rsidRPr="00006DF4">
                <w:rPr>
                  <w:rFonts w:ascii="Arial" w:hAnsi="Arial"/>
                  <w:lang w:val="es-ES"/>
                </w:rPr>
                <w:t>Estrategia Regional para la Gestión y Mitigación de la Sequía en Asia Central para 2021-2030</w:t>
              </w:r>
            </w:hyperlink>
            <w:r w:rsidRPr="00006DF4">
              <w:rPr>
                <w:rFonts w:ascii="Arial" w:hAnsi="Arial"/>
                <w:lang w:val="es-ES"/>
              </w:rPr>
              <w:t xml:space="preserve">, </w:t>
            </w:r>
          </w:p>
          <w:p w14:paraId="7F5EEE2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Programa Ambiental Regional para el Desarrollo Sostenible de Asia Central (REP4SD CA) para 2020-2030</w:t>
            </w:r>
          </w:p>
        </w:tc>
      </w:tr>
      <w:tr w:rsidR="0050347E" w:rsidRPr="00006DF4" w14:paraId="6CE79099" w14:textId="77777777" w:rsidTr="00006DF4">
        <w:trPr>
          <w:cantSplit/>
        </w:trPr>
        <w:tc>
          <w:tcPr>
            <w:tcW w:w="738" w:type="dxa"/>
          </w:tcPr>
          <w:p w14:paraId="147F8FB3" w14:textId="77777777" w:rsidR="0050347E" w:rsidRPr="00006DF4" w:rsidRDefault="0050347E" w:rsidP="00337EFC">
            <w:pPr>
              <w:pStyle w:val="P68B1DB1-Normal51"/>
              <w:spacing w:before="40" w:after="40"/>
              <w:rPr>
                <w:rFonts w:ascii="Arial" w:hAnsi="Arial"/>
              </w:rPr>
            </w:pPr>
            <w:r w:rsidRPr="00006DF4">
              <w:rPr>
                <w:rFonts w:ascii="Arial" w:hAnsi="Arial"/>
              </w:rPr>
              <w:t>8.4</w:t>
            </w:r>
          </w:p>
        </w:tc>
        <w:tc>
          <w:tcPr>
            <w:tcW w:w="5622" w:type="dxa"/>
            <w:shd w:val="clear" w:color="auto" w:fill="FFFFFF"/>
          </w:tcPr>
          <w:p w14:paraId="7CB8722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Compartir experiencias entre especialistas y profesionales de la región la CAMI y otros países sobre la gestión de los conflictos entre la vida silvestre y los humanos y entre las comunidades locales y las especies migratorias. </w:t>
            </w:r>
          </w:p>
        </w:tc>
        <w:tc>
          <w:tcPr>
            <w:tcW w:w="1939" w:type="dxa"/>
          </w:tcPr>
          <w:p w14:paraId="4B006835" w14:textId="77777777" w:rsidR="0050347E" w:rsidRPr="00006DF4" w:rsidRDefault="0050347E" w:rsidP="00337EFC">
            <w:pPr>
              <w:pStyle w:val="P68B1DB1-Normal51"/>
              <w:spacing w:before="40" w:after="40"/>
              <w:rPr>
                <w:rFonts w:ascii="Arial" w:hAnsi="Arial"/>
              </w:rPr>
            </w:pPr>
            <w:r w:rsidRPr="00006DF4">
              <w:rPr>
                <w:rFonts w:ascii="Arial" w:hAnsi="Arial"/>
              </w:rPr>
              <w:t xml:space="preserve">CMS, OG, ONG, SSC de la UICN </w:t>
            </w:r>
          </w:p>
        </w:tc>
        <w:tc>
          <w:tcPr>
            <w:tcW w:w="2490" w:type="dxa"/>
          </w:tcPr>
          <w:p w14:paraId="69AAA6D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organizan visitas de intercambio para responsables de la toma de decisiones y profesionales. </w:t>
            </w:r>
          </w:p>
        </w:tc>
        <w:tc>
          <w:tcPr>
            <w:tcW w:w="1250" w:type="dxa"/>
          </w:tcPr>
          <w:p w14:paraId="52D0AF3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ADFF5D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22 del GBF, Objetivo 3 del PEEM</w:t>
            </w:r>
          </w:p>
        </w:tc>
      </w:tr>
      <w:tr w:rsidR="0050347E" w:rsidRPr="00006DF4" w14:paraId="50D37448" w14:textId="77777777" w:rsidTr="00006DF4">
        <w:trPr>
          <w:cantSplit/>
        </w:trPr>
        <w:tc>
          <w:tcPr>
            <w:tcW w:w="738" w:type="dxa"/>
          </w:tcPr>
          <w:p w14:paraId="0AA326B6" w14:textId="77777777" w:rsidR="0050347E" w:rsidRPr="00006DF4" w:rsidRDefault="0050347E" w:rsidP="00337EFC">
            <w:pPr>
              <w:pStyle w:val="P68B1DB1-Normal51"/>
              <w:spacing w:before="40" w:after="40"/>
              <w:rPr>
                <w:rFonts w:ascii="Arial" w:hAnsi="Arial"/>
              </w:rPr>
            </w:pPr>
            <w:r w:rsidRPr="00006DF4">
              <w:rPr>
                <w:rFonts w:ascii="Arial" w:hAnsi="Arial"/>
              </w:rPr>
              <w:t>8.5</w:t>
            </w:r>
          </w:p>
        </w:tc>
        <w:tc>
          <w:tcPr>
            <w:tcW w:w="5622" w:type="dxa"/>
          </w:tcPr>
          <w:p w14:paraId="3010C19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estudios piloto a través de procesos participativos con los usuarios de las tierras afectadas para investigar la posible eficacia y la sostenibilidad de los incentivos económicos y no económicos para coexistir con la fauna y flora silvestres y reducir la destrucción de la fauna y flora silvestres como represalia o prevención. </w:t>
            </w:r>
          </w:p>
        </w:tc>
        <w:tc>
          <w:tcPr>
            <w:tcW w:w="1939" w:type="dxa"/>
          </w:tcPr>
          <w:p w14:paraId="0DDFEE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ONG, OG, instituciones científicas, SSC de la UICN</w:t>
            </w:r>
          </w:p>
        </w:tc>
        <w:tc>
          <w:tcPr>
            <w:tcW w:w="2490" w:type="dxa"/>
          </w:tcPr>
          <w:p w14:paraId="62C363F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publicaciones científicas.</w:t>
            </w:r>
          </w:p>
        </w:tc>
        <w:tc>
          <w:tcPr>
            <w:tcW w:w="1250" w:type="dxa"/>
          </w:tcPr>
          <w:p w14:paraId="7CDED15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B121C4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y 5 del GBF, Objetivos 1 y 3 del PEEM</w:t>
            </w:r>
          </w:p>
        </w:tc>
      </w:tr>
      <w:tr w:rsidR="0050347E" w:rsidRPr="00006DF4" w14:paraId="4F7F40C4" w14:textId="77777777" w:rsidTr="00006DF4">
        <w:trPr>
          <w:cantSplit/>
        </w:trPr>
        <w:tc>
          <w:tcPr>
            <w:tcW w:w="738" w:type="dxa"/>
          </w:tcPr>
          <w:p w14:paraId="5B20D99A" w14:textId="77777777" w:rsidR="0050347E" w:rsidRPr="00006DF4" w:rsidRDefault="0050347E" w:rsidP="00337EFC">
            <w:pPr>
              <w:pStyle w:val="P68B1DB1-Normal51"/>
              <w:spacing w:before="40" w:after="40"/>
              <w:rPr>
                <w:rFonts w:ascii="Arial" w:hAnsi="Arial"/>
              </w:rPr>
            </w:pPr>
            <w:r w:rsidRPr="00006DF4">
              <w:rPr>
                <w:rFonts w:ascii="Arial" w:hAnsi="Arial"/>
              </w:rPr>
              <w:t>8.6</w:t>
            </w:r>
          </w:p>
        </w:tc>
        <w:tc>
          <w:tcPr>
            <w:tcW w:w="5622" w:type="dxa"/>
          </w:tcPr>
          <w:p w14:paraId="1648D4E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evaluaciones del nivel de impacto causado por las especies de la CAMI en los usuarios de las tierras e indicar claramente los niveles de incertidumbre y variabilidad en torno a estas estimaciones. </w:t>
            </w:r>
          </w:p>
        </w:tc>
        <w:tc>
          <w:tcPr>
            <w:tcW w:w="1939" w:type="dxa"/>
          </w:tcPr>
          <w:p w14:paraId="031D0B6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Instituciones científicas, ONG, SSC de la UICN</w:t>
            </w:r>
          </w:p>
        </w:tc>
        <w:tc>
          <w:tcPr>
            <w:tcW w:w="2490" w:type="dxa"/>
          </w:tcPr>
          <w:p w14:paraId="0C4AFB3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publicaciones científicas.</w:t>
            </w:r>
          </w:p>
        </w:tc>
        <w:tc>
          <w:tcPr>
            <w:tcW w:w="1250" w:type="dxa"/>
          </w:tcPr>
          <w:p w14:paraId="3394E299"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71C5E21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21 del GBF, Objetivo 3 del PEEM</w:t>
            </w:r>
          </w:p>
        </w:tc>
      </w:tr>
      <w:tr w:rsidR="0050347E" w:rsidRPr="00006DF4" w14:paraId="5361767E" w14:textId="77777777" w:rsidTr="00006DF4">
        <w:trPr>
          <w:cantSplit/>
        </w:trPr>
        <w:tc>
          <w:tcPr>
            <w:tcW w:w="738" w:type="dxa"/>
          </w:tcPr>
          <w:p w14:paraId="5FE48E7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8.7</w:t>
            </w:r>
          </w:p>
        </w:tc>
        <w:tc>
          <w:tcPr>
            <w:tcW w:w="5622" w:type="dxa"/>
          </w:tcPr>
          <w:p w14:paraId="5E3A87A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Investigar posibles mecanismos para evitar o reducir los impactos negativos sobre animales domésticos, cultivos, colmenas, campos de heno, pastos y otras propiedades causados por especies de la CAMI. </w:t>
            </w:r>
          </w:p>
        </w:tc>
        <w:tc>
          <w:tcPr>
            <w:tcW w:w="1939" w:type="dxa"/>
          </w:tcPr>
          <w:p w14:paraId="0674023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SSC de la UICN</w:t>
            </w:r>
          </w:p>
        </w:tc>
        <w:tc>
          <w:tcPr>
            <w:tcW w:w="2490" w:type="dxa"/>
          </w:tcPr>
          <w:p w14:paraId="2B86CAC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publicaciones científicas.</w:t>
            </w:r>
          </w:p>
        </w:tc>
        <w:tc>
          <w:tcPr>
            <w:tcW w:w="1250" w:type="dxa"/>
          </w:tcPr>
          <w:p w14:paraId="6D1F293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7CD7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y 21 del GBF, Objetivo 3 del PEEM</w:t>
            </w:r>
          </w:p>
        </w:tc>
      </w:tr>
      <w:tr w:rsidR="0050347E" w:rsidRPr="00006DF4" w14:paraId="46E50761" w14:textId="77777777" w:rsidTr="00006DF4">
        <w:trPr>
          <w:cantSplit/>
        </w:trPr>
        <w:tc>
          <w:tcPr>
            <w:tcW w:w="738" w:type="dxa"/>
          </w:tcPr>
          <w:p w14:paraId="5D0BB050" w14:textId="77777777" w:rsidR="0050347E" w:rsidRPr="00006DF4" w:rsidRDefault="0050347E" w:rsidP="00337EFC">
            <w:pPr>
              <w:pStyle w:val="P68B1DB1-Normal51"/>
              <w:spacing w:before="40" w:after="40"/>
              <w:rPr>
                <w:rFonts w:ascii="Arial" w:hAnsi="Arial"/>
              </w:rPr>
            </w:pPr>
            <w:r w:rsidRPr="00006DF4">
              <w:rPr>
                <w:rFonts w:ascii="Arial" w:hAnsi="Arial"/>
              </w:rPr>
              <w:t>8.8</w:t>
            </w:r>
          </w:p>
        </w:tc>
        <w:tc>
          <w:tcPr>
            <w:tcW w:w="5622" w:type="dxa"/>
          </w:tcPr>
          <w:p w14:paraId="2477E68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el impacto de la ganadería en las especies de la CAMI y, si es necesario, implementar medidas para conservar y favorecer la expansión de las especies de la CAMI dentro de sus hábitats.</w:t>
            </w:r>
          </w:p>
        </w:tc>
        <w:tc>
          <w:tcPr>
            <w:tcW w:w="1939" w:type="dxa"/>
          </w:tcPr>
          <w:p w14:paraId="26D3670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723D11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completa la evaluación. Se elaboran directrices para minimizar los impactos negativos sobre las especies de la CAMI. </w:t>
            </w:r>
          </w:p>
        </w:tc>
        <w:tc>
          <w:tcPr>
            <w:tcW w:w="1250" w:type="dxa"/>
          </w:tcPr>
          <w:p w14:paraId="5419CBA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CA7A80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0FE1C7B9" w14:textId="77777777" w:rsidTr="00006DF4">
        <w:trPr>
          <w:cantSplit/>
        </w:trPr>
        <w:tc>
          <w:tcPr>
            <w:tcW w:w="738" w:type="dxa"/>
          </w:tcPr>
          <w:p w14:paraId="5B58E5FC" w14:textId="77777777" w:rsidR="0050347E" w:rsidRPr="00006DF4" w:rsidRDefault="0050347E" w:rsidP="00337EFC">
            <w:pPr>
              <w:pStyle w:val="P68B1DB1-Normal51"/>
              <w:spacing w:before="40" w:after="40"/>
              <w:rPr>
                <w:rFonts w:ascii="Arial" w:hAnsi="Arial"/>
              </w:rPr>
            </w:pPr>
            <w:r w:rsidRPr="00006DF4">
              <w:rPr>
                <w:rFonts w:ascii="Arial" w:hAnsi="Arial"/>
              </w:rPr>
              <w:t>8.9</w:t>
            </w:r>
          </w:p>
        </w:tc>
        <w:tc>
          <w:tcPr>
            <w:tcW w:w="5622" w:type="dxa"/>
          </w:tcPr>
          <w:p w14:paraId="7C7BD4E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Analizar las actitudes de la población local hacia las actividades de conservación y su disposición a coexistir con las especies de la CAMI mediante la investigación social a nivel local, incluida la supervisión comunitaria participativa, y ajustar los planes de gestión en consecuencia.</w:t>
            </w:r>
          </w:p>
        </w:tc>
        <w:tc>
          <w:tcPr>
            <w:tcW w:w="1939" w:type="dxa"/>
          </w:tcPr>
          <w:p w14:paraId="35A392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ONG, instituciones científicas, SSC de la UICN </w:t>
            </w:r>
          </w:p>
        </w:tc>
        <w:tc>
          <w:tcPr>
            <w:tcW w:w="2490" w:type="dxa"/>
          </w:tcPr>
          <w:p w14:paraId="5F33AC2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y publicaciones de investigación social.</w:t>
            </w:r>
          </w:p>
        </w:tc>
        <w:tc>
          <w:tcPr>
            <w:tcW w:w="1250" w:type="dxa"/>
          </w:tcPr>
          <w:p w14:paraId="5C60BD0B"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6413D8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3 del PEEM</w:t>
            </w:r>
          </w:p>
        </w:tc>
      </w:tr>
      <w:tr w:rsidR="0050347E" w:rsidRPr="00006DF4" w14:paraId="3807C336" w14:textId="77777777" w:rsidTr="00006DF4">
        <w:trPr>
          <w:cantSplit/>
        </w:trPr>
        <w:tc>
          <w:tcPr>
            <w:tcW w:w="738" w:type="dxa"/>
          </w:tcPr>
          <w:p w14:paraId="63B7C4B8" w14:textId="77777777" w:rsidR="0050347E" w:rsidRPr="00006DF4" w:rsidRDefault="0050347E" w:rsidP="00337EFC">
            <w:pPr>
              <w:pStyle w:val="P68B1DB1-Normal51"/>
              <w:spacing w:before="40" w:after="40"/>
              <w:rPr>
                <w:rFonts w:ascii="Arial" w:hAnsi="Arial"/>
              </w:rPr>
            </w:pPr>
            <w:r w:rsidRPr="00006DF4">
              <w:rPr>
                <w:rFonts w:ascii="Arial" w:hAnsi="Arial"/>
              </w:rPr>
              <w:t>8.10</w:t>
            </w:r>
          </w:p>
        </w:tc>
        <w:tc>
          <w:tcPr>
            <w:tcW w:w="5622" w:type="dxa"/>
            <w:shd w:val="clear" w:color="auto" w:fill="FFFFFF"/>
          </w:tcPr>
          <w:p w14:paraId="1C02AFB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Cuando el agua sea una de las principales fuentes de conflicto, evaluar la disponibilidad de agua y pastos para las especies de la CAMI y desarrollar, según sea necesario y esté científicamente justificado, medidas para mejorar su conservación, incluida la salvaguarda de los puntos de agua artificiales y naturales y de las zonas de exclusión del ganado.</w:t>
            </w:r>
          </w:p>
        </w:tc>
        <w:tc>
          <w:tcPr>
            <w:tcW w:w="1939" w:type="dxa"/>
          </w:tcPr>
          <w:p w14:paraId="2E1CF141"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27600D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de evaluación y recomendaciones, revisión de publicaciones científicas.</w:t>
            </w:r>
          </w:p>
        </w:tc>
        <w:tc>
          <w:tcPr>
            <w:tcW w:w="1250" w:type="dxa"/>
          </w:tcPr>
          <w:p w14:paraId="2AEB0FC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6C8FFB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73DB3547" w14:textId="77777777" w:rsidTr="00006DF4">
        <w:trPr>
          <w:cantSplit/>
        </w:trPr>
        <w:tc>
          <w:tcPr>
            <w:tcW w:w="738" w:type="dxa"/>
          </w:tcPr>
          <w:p w14:paraId="1CD8C862" w14:textId="77777777" w:rsidR="0050347E" w:rsidRPr="00006DF4" w:rsidRDefault="0050347E" w:rsidP="00337EFC">
            <w:pPr>
              <w:pStyle w:val="P68B1DB1-Normal51"/>
              <w:spacing w:before="40" w:after="40"/>
              <w:rPr>
                <w:rFonts w:ascii="Arial" w:hAnsi="Arial"/>
              </w:rPr>
            </w:pPr>
            <w:r w:rsidRPr="00006DF4">
              <w:rPr>
                <w:rFonts w:ascii="Arial" w:hAnsi="Arial"/>
              </w:rPr>
              <w:t>8.11</w:t>
            </w:r>
          </w:p>
        </w:tc>
        <w:tc>
          <w:tcPr>
            <w:tcW w:w="5622" w:type="dxa"/>
          </w:tcPr>
          <w:p w14:paraId="438C224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Apoyar y ampliar los proyectos de mejora de los medios de subsistencia basados en incentivos y vinculados a la conservación y desarrollar nuevos programas en todas los lugares apropiados del área de distribución de la CAMI.</w:t>
            </w:r>
          </w:p>
        </w:tc>
        <w:tc>
          <w:tcPr>
            <w:tcW w:w="1939" w:type="dxa"/>
          </w:tcPr>
          <w:p w14:paraId="720CE7D8" w14:textId="77777777" w:rsidR="0050347E" w:rsidRPr="00006DF4" w:rsidRDefault="0050347E" w:rsidP="00337EFC">
            <w:pPr>
              <w:pStyle w:val="P68B1DB1-Normal51"/>
              <w:spacing w:before="40" w:after="40"/>
              <w:rPr>
                <w:rFonts w:ascii="Arial" w:hAnsi="Arial"/>
              </w:rPr>
            </w:pPr>
            <w:r w:rsidRPr="00006DF4">
              <w:rPr>
                <w:rFonts w:ascii="Arial" w:hAnsi="Arial"/>
              </w:rPr>
              <w:t>ONG, OG</w:t>
            </w:r>
          </w:p>
        </w:tc>
        <w:tc>
          <w:tcPr>
            <w:tcW w:w="2490" w:type="dxa"/>
          </w:tcPr>
          <w:p w14:paraId="74273DA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vinculan los proyectos de mejora de los medios de subsistencia (por ejemplo, mejora de las </w:t>
            </w:r>
            <w:r w:rsidRPr="00006DF4">
              <w:rPr>
                <w:rFonts w:ascii="Arial" w:hAnsi="Arial"/>
                <w:color w:val="000000" w:themeColor="text1"/>
                <w:lang w:val="es-ES"/>
              </w:rPr>
              <w:t xml:space="preserve">escuelas locales, infraestructuras) </w:t>
            </w:r>
            <w:r w:rsidRPr="00006DF4">
              <w:rPr>
                <w:rFonts w:ascii="Arial" w:hAnsi="Arial"/>
                <w:lang w:val="es-ES"/>
              </w:rPr>
              <w:t>a la conservación de las especies de la CAMI.</w:t>
            </w:r>
          </w:p>
        </w:tc>
        <w:tc>
          <w:tcPr>
            <w:tcW w:w="1250" w:type="dxa"/>
          </w:tcPr>
          <w:p w14:paraId="207631ED"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7166125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21 y 22 del GBF, Objetivo 3 del PEEM</w:t>
            </w:r>
          </w:p>
        </w:tc>
      </w:tr>
      <w:tr w:rsidR="0050347E" w:rsidRPr="00006DF4" w14:paraId="787F9AE3" w14:textId="77777777" w:rsidTr="00006DF4">
        <w:trPr>
          <w:cantSplit/>
        </w:trPr>
        <w:tc>
          <w:tcPr>
            <w:tcW w:w="738" w:type="dxa"/>
            <w:tcBorders>
              <w:bottom w:val="single" w:sz="4" w:space="0" w:color="auto"/>
            </w:tcBorders>
          </w:tcPr>
          <w:p w14:paraId="3B97C75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8.12</w:t>
            </w:r>
          </w:p>
        </w:tc>
        <w:tc>
          <w:tcPr>
            <w:tcW w:w="5622" w:type="dxa"/>
            <w:tcBorders>
              <w:bottom w:val="single" w:sz="4" w:space="0" w:color="auto"/>
            </w:tcBorders>
            <w:shd w:val="clear" w:color="auto" w:fill="FFFFFF"/>
          </w:tcPr>
          <w:p w14:paraId="48C68F9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Realizar evaluaciones de viabilidad para desarrollar ofertas turísticas relacionadas con la vida silvestre basadas en las comunidades, teniendo en cuenta la Resolución 14.17 </w:t>
            </w:r>
            <w:r w:rsidRPr="00006DF4">
              <w:rPr>
                <w:rFonts w:ascii="Arial" w:hAnsi="Arial"/>
                <w:i/>
                <w:lang w:val="es-ES"/>
              </w:rPr>
              <w:t>relativa a la participación comunitaria y los medios de subsistencia</w:t>
            </w:r>
            <w:r w:rsidRPr="00006DF4">
              <w:rPr>
                <w:rFonts w:ascii="Arial" w:hAnsi="Arial"/>
                <w:lang w:val="es-ES"/>
              </w:rPr>
              <w:t xml:space="preserve">, las recomendaciones del estudio </w:t>
            </w:r>
            <w:r w:rsidRPr="00006DF4">
              <w:rPr>
                <w:rFonts w:ascii="Arial" w:hAnsi="Arial"/>
                <w:i/>
                <w:lang w:val="es-ES"/>
              </w:rPr>
              <w:t>«Potencial para la gestión comunitaria de la vida silvestre en Asia Central»</w:t>
            </w:r>
            <w:r w:rsidRPr="00006DF4">
              <w:rPr>
                <w:rFonts w:ascii="Arial" w:hAnsi="Arial"/>
                <w:lang w:val="es-ES"/>
              </w:rPr>
              <w:t xml:space="preserve">, las estrategias nacionales de financiación (Actividad 2.2), cuando corresponda, y otras directrices. </w:t>
            </w:r>
          </w:p>
        </w:tc>
        <w:tc>
          <w:tcPr>
            <w:tcW w:w="1939" w:type="dxa"/>
            <w:tcBorders>
              <w:bottom w:val="single" w:sz="4" w:space="0" w:color="auto"/>
            </w:tcBorders>
          </w:tcPr>
          <w:p w14:paraId="047FAF43" w14:textId="77777777" w:rsidR="0050347E" w:rsidRPr="00006DF4" w:rsidRDefault="0050347E" w:rsidP="00337EFC">
            <w:pPr>
              <w:pStyle w:val="P68B1DB1-Normal51"/>
              <w:spacing w:before="40" w:after="40"/>
              <w:rPr>
                <w:rFonts w:ascii="Arial" w:hAnsi="Arial"/>
              </w:rPr>
            </w:pPr>
            <w:r w:rsidRPr="00006DF4">
              <w:rPr>
                <w:rFonts w:ascii="Arial" w:hAnsi="Arial"/>
              </w:rPr>
              <w:t>ONG, instituciones científicas, OG</w:t>
            </w:r>
          </w:p>
        </w:tc>
        <w:tc>
          <w:tcPr>
            <w:tcW w:w="2490" w:type="dxa"/>
            <w:tcBorders>
              <w:bottom w:val="single" w:sz="4" w:space="0" w:color="auto"/>
            </w:tcBorders>
          </w:tcPr>
          <w:p w14:paraId="3173462D" w14:textId="77777777" w:rsidR="0050347E" w:rsidRPr="00006DF4" w:rsidRDefault="0050347E" w:rsidP="00337EFC">
            <w:pPr>
              <w:pStyle w:val="P68B1DB1-Normal51"/>
              <w:spacing w:before="40" w:after="40"/>
              <w:rPr>
                <w:rFonts w:ascii="Arial" w:hAnsi="Arial"/>
              </w:rPr>
            </w:pPr>
            <w:r w:rsidRPr="00006DF4">
              <w:rPr>
                <w:rFonts w:ascii="Arial" w:hAnsi="Arial"/>
              </w:rPr>
              <w:t xml:space="preserve">Las evaluaciones están disponibles. </w:t>
            </w:r>
          </w:p>
        </w:tc>
        <w:tc>
          <w:tcPr>
            <w:tcW w:w="1250" w:type="dxa"/>
            <w:tcBorders>
              <w:bottom w:val="single" w:sz="4" w:space="0" w:color="auto"/>
            </w:tcBorders>
          </w:tcPr>
          <w:p w14:paraId="2E5805F7"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Borders>
              <w:bottom w:val="single" w:sz="4" w:space="0" w:color="auto"/>
            </w:tcBorders>
          </w:tcPr>
          <w:p w14:paraId="01E9918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w:t>
            </w:r>
            <w:r w:rsidRPr="00006DF4">
              <w:rPr>
                <w:rFonts w:ascii="Arial" w:hAnsi="Arial"/>
                <w:color w:val="000000" w:themeColor="text1"/>
                <w:lang w:val="es-ES"/>
              </w:rPr>
              <w:t>3</w:t>
            </w:r>
            <w:r w:rsidRPr="00006DF4">
              <w:rPr>
                <w:rFonts w:ascii="Arial" w:hAnsi="Arial"/>
                <w:lang w:val="es-ES"/>
              </w:rPr>
              <w:t xml:space="preserve"> del PEEM, Decisión n.º 11 del Consejo de Jefes de Estado de la Organización de Cooperación de Shanghái (4 de julio de 2024) </w:t>
            </w:r>
          </w:p>
        </w:tc>
      </w:tr>
      <w:tr w:rsidR="0050347E" w:rsidRPr="00006DF4" w14:paraId="002DFABB" w14:textId="77777777" w:rsidTr="00006DF4">
        <w:trPr>
          <w:cantSplit/>
        </w:trPr>
        <w:tc>
          <w:tcPr>
            <w:tcW w:w="738" w:type="dxa"/>
            <w:tcBorders>
              <w:bottom w:val="single" w:sz="4" w:space="0" w:color="auto"/>
            </w:tcBorders>
          </w:tcPr>
          <w:p w14:paraId="5265E9EE" w14:textId="77777777" w:rsidR="0050347E" w:rsidRPr="00006DF4" w:rsidRDefault="0050347E" w:rsidP="00337EFC">
            <w:pPr>
              <w:pStyle w:val="P68B1DB1-Normal51"/>
              <w:spacing w:before="40" w:after="40"/>
              <w:rPr>
                <w:rFonts w:ascii="Arial" w:hAnsi="Arial"/>
              </w:rPr>
            </w:pPr>
            <w:r w:rsidRPr="00006DF4">
              <w:rPr>
                <w:rFonts w:ascii="Arial" w:hAnsi="Arial"/>
              </w:rPr>
              <w:t>8.13</w:t>
            </w:r>
          </w:p>
        </w:tc>
        <w:tc>
          <w:tcPr>
            <w:tcW w:w="5622" w:type="dxa"/>
            <w:tcBorders>
              <w:bottom w:val="single" w:sz="4" w:space="0" w:color="auto"/>
            </w:tcBorders>
          </w:tcPr>
          <w:p w14:paraId="2ACC3CC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 la espera del resultado de la Actividad 8.12, desarrollar e implementar programas de financiación para favorecer la creación de ofertas de turismo de vida silvestre basadas en las comunidades en los Estados del área de distribución de la CAMI, a través de carteras de inversión iniciales, promoción, desarrollo de capacidades y compromisos de restitución de los ingresos turísticos a modo de inversiones en conservación.</w:t>
            </w:r>
          </w:p>
        </w:tc>
        <w:tc>
          <w:tcPr>
            <w:tcW w:w="1939" w:type="dxa"/>
            <w:tcBorders>
              <w:bottom w:val="single" w:sz="4" w:space="0" w:color="auto"/>
            </w:tcBorders>
          </w:tcPr>
          <w:p w14:paraId="78449F04" w14:textId="77777777" w:rsidR="0050347E" w:rsidRPr="00006DF4" w:rsidRDefault="0050347E" w:rsidP="00337EFC">
            <w:pPr>
              <w:pStyle w:val="P68B1DB1-Normal51"/>
              <w:spacing w:before="40" w:after="40"/>
              <w:rPr>
                <w:rFonts w:ascii="Arial" w:hAnsi="Arial"/>
              </w:rPr>
            </w:pPr>
            <w:r w:rsidRPr="00006DF4">
              <w:rPr>
                <w:rFonts w:ascii="Arial" w:hAnsi="Arial"/>
              </w:rPr>
              <w:t>OG, ONG</w:t>
            </w:r>
          </w:p>
        </w:tc>
        <w:tc>
          <w:tcPr>
            <w:tcW w:w="2490" w:type="dxa"/>
            <w:tcBorders>
              <w:bottom w:val="single" w:sz="4" w:space="0" w:color="auto"/>
            </w:tcBorders>
          </w:tcPr>
          <w:p w14:paraId="7B955EE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Los programas de financiación están en marcha en al menos tres países. </w:t>
            </w:r>
          </w:p>
        </w:tc>
        <w:tc>
          <w:tcPr>
            <w:tcW w:w="1250" w:type="dxa"/>
            <w:tcBorders>
              <w:bottom w:val="single" w:sz="4" w:space="0" w:color="auto"/>
            </w:tcBorders>
          </w:tcPr>
          <w:p w14:paraId="2C66A6E6"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Borders>
              <w:bottom w:val="single" w:sz="4" w:space="0" w:color="auto"/>
            </w:tcBorders>
          </w:tcPr>
          <w:p w14:paraId="791D9D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22 y 20 del GBF, Objetivo 4 del PEEM</w:t>
            </w:r>
          </w:p>
        </w:tc>
      </w:tr>
      <w:tr w:rsidR="0050347E" w:rsidRPr="00006DF4" w14:paraId="3C786B0C" w14:textId="77777777" w:rsidTr="00006DF4">
        <w:trPr>
          <w:cantSplit/>
        </w:trPr>
        <w:tc>
          <w:tcPr>
            <w:tcW w:w="738" w:type="dxa"/>
            <w:tcBorders>
              <w:bottom w:val="single" w:sz="4" w:space="0" w:color="auto"/>
            </w:tcBorders>
          </w:tcPr>
          <w:p w14:paraId="7EF88304" w14:textId="77777777" w:rsidR="0050347E" w:rsidRPr="00006DF4" w:rsidRDefault="0050347E" w:rsidP="00337EFC">
            <w:pPr>
              <w:pStyle w:val="P68B1DB1-Normal51"/>
              <w:spacing w:before="40" w:after="40"/>
              <w:rPr>
                <w:rFonts w:ascii="Arial" w:hAnsi="Arial"/>
              </w:rPr>
            </w:pPr>
            <w:r w:rsidRPr="00006DF4">
              <w:rPr>
                <w:rFonts w:ascii="Arial" w:hAnsi="Arial"/>
              </w:rPr>
              <w:t>8.14</w:t>
            </w:r>
          </w:p>
        </w:tc>
        <w:tc>
          <w:tcPr>
            <w:tcW w:w="5622" w:type="dxa"/>
            <w:tcBorders>
              <w:bottom w:val="single" w:sz="4" w:space="0" w:color="auto"/>
            </w:tcBorders>
          </w:tcPr>
          <w:p w14:paraId="1EC71B4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o mejorar los regímenes de control para perros salvajes, perros sueltos y perros pastores. </w:t>
            </w:r>
          </w:p>
        </w:tc>
        <w:tc>
          <w:tcPr>
            <w:tcW w:w="1939" w:type="dxa"/>
            <w:tcBorders>
              <w:bottom w:val="single" w:sz="4" w:space="0" w:color="auto"/>
            </w:tcBorders>
          </w:tcPr>
          <w:p w14:paraId="576F41F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comunidades locales</w:t>
            </w:r>
          </w:p>
        </w:tc>
        <w:tc>
          <w:tcPr>
            <w:tcW w:w="2490" w:type="dxa"/>
            <w:tcBorders>
              <w:bottom w:val="single" w:sz="4" w:space="0" w:color="auto"/>
            </w:tcBorders>
          </w:tcPr>
          <w:p w14:paraId="6241CD1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Reducción de la población de perros sueltos. </w:t>
            </w:r>
          </w:p>
        </w:tc>
        <w:tc>
          <w:tcPr>
            <w:tcW w:w="1250" w:type="dxa"/>
            <w:tcBorders>
              <w:bottom w:val="single" w:sz="4" w:space="0" w:color="auto"/>
            </w:tcBorders>
          </w:tcPr>
          <w:p w14:paraId="1166901A"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26B302A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53679DC2" w14:textId="77777777" w:rsidTr="00006DF4">
        <w:trPr>
          <w:cantSplit/>
        </w:trPr>
        <w:tc>
          <w:tcPr>
            <w:tcW w:w="14000" w:type="dxa"/>
            <w:gridSpan w:val="6"/>
            <w:tcBorders>
              <w:top w:val="nil"/>
            </w:tcBorders>
            <w:shd w:val="clear" w:color="auto" w:fill="B3E5A1"/>
            <w:vAlign w:val="center"/>
          </w:tcPr>
          <w:p w14:paraId="72AF8AAA" w14:textId="77777777" w:rsidR="0050347E" w:rsidRPr="00006DF4" w:rsidRDefault="0050347E" w:rsidP="00337EFC">
            <w:pPr>
              <w:pStyle w:val="P68B1DB1-Normal48"/>
              <w:spacing w:before="40" w:after="40"/>
              <w:jc w:val="both"/>
              <w:rPr>
                <w:rFonts w:ascii="Arial" w:hAnsi="Arial"/>
              </w:rPr>
            </w:pPr>
            <w:r w:rsidRPr="00006DF4">
              <w:rPr>
                <w:rFonts w:ascii="Arial" w:hAnsi="Arial"/>
              </w:rPr>
              <w:t>9. Una sola salud</w:t>
            </w:r>
          </w:p>
        </w:tc>
      </w:tr>
      <w:tr w:rsidR="0050347E" w:rsidRPr="00006DF4" w14:paraId="101DD90C" w14:textId="77777777" w:rsidTr="00006DF4">
        <w:trPr>
          <w:cantSplit/>
        </w:trPr>
        <w:tc>
          <w:tcPr>
            <w:tcW w:w="738" w:type="dxa"/>
          </w:tcPr>
          <w:p w14:paraId="491BFB03" w14:textId="77777777" w:rsidR="0050347E" w:rsidRPr="00006DF4" w:rsidRDefault="0050347E" w:rsidP="00337EFC">
            <w:pPr>
              <w:pStyle w:val="P68B1DB1-Normal51"/>
              <w:spacing w:before="40" w:after="40"/>
              <w:rPr>
                <w:rFonts w:ascii="Arial" w:hAnsi="Arial"/>
              </w:rPr>
            </w:pPr>
            <w:r w:rsidRPr="00006DF4">
              <w:rPr>
                <w:rFonts w:ascii="Arial" w:hAnsi="Arial"/>
              </w:rPr>
              <w:t>9.1</w:t>
            </w:r>
          </w:p>
        </w:tc>
        <w:tc>
          <w:tcPr>
            <w:tcW w:w="5622" w:type="dxa"/>
          </w:tcPr>
          <w:p w14:paraId="51796C4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Integrar el enfoque «Una sola salud» en la legislación y los marcos normativos nacionales y regionales. </w:t>
            </w:r>
          </w:p>
        </w:tc>
        <w:tc>
          <w:tcPr>
            <w:tcW w:w="1939" w:type="dxa"/>
          </w:tcPr>
          <w:p w14:paraId="3A3B662A" w14:textId="77777777" w:rsidR="0050347E" w:rsidRPr="00006DF4" w:rsidRDefault="0050347E" w:rsidP="00337EFC">
            <w:pPr>
              <w:pStyle w:val="P68B1DB1-Normal51"/>
              <w:spacing w:before="40" w:after="40"/>
              <w:rPr>
                <w:rFonts w:ascii="Arial" w:hAnsi="Arial"/>
              </w:rPr>
            </w:pPr>
            <w:r w:rsidRPr="00006DF4">
              <w:rPr>
                <w:rFonts w:ascii="Arial" w:hAnsi="Arial"/>
              </w:rPr>
              <w:t>OG, ONG, organizaciones sanitarias</w:t>
            </w:r>
          </w:p>
        </w:tc>
        <w:tc>
          <w:tcPr>
            <w:tcW w:w="2490" w:type="dxa"/>
          </w:tcPr>
          <w:p w14:paraId="13CB1D9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Número de marcos legislativos y normativos con el enfoque «Una sola salud» integrado.</w:t>
            </w:r>
          </w:p>
        </w:tc>
        <w:tc>
          <w:tcPr>
            <w:tcW w:w="1250" w:type="dxa"/>
          </w:tcPr>
          <w:p w14:paraId="723B1CD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0CF69E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5 y 23 del GBF, Objetivo 3 del PEEM</w:t>
            </w:r>
          </w:p>
        </w:tc>
      </w:tr>
      <w:tr w:rsidR="0050347E" w:rsidRPr="00006DF4" w14:paraId="4F286281" w14:textId="77777777" w:rsidTr="00006DF4">
        <w:trPr>
          <w:cantSplit/>
        </w:trPr>
        <w:tc>
          <w:tcPr>
            <w:tcW w:w="738" w:type="dxa"/>
          </w:tcPr>
          <w:p w14:paraId="641C61F2" w14:textId="77777777" w:rsidR="0050347E" w:rsidRPr="00006DF4" w:rsidRDefault="0050347E" w:rsidP="00337EFC">
            <w:pPr>
              <w:pStyle w:val="P68B1DB1-Normal51"/>
              <w:spacing w:before="40" w:after="40"/>
              <w:rPr>
                <w:rFonts w:ascii="Arial" w:hAnsi="Arial"/>
              </w:rPr>
            </w:pPr>
            <w:r w:rsidRPr="00006DF4">
              <w:rPr>
                <w:rFonts w:ascii="Arial" w:hAnsi="Arial"/>
              </w:rPr>
              <w:t>9.2</w:t>
            </w:r>
          </w:p>
          <w:p w14:paraId="2FE670C9" w14:textId="77777777" w:rsidR="0050347E" w:rsidRPr="00006DF4" w:rsidRDefault="0050347E" w:rsidP="00337EFC">
            <w:pPr>
              <w:spacing w:before="40" w:after="40"/>
              <w:rPr>
                <w:rFonts w:ascii="Arial" w:eastAsia="Aptos" w:hAnsi="Arial" w:cs="Arial"/>
                <w:sz w:val="20"/>
              </w:rPr>
            </w:pPr>
          </w:p>
        </w:tc>
        <w:tc>
          <w:tcPr>
            <w:tcW w:w="5622" w:type="dxa"/>
          </w:tcPr>
          <w:p w14:paraId="368189C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Adoptar o actualizar los procedimientos operativos estándar para dar respuestas rápidas a los brotes de enfermedades en la fauna silvestre y establecer o respaldar a equipos de respuesta rápida y desarrollar sus capacidades para documentar, examinar y tomar muestras de cadáveres de animales silvestres.</w:t>
            </w:r>
          </w:p>
        </w:tc>
        <w:tc>
          <w:tcPr>
            <w:tcW w:w="1939" w:type="dxa"/>
          </w:tcPr>
          <w:p w14:paraId="228EE74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F4AE4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crean equipos de respuesta rápida y se desarrollan sus capacidades. </w:t>
            </w:r>
          </w:p>
        </w:tc>
        <w:tc>
          <w:tcPr>
            <w:tcW w:w="1250" w:type="dxa"/>
          </w:tcPr>
          <w:p w14:paraId="573F63B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5E28C2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20 del GBF, Objetivos 1 y 3 del PEEM</w:t>
            </w:r>
          </w:p>
        </w:tc>
      </w:tr>
      <w:tr w:rsidR="0050347E" w:rsidRPr="00006DF4" w14:paraId="57EF8561" w14:textId="77777777" w:rsidTr="00006DF4">
        <w:trPr>
          <w:cantSplit/>
        </w:trPr>
        <w:tc>
          <w:tcPr>
            <w:tcW w:w="738" w:type="dxa"/>
          </w:tcPr>
          <w:p w14:paraId="5B57C5A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9.3</w:t>
            </w:r>
          </w:p>
        </w:tc>
        <w:tc>
          <w:tcPr>
            <w:tcW w:w="5622" w:type="dxa"/>
          </w:tcPr>
          <w:p w14:paraId="5145985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Utilizar las plataformas existentes, como el Sistema Mundial de Información Zoosanitaria (WAHIS), la iniciativa «Una sola salud» de la OMS y el Grupo de Trabajo del PNUMA/CMS sobre Especies Migratorias y Salud, y establecer grupos de contacto transfronterizos sobre enfermedades de la fauna silvestre para propiciar el intercambio transfronterizo y oportuno de información sobre brotes de enfermedades y medidas coordinadas.</w:t>
            </w:r>
          </w:p>
        </w:tc>
        <w:tc>
          <w:tcPr>
            <w:tcW w:w="1939" w:type="dxa"/>
          </w:tcPr>
          <w:p w14:paraId="75F310AF"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08D3EE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utilizan las plataformas existentes y se establecen los grupos de contacto pertinentes antes de finales de 2029.</w:t>
            </w:r>
          </w:p>
        </w:tc>
        <w:tc>
          <w:tcPr>
            <w:tcW w:w="1250" w:type="dxa"/>
          </w:tcPr>
          <w:p w14:paraId="457D1799"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6AFF1C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5 y 20 del GBF; Objetivos 1 y 3 del PEEM</w:t>
            </w:r>
          </w:p>
        </w:tc>
      </w:tr>
      <w:tr w:rsidR="0050347E" w:rsidRPr="00006DF4" w14:paraId="334A3DD3" w14:textId="77777777" w:rsidTr="00006DF4">
        <w:trPr>
          <w:cantSplit/>
        </w:trPr>
        <w:tc>
          <w:tcPr>
            <w:tcW w:w="738" w:type="dxa"/>
          </w:tcPr>
          <w:p w14:paraId="1ADCCE9B" w14:textId="77777777" w:rsidR="0050347E" w:rsidRPr="00006DF4" w:rsidRDefault="0050347E" w:rsidP="00337EFC">
            <w:pPr>
              <w:pStyle w:val="P68B1DB1-Normal51"/>
              <w:spacing w:before="40" w:after="40"/>
              <w:rPr>
                <w:rFonts w:ascii="Arial" w:hAnsi="Arial"/>
              </w:rPr>
            </w:pPr>
            <w:r w:rsidRPr="00006DF4">
              <w:rPr>
                <w:rFonts w:ascii="Arial" w:hAnsi="Arial"/>
              </w:rPr>
              <w:t>9.4</w:t>
            </w:r>
          </w:p>
        </w:tc>
        <w:tc>
          <w:tcPr>
            <w:tcW w:w="5622" w:type="dxa"/>
          </w:tcPr>
          <w:p w14:paraId="23EEC72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y hacer cumplir las regulaciones nacionales de vacunación y apoyar a las instituciones locales pertinentes en relación con la vacunación selectiva del ganado y los perros pastores contra enfermedades infecciosas/hibridación cuando compartan el mismo entorno con especies de la CAMI.</w:t>
            </w:r>
          </w:p>
        </w:tc>
        <w:tc>
          <w:tcPr>
            <w:tcW w:w="1939" w:type="dxa"/>
          </w:tcPr>
          <w:p w14:paraId="1A5B21E0"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sector privado </w:t>
            </w:r>
          </w:p>
        </w:tc>
        <w:tc>
          <w:tcPr>
            <w:tcW w:w="2490" w:type="dxa"/>
          </w:tcPr>
          <w:p w14:paraId="352F47C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y hacen cumplir las regulaciones de vacunación.</w:t>
            </w:r>
          </w:p>
          <w:p w14:paraId="71E12F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Porcentaje de ganado vacunado a finales de 2032.</w:t>
            </w:r>
          </w:p>
        </w:tc>
        <w:tc>
          <w:tcPr>
            <w:tcW w:w="1250" w:type="dxa"/>
          </w:tcPr>
          <w:p w14:paraId="66EDE06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EC694E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4 y 5 del GBF, Objetivo 1 del PEEM</w:t>
            </w:r>
          </w:p>
        </w:tc>
      </w:tr>
      <w:tr w:rsidR="0050347E" w:rsidRPr="00006DF4" w14:paraId="4569CB3C" w14:textId="77777777" w:rsidTr="00006DF4">
        <w:trPr>
          <w:cantSplit/>
        </w:trPr>
        <w:tc>
          <w:tcPr>
            <w:tcW w:w="738" w:type="dxa"/>
          </w:tcPr>
          <w:p w14:paraId="4232A96F" w14:textId="77777777" w:rsidR="0050347E" w:rsidRPr="00006DF4" w:rsidRDefault="0050347E" w:rsidP="00337EFC">
            <w:pPr>
              <w:pStyle w:val="P68B1DB1-Normal51"/>
              <w:spacing w:before="40" w:after="40"/>
              <w:rPr>
                <w:rFonts w:ascii="Arial" w:hAnsi="Arial"/>
              </w:rPr>
            </w:pPr>
            <w:r w:rsidRPr="00006DF4">
              <w:rPr>
                <w:rFonts w:ascii="Arial" w:hAnsi="Arial"/>
              </w:rPr>
              <w:t>9.5</w:t>
            </w:r>
          </w:p>
        </w:tc>
        <w:tc>
          <w:tcPr>
            <w:tcW w:w="5622" w:type="dxa"/>
          </w:tcPr>
          <w:p w14:paraId="2C9AE2B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Identificar y mapear los puntos de agua importantes para la vida silvestre y estudiar soluciones para separar su uso entre la vida silvestre y el ganado, teniendo en cuenta los cambios previstos en la disponibilidad de agua debido al cambio climático. </w:t>
            </w:r>
          </w:p>
        </w:tc>
        <w:tc>
          <w:tcPr>
            <w:tcW w:w="1939" w:type="dxa"/>
          </w:tcPr>
          <w:p w14:paraId="4CF93737"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instituciones científicas, ONG, comunidades locales </w:t>
            </w:r>
          </w:p>
        </w:tc>
        <w:tc>
          <w:tcPr>
            <w:tcW w:w="2490" w:type="dxa"/>
          </w:tcPr>
          <w:p w14:paraId="0FC8088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Mapas de puntos de agua importantes para la vida silvestre. </w:t>
            </w:r>
          </w:p>
          <w:p w14:paraId="07FD05A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Análisis de las soluciones disponibles para separar los puntos de agua entre la vida silvestre y el ganado. </w:t>
            </w:r>
          </w:p>
          <w:p w14:paraId="10CFB2B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Un taller sobre las soluciones para separar la vida silvestre y el ganado en los puntos de agua.</w:t>
            </w:r>
          </w:p>
        </w:tc>
        <w:tc>
          <w:tcPr>
            <w:tcW w:w="1250" w:type="dxa"/>
          </w:tcPr>
          <w:p w14:paraId="0B08BDE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96AE8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76AD153D" w14:textId="77777777" w:rsidTr="00006DF4">
        <w:trPr>
          <w:cantSplit/>
        </w:trPr>
        <w:tc>
          <w:tcPr>
            <w:tcW w:w="738" w:type="dxa"/>
          </w:tcPr>
          <w:p w14:paraId="06A6A999"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9.6</w:t>
            </w:r>
          </w:p>
        </w:tc>
        <w:tc>
          <w:tcPr>
            <w:tcW w:w="5622" w:type="dxa"/>
          </w:tcPr>
          <w:p w14:paraId="42C4FC2B" w14:textId="77777777" w:rsidR="0050347E" w:rsidRPr="00006DF4" w:rsidRDefault="0050347E" w:rsidP="00337EFC">
            <w:pPr>
              <w:pStyle w:val="P68B1DB1-Normal54"/>
              <w:spacing w:before="40" w:after="40"/>
              <w:jc w:val="both"/>
              <w:rPr>
                <w:rFonts w:ascii="Arial" w:eastAsia="Aptos" w:hAnsi="Arial" w:cs="Arial"/>
                <w:lang w:val="es-ES"/>
              </w:rPr>
            </w:pPr>
            <w:r w:rsidRPr="00006DF4">
              <w:rPr>
                <w:rFonts w:ascii="Arial" w:eastAsia="Aptos" w:hAnsi="Arial" w:cs="Arial"/>
                <w:lang w:val="es-ES"/>
              </w:rPr>
              <w:t>Reforzar la vigilancia de la aparición o reaparición de enfermedades y de los posibles efectos de los medicamentos utilizados con fines veterinarios y de los productos químicos (por ejemplo, en los puntos de agua) mediante un monitoreo y un muestreo armonizados de las poblaciones de ganado y especies silvestres (</w:t>
            </w:r>
            <w:r w:rsidRPr="00006DF4">
              <w:rPr>
                <w:rFonts w:ascii="Arial" w:eastAsia="Arial" w:hAnsi="Arial" w:cs="Arial"/>
                <w:u w:val="single"/>
                <w:lang w:val="es-ES"/>
              </w:rPr>
              <w:t xml:space="preserve">Resolución 11.15 </w:t>
            </w:r>
            <w:r w:rsidRPr="00006DF4">
              <w:rPr>
                <w:rFonts w:ascii="Arial" w:eastAsia="Arial" w:hAnsi="Arial" w:cs="Arial"/>
                <w:i/>
                <w:u w:val="single"/>
                <w:lang w:val="es-ES"/>
              </w:rPr>
              <w:t>relativa a la prevención del envenenamiento de aves migratorias</w:t>
            </w:r>
            <w:r w:rsidRPr="00006DF4">
              <w:rPr>
                <w:rFonts w:ascii="Arial" w:eastAsia="Arial" w:hAnsi="Arial" w:cs="Arial"/>
                <w:u w:val="single"/>
                <w:lang w:val="es-ES"/>
              </w:rPr>
              <w:t>),</w:t>
            </w:r>
            <w:r w:rsidRPr="00006DF4">
              <w:rPr>
                <w:rFonts w:ascii="Arial" w:eastAsia="Aptos" w:hAnsi="Arial" w:cs="Arial"/>
                <w:lang w:val="es-ES"/>
              </w:rPr>
              <w:t xml:space="preserve"> prestando especial atención al riesgo de enfermedades asociado a los movimientos transfronterizos de ganado, sus productos y derivados. </w:t>
            </w:r>
          </w:p>
        </w:tc>
        <w:tc>
          <w:tcPr>
            <w:tcW w:w="1939" w:type="dxa"/>
          </w:tcPr>
          <w:p w14:paraId="1A0AD03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2BE1C81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armonizan los informes de vigilancia y los protocolos. </w:t>
            </w:r>
          </w:p>
        </w:tc>
        <w:tc>
          <w:tcPr>
            <w:tcW w:w="1250" w:type="dxa"/>
          </w:tcPr>
          <w:p w14:paraId="0FC5B72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F0F3D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B6323DC" w14:textId="77777777" w:rsidTr="00006DF4">
        <w:trPr>
          <w:cantSplit/>
        </w:trPr>
        <w:tc>
          <w:tcPr>
            <w:tcW w:w="14000" w:type="dxa"/>
            <w:gridSpan w:val="6"/>
            <w:tcBorders>
              <w:top w:val="single" w:sz="4" w:space="0" w:color="auto"/>
            </w:tcBorders>
            <w:shd w:val="clear" w:color="auto" w:fill="B3E5A1"/>
          </w:tcPr>
          <w:p w14:paraId="6914BB52"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t xml:space="preserve">10. Monitoreo e investigación de especies </w:t>
            </w:r>
          </w:p>
        </w:tc>
      </w:tr>
      <w:tr w:rsidR="0050347E" w:rsidRPr="00006DF4" w14:paraId="7565BFEC" w14:textId="77777777" w:rsidTr="00006DF4">
        <w:trPr>
          <w:cantSplit/>
        </w:trPr>
        <w:tc>
          <w:tcPr>
            <w:tcW w:w="738" w:type="dxa"/>
          </w:tcPr>
          <w:p w14:paraId="05639E6B" w14:textId="77777777" w:rsidR="0050347E" w:rsidRPr="00006DF4" w:rsidRDefault="0050347E" w:rsidP="00337EFC">
            <w:pPr>
              <w:pStyle w:val="P68B1DB1-Normal51"/>
              <w:spacing w:before="40" w:after="40"/>
              <w:rPr>
                <w:rFonts w:ascii="Arial" w:hAnsi="Arial"/>
              </w:rPr>
            </w:pPr>
            <w:r w:rsidRPr="00006DF4">
              <w:rPr>
                <w:rFonts w:ascii="Arial" w:hAnsi="Arial"/>
              </w:rPr>
              <w:t>10.1</w:t>
            </w:r>
          </w:p>
        </w:tc>
        <w:tc>
          <w:tcPr>
            <w:tcW w:w="5622" w:type="dxa"/>
          </w:tcPr>
          <w:p w14:paraId="59C12D2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Recopilar datos sobre los movimientos y las migraciones de las especies de la CAMI utilizando la tecnología adecuada (incluido el análisis genético, las cámaras trampa, el seguimiento por satélite, la teledetección y la modelización de la distribución y la conectividad de las especies), prestando especial atención a la mejora de la comprensión de los impactos del desarrollo de las infraestructuras, el cambio climático y los cambios medioambientales y del uso de la tierra.  </w:t>
            </w:r>
          </w:p>
        </w:tc>
        <w:tc>
          <w:tcPr>
            <w:tcW w:w="1939" w:type="dxa"/>
          </w:tcPr>
          <w:p w14:paraId="62ED6F61"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49D6CA02"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recopilan los datos. </w:t>
            </w:r>
          </w:p>
        </w:tc>
        <w:tc>
          <w:tcPr>
            <w:tcW w:w="1250" w:type="dxa"/>
          </w:tcPr>
          <w:p w14:paraId="50108C8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5EC4D7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006DF4" w14:paraId="6029B394" w14:textId="77777777" w:rsidTr="00006DF4">
        <w:trPr>
          <w:cantSplit/>
        </w:trPr>
        <w:tc>
          <w:tcPr>
            <w:tcW w:w="738" w:type="dxa"/>
          </w:tcPr>
          <w:p w14:paraId="5B80C92D" w14:textId="77777777" w:rsidR="0050347E" w:rsidRPr="00006DF4" w:rsidRDefault="0050347E" w:rsidP="00337EFC">
            <w:pPr>
              <w:pStyle w:val="P68B1DB1-Normal51"/>
              <w:spacing w:before="40" w:after="40"/>
              <w:rPr>
                <w:rFonts w:ascii="Arial" w:hAnsi="Arial"/>
              </w:rPr>
            </w:pPr>
            <w:r w:rsidRPr="00006DF4">
              <w:rPr>
                <w:rFonts w:ascii="Arial" w:hAnsi="Arial"/>
              </w:rPr>
              <w:t>10.2</w:t>
            </w:r>
          </w:p>
        </w:tc>
        <w:tc>
          <w:tcPr>
            <w:tcW w:w="5622" w:type="dxa"/>
          </w:tcPr>
          <w:p w14:paraId="76B2BAB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Almacenar los datos obtenidos de la Actividad 10.1 en bases de datos apropiadas y utilizarlos para fundamentar la toma de decisiones, con el objetivo de mantener la conectividad de los hábitats de la vida silvestre y su comportamiento migratorio y actualizar el «Atlas de migración de mamíferos de Asia Central e infraestructuras lineales».</w:t>
            </w:r>
          </w:p>
        </w:tc>
        <w:tc>
          <w:tcPr>
            <w:tcW w:w="1939" w:type="dxa"/>
          </w:tcPr>
          <w:p w14:paraId="41B19928"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54D607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las bases de datos pertinentes y las utilizan los implementadores de la Actividad 5.8.</w:t>
            </w:r>
          </w:p>
        </w:tc>
        <w:tc>
          <w:tcPr>
            <w:tcW w:w="1250" w:type="dxa"/>
          </w:tcPr>
          <w:p w14:paraId="147B3D6E"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56F06A4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19 del GBF, Objetivo 4 del PEEM</w:t>
            </w:r>
          </w:p>
        </w:tc>
      </w:tr>
      <w:tr w:rsidR="0050347E" w:rsidRPr="00006DF4" w14:paraId="198F832E" w14:textId="77777777" w:rsidTr="00006DF4">
        <w:trPr>
          <w:cantSplit/>
        </w:trPr>
        <w:tc>
          <w:tcPr>
            <w:tcW w:w="738" w:type="dxa"/>
          </w:tcPr>
          <w:p w14:paraId="3ADB1ECA"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10.3</w:t>
            </w:r>
          </w:p>
        </w:tc>
        <w:tc>
          <w:tcPr>
            <w:tcW w:w="5622" w:type="dxa"/>
          </w:tcPr>
          <w:p w14:paraId="0339060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Organizar reuniones entre especialistas y autoridades de conservación de los Estados del área de distribución para estandarizar las metodologías y los formatos de presentación de informes; coordinar los diseños, los plazos y los emplazamientos de los estudios que se aplicarán para el monitoreo de especies y ecosistemas</w:t>
            </w:r>
            <w:r w:rsidRPr="00006DF4">
              <w:rPr>
                <w:rFonts w:ascii="Arial" w:hAnsi="Arial"/>
                <w:color w:val="000000" w:themeColor="text1"/>
                <w:lang w:val="es-ES"/>
              </w:rPr>
              <w:t xml:space="preserve">, </w:t>
            </w:r>
            <w:r w:rsidRPr="00006DF4">
              <w:rPr>
                <w:rFonts w:ascii="Arial" w:hAnsi="Arial"/>
                <w:lang w:val="es-ES"/>
              </w:rPr>
              <w:t>utilizando instrumentos específicos como SMART; y establecer los sistemas necesarios para aplicar estas metodologías a nivel local, nacional y transfronterizo.</w:t>
            </w:r>
          </w:p>
        </w:tc>
        <w:tc>
          <w:tcPr>
            <w:tcW w:w="1939" w:type="dxa"/>
          </w:tcPr>
          <w:p w14:paraId="3DA9CBF5" w14:textId="77777777" w:rsidR="0050347E" w:rsidRPr="00006DF4" w:rsidRDefault="0050347E" w:rsidP="00337EFC">
            <w:pPr>
              <w:pStyle w:val="P68B1DB1-Normal51"/>
              <w:spacing w:before="40" w:after="40"/>
              <w:rPr>
                <w:rFonts w:ascii="Arial" w:hAnsi="Arial"/>
              </w:rPr>
            </w:pPr>
            <w:r w:rsidRPr="00006DF4">
              <w:rPr>
                <w:rFonts w:ascii="Arial" w:hAnsi="Arial"/>
              </w:rPr>
              <w:t>OG, ONG, organizaciones científicas</w:t>
            </w:r>
          </w:p>
        </w:tc>
        <w:tc>
          <w:tcPr>
            <w:tcW w:w="2490" w:type="dxa"/>
          </w:tcPr>
          <w:p w14:paraId="360248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sistemas, se armonizan los estándares y se comparten y aplican los datos.</w:t>
            </w:r>
          </w:p>
        </w:tc>
        <w:tc>
          <w:tcPr>
            <w:tcW w:w="1250" w:type="dxa"/>
          </w:tcPr>
          <w:p w14:paraId="10A166F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AF73A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17 y 20 del GBF, Objetivo 4 del PEEM</w:t>
            </w:r>
          </w:p>
        </w:tc>
      </w:tr>
      <w:tr w:rsidR="0050347E" w:rsidRPr="00006DF4" w14:paraId="5D5ADCC6" w14:textId="77777777" w:rsidTr="00006DF4">
        <w:trPr>
          <w:cantSplit/>
        </w:trPr>
        <w:tc>
          <w:tcPr>
            <w:tcW w:w="738" w:type="dxa"/>
          </w:tcPr>
          <w:p w14:paraId="31A84AC3" w14:textId="77777777" w:rsidR="0050347E" w:rsidRPr="00006DF4" w:rsidRDefault="0050347E" w:rsidP="00337EFC">
            <w:pPr>
              <w:pStyle w:val="P68B1DB1-Normal51"/>
              <w:spacing w:before="40" w:after="40"/>
              <w:rPr>
                <w:rFonts w:ascii="Arial" w:hAnsi="Arial"/>
              </w:rPr>
            </w:pPr>
            <w:r w:rsidRPr="00006DF4">
              <w:rPr>
                <w:rFonts w:ascii="Arial" w:hAnsi="Arial"/>
              </w:rPr>
              <w:t>10.4</w:t>
            </w:r>
          </w:p>
        </w:tc>
        <w:tc>
          <w:tcPr>
            <w:tcW w:w="5622" w:type="dxa"/>
          </w:tcPr>
          <w:p w14:paraId="2048E68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periódicamente el tamaño de las poblaciones, la distribución y, cuando sea posible, la reproducción y la proporción de sexos de las especies de la CAMI, utilizando las metodologías y directrices descritas en la Actividad 10.3 u otros enfoques científicos óptimos disponibles.</w:t>
            </w:r>
          </w:p>
        </w:tc>
        <w:tc>
          <w:tcPr>
            <w:tcW w:w="1939" w:type="dxa"/>
          </w:tcPr>
          <w:p w14:paraId="27C0415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596F22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Hay disponibles informes y publicaciones sobre los datos de las poblaciones (por ejemplo, publicaciones científicas). </w:t>
            </w:r>
          </w:p>
        </w:tc>
        <w:tc>
          <w:tcPr>
            <w:tcW w:w="1250" w:type="dxa"/>
          </w:tcPr>
          <w:p w14:paraId="5AD4BCAD"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E57120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5 del PEEM</w:t>
            </w:r>
          </w:p>
        </w:tc>
      </w:tr>
      <w:tr w:rsidR="0050347E" w:rsidRPr="00006DF4" w14:paraId="73021F2E" w14:textId="77777777" w:rsidTr="00006DF4">
        <w:trPr>
          <w:cantSplit/>
        </w:trPr>
        <w:tc>
          <w:tcPr>
            <w:tcW w:w="738" w:type="dxa"/>
          </w:tcPr>
          <w:p w14:paraId="01D4700D" w14:textId="77777777" w:rsidR="0050347E" w:rsidRPr="00006DF4" w:rsidRDefault="0050347E" w:rsidP="00337EFC">
            <w:pPr>
              <w:pStyle w:val="P68B1DB1-Normal51"/>
              <w:spacing w:before="40" w:after="40"/>
              <w:rPr>
                <w:rFonts w:ascii="Arial" w:hAnsi="Arial"/>
              </w:rPr>
            </w:pPr>
            <w:r w:rsidRPr="00006DF4">
              <w:rPr>
                <w:rFonts w:ascii="Arial" w:hAnsi="Arial"/>
              </w:rPr>
              <w:t>10.5</w:t>
            </w:r>
          </w:p>
        </w:tc>
        <w:tc>
          <w:tcPr>
            <w:tcW w:w="5622" w:type="dxa"/>
          </w:tcPr>
          <w:p w14:paraId="4DDB473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Utilizando los resultados de 10.4, obtener estimaciones fiables y comparables para hacer un seguimiento de las tendencias de las poblaciones y fundamentar los trabajos de conservación y, cuando proceda, las políticas de gestión.</w:t>
            </w:r>
          </w:p>
        </w:tc>
        <w:tc>
          <w:tcPr>
            <w:tcW w:w="1939" w:type="dxa"/>
          </w:tcPr>
          <w:p w14:paraId="7047CE10"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0DB93EC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utilizan las evaluaciones para fundamentar las políticas de conservación y gestión.</w:t>
            </w:r>
          </w:p>
        </w:tc>
        <w:tc>
          <w:tcPr>
            <w:tcW w:w="1250" w:type="dxa"/>
          </w:tcPr>
          <w:p w14:paraId="16AA925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8BCEDF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5 del PEEM</w:t>
            </w:r>
          </w:p>
        </w:tc>
      </w:tr>
      <w:tr w:rsidR="0050347E" w:rsidRPr="00006DF4" w14:paraId="7A6091B3" w14:textId="77777777" w:rsidTr="00006DF4">
        <w:trPr>
          <w:cantSplit/>
        </w:trPr>
        <w:tc>
          <w:tcPr>
            <w:tcW w:w="738" w:type="dxa"/>
          </w:tcPr>
          <w:p w14:paraId="33730A9E" w14:textId="77777777" w:rsidR="0050347E" w:rsidRPr="00006DF4" w:rsidRDefault="0050347E" w:rsidP="00337EFC">
            <w:pPr>
              <w:pStyle w:val="P68B1DB1-Normal51"/>
              <w:spacing w:before="40" w:after="40"/>
              <w:rPr>
                <w:rFonts w:ascii="Arial" w:hAnsi="Arial"/>
              </w:rPr>
            </w:pPr>
            <w:r w:rsidRPr="00006DF4">
              <w:rPr>
                <w:rFonts w:ascii="Arial" w:hAnsi="Arial"/>
              </w:rPr>
              <w:t>10.6</w:t>
            </w:r>
          </w:p>
        </w:tc>
        <w:tc>
          <w:tcPr>
            <w:tcW w:w="5622" w:type="dxa"/>
          </w:tcPr>
          <w:p w14:paraId="5F6B203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Formar a los organismos pertinentes, a los guardabosques, a los guardias fronterizos (si procede) y al personal de las instituciones científicas en el uso de directrices/manuales estandarizados para el monitoreo de las poblaciones transfronterizas, según sea necesario.</w:t>
            </w:r>
          </w:p>
        </w:tc>
        <w:tc>
          <w:tcPr>
            <w:tcW w:w="1939" w:type="dxa"/>
          </w:tcPr>
          <w:p w14:paraId="2BC0EA5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SSC de la UICN, instituciones científicas</w:t>
            </w:r>
          </w:p>
        </w:tc>
        <w:tc>
          <w:tcPr>
            <w:tcW w:w="2490" w:type="dxa"/>
          </w:tcPr>
          <w:p w14:paraId="22EB53E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Hay directrices/manuales disponibles e informes de formación.</w:t>
            </w:r>
          </w:p>
        </w:tc>
        <w:tc>
          <w:tcPr>
            <w:tcW w:w="1250" w:type="dxa"/>
          </w:tcPr>
          <w:p w14:paraId="38FE197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0723903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Objetivos 4 y 5 del PEEM</w:t>
            </w:r>
          </w:p>
        </w:tc>
      </w:tr>
      <w:tr w:rsidR="0050347E" w:rsidRPr="00006DF4" w14:paraId="7038A881" w14:textId="77777777" w:rsidTr="00006DF4">
        <w:trPr>
          <w:cantSplit/>
        </w:trPr>
        <w:tc>
          <w:tcPr>
            <w:tcW w:w="738" w:type="dxa"/>
          </w:tcPr>
          <w:p w14:paraId="65C28CAA" w14:textId="77777777" w:rsidR="0050347E" w:rsidRPr="00006DF4" w:rsidRDefault="0050347E" w:rsidP="00337EFC">
            <w:pPr>
              <w:pStyle w:val="P68B1DB1-Normal51"/>
              <w:spacing w:before="40" w:after="40"/>
              <w:rPr>
                <w:rFonts w:ascii="Arial" w:hAnsi="Arial"/>
              </w:rPr>
            </w:pPr>
            <w:r w:rsidRPr="00006DF4">
              <w:rPr>
                <w:rFonts w:ascii="Arial" w:hAnsi="Arial"/>
              </w:rPr>
              <w:t>10.7</w:t>
            </w:r>
          </w:p>
        </w:tc>
        <w:tc>
          <w:tcPr>
            <w:tcW w:w="5622" w:type="dxa"/>
          </w:tcPr>
          <w:p w14:paraId="739B53B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Identificar y utilizar las plataformas de intercambio de datos adecuadas y los posibles socios para almacenar e intercambiar datos sobre las especies de la CAMI.</w:t>
            </w:r>
          </w:p>
        </w:tc>
        <w:tc>
          <w:tcPr>
            <w:tcW w:w="1939" w:type="dxa"/>
          </w:tcPr>
          <w:p w14:paraId="28E753E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SSC de la UICN, instituciones científicas</w:t>
            </w:r>
          </w:p>
        </w:tc>
        <w:tc>
          <w:tcPr>
            <w:tcW w:w="2490" w:type="dxa"/>
          </w:tcPr>
          <w:p w14:paraId="4D8B404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establecen acuerdos de intercambio de datos y bases de datos.</w:t>
            </w:r>
          </w:p>
          <w:p w14:paraId="722EB352" w14:textId="77777777" w:rsidR="0050347E" w:rsidRPr="00006DF4" w:rsidRDefault="0050347E" w:rsidP="00337EFC">
            <w:pPr>
              <w:spacing w:before="40" w:after="40"/>
              <w:rPr>
                <w:rFonts w:ascii="Arial" w:eastAsia="Aptos" w:hAnsi="Arial" w:cs="Arial"/>
                <w:sz w:val="20"/>
                <w:lang w:val="es-ES"/>
              </w:rPr>
            </w:pPr>
          </w:p>
        </w:tc>
        <w:tc>
          <w:tcPr>
            <w:tcW w:w="1250" w:type="dxa"/>
          </w:tcPr>
          <w:p w14:paraId="04A2397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E835AA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006DF4" w14:paraId="7E0B0C32" w14:textId="77777777" w:rsidTr="00006DF4">
        <w:trPr>
          <w:cantSplit/>
        </w:trPr>
        <w:tc>
          <w:tcPr>
            <w:tcW w:w="738" w:type="dxa"/>
          </w:tcPr>
          <w:p w14:paraId="48A54AC8" w14:textId="77777777" w:rsidR="0050347E" w:rsidRPr="00006DF4" w:rsidRDefault="0050347E" w:rsidP="00337EFC">
            <w:pPr>
              <w:pStyle w:val="P68B1DB1-Normal51"/>
              <w:spacing w:before="40" w:after="40"/>
              <w:rPr>
                <w:rFonts w:ascii="Arial" w:hAnsi="Arial"/>
              </w:rPr>
            </w:pPr>
            <w:r w:rsidRPr="00006DF4">
              <w:rPr>
                <w:rFonts w:ascii="Arial" w:hAnsi="Arial"/>
              </w:rPr>
              <w:t>10.8</w:t>
            </w:r>
          </w:p>
        </w:tc>
        <w:tc>
          <w:tcPr>
            <w:tcW w:w="5622" w:type="dxa"/>
          </w:tcPr>
          <w:p w14:paraId="0832C67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grupos de expertos para implementar 10.6 y 10.7 y otras actividades relevantes de la Sección 10 y garantizar los recursos para su implementación. </w:t>
            </w:r>
          </w:p>
        </w:tc>
        <w:tc>
          <w:tcPr>
            <w:tcW w:w="1939" w:type="dxa"/>
          </w:tcPr>
          <w:p w14:paraId="1EF51EC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Secretaría de la CMS</w:t>
            </w:r>
          </w:p>
        </w:tc>
        <w:tc>
          <w:tcPr>
            <w:tcW w:w="2490" w:type="dxa"/>
          </w:tcPr>
          <w:p w14:paraId="3CAA4D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establecen los grupos de expertos.</w:t>
            </w:r>
          </w:p>
        </w:tc>
        <w:tc>
          <w:tcPr>
            <w:tcW w:w="1250" w:type="dxa"/>
          </w:tcPr>
          <w:p w14:paraId="6C662AB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682ABF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4 del PEEM</w:t>
            </w:r>
          </w:p>
        </w:tc>
      </w:tr>
      <w:tr w:rsidR="0050347E" w:rsidRPr="00006DF4" w14:paraId="033A87E2" w14:textId="77777777" w:rsidTr="00006DF4">
        <w:trPr>
          <w:cantSplit/>
        </w:trPr>
        <w:tc>
          <w:tcPr>
            <w:tcW w:w="738" w:type="dxa"/>
          </w:tcPr>
          <w:p w14:paraId="08DFDD98"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10.9</w:t>
            </w:r>
          </w:p>
        </w:tc>
        <w:tc>
          <w:tcPr>
            <w:tcW w:w="5622" w:type="dxa"/>
          </w:tcPr>
          <w:p w14:paraId="0F44B46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Facilitar el intercambio de información, datos, informes y experiencias entre los actores a diferentes niveles en los Estados del área de distribución y promover el análisis conjunto de los datos.</w:t>
            </w:r>
          </w:p>
        </w:tc>
        <w:tc>
          <w:tcPr>
            <w:tcW w:w="1939" w:type="dxa"/>
          </w:tcPr>
          <w:p w14:paraId="59C9EFB8"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grupo de expertos de 10.8</w:t>
            </w:r>
          </w:p>
        </w:tc>
        <w:tc>
          <w:tcPr>
            <w:tcW w:w="2490" w:type="dxa"/>
          </w:tcPr>
          <w:p w14:paraId="32FE3BF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organizan reuniones y seminarios web para facilitar el intercambio de información dentro de las RTPC, se establecen mecanismos de intercambio de información y se elaboran publicaciones conjuntas.</w:t>
            </w:r>
          </w:p>
        </w:tc>
        <w:tc>
          <w:tcPr>
            <w:tcW w:w="1250" w:type="dxa"/>
          </w:tcPr>
          <w:p w14:paraId="5E4E34B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94911B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17, 19 y 20 del GBF, Objetivo 4 del PEEM</w:t>
            </w:r>
          </w:p>
        </w:tc>
      </w:tr>
      <w:tr w:rsidR="0050347E" w:rsidRPr="00006DF4" w14:paraId="4DEBC244" w14:textId="77777777" w:rsidTr="00006DF4">
        <w:trPr>
          <w:cantSplit/>
        </w:trPr>
        <w:tc>
          <w:tcPr>
            <w:tcW w:w="738" w:type="dxa"/>
          </w:tcPr>
          <w:p w14:paraId="777BA544" w14:textId="77777777" w:rsidR="0050347E" w:rsidRPr="00006DF4" w:rsidRDefault="0050347E" w:rsidP="00337EFC">
            <w:pPr>
              <w:pStyle w:val="P68B1DB1-Normal51"/>
              <w:spacing w:before="40" w:after="40"/>
              <w:rPr>
                <w:rFonts w:ascii="Arial" w:hAnsi="Arial"/>
              </w:rPr>
            </w:pPr>
            <w:r w:rsidRPr="00006DF4">
              <w:rPr>
                <w:rFonts w:ascii="Arial" w:hAnsi="Arial"/>
              </w:rPr>
              <w:t>10.10</w:t>
            </w:r>
          </w:p>
        </w:tc>
        <w:tc>
          <w:tcPr>
            <w:tcW w:w="5622" w:type="dxa"/>
          </w:tcPr>
          <w:p w14:paraId="5D801C7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Actualizar las evaluaciones obsoletas de la Lista Roja de la UICN para las especies de la CAMI, como por ejemplo el camello bactriano o la gacela persa. </w:t>
            </w:r>
          </w:p>
        </w:tc>
        <w:tc>
          <w:tcPr>
            <w:tcW w:w="1939" w:type="dxa"/>
          </w:tcPr>
          <w:p w14:paraId="16CFD37A" w14:textId="77777777" w:rsidR="0050347E" w:rsidRPr="00006DF4" w:rsidRDefault="0050347E" w:rsidP="00337EFC">
            <w:pPr>
              <w:pStyle w:val="P68B1DB1-Normal51"/>
              <w:spacing w:before="40" w:after="40"/>
              <w:rPr>
                <w:rFonts w:ascii="Arial" w:hAnsi="Arial"/>
              </w:rPr>
            </w:pPr>
            <w:r w:rsidRPr="00006DF4">
              <w:rPr>
                <w:rFonts w:ascii="Arial" w:hAnsi="Arial"/>
              </w:rPr>
              <w:t>ONG, instituciones científicas</w:t>
            </w:r>
          </w:p>
        </w:tc>
        <w:tc>
          <w:tcPr>
            <w:tcW w:w="2490" w:type="dxa"/>
          </w:tcPr>
          <w:p w14:paraId="3DF09A2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actualizan las evaluaciones de la Lista Roja de la UICN para las especies de la CAMI.</w:t>
            </w:r>
          </w:p>
        </w:tc>
        <w:tc>
          <w:tcPr>
            <w:tcW w:w="1250" w:type="dxa"/>
          </w:tcPr>
          <w:p w14:paraId="5257ACA7"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088769A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 evaluaciones de la Lista Roja de la UICN</w:t>
            </w:r>
          </w:p>
        </w:tc>
      </w:tr>
      <w:tr w:rsidR="0050347E" w:rsidRPr="00006DF4" w14:paraId="0FECB8CE" w14:textId="77777777" w:rsidTr="00006DF4">
        <w:trPr>
          <w:cantSplit/>
        </w:trPr>
        <w:tc>
          <w:tcPr>
            <w:tcW w:w="738" w:type="dxa"/>
          </w:tcPr>
          <w:p w14:paraId="68888BCF" w14:textId="77777777" w:rsidR="0050347E" w:rsidRPr="00006DF4" w:rsidRDefault="0050347E" w:rsidP="00337EFC">
            <w:pPr>
              <w:pStyle w:val="P68B1DB1-Normal51"/>
              <w:spacing w:before="40" w:after="40"/>
              <w:rPr>
                <w:rFonts w:ascii="Arial" w:hAnsi="Arial"/>
              </w:rPr>
            </w:pPr>
            <w:r w:rsidRPr="00006DF4">
              <w:rPr>
                <w:rFonts w:ascii="Arial" w:hAnsi="Arial"/>
              </w:rPr>
              <w:t>10.11</w:t>
            </w:r>
          </w:p>
        </w:tc>
        <w:tc>
          <w:tcPr>
            <w:tcW w:w="5622" w:type="dxa"/>
          </w:tcPr>
          <w:p w14:paraId="59686D9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evaluaciones de la vulnerabilidad climática de las especies en todo el área de distribución, con base en las predicciones del cambio climático y en la información recopilada sobre la presencia de hábitats y especies, y tener en cuenta los resultados en la planificación de la conservación.</w:t>
            </w:r>
          </w:p>
        </w:tc>
        <w:tc>
          <w:tcPr>
            <w:tcW w:w="1939" w:type="dxa"/>
          </w:tcPr>
          <w:p w14:paraId="16425C68"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grupo de expertos de 10.8 </w:t>
            </w:r>
          </w:p>
        </w:tc>
        <w:tc>
          <w:tcPr>
            <w:tcW w:w="2490" w:type="dxa"/>
          </w:tcPr>
          <w:p w14:paraId="0ADFCD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Las partes interesadas pertinentes realizan, publican y difunden en el sitio web de la CMS evaluaciones de la vulnerabilidad de las especies y las utilizan en la planificación de la conservación. </w:t>
            </w:r>
          </w:p>
        </w:tc>
        <w:tc>
          <w:tcPr>
            <w:tcW w:w="1250" w:type="dxa"/>
          </w:tcPr>
          <w:p w14:paraId="46EE0BF9"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354E179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2 y 4 del GBF, Objetivos 1, 2 y 3 del PEEM</w:t>
            </w:r>
          </w:p>
        </w:tc>
      </w:tr>
      <w:tr w:rsidR="0050347E" w:rsidRPr="00006DF4" w14:paraId="00417A3C" w14:textId="77777777" w:rsidTr="00006DF4">
        <w:trPr>
          <w:cantSplit/>
        </w:trPr>
        <w:tc>
          <w:tcPr>
            <w:tcW w:w="14000" w:type="dxa"/>
            <w:gridSpan w:val="6"/>
            <w:shd w:val="clear" w:color="auto" w:fill="B3E5A1"/>
            <w:vAlign w:val="center"/>
          </w:tcPr>
          <w:p w14:paraId="077A775A" w14:textId="77777777" w:rsidR="0050347E" w:rsidRPr="00006DF4" w:rsidRDefault="0050347E" w:rsidP="00337EFC">
            <w:pPr>
              <w:pStyle w:val="P68B1DB1-Normal48"/>
              <w:spacing w:before="40" w:after="40"/>
              <w:rPr>
                <w:rFonts w:ascii="Arial" w:hAnsi="Arial"/>
              </w:rPr>
            </w:pPr>
            <w:r w:rsidRPr="00006DF4">
              <w:rPr>
                <w:rFonts w:ascii="Arial" w:hAnsi="Arial"/>
              </w:rPr>
              <w:t>11. Educación, comunidades y comunicación</w:t>
            </w:r>
          </w:p>
        </w:tc>
      </w:tr>
      <w:tr w:rsidR="0050347E" w:rsidRPr="00006DF4" w14:paraId="1953B848" w14:textId="77777777" w:rsidTr="00006DF4">
        <w:trPr>
          <w:cantSplit/>
        </w:trPr>
        <w:tc>
          <w:tcPr>
            <w:tcW w:w="738" w:type="dxa"/>
          </w:tcPr>
          <w:p w14:paraId="6AFB0EA9" w14:textId="77777777" w:rsidR="0050347E" w:rsidRPr="00006DF4" w:rsidRDefault="0050347E" w:rsidP="00337EFC">
            <w:pPr>
              <w:pStyle w:val="P68B1DB1-Normal51"/>
              <w:spacing w:before="40" w:after="40"/>
              <w:rPr>
                <w:rFonts w:ascii="Arial" w:hAnsi="Arial"/>
              </w:rPr>
            </w:pPr>
            <w:r w:rsidRPr="00006DF4">
              <w:rPr>
                <w:rFonts w:ascii="Arial" w:hAnsi="Arial"/>
              </w:rPr>
              <w:t>11.1</w:t>
            </w:r>
          </w:p>
        </w:tc>
        <w:tc>
          <w:tcPr>
            <w:tcW w:w="5622" w:type="dxa"/>
          </w:tcPr>
          <w:p w14:paraId="3C6E527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Concienciar sobre las amenazas que afectan a las especies de la CAMI y el cambio de comportamiento necesario, así como sobre las medidas de conservación planificadas o vigentes, entre los sectores pertinentes, incluidos los responsables de la toma de decisiones, las comunidades locales y el público en general, de manera coordinada entre los Estados del área de distribución de las RTPC. </w:t>
            </w:r>
          </w:p>
        </w:tc>
        <w:tc>
          <w:tcPr>
            <w:tcW w:w="1939" w:type="dxa"/>
          </w:tcPr>
          <w:p w14:paraId="6F5DBA99"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79CC81F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Número de actividades de concienciación a nivel nacional e internacional. </w:t>
            </w:r>
          </w:p>
        </w:tc>
        <w:tc>
          <w:tcPr>
            <w:tcW w:w="1250" w:type="dxa"/>
          </w:tcPr>
          <w:p w14:paraId="35A26FF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33AD459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06557A42" w14:textId="77777777" w:rsidTr="00006DF4">
        <w:trPr>
          <w:cantSplit/>
        </w:trPr>
        <w:tc>
          <w:tcPr>
            <w:tcW w:w="738" w:type="dxa"/>
          </w:tcPr>
          <w:p w14:paraId="3BD1506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11.2</w:t>
            </w:r>
          </w:p>
        </w:tc>
        <w:tc>
          <w:tcPr>
            <w:tcW w:w="5622" w:type="dxa"/>
          </w:tcPr>
          <w:p w14:paraId="6805C29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Continuar desarrollando, actualizando e implementando ampliamente una serie de actividades y materiales educativos sobre ecología y conservación de la vida silvestre para niños en los Estados del área de distribución de la CAMI.</w:t>
            </w:r>
          </w:p>
        </w:tc>
        <w:tc>
          <w:tcPr>
            <w:tcW w:w="1939" w:type="dxa"/>
          </w:tcPr>
          <w:p w14:paraId="40066EB9"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comunidades locales</w:t>
            </w:r>
          </w:p>
        </w:tc>
        <w:tc>
          <w:tcPr>
            <w:tcW w:w="2490" w:type="dxa"/>
          </w:tcPr>
          <w:p w14:paraId="51D2899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Hay actividades educativas disponibles y se distribuyen materiales educativos. </w:t>
            </w:r>
          </w:p>
        </w:tc>
        <w:tc>
          <w:tcPr>
            <w:tcW w:w="1250" w:type="dxa"/>
          </w:tcPr>
          <w:p w14:paraId="14F48221"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0330E88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125EBAB0" w14:textId="77777777" w:rsidTr="00006DF4">
        <w:trPr>
          <w:cantSplit/>
        </w:trPr>
        <w:tc>
          <w:tcPr>
            <w:tcW w:w="738" w:type="dxa"/>
          </w:tcPr>
          <w:p w14:paraId="183FE915" w14:textId="77777777" w:rsidR="0050347E" w:rsidRPr="00006DF4" w:rsidRDefault="0050347E" w:rsidP="00337EFC">
            <w:pPr>
              <w:pStyle w:val="P68B1DB1-Normal51"/>
              <w:spacing w:before="40" w:after="40"/>
              <w:rPr>
                <w:rFonts w:ascii="Arial" w:hAnsi="Arial"/>
              </w:rPr>
            </w:pPr>
            <w:r w:rsidRPr="00006DF4">
              <w:rPr>
                <w:rFonts w:ascii="Arial" w:hAnsi="Arial"/>
              </w:rPr>
              <w:t>11.3</w:t>
            </w:r>
          </w:p>
        </w:tc>
        <w:tc>
          <w:tcPr>
            <w:tcW w:w="5622" w:type="dxa"/>
          </w:tcPr>
          <w:p w14:paraId="66DD907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e implementar campañas de concienciación para inversores, empresas y organizaciones gubernamentales cuyas actividades (o las actividades de sus empleados) puedan afectar negativamente a las especies de la CAMI.</w:t>
            </w:r>
          </w:p>
        </w:tc>
        <w:tc>
          <w:tcPr>
            <w:tcW w:w="1939" w:type="dxa"/>
          </w:tcPr>
          <w:p w14:paraId="5CFB87D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389664F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Hay materiales disponibles y se distribuyen.</w:t>
            </w:r>
          </w:p>
        </w:tc>
        <w:tc>
          <w:tcPr>
            <w:tcW w:w="1250" w:type="dxa"/>
          </w:tcPr>
          <w:p w14:paraId="7CAD5F14"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2225774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597CABDD" w14:textId="77777777" w:rsidTr="00006DF4">
        <w:trPr>
          <w:cantSplit/>
        </w:trPr>
        <w:tc>
          <w:tcPr>
            <w:tcW w:w="738" w:type="dxa"/>
          </w:tcPr>
          <w:p w14:paraId="572CB320" w14:textId="77777777" w:rsidR="0050347E" w:rsidRPr="00006DF4" w:rsidRDefault="0050347E" w:rsidP="00337EFC">
            <w:pPr>
              <w:pStyle w:val="P68B1DB1-Normal51"/>
              <w:spacing w:before="40" w:after="40"/>
              <w:rPr>
                <w:rFonts w:ascii="Arial" w:hAnsi="Arial"/>
              </w:rPr>
            </w:pPr>
            <w:r w:rsidRPr="00006DF4">
              <w:rPr>
                <w:rFonts w:ascii="Arial" w:hAnsi="Arial"/>
              </w:rPr>
              <w:t>11.4</w:t>
            </w:r>
          </w:p>
        </w:tc>
        <w:tc>
          <w:tcPr>
            <w:tcW w:w="5622" w:type="dxa"/>
          </w:tcPr>
          <w:p w14:paraId="31D9B2D8"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Desarrollar e implementar ampliamente campañas de concienciación, a través de todos los medios pertinentes, para dar a conocer las especies de la CAMI y destacar los beneficios para la gente que se obtienen de su conservación a nivel local, nacional e internacional.</w:t>
            </w:r>
          </w:p>
          <w:p w14:paraId="68E0AD83"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0E6D611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instituciones científicas, OG</w:t>
            </w:r>
          </w:p>
        </w:tc>
        <w:tc>
          <w:tcPr>
            <w:tcW w:w="2490" w:type="dxa"/>
          </w:tcPr>
          <w:p w14:paraId="15329BC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 y se lanza la campaña antes de finales de 2026.</w:t>
            </w:r>
          </w:p>
        </w:tc>
        <w:tc>
          <w:tcPr>
            <w:tcW w:w="1250" w:type="dxa"/>
          </w:tcPr>
          <w:p w14:paraId="518EF4C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450C40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34064B55" w14:textId="77777777" w:rsidTr="00006DF4">
        <w:trPr>
          <w:cantSplit/>
        </w:trPr>
        <w:tc>
          <w:tcPr>
            <w:tcW w:w="738" w:type="dxa"/>
          </w:tcPr>
          <w:p w14:paraId="1EDA1208" w14:textId="77777777" w:rsidR="0050347E" w:rsidRPr="00006DF4" w:rsidRDefault="0050347E" w:rsidP="00337EFC">
            <w:pPr>
              <w:pStyle w:val="P68B1DB1-Normal51"/>
              <w:spacing w:before="40" w:after="40"/>
              <w:rPr>
                <w:rFonts w:ascii="Arial" w:hAnsi="Arial"/>
              </w:rPr>
            </w:pPr>
            <w:r w:rsidRPr="00006DF4">
              <w:rPr>
                <w:rFonts w:ascii="Arial" w:hAnsi="Arial"/>
              </w:rPr>
              <w:t>11.5</w:t>
            </w:r>
          </w:p>
        </w:tc>
        <w:tc>
          <w:tcPr>
            <w:tcW w:w="5622" w:type="dxa"/>
          </w:tcPr>
          <w:p w14:paraId="2EF2811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Elaborar y difundir un folleto y un vídeo promocional para diferentes públicos de cara a concienciar y mejorar la comprensión de la importancia de la región de Asia Central para las especies de la CAMI (y posiblemente también para las aves migratorias).</w:t>
            </w:r>
          </w:p>
        </w:tc>
        <w:tc>
          <w:tcPr>
            <w:tcW w:w="1939" w:type="dxa"/>
          </w:tcPr>
          <w:p w14:paraId="284F346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ONG, instituciones científicas, OG</w:t>
            </w:r>
          </w:p>
        </w:tc>
        <w:tc>
          <w:tcPr>
            <w:tcW w:w="2490" w:type="dxa"/>
          </w:tcPr>
          <w:p w14:paraId="5C10C5D1"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Se elaboran y se difunden en línea el vídeo y el folleto de las especies de la CAMI y de otras especies de la región incluidas en la lista de la CMS. </w:t>
            </w:r>
          </w:p>
          <w:p w14:paraId="019B6171" w14:textId="77777777" w:rsidR="00006DF4" w:rsidRPr="00006DF4" w:rsidRDefault="00006DF4" w:rsidP="00337EFC">
            <w:pPr>
              <w:pStyle w:val="P68B1DB1-Normal51"/>
              <w:spacing w:before="40" w:after="40"/>
              <w:rPr>
                <w:rFonts w:ascii="Arial" w:hAnsi="Arial"/>
                <w:lang w:val="es-ES"/>
              </w:rPr>
            </w:pPr>
          </w:p>
        </w:tc>
        <w:tc>
          <w:tcPr>
            <w:tcW w:w="1250" w:type="dxa"/>
          </w:tcPr>
          <w:p w14:paraId="40F5DABB"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2D517F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175CDC68" w14:textId="77777777" w:rsidTr="00006DF4">
        <w:trPr>
          <w:cantSplit/>
        </w:trPr>
        <w:tc>
          <w:tcPr>
            <w:tcW w:w="738" w:type="dxa"/>
            <w:tcBorders>
              <w:bottom w:val="single" w:sz="4" w:space="0" w:color="auto"/>
            </w:tcBorders>
          </w:tcPr>
          <w:p w14:paraId="7084D078" w14:textId="77777777" w:rsidR="0050347E" w:rsidRPr="00006DF4" w:rsidRDefault="0050347E" w:rsidP="00337EFC">
            <w:pPr>
              <w:pStyle w:val="P68B1DB1-Normal51"/>
              <w:spacing w:before="40" w:after="40"/>
              <w:rPr>
                <w:rFonts w:ascii="Arial" w:hAnsi="Arial"/>
              </w:rPr>
            </w:pPr>
            <w:r w:rsidRPr="00006DF4">
              <w:rPr>
                <w:rFonts w:ascii="Arial" w:hAnsi="Arial"/>
              </w:rPr>
              <w:t>11.6</w:t>
            </w:r>
          </w:p>
        </w:tc>
        <w:tc>
          <w:tcPr>
            <w:tcW w:w="5622" w:type="dxa"/>
            <w:tcBorders>
              <w:bottom w:val="single" w:sz="4" w:space="0" w:color="auto"/>
            </w:tcBorders>
          </w:tcPr>
          <w:p w14:paraId="323E8E9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Organizar eventos paralelos en las reuniones de las CP de la CMS, el CDB, la CNULD, la CMNUCC, la CITES y otras reuniones pertinentes para concienciar sobre el PdT de la CAMI y su implementación. </w:t>
            </w:r>
          </w:p>
        </w:tc>
        <w:tc>
          <w:tcPr>
            <w:tcW w:w="1939" w:type="dxa"/>
            <w:tcBorders>
              <w:bottom w:val="single" w:sz="4" w:space="0" w:color="auto"/>
            </w:tcBorders>
          </w:tcPr>
          <w:p w14:paraId="5118539A" w14:textId="77777777" w:rsidR="0050347E" w:rsidRDefault="0050347E" w:rsidP="00337EFC">
            <w:pPr>
              <w:pStyle w:val="P68B1DB1-Normal51"/>
              <w:spacing w:before="40" w:after="40"/>
              <w:rPr>
                <w:rFonts w:ascii="Arial" w:hAnsi="Arial"/>
                <w:lang w:val="es-ES"/>
              </w:rPr>
            </w:pPr>
            <w:r w:rsidRPr="00006DF4">
              <w:rPr>
                <w:rFonts w:ascii="Arial" w:hAnsi="Arial"/>
                <w:lang w:val="es-ES"/>
              </w:rPr>
              <w:t>Secretaría de la CMS, instituciones científicas, ONG, OG</w:t>
            </w:r>
          </w:p>
          <w:p w14:paraId="24F03E00" w14:textId="77777777" w:rsidR="00006DF4" w:rsidRPr="00006DF4" w:rsidRDefault="00006DF4" w:rsidP="00337EFC">
            <w:pPr>
              <w:pStyle w:val="P68B1DB1-Normal51"/>
              <w:spacing w:before="40" w:after="40"/>
              <w:rPr>
                <w:rFonts w:ascii="Arial" w:hAnsi="Arial"/>
                <w:lang w:val="es-ES"/>
              </w:rPr>
            </w:pPr>
          </w:p>
        </w:tc>
        <w:tc>
          <w:tcPr>
            <w:tcW w:w="2490" w:type="dxa"/>
            <w:tcBorders>
              <w:bottom w:val="single" w:sz="4" w:space="0" w:color="auto"/>
            </w:tcBorders>
          </w:tcPr>
          <w:p w14:paraId="2F873A0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Eventos paralelos en las CP de CDB/CITES/CNULD/CMNUCC</w:t>
            </w:r>
          </w:p>
        </w:tc>
        <w:tc>
          <w:tcPr>
            <w:tcW w:w="1250" w:type="dxa"/>
            <w:tcBorders>
              <w:bottom w:val="single" w:sz="4" w:space="0" w:color="auto"/>
            </w:tcBorders>
          </w:tcPr>
          <w:p w14:paraId="71C8EE16"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4462A4E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10958935" w14:textId="77777777" w:rsidTr="00006DF4">
        <w:trPr>
          <w:cantSplit/>
        </w:trPr>
        <w:tc>
          <w:tcPr>
            <w:tcW w:w="738" w:type="dxa"/>
            <w:tcBorders>
              <w:bottom w:val="single" w:sz="4" w:space="0" w:color="auto"/>
            </w:tcBorders>
          </w:tcPr>
          <w:p w14:paraId="608034E1" w14:textId="77777777" w:rsidR="0050347E" w:rsidRPr="00006DF4" w:rsidRDefault="0050347E" w:rsidP="00337EFC">
            <w:pPr>
              <w:pStyle w:val="P68B1DB1-Normal51"/>
              <w:spacing w:before="40" w:after="40"/>
              <w:rPr>
                <w:rFonts w:ascii="Arial" w:hAnsi="Arial"/>
              </w:rPr>
            </w:pPr>
            <w:r w:rsidRPr="00006DF4">
              <w:rPr>
                <w:rFonts w:ascii="Arial" w:hAnsi="Arial"/>
              </w:rPr>
              <w:t>11.7</w:t>
            </w:r>
          </w:p>
        </w:tc>
        <w:tc>
          <w:tcPr>
            <w:tcW w:w="5622" w:type="dxa"/>
            <w:tcBorders>
              <w:bottom w:val="single" w:sz="4" w:space="0" w:color="auto"/>
            </w:tcBorders>
          </w:tcPr>
          <w:p w14:paraId="3179974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Publicar un boletín anual de la CAMI en dos idiomas (y, si es posible, en otros idiomas) en colaboración con la Secretaría de la CMS.</w:t>
            </w:r>
          </w:p>
          <w:p w14:paraId="20AE063E"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bottom w:val="single" w:sz="4" w:space="0" w:color="auto"/>
            </w:tcBorders>
          </w:tcPr>
          <w:p w14:paraId="75CBB6BF" w14:textId="77777777" w:rsidR="0050347E" w:rsidRDefault="0050347E" w:rsidP="00337EFC">
            <w:pPr>
              <w:pStyle w:val="P68B1DB1-Normal51"/>
              <w:spacing w:before="40" w:after="40"/>
              <w:rPr>
                <w:rFonts w:ascii="Arial" w:hAnsi="Arial"/>
                <w:lang w:val="es-ES"/>
              </w:rPr>
            </w:pPr>
            <w:r w:rsidRPr="00006DF4">
              <w:rPr>
                <w:rFonts w:ascii="Arial" w:hAnsi="Arial"/>
                <w:lang w:val="es-ES"/>
              </w:rPr>
              <w:t>Secretaría de la CMS, OG, ONG, instituciones científicas</w:t>
            </w:r>
          </w:p>
          <w:p w14:paraId="4F3244E0" w14:textId="77777777" w:rsidR="00006DF4" w:rsidRPr="00006DF4" w:rsidRDefault="00006DF4" w:rsidP="00337EFC">
            <w:pPr>
              <w:pStyle w:val="P68B1DB1-Normal51"/>
              <w:spacing w:before="40" w:after="40"/>
              <w:rPr>
                <w:rFonts w:ascii="Arial" w:hAnsi="Arial"/>
                <w:lang w:val="es-ES"/>
              </w:rPr>
            </w:pPr>
          </w:p>
        </w:tc>
        <w:tc>
          <w:tcPr>
            <w:tcW w:w="2490" w:type="dxa"/>
            <w:tcBorders>
              <w:bottom w:val="single" w:sz="4" w:space="0" w:color="auto"/>
            </w:tcBorders>
          </w:tcPr>
          <w:p w14:paraId="568922B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publica el boletín una vez al año. </w:t>
            </w:r>
          </w:p>
        </w:tc>
        <w:tc>
          <w:tcPr>
            <w:tcW w:w="1250" w:type="dxa"/>
            <w:tcBorders>
              <w:bottom w:val="single" w:sz="4" w:space="0" w:color="auto"/>
            </w:tcBorders>
          </w:tcPr>
          <w:p w14:paraId="66066C92" w14:textId="77777777" w:rsidR="0050347E" w:rsidRPr="00006DF4" w:rsidRDefault="0050347E" w:rsidP="00337EFC">
            <w:pPr>
              <w:pStyle w:val="P68B1DB1-Normal51"/>
              <w:spacing w:before="40" w:after="40"/>
              <w:rPr>
                <w:rFonts w:ascii="Arial" w:hAnsi="Arial"/>
              </w:rPr>
            </w:pPr>
            <w:r w:rsidRPr="00006DF4">
              <w:rPr>
                <w:rFonts w:ascii="Arial" w:hAnsi="Arial"/>
              </w:rPr>
              <w:t>Baja</w:t>
            </w:r>
          </w:p>
        </w:tc>
        <w:tc>
          <w:tcPr>
            <w:tcW w:w="1961" w:type="dxa"/>
            <w:tcBorders>
              <w:bottom w:val="single" w:sz="4" w:space="0" w:color="auto"/>
            </w:tcBorders>
          </w:tcPr>
          <w:p w14:paraId="1F801AE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26628787"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B3E5A1"/>
            <w:vAlign w:val="center"/>
          </w:tcPr>
          <w:p w14:paraId="53BD75F1"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lastRenderedPageBreak/>
              <w:t xml:space="preserve"> Regiones transfronterizas prioritarias para la conservación (RTPC) </w:t>
            </w:r>
          </w:p>
        </w:tc>
      </w:tr>
      <w:tr w:rsidR="0050347E" w:rsidRPr="00006DF4" w14:paraId="08CAFE84" w14:textId="77777777" w:rsidTr="00006DF4">
        <w:trPr>
          <w:cantSplit/>
        </w:trPr>
        <w:tc>
          <w:tcPr>
            <w:tcW w:w="14000" w:type="dxa"/>
            <w:gridSpan w:val="6"/>
            <w:tcBorders>
              <w:top w:val="single" w:sz="4" w:space="0" w:color="auto"/>
            </w:tcBorders>
            <w:shd w:val="clear" w:color="auto" w:fill="FAE2D5"/>
          </w:tcPr>
          <w:p w14:paraId="2CF60BE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b/>
                <w:lang w:val="es-ES"/>
              </w:rPr>
              <w:t>12.  Ustyurt occidental y meridional (Kazajistán, Turkmenistán y Uzbekistán): 1</w:t>
            </w:r>
            <w:r w:rsidRPr="00006DF4">
              <w:rPr>
                <w:rFonts w:ascii="Arial" w:hAnsi="Arial"/>
                <w:lang w:val="es-ES"/>
              </w:rPr>
              <w:t xml:space="preserve"> </w:t>
            </w:r>
          </w:p>
          <w:p w14:paraId="7632754D" w14:textId="77777777" w:rsidR="0050347E" w:rsidRPr="00006DF4" w:rsidRDefault="0050347E" w:rsidP="00337EFC">
            <w:pPr>
              <w:pStyle w:val="P68B1DB1-Normal51"/>
              <w:spacing w:before="40" w:after="40"/>
              <w:jc w:val="both"/>
              <w:rPr>
                <w:rFonts w:ascii="Arial" w:hAnsi="Arial"/>
              </w:rPr>
            </w:pPr>
            <w:r w:rsidRPr="00006DF4">
              <w:rPr>
                <w:rFonts w:ascii="Arial" w:hAnsi="Arial"/>
                <w:lang w:val="es-ES"/>
              </w:rPr>
              <w:t xml:space="preserve">      </w:t>
            </w:r>
            <w:r w:rsidRPr="00006DF4">
              <w:rPr>
                <w:rFonts w:ascii="Arial" w:hAnsi="Arial"/>
              </w:rPr>
              <w:t xml:space="preserve">Especies: asno salvaje euroasiático, gacela persa, leopardo de Persia, urial, antílope saiga </w:t>
            </w:r>
          </w:p>
        </w:tc>
      </w:tr>
      <w:tr w:rsidR="0050347E" w:rsidRPr="00006DF4" w14:paraId="0F9D646E" w14:textId="77777777" w:rsidTr="00006DF4">
        <w:trPr>
          <w:cantSplit/>
        </w:trPr>
        <w:tc>
          <w:tcPr>
            <w:tcW w:w="14000" w:type="dxa"/>
            <w:gridSpan w:val="6"/>
            <w:shd w:val="clear" w:color="auto" w:fill="FAE2D5"/>
          </w:tcPr>
          <w:p w14:paraId="6E92C506" w14:textId="77777777" w:rsidR="0050347E" w:rsidRPr="00006DF4" w:rsidRDefault="0050347E" w:rsidP="00337EFC">
            <w:pPr>
              <w:pStyle w:val="P68B1DB1-Normal54"/>
              <w:spacing w:before="40" w:after="40"/>
              <w:jc w:val="both"/>
              <w:rPr>
                <w:rFonts w:ascii="Arial" w:eastAsia="Aptos" w:hAnsi="Arial" w:cs="Arial"/>
                <w:lang w:val="es-ES"/>
              </w:rPr>
            </w:pPr>
            <w:hyperlink r:id="rId62" w:history="1">
              <w:r w:rsidRPr="00006DF4">
                <w:rPr>
                  <w:rFonts w:ascii="Arial" w:eastAsia="Calibri" w:hAnsi="Arial" w:cs="Arial"/>
                  <w:u w:val="single"/>
                  <w:lang w:val="es-ES"/>
                </w:rPr>
                <w:t>Estrategia del Área de Distribución para la Conservación del Leopardo de Persia 2023-2032</w:t>
              </w:r>
            </w:hyperlink>
            <w:r w:rsidRPr="00006DF4">
              <w:rPr>
                <w:rFonts w:ascii="Arial" w:hAnsi="Arial" w:cs="Arial"/>
                <w:lang w:val="es-ES"/>
              </w:rPr>
              <w:t xml:space="preserve"> </w:t>
            </w:r>
          </w:p>
        </w:tc>
      </w:tr>
      <w:tr w:rsidR="0050347E" w:rsidRPr="00006DF4" w14:paraId="5A27BC39" w14:textId="77777777" w:rsidTr="00006DF4">
        <w:trPr>
          <w:cantSplit/>
        </w:trPr>
        <w:tc>
          <w:tcPr>
            <w:tcW w:w="14000" w:type="dxa"/>
            <w:gridSpan w:val="6"/>
            <w:shd w:val="clear" w:color="auto" w:fill="FAE2D5"/>
          </w:tcPr>
          <w:p w14:paraId="24227D25" w14:textId="77777777" w:rsidR="0050347E" w:rsidRPr="00006DF4" w:rsidRDefault="0050347E" w:rsidP="00337EFC">
            <w:pPr>
              <w:pStyle w:val="P68B1DB1-Normal54"/>
              <w:spacing w:before="40" w:after="40"/>
              <w:jc w:val="both"/>
              <w:rPr>
                <w:rFonts w:ascii="Arial" w:eastAsia="Aptos" w:hAnsi="Arial" w:cs="Arial"/>
                <w:lang w:val="es-ES"/>
              </w:rPr>
            </w:pPr>
            <w:hyperlink r:id="rId63" w:history="1">
              <w:r w:rsidRPr="00006DF4">
                <w:rPr>
                  <w:rFonts w:ascii="Arial" w:eastAsia="Calibri"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Calibri" w:hAnsi="Arial" w:cs="Arial"/>
                  <w:u w:val="single"/>
                  <w:lang w:val="es-ES"/>
                </w:rPr>
                <w:t>2033</w:t>
              </w:r>
            </w:hyperlink>
          </w:p>
        </w:tc>
      </w:tr>
      <w:tr w:rsidR="0050347E" w:rsidRPr="00006DF4" w14:paraId="01CEFBC2" w14:textId="77777777" w:rsidTr="00006DF4">
        <w:trPr>
          <w:cantSplit/>
        </w:trPr>
        <w:tc>
          <w:tcPr>
            <w:tcW w:w="14000" w:type="dxa"/>
            <w:gridSpan w:val="6"/>
            <w:shd w:val="clear" w:color="auto" w:fill="FAE2D5"/>
          </w:tcPr>
          <w:p w14:paraId="416CB0FF" w14:textId="77777777" w:rsidR="0050347E" w:rsidRPr="00006DF4" w:rsidRDefault="0050347E" w:rsidP="00337EFC">
            <w:pPr>
              <w:pStyle w:val="P68B1DB1-Normal54"/>
              <w:spacing w:before="40" w:after="40"/>
              <w:jc w:val="both"/>
              <w:rPr>
                <w:rFonts w:ascii="Arial" w:eastAsia="Aptos" w:hAnsi="Arial" w:cs="Arial"/>
                <w:lang w:val="es-ES"/>
              </w:rPr>
            </w:pPr>
            <w:hyperlink r:id="rId64">
              <w:r w:rsidRPr="00006DF4">
                <w:rPr>
                  <w:rFonts w:ascii="Arial" w:eastAsia="Calibri" w:hAnsi="Arial" w:cs="Arial"/>
                  <w:u w:val="single"/>
                  <w:lang w:val="es-ES"/>
                </w:rPr>
                <w:t>Programa de Trabajo Internacional a Medio Plazo para el Antílope Saiga 2025</w:t>
              </w:r>
              <w:r w:rsidRPr="00006DF4">
                <w:rPr>
                  <w:rFonts w:ascii="Arial" w:hAnsi="Arial" w:cs="Arial"/>
                  <w:lang w:val="es-ES"/>
                </w:rPr>
                <w:t>-</w:t>
              </w:r>
              <w:r w:rsidRPr="00006DF4">
                <w:rPr>
                  <w:rFonts w:ascii="Arial" w:eastAsia="Calibri" w:hAnsi="Arial" w:cs="Arial"/>
                  <w:u w:val="single"/>
                  <w:lang w:val="es-ES"/>
                </w:rPr>
                <w:t>2030</w:t>
              </w:r>
            </w:hyperlink>
          </w:p>
        </w:tc>
      </w:tr>
      <w:tr w:rsidR="0050347E" w:rsidRPr="00006DF4" w14:paraId="28B87860" w14:textId="77777777" w:rsidTr="00006DF4">
        <w:trPr>
          <w:cantSplit/>
        </w:trPr>
        <w:tc>
          <w:tcPr>
            <w:tcW w:w="738" w:type="dxa"/>
          </w:tcPr>
          <w:p w14:paraId="7C9D0223" w14:textId="77777777" w:rsidR="0050347E" w:rsidRPr="00006DF4" w:rsidRDefault="0050347E" w:rsidP="00337EFC">
            <w:pPr>
              <w:pStyle w:val="P68B1DB1-Normal51"/>
              <w:spacing w:before="40" w:after="40"/>
              <w:rPr>
                <w:rFonts w:ascii="Arial" w:hAnsi="Arial"/>
              </w:rPr>
            </w:pPr>
            <w:r w:rsidRPr="00006DF4">
              <w:rPr>
                <w:rFonts w:ascii="Arial" w:hAnsi="Arial"/>
              </w:rPr>
              <w:t>12.1</w:t>
            </w:r>
          </w:p>
        </w:tc>
        <w:tc>
          <w:tcPr>
            <w:tcW w:w="5622" w:type="dxa"/>
          </w:tcPr>
          <w:p w14:paraId="2E67EF8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Implementar plenamente </w:t>
            </w:r>
            <w:hyperlink r:id="rId65" w:history="1">
              <w:r w:rsidRPr="00006DF4">
                <w:rPr>
                  <w:rFonts w:ascii="Arial" w:hAnsi="Arial"/>
                  <w:lang w:val="es-ES"/>
                </w:rPr>
                <w:t xml:space="preserve">el </w:t>
              </w:r>
              <w:r w:rsidRPr="00006DF4">
                <w:rPr>
                  <w:rFonts w:ascii="Arial" w:hAnsi="Arial"/>
                  <w:u w:val="single"/>
                  <w:lang w:val="es-ES"/>
                </w:rPr>
                <w:t>«Memorando de cooperación para la conservación de la vida silvestre en la meseta de Ustyurt»</w:t>
              </w:r>
            </w:hyperlink>
            <w:r w:rsidRPr="00006DF4">
              <w:rPr>
                <w:rFonts w:ascii="Arial" w:hAnsi="Arial"/>
                <w:lang w:val="es-ES"/>
              </w:rPr>
              <w:t xml:space="preserve"> (MdC de Ustyurt) y su </w:t>
            </w:r>
            <w:hyperlink r:id="rId66" w:history="1">
              <w:r w:rsidRPr="00006DF4">
                <w:rPr>
                  <w:rFonts w:ascii="Arial" w:hAnsi="Arial"/>
                  <w:u w:val="single"/>
                  <w:lang w:val="es-ES"/>
                </w:rPr>
                <w:t>hoja de ruta</w:t>
              </w:r>
            </w:hyperlink>
            <w:r w:rsidRPr="00006DF4">
              <w:rPr>
                <w:rFonts w:ascii="Arial" w:hAnsi="Arial"/>
                <w:lang w:val="es-ES"/>
              </w:rPr>
              <w:t>.</w:t>
            </w:r>
          </w:p>
        </w:tc>
        <w:tc>
          <w:tcPr>
            <w:tcW w:w="1939" w:type="dxa"/>
          </w:tcPr>
          <w:p w14:paraId="645DE849"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01A5203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presentan los informes de implementación al Coordinador del MdC de Ustyurt.</w:t>
            </w:r>
          </w:p>
        </w:tc>
        <w:tc>
          <w:tcPr>
            <w:tcW w:w="1250" w:type="dxa"/>
          </w:tcPr>
          <w:p w14:paraId="36D1ED2B"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2E8468E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14DED1F2" w14:textId="77777777" w:rsidTr="00006DF4">
        <w:trPr>
          <w:cantSplit/>
        </w:trPr>
        <w:tc>
          <w:tcPr>
            <w:tcW w:w="738" w:type="dxa"/>
          </w:tcPr>
          <w:p w14:paraId="47EEBF49" w14:textId="77777777" w:rsidR="0050347E" w:rsidRPr="00006DF4" w:rsidRDefault="0050347E" w:rsidP="00337EFC">
            <w:pPr>
              <w:pStyle w:val="P68B1DB1-Normal51"/>
              <w:spacing w:before="40" w:after="40"/>
              <w:rPr>
                <w:rFonts w:ascii="Arial" w:hAnsi="Arial"/>
              </w:rPr>
            </w:pPr>
            <w:r w:rsidRPr="00006DF4">
              <w:rPr>
                <w:rFonts w:ascii="Arial" w:hAnsi="Arial"/>
              </w:rPr>
              <w:t>12.2</w:t>
            </w:r>
          </w:p>
        </w:tc>
        <w:tc>
          <w:tcPr>
            <w:tcW w:w="5622" w:type="dxa"/>
          </w:tcPr>
          <w:p w14:paraId="2D2D272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Celebrar una reunión para facilitar el desarrollo de medidas de prevención, compensación o mitigación del impacto de las infraestructuras industriales, en particular las relacionadas con el desarrollo de las energías eólica y solar, en las especies incluidas en la lista de la CMS, incluidas las especies de la CAMI y las especies aviares, y, sobre la base de los debates, establecer un grupo de trabajo que incluya, si es posible, a representantes del sector privado. </w:t>
            </w:r>
          </w:p>
        </w:tc>
        <w:tc>
          <w:tcPr>
            <w:tcW w:w="1939" w:type="dxa"/>
          </w:tcPr>
          <w:p w14:paraId="38435ED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OG, ONG, instituciones científicas, sector privado, Secretaría de la CMS </w:t>
            </w:r>
          </w:p>
        </w:tc>
        <w:tc>
          <w:tcPr>
            <w:tcW w:w="2490" w:type="dxa"/>
          </w:tcPr>
          <w:p w14:paraId="0B99C13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la reunión, ya sea presencial o en línea, y se identifican y acuerdan medidas antes de 2026. </w:t>
            </w:r>
          </w:p>
        </w:tc>
        <w:tc>
          <w:tcPr>
            <w:tcW w:w="1250" w:type="dxa"/>
          </w:tcPr>
          <w:p w14:paraId="2494FD92"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02D0872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14 y 15 del GBF, Objetivos 1, 3 y 5 del PEEM</w:t>
            </w:r>
          </w:p>
        </w:tc>
      </w:tr>
      <w:tr w:rsidR="0050347E" w:rsidRPr="00006DF4" w14:paraId="31F3F06B" w14:textId="77777777" w:rsidTr="00006DF4">
        <w:trPr>
          <w:cantSplit/>
        </w:trPr>
        <w:tc>
          <w:tcPr>
            <w:tcW w:w="738" w:type="dxa"/>
          </w:tcPr>
          <w:p w14:paraId="4328E96A" w14:textId="77777777" w:rsidR="0050347E" w:rsidRPr="00006DF4" w:rsidRDefault="0050347E" w:rsidP="00337EFC">
            <w:pPr>
              <w:pStyle w:val="P68B1DB1-Normal51"/>
              <w:spacing w:before="40" w:after="40"/>
              <w:rPr>
                <w:rFonts w:ascii="Arial" w:hAnsi="Arial"/>
              </w:rPr>
            </w:pPr>
            <w:r w:rsidRPr="00006DF4">
              <w:rPr>
                <w:rFonts w:ascii="Arial" w:hAnsi="Arial"/>
              </w:rPr>
              <w:t>12.3</w:t>
            </w:r>
          </w:p>
        </w:tc>
        <w:tc>
          <w:tcPr>
            <w:tcW w:w="5622" w:type="dxa"/>
          </w:tcPr>
          <w:p w14:paraId="138F505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Implementar las medidas acordadas en 12.2.</w:t>
            </w:r>
          </w:p>
        </w:tc>
        <w:tc>
          <w:tcPr>
            <w:tcW w:w="1939" w:type="dxa"/>
          </w:tcPr>
          <w:p w14:paraId="7C09E25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Secretaría de la CMS</w:t>
            </w:r>
          </w:p>
        </w:tc>
        <w:tc>
          <w:tcPr>
            <w:tcW w:w="2490" w:type="dxa"/>
          </w:tcPr>
          <w:p w14:paraId="223DCB9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implementan las medidas antes de construir las infraestructuras.</w:t>
            </w:r>
          </w:p>
        </w:tc>
        <w:tc>
          <w:tcPr>
            <w:tcW w:w="1250" w:type="dxa"/>
          </w:tcPr>
          <w:p w14:paraId="37B78C76"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7945E5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14 y 15 del GBF, Objetivos 1, 3 y 5 del PEEM</w:t>
            </w:r>
          </w:p>
        </w:tc>
      </w:tr>
      <w:tr w:rsidR="0050347E" w:rsidRPr="00006DF4" w14:paraId="0998B1B7" w14:textId="77777777" w:rsidTr="00006DF4">
        <w:trPr>
          <w:cantSplit/>
          <w:trHeight w:val="300"/>
        </w:trPr>
        <w:tc>
          <w:tcPr>
            <w:tcW w:w="738" w:type="dxa"/>
          </w:tcPr>
          <w:p w14:paraId="765B1747" w14:textId="77777777" w:rsidR="0050347E" w:rsidRPr="00006DF4" w:rsidRDefault="0050347E" w:rsidP="00337EFC">
            <w:pPr>
              <w:pStyle w:val="P68B1DB1-Normal51"/>
              <w:spacing w:before="40" w:after="40"/>
              <w:rPr>
                <w:rFonts w:ascii="Arial" w:hAnsi="Arial"/>
              </w:rPr>
            </w:pPr>
            <w:r w:rsidRPr="00006DF4">
              <w:rPr>
                <w:rFonts w:ascii="Arial" w:hAnsi="Arial"/>
              </w:rPr>
              <w:t>12.4</w:t>
            </w:r>
          </w:p>
        </w:tc>
        <w:tc>
          <w:tcPr>
            <w:tcW w:w="5622" w:type="dxa"/>
          </w:tcPr>
          <w:p w14:paraId="1F98F9E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Garantizar que los planes de acción sobre biodiversidad de cada proyecto de infraestructura estén en consonancia con los objetivos de conservación de la CAMI.</w:t>
            </w:r>
          </w:p>
        </w:tc>
        <w:tc>
          <w:tcPr>
            <w:tcW w:w="1939" w:type="dxa"/>
          </w:tcPr>
          <w:p w14:paraId="4AB7D72D"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sector privado </w:t>
            </w:r>
          </w:p>
          <w:p w14:paraId="09C6C566" w14:textId="77777777" w:rsidR="0050347E" w:rsidRPr="00006DF4" w:rsidRDefault="0050347E" w:rsidP="00337EFC">
            <w:pPr>
              <w:spacing w:before="40" w:after="40"/>
              <w:rPr>
                <w:rFonts w:ascii="Arial" w:eastAsia="Aptos" w:hAnsi="Arial" w:cs="Arial"/>
                <w:sz w:val="20"/>
              </w:rPr>
            </w:pPr>
          </w:p>
        </w:tc>
        <w:tc>
          <w:tcPr>
            <w:tcW w:w="2490" w:type="dxa"/>
          </w:tcPr>
          <w:p w14:paraId="298F8AA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Los planes de acción para la biodiversidad incluyen medidas para la conservación de las especies de la CAMI.</w:t>
            </w:r>
          </w:p>
        </w:tc>
        <w:tc>
          <w:tcPr>
            <w:tcW w:w="1250" w:type="dxa"/>
          </w:tcPr>
          <w:p w14:paraId="02C830FF"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550C5CC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14 y 15 del GBF, Objetivos 1, 3 y 5 del PEEM</w:t>
            </w:r>
          </w:p>
          <w:p w14:paraId="5651578D" w14:textId="77777777" w:rsidR="0050347E" w:rsidRPr="00006DF4" w:rsidRDefault="0050347E" w:rsidP="00337EFC">
            <w:pPr>
              <w:spacing w:before="40" w:after="40"/>
              <w:rPr>
                <w:rFonts w:ascii="Arial" w:eastAsia="Aptos" w:hAnsi="Arial" w:cs="Arial"/>
                <w:sz w:val="20"/>
                <w:lang w:val="es-ES"/>
              </w:rPr>
            </w:pPr>
          </w:p>
        </w:tc>
      </w:tr>
      <w:tr w:rsidR="0050347E" w:rsidRPr="00006DF4" w14:paraId="6F15DFE2" w14:textId="77777777" w:rsidTr="00006DF4">
        <w:trPr>
          <w:cantSplit/>
        </w:trPr>
        <w:tc>
          <w:tcPr>
            <w:tcW w:w="738" w:type="dxa"/>
          </w:tcPr>
          <w:p w14:paraId="41E665C3"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12.5</w:t>
            </w:r>
          </w:p>
        </w:tc>
        <w:tc>
          <w:tcPr>
            <w:tcW w:w="5622" w:type="dxa"/>
          </w:tcPr>
          <w:p w14:paraId="3EDAD11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En cooperación con el Coordinador del MdC de Ustyurt, apoyar la organización de la 2.ª Reunión de las Partes del MdC de Ustyurt en 2030. </w:t>
            </w:r>
          </w:p>
        </w:tc>
        <w:tc>
          <w:tcPr>
            <w:tcW w:w="1939" w:type="dxa"/>
          </w:tcPr>
          <w:p w14:paraId="6B9444B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Secretaría de la CMS, OG, ONG, instituciones científicas</w:t>
            </w:r>
          </w:p>
        </w:tc>
        <w:tc>
          <w:tcPr>
            <w:tcW w:w="2490" w:type="dxa"/>
          </w:tcPr>
          <w:p w14:paraId="321DB0E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brinda apoyo para la organización de la reunión. </w:t>
            </w:r>
          </w:p>
        </w:tc>
        <w:tc>
          <w:tcPr>
            <w:tcW w:w="1250" w:type="dxa"/>
          </w:tcPr>
          <w:p w14:paraId="3819124B"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34DFA8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Metas 1, 3, 4 y 14 del GBF, Objetivos 1, 3 y 5 del PEEM</w:t>
            </w:r>
          </w:p>
          <w:p w14:paraId="035BAD59" w14:textId="77777777" w:rsidR="0050347E" w:rsidRPr="00006DF4" w:rsidRDefault="0050347E" w:rsidP="00337EFC">
            <w:pPr>
              <w:spacing w:before="40" w:after="40"/>
              <w:rPr>
                <w:rFonts w:ascii="Arial" w:eastAsia="Aptos" w:hAnsi="Arial" w:cs="Arial"/>
                <w:sz w:val="20"/>
                <w:lang w:val="es-ES"/>
              </w:rPr>
            </w:pPr>
          </w:p>
        </w:tc>
      </w:tr>
      <w:tr w:rsidR="0050347E" w:rsidRPr="00006DF4" w14:paraId="1F3C945E" w14:textId="77777777" w:rsidTr="00006DF4">
        <w:trPr>
          <w:cantSplit/>
        </w:trPr>
        <w:tc>
          <w:tcPr>
            <w:tcW w:w="738" w:type="dxa"/>
          </w:tcPr>
          <w:p w14:paraId="353AD5EA" w14:textId="77777777" w:rsidR="0050347E" w:rsidRPr="00006DF4" w:rsidRDefault="0050347E" w:rsidP="00337EFC">
            <w:pPr>
              <w:pStyle w:val="P68B1DB1-Normal51"/>
              <w:spacing w:before="40" w:after="40"/>
              <w:rPr>
                <w:rFonts w:ascii="Arial" w:hAnsi="Arial"/>
              </w:rPr>
            </w:pPr>
            <w:r w:rsidRPr="00006DF4">
              <w:rPr>
                <w:rFonts w:ascii="Arial" w:hAnsi="Arial"/>
              </w:rPr>
              <w:t>12.6</w:t>
            </w:r>
          </w:p>
        </w:tc>
        <w:tc>
          <w:tcPr>
            <w:tcW w:w="5622" w:type="dxa"/>
          </w:tcPr>
          <w:p w14:paraId="2D2D52B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posible reintroducción de el antílope saiga y el asno salvaje euroasiático en el norte de Turkmenistán y en el norte de Uzbekistán y, en caso de resultado positivo, desarrollar un plan de reintroducción.</w:t>
            </w:r>
          </w:p>
        </w:tc>
        <w:tc>
          <w:tcPr>
            <w:tcW w:w="1939" w:type="dxa"/>
          </w:tcPr>
          <w:p w14:paraId="3ECC099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Grupo de Trabajo de la SSC de la UICN</w:t>
            </w:r>
          </w:p>
        </w:tc>
        <w:tc>
          <w:tcPr>
            <w:tcW w:w="2490" w:type="dxa"/>
          </w:tcPr>
          <w:p w14:paraId="34995D3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el estudio de viabilidad y se elabora un borrador del plan de reintroducción, si es necesario.</w:t>
            </w:r>
          </w:p>
        </w:tc>
        <w:tc>
          <w:tcPr>
            <w:tcW w:w="1250" w:type="dxa"/>
          </w:tcPr>
          <w:p w14:paraId="7A99117D"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5D40EF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2E3D4F0D" w14:textId="77777777" w:rsidTr="00006DF4">
        <w:trPr>
          <w:cantSplit/>
        </w:trPr>
        <w:tc>
          <w:tcPr>
            <w:tcW w:w="738" w:type="dxa"/>
          </w:tcPr>
          <w:p w14:paraId="7214AE84" w14:textId="77777777" w:rsidR="0050347E" w:rsidRPr="00006DF4" w:rsidRDefault="0050347E" w:rsidP="00337EFC">
            <w:pPr>
              <w:pStyle w:val="P68B1DB1-Normal51"/>
              <w:spacing w:before="40" w:after="40"/>
              <w:rPr>
                <w:rFonts w:ascii="Arial" w:hAnsi="Arial"/>
              </w:rPr>
            </w:pPr>
            <w:r w:rsidRPr="00006DF4">
              <w:rPr>
                <w:rFonts w:ascii="Arial" w:hAnsi="Arial"/>
              </w:rPr>
              <w:t>12.7</w:t>
            </w:r>
          </w:p>
        </w:tc>
        <w:tc>
          <w:tcPr>
            <w:tcW w:w="5622" w:type="dxa"/>
          </w:tcPr>
          <w:p w14:paraId="1E77EC06"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posible reintroducción del leopardo Persia en la Reserva Natural Estatal de Ustyurt (Kazajistán) y, si se recomienda, desarrollar un plan de reintroducción.</w:t>
            </w:r>
          </w:p>
        </w:tc>
        <w:tc>
          <w:tcPr>
            <w:tcW w:w="1939" w:type="dxa"/>
          </w:tcPr>
          <w:p w14:paraId="79A6759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instituciones científicas, Grupo de Trabajo de la SSC de la UICN</w:t>
            </w:r>
          </w:p>
        </w:tc>
        <w:tc>
          <w:tcPr>
            <w:tcW w:w="2490" w:type="dxa"/>
          </w:tcPr>
          <w:p w14:paraId="01F9689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el estudio de viabilidad y se elabora un borrador del plan de reintroducción, si es necesario.</w:t>
            </w:r>
          </w:p>
        </w:tc>
        <w:tc>
          <w:tcPr>
            <w:tcW w:w="1250" w:type="dxa"/>
          </w:tcPr>
          <w:p w14:paraId="582F0B34"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1FCD9E4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419DFBAE" w14:textId="77777777" w:rsidTr="00006DF4">
        <w:trPr>
          <w:cantSplit/>
        </w:trPr>
        <w:tc>
          <w:tcPr>
            <w:tcW w:w="14000" w:type="dxa"/>
            <w:gridSpan w:val="6"/>
            <w:shd w:val="clear" w:color="auto" w:fill="FAE2D5"/>
          </w:tcPr>
          <w:p w14:paraId="010E6FF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b/>
                <w:lang w:val="es-ES"/>
              </w:rPr>
              <w:t>13. Ustyurt septentrional y oriental (Kazajistán y Uzbekistán): 2</w:t>
            </w:r>
            <w:r w:rsidRPr="00006DF4">
              <w:rPr>
                <w:rFonts w:ascii="Arial" w:hAnsi="Arial"/>
                <w:lang w:val="es-ES"/>
              </w:rPr>
              <w:t xml:space="preserve"> </w:t>
            </w:r>
          </w:p>
          <w:p w14:paraId="21EAA3E3" w14:textId="77777777" w:rsidR="0050347E" w:rsidRPr="00006DF4" w:rsidRDefault="0050347E" w:rsidP="00337EFC">
            <w:pPr>
              <w:pStyle w:val="P68B1DB1-Normal51"/>
              <w:spacing w:before="40" w:after="40"/>
              <w:ind w:left="284"/>
              <w:jc w:val="both"/>
              <w:rPr>
                <w:rFonts w:ascii="Arial" w:hAnsi="Arial"/>
              </w:rPr>
            </w:pPr>
            <w:r w:rsidRPr="00006DF4">
              <w:rPr>
                <w:rFonts w:ascii="Arial" w:hAnsi="Arial"/>
              </w:rPr>
              <w:t>Especies: gacela persa, asno salvaje euroasiático (reintroducido), antílope saiga, urial</w:t>
            </w:r>
          </w:p>
        </w:tc>
      </w:tr>
      <w:tr w:rsidR="0050347E" w:rsidRPr="00006DF4" w14:paraId="2B87A29F" w14:textId="77777777" w:rsidTr="00006DF4">
        <w:trPr>
          <w:cantSplit/>
        </w:trPr>
        <w:tc>
          <w:tcPr>
            <w:tcW w:w="14000" w:type="dxa"/>
            <w:gridSpan w:val="6"/>
            <w:shd w:val="clear" w:color="auto" w:fill="FAE2D5"/>
          </w:tcPr>
          <w:p w14:paraId="64CD1ABD" w14:textId="77777777" w:rsidR="0050347E" w:rsidRPr="00006DF4" w:rsidRDefault="0050347E" w:rsidP="00337EFC">
            <w:pPr>
              <w:pStyle w:val="P68B1DB1-Normal54"/>
              <w:spacing w:before="40" w:after="40"/>
              <w:jc w:val="both"/>
              <w:rPr>
                <w:rFonts w:ascii="Arial" w:eastAsia="Aptos" w:hAnsi="Arial" w:cs="Arial"/>
                <w:lang w:val="es-ES"/>
              </w:rPr>
            </w:pPr>
            <w:hyperlink r:id="rId67" w:history="1">
              <w:r w:rsidRPr="00006DF4">
                <w:rPr>
                  <w:rFonts w:ascii="Arial" w:eastAsia="Calibri"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Calibri" w:hAnsi="Arial" w:cs="Arial"/>
                  <w:u w:val="single"/>
                  <w:lang w:val="es-ES"/>
                </w:rPr>
                <w:t>2033</w:t>
              </w:r>
            </w:hyperlink>
          </w:p>
        </w:tc>
      </w:tr>
      <w:tr w:rsidR="0050347E" w:rsidRPr="00006DF4" w14:paraId="15F53F5D" w14:textId="77777777" w:rsidTr="00006DF4">
        <w:trPr>
          <w:cantSplit/>
        </w:trPr>
        <w:tc>
          <w:tcPr>
            <w:tcW w:w="14000" w:type="dxa"/>
            <w:gridSpan w:val="6"/>
            <w:shd w:val="clear" w:color="auto" w:fill="FAE2D5"/>
          </w:tcPr>
          <w:p w14:paraId="0D767F10" w14:textId="77777777" w:rsidR="0050347E" w:rsidRPr="00006DF4" w:rsidRDefault="0050347E" w:rsidP="00337EFC">
            <w:pPr>
              <w:pStyle w:val="P68B1DB1-Normal54"/>
              <w:spacing w:before="40" w:after="40"/>
              <w:jc w:val="both"/>
              <w:rPr>
                <w:rFonts w:ascii="Arial" w:eastAsia="Aptos" w:hAnsi="Arial" w:cs="Arial"/>
                <w:lang w:val="es-ES"/>
              </w:rPr>
            </w:pPr>
            <w:hyperlink r:id="rId68">
              <w:r w:rsidRPr="00006DF4">
                <w:rPr>
                  <w:rFonts w:ascii="Arial" w:eastAsia="Calibri" w:hAnsi="Arial" w:cs="Arial"/>
                  <w:u w:val="single"/>
                  <w:lang w:val="es-ES"/>
                </w:rPr>
                <w:t>Programa de Trabajo Internacional a Medio Plazo (PTIMP) para el Antílope Saiga 2025</w:t>
              </w:r>
              <w:r w:rsidRPr="00006DF4">
                <w:rPr>
                  <w:rFonts w:ascii="Arial" w:hAnsi="Arial" w:cs="Arial"/>
                  <w:lang w:val="es-ES"/>
                </w:rPr>
                <w:t>-</w:t>
              </w:r>
              <w:r w:rsidRPr="00006DF4">
                <w:rPr>
                  <w:rFonts w:ascii="Arial" w:eastAsia="Calibri" w:hAnsi="Arial" w:cs="Arial"/>
                  <w:u w:val="single"/>
                  <w:lang w:val="es-ES"/>
                </w:rPr>
                <w:t>2030</w:t>
              </w:r>
            </w:hyperlink>
          </w:p>
        </w:tc>
      </w:tr>
      <w:tr w:rsidR="0050347E" w:rsidRPr="00006DF4" w14:paraId="666D5610" w14:textId="77777777" w:rsidTr="00006DF4">
        <w:trPr>
          <w:cantSplit/>
        </w:trPr>
        <w:tc>
          <w:tcPr>
            <w:tcW w:w="738" w:type="dxa"/>
          </w:tcPr>
          <w:p w14:paraId="7C8C8F40" w14:textId="77777777" w:rsidR="0050347E" w:rsidRPr="00006DF4" w:rsidRDefault="0050347E" w:rsidP="00337EFC">
            <w:pPr>
              <w:pStyle w:val="P68B1DB1-Normal51"/>
              <w:spacing w:before="40" w:after="40"/>
              <w:rPr>
                <w:rFonts w:ascii="Arial" w:hAnsi="Arial"/>
              </w:rPr>
            </w:pPr>
            <w:r w:rsidRPr="00006DF4">
              <w:rPr>
                <w:rFonts w:ascii="Arial" w:hAnsi="Arial"/>
              </w:rPr>
              <w:t>13.1</w:t>
            </w:r>
          </w:p>
        </w:tc>
        <w:tc>
          <w:tcPr>
            <w:tcW w:w="5622" w:type="dxa"/>
          </w:tcPr>
          <w:p w14:paraId="37607A7E" w14:textId="77777777" w:rsidR="0050347E" w:rsidRPr="00006DF4" w:rsidRDefault="0050347E" w:rsidP="00337EFC">
            <w:pPr>
              <w:pStyle w:val="P68B1DB1-Normal58"/>
              <w:spacing w:before="40" w:after="40"/>
              <w:jc w:val="both"/>
              <w:rPr>
                <w:rFonts w:ascii="Arial" w:eastAsia="Aptos" w:hAnsi="Arial"/>
                <w:lang w:val="es-ES"/>
              </w:rPr>
            </w:pPr>
            <w:r w:rsidRPr="00006DF4">
              <w:rPr>
                <w:rFonts w:ascii="Arial" w:hAnsi="Arial"/>
                <w:lang w:val="es-ES"/>
              </w:rPr>
              <w:t>Fortalecer la cooperación bilateral entre Kazajistán y Uzbekistán dentro del Programa de Trabajo Internacional a Medio Plazo para el Antílope Saiga 2025-2030 (Actividades 9.1-9.8), el Plan de Acción para el Asno Salvaje Euroasiático en todo el área de distribución y el «Memorando de cooperación para la conservación de la vida silvestre en la meseta de Ustyurt» y su hoja de ruta (véanse las Actividades 12.1-12.6 anteriores).</w:t>
            </w:r>
          </w:p>
        </w:tc>
        <w:tc>
          <w:tcPr>
            <w:tcW w:w="1939" w:type="dxa"/>
          </w:tcPr>
          <w:p w14:paraId="0B481183"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66D48AF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elaboran y ratifican los documentos nacionales oficiales y los informes nacionales sobre la implementación del memorando están disponibles en línea.</w:t>
            </w:r>
          </w:p>
        </w:tc>
        <w:tc>
          <w:tcPr>
            <w:tcW w:w="1250" w:type="dxa"/>
          </w:tcPr>
          <w:p w14:paraId="02E4A876"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191F723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3 del PEEM</w:t>
            </w:r>
          </w:p>
        </w:tc>
      </w:tr>
      <w:tr w:rsidR="0050347E" w:rsidRPr="00006DF4" w14:paraId="21D5DC3B" w14:textId="77777777" w:rsidTr="00006DF4">
        <w:trPr>
          <w:cantSplit/>
        </w:trPr>
        <w:tc>
          <w:tcPr>
            <w:tcW w:w="738" w:type="dxa"/>
          </w:tcPr>
          <w:p w14:paraId="0B8B897E" w14:textId="77777777" w:rsidR="0050347E" w:rsidRPr="00006DF4" w:rsidRDefault="0050347E" w:rsidP="00337EFC">
            <w:pPr>
              <w:pStyle w:val="P68B1DB1-Normal51"/>
              <w:spacing w:before="40" w:after="40"/>
              <w:rPr>
                <w:rFonts w:ascii="Arial" w:hAnsi="Arial"/>
              </w:rPr>
            </w:pPr>
            <w:r w:rsidRPr="00006DF4">
              <w:rPr>
                <w:rFonts w:ascii="Arial" w:hAnsi="Arial"/>
              </w:rPr>
              <w:t>13.2</w:t>
            </w:r>
          </w:p>
        </w:tc>
        <w:tc>
          <w:tcPr>
            <w:tcW w:w="5622" w:type="dxa"/>
          </w:tcPr>
          <w:p w14:paraId="03266CE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Continuar con la reintroducción del asno salvaje euroasiático («kulan») en Uzbekistán aplicando metodologías mejoradas, como el uso de recintos de adaptación previos a la liberación y un mejor monitoreo posterior a la liberación mediante seguimiento por satélite.</w:t>
            </w:r>
          </w:p>
        </w:tc>
        <w:tc>
          <w:tcPr>
            <w:tcW w:w="1939" w:type="dxa"/>
          </w:tcPr>
          <w:p w14:paraId="742CDAB8"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7CFA7E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 de reintroducción, publicaciones científicas.</w:t>
            </w:r>
          </w:p>
        </w:tc>
        <w:tc>
          <w:tcPr>
            <w:tcW w:w="1250" w:type="dxa"/>
          </w:tcPr>
          <w:p w14:paraId="7469186A"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EDA901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3DF296AC" w14:textId="77777777" w:rsidTr="00006DF4">
        <w:trPr>
          <w:cantSplit/>
        </w:trPr>
        <w:tc>
          <w:tcPr>
            <w:tcW w:w="738" w:type="dxa"/>
          </w:tcPr>
          <w:p w14:paraId="246E873F"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13.3</w:t>
            </w:r>
          </w:p>
        </w:tc>
        <w:tc>
          <w:tcPr>
            <w:tcW w:w="5622" w:type="dxa"/>
          </w:tcPr>
          <w:p w14:paraId="3F473E2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Desarrollar un programa de repoblación de la población de gacelas persas utilizando animales del Bukhara Special Center «Jeyran». </w:t>
            </w:r>
          </w:p>
        </w:tc>
        <w:tc>
          <w:tcPr>
            <w:tcW w:w="1939" w:type="dxa"/>
          </w:tcPr>
          <w:p w14:paraId="2B271AFB"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23179925"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Se aprueba el programa y se lleva a cabo la repoblación. </w:t>
            </w:r>
          </w:p>
          <w:p w14:paraId="1642E25B" w14:textId="77777777" w:rsidR="00006DF4" w:rsidRPr="00006DF4" w:rsidRDefault="00006DF4" w:rsidP="00337EFC">
            <w:pPr>
              <w:pStyle w:val="P68B1DB1-Normal51"/>
              <w:spacing w:before="40" w:after="40"/>
              <w:rPr>
                <w:rFonts w:ascii="Arial" w:hAnsi="Arial"/>
                <w:lang w:val="es-ES"/>
              </w:rPr>
            </w:pPr>
          </w:p>
        </w:tc>
        <w:tc>
          <w:tcPr>
            <w:tcW w:w="1250" w:type="dxa"/>
          </w:tcPr>
          <w:p w14:paraId="1EF2885D"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5966205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05FB9EC1" w14:textId="77777777" w:rsidTr="00006DF4">
        <w:trPr>
          <w:cantSplit/>
        </w:trPr>
        <w:tc>
          <w:tcPr>
            <w:tcW w:w="738" w:type="dxa"/>
            <w:tcBorders>
              <w:bottom w:val="single" w:sz="4" w:space="0" w:color="auto"/>
            </w:tcBorders>
          </w:tcPr>
          <w:p w14:paraId="1E8B16C2" w14:textId="77777777" w:rsidR="0050347E" w:rsidRPr="00006DF4" w:rsidRDefault="0050347E" w:rsidP="00337EFC">
            <w:pPr>
              <w:pStyle w:val="P68B1DB1-Normal51"/>
              <w:spacing w:before="40" w:after="40"/>
              <w:rPr>
                <w:rFonts w:ascii="Arial" w:hAnsi="Arial"/>
              </w:rPr>
            </w:pPr>
            <w:r w:rsidRPr="00006DF4">
              <w:rPr>
                <w:rFonts w:ascii="Arial" w:hAnsi="Arial"/>
              </w:rPr>
              <w:t>13.4</w:t>
            </w:r>
          </w:p>
        </w:tc>
        <w:tc>
          <w:tcPr>
            <w:tcW w:w="5622" w:type="dxa"/>
            <w:tcBorders>
              <w:bottom w:val="single" w:sz="4" w:space="0" w:color="auto"/>
            </w:tcBorders>
          </w:tcPr>
          <w:p w14:paraId="58F4D4E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Realizar un análisis de la existencia de puntos de abrevadero y crear una red de puntos de abrevadero para las gacelas persas, el antílope saiga, el asno salvaje euroasiático y otras especies silvestres en los hábitats principales y en las rutas migratorias. </w:t>
            </w:r>
          </w:p>
        </w:tc>
        <w:tc>
          <w:tcPr>
            <w:tcW w:w="1939" w:type="dxa"/>
            <w:tcBorders>
              <w:bottom w:val="single" w:sz="4" w:space="0" w:color="auto"/>
            </w:tcBorders>
          </w:tcPr>
          <w:p w14:paraId="4397DC16"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bottom w:val="single" w:sz="4" w:space="0" w:color="auto"/>
            </w:tcBorders>
          </w:tcPr>
          <w:p w14:paraId="4702E3CA" w14:textId="77777777" w:rsidR="0050347E" w:rsidRDefault="0050347E" w:rsidP="00337EFC">
            <w:pPr>
              <w:pStyle w:val="P68B1DB1-Normal51"/>
              <w:spacing w:before="40" w:after="40"/>
              <w:rPr>
                <w:rFonts w:ascii="Arial" w:hAnsi="Arial"/>
                <w:lang w:val="es-ES"/>
              </w:rPr>
            </w:pPr>
            <w:r w:rsidRPr="00006DF4">
              <w:rPr>
                <w:rFonts w:ascii="Arial" w:hAnsi="Arial"/>
                <w:lang w:val="es-ES"/>
              </w:rPr>
              <w:t xml:space="preserve">Se instala la red en los hábitats principales y en las rutas migratorias y se comprueba su uso por parte de la fauna silvestre mediante cámaras trampa. </w:t>
            </w:r>
          </w:p>
          <w:p w14:paraId="33E306BE" w14:textId="77777777" w:rsidR="00006DF4" w:rsidRPr="00006DF4" w:rsidRDefault="00006DF4" w:rsidP="00337EFC">
            <w:pPr>
              <w:pStyle w:val="P68B1DB1-Normal51"/>
              <w:spacing w:before="40" w:after="40"/>
              <w:rPr>
                <w:rFonts w:ascii="Arial" w:hAnsi="Arial"/>
                <w:lang w:val="es-ES"/>
              </w:rPr>
            </w:pPr>
          </w:p>
        </w:tc>
        <w:tc>
          <w:tcPr>
            <w:tcW w:w="1250" w:type="dxa"/>
            <w:tcBorders>
              <w:bottom w:val="single" w:sz="4" w:space="0" w:color="auto"/>
            </w:tcBorders>
          </w:tcPr>
          <w:p w14:paraId="27867D31"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bottom w:val="single" w:sz="4" w:space="0" w:color="auto"/>
            </w:tcBorders>
          </w:tcPr>
          <w:p w14:paraId="6D7D964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77B9DDCA" w14:textId="77777777" w:rsidTr="00006DF4">
        <w:trPr>
          <w:cantSplit/>
        </w:trPr>
        <w:tc>
          <w:tcPr>
            <w:tcW w:w="738" w:type="dxa"/>
            <w:tcBorders>
              <w:bottom w:val="single" w:sz="4" w:space="0" w:color="auto"/>
            </w:tcBorders>
          </w:tcPr>
          <w:p w14:paraId="21060DFC" w14:textId="77777777" w:rsidR="0050347E" w:rsidRPr="00006DF4" w:rsidRDefault="0050347E" w:rsidP="00337EFC">
            <w:pPr>
              <w:pStyle w:val="P68B1DB1-Normal51"/>
              <w:spacing w:before="40" w:after="40"/>
              <w:rPr>
                <w:rFonts w:ascii="Arial" w:hAnsi="Arial"/>
              </w:rPr>
            </w:pPr>
            <w:r w:rsidRPr="00006DF4">
              <w:rPr>
                <w:rFonts w:ascii="Arial" w:hAnsi="Arial"/>
              </w:rPr>
              <w:t>13.5</w:t>
            </w:r>
          </w:p>
        </w:tc>
        <w:tc>
          <w:tcPr>
            <w:tcW w:w="5622" w:type="dxa"/>
            <w:tcBorders>
              <w:bottom w:val="single" w:sz="4" w:space="0" w:color="auto"/>
            </w:tcBorders>
          </w:tcPr>
          <w:p w14:paraId="0053350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posible reintroducción del urial en la zona de los acantilados occidentales de Aral en Uzbekistán y Kazajistán.</w:t>
            </w:r>
          </w:p>
        </w:tc>
        <w:tc>
          <w:tcPr>
            <w:tcW w:w="1939" w:type="dxa"/>
            <w:tcBorders>
              <w:bottom w:val="single" w:sz="4" w:space="0" w:color="auto"/>
            </w:tcBorders>
          </w:tcPr>
          <w:p w14:paraId="1326BF31"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bottom w:val="single" w:sz="4" w:space="0" w:color="auto"/>
            </w:tcBorders>
          </w:tcPr>
          <w:p w14:paraId="310276E3" w14:textId="77777777" w:rsidR="0050347E" w:rsidRDefault="0050347E" w:rsidP="00337EFC">
            <w:pPr>
              <w:pStyle w:val="P68B1DB1-Normal51"/>
              <w:spacing w:before="40" w:after="40"/>
              <w:rPr>
                <w:rFonts w:ascii="Arial" w:hAnsi="Arial"/>
                <w:lang w:val="es-ES"/>
              </w:rPr>
            </w:pPr>
            <w:r w:rsidRPr="00006DF4">
              <w:rPr>
                <w:rFonts w:ascii="Arial" w:hAnsi="Arial"/>
                <w:lang w:val="es-ES"/>
              </w:rPr>
              <w:t>Se realiza el estudio de viabilidad y los resultados están disponibles.</w:t>
            </w:r>
          </w:p>
          <w:p w14:paraId="50816643" w14:textId="77777777" w:rsidR="00006DF4" w:rsidRPr="00006DF4" w:rsidRDefault="00006DF4" w:rsidP="00337EFC">
            <w:pPr>
              <w:pStyle w:val="P68B1DB1-Normal51"/>
              <w:spacing w:before="40" w:after="40"/>
              <w:rPr>
                <w:rFonts w:ascii="Arial" w:hAnsi="Arial"/>
                <w:lang w:val="es-ES"/>
              </w:rPr>
            </w:pPr>
          </w:p>
        </w:tc>
        <w:tc>
          <w:tcPr>
            <w:tcW w:w="1250" w:type="dxa"/>
            <w:tcBorders>
              <w:bottom w:val="single" w:sz="4" w:space="0" w:color="auto"/>
            </w:tcBorders>
          </w:tcPr>
          <w:p w14:paraId="0F3CE7AC"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2E907A8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EEC781F" w14:textId="77777777" w:rsidTr="00006DF4">
        <w:trPr>
          <w:cantSplit/>
        </w:trPr>
        <w:tc>
          <w:tcPr>
            <w:tcW w:w="738" w:type="dxa"/>
            <w:tcBorders>
              <w:bottom w:val="single" w:sz="4" w:space="0" w:color="auto"/>
            </w:tcBorders>
          </w:tcPr>
          <w:p w14:paraId="307E9089" w14:textId="77777777" w:rsidR="0050347E" w:rsidRPr="00006DF4" w:rsidRDefault="0050347E" w:rsidP="00337EFC">
            <w:pPr>
              <w:pStyle w:val="P68B1DB1-Normal51"/>
              <w:spacing w:before="40" w:after="40"/>
              <w:rPr>
                <w:rFonts w:ascii="Arial" w:hAnsi="Arial"/>
              </w:rPr>
            </w:pPr>
            <w:r w:rsidRPr="00006DF4">
              <w:rPr>
                <w:rFonts w:ascii="Arial" w:hAnsi="Arial"/>
              </w:rPr>
              <w:t>13.6</w:t>
            </w:r>
          </w:p>
        </w:tc>
        <w:tc>
          <w:tcPr>
            <w:tcW w:w="5622" w:type="dxa"/>
            <w:tcBorders>
              <w:bottom w:val="single" w:sz="4" w:space="0" w:color="auto"/>
            </w:tcBorders>
          </w:tcPr>
          <w:p w14:paraId="027B9EE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viabilidad de establecer rutas de ecoturismo transfronterizas.</w:t>
            </w:r>
          </w:p>
        </w:tc>
        <w:tc>
          <w:tcPr>
            <w:tcW w:w="1939" w:type="dxa"/>
            <w:tcBorders>
              <w:bottom w:val="single" w:sz="4" w:space="0" w:color="auto"/>
            </w:tcBorders>
          </w:tcPr>
          <w:p w14:paraId="50BBAD7E" w14:textId="77777777" w:rsidR="0050347E" w:rsidRDefault="0050347E" w:rsidP="00337EFC">
            <w:pPr>
              <w:pStyle w:val="P68B1DB1-Normal51"/>
              <w:spacing w:before="40" w:after="40"/>
              <w:rPr>
                <w:rFonts w:ascii="Arial" w:hAnsi="Arial"/>
              </w:rPr>
            </w:pPr>
            <w:r w:rsidRPr="00006DF4">
              <w:rPr>
                <w:rFonts w:ascii="Arial" w:hAnsi="Arial"/>
              </w:rPr>
              <w:t>OG, ONG, instituciones científicas, sector privado</w:t>
            </w:r>
          </w:p>
          <w:p w14:paraId="5B8ADFAC" w14:textId="77777777" w:rsidR="00006DF4" w:rsidRPr="00006DF4" w:rsidRDefault="00006DF4" w:rsidP="00337EFC">
            <w:pPr>
              <w:pStyle w:val="P68B1DB1-Normal51"/>
              <w:spacing w:before="40" w:after="40"/>
              <w:rPr>
                <w:rFonts w:ascii="Arial" w:hAnsi="Arial"/>
              </w:rPr>
            </w:pPr>
          </w:p>
        </w:tc>
        <w:tc>
          <w:tcPr>
            <w:tcW w:w="2490" w:type="dxa"/>
            <w:tcBorders>
              <w:bottom w:val="single" w:sz="4" w:space="0" w:color="auto"/>
            </w:tcBorders>
          </w:tcPr>
          <w:p w14:paraId="79B3C3B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realiza el estudio de viabilidad. </w:t>
            </w:r>
          </w:p>
        </w:tc>
        <w:tc>
          <w:tcPr>
            <w:tcW w:w="1250" w:type="dxa"/>
            <w:tcBorders>
              <w:bottom w:val="single" w:sz="4" w:space="0" w:color="auto"/>
            </w:tcBorders>
          </w:tcPr>
          <w:p w14:paraId="006757F6"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Borders>
              <w:bottom w:val="single" w:sz="4" w:space="0" w:color="auto"/>
            </w:tcBorders>
          </w:tcPr>
          <w:p w14:paraId="17A6392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5C1EDDA0" w14:textId="77777777" w:rsidTr="00006DF4">
        <w:trPr>
          <w:cantSplit/>
        </w:trPr>
        <w:tc>
          <w:tcPr>
            <w:tcW w:w="738" w:type="dxa"/>
            <w:tcBorders>
              <w:bottom w:val="single" w:sz="4" w:space="0" w:color="auto"/>
            </w:tcBorders>
          </w:tcPr>
          <w:p w14:paraId="30C92060" w14:textId="77777777" w:rsidR="0050347E" w:rsidRPr="00006DF4" w:rsidRDefault="0050347E" w:rsidP="00337EFC">
            <w:pPr>
              <w:pStyle w:val="P68B1DB1-Normal51"/>
              <w:spacing w:before="40" w:after="40"/>
              <w:rPr>
                <w:rFonts w:ascii="Arial" w:hAnsi="Arial"/>
              </w:rPr>
            </w:pPr>
            <w:r w:rsidRPr="00006DF4">
              <w:rPr>
                <w:rFonts w:ascii="Arial" w:hAnsi="Arial"/>
              </w:rPr>
              <w:t>13.7</w:t>
            </w:r>
          </w:p>
        </w:tc>
        <w:tc>
          <w:tcPr>
            <w:tcW w:w="5622" w:type="dxa"/>
            <w:tcBorders>
              <w:bottom w:val="single" w:sz="4" w:space="0" w:color="auto"/>
            </w:tcBorders>
          </w:tcPr>
          <w:p w14:paraId="2EEBCA22"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Involucrar a las comunidades locales en la conservación del antílope saiga para reducir los niveles de caza furtiva (véanse también los Objetivos 5.1 y 5.2 de la hoja de ruta del MdC).</w:t>
            </w:r>
          </w:p>
        </w:tc>
        <w:tc>
          <w:tcPr>
            <w:tcW w:w="1939" w:type="dxa"/>
            <w:tcBorders>
              <w:bottom w:val="single" w:sz="4" w:space="0" w:color="auto"/>
            </w:tcBorders>
          </w:tcPr>
          <w:p w14:paraId="5922970D" w14:textId="77777777" w:rsidR="0050347E" w:rsidRDefault="0050347E" w:rsidP="00337EFC">
            <w:pPr>
              <w:pStyle w:val="P68B1DB1-Normal51"/>
              <w:spacing w:before="40" w:after="40"/>
              <w:rPr>
                <w:rFonts w:ascii="Arial" w:hAnsi="Arial"/>
              </w:rPr>
            </w:pPr>
            <w:r w:rsidRPr="00006DF4">
              <w:rPr>
                <w:rFonts w:ascii="Arial" w:hAnsi="Arial"/>
              </w:rPr>
              <w:t>OG, ONG, instituciones científicas, sector privado</w:t>
            </w:r>
          </w:p>
          <w:p w14:paraId="26B64A3A" w14:textId="77777777" w:rsidR="00006DF4" w:rsidRPr="00006DF4" w:rsidRDefault="00006DF4" w:rsidP="00337EFC">
            <w:pPr>
              <w:pStyle w:val="P68B1DB1-Normal51"/>
              <w:spacing w:before="40" w:after="40"/>
              <w:rPr>
                <w:rFonts w:ascii="Arial" w:hAnsi="Arial"/>
              </w:rPr>
            </w:pPr>
          </w:p>
        </w:tc>
        <w:tc>
          <w:tcPr>
            <w:tcW w:w="2490" w:type="dxa"/>
            <w:tcBorders>
              <w:bottom w:val="single" w:sz="4" w:space="0" w:color="auto"/>
            </w:tcBorders>
          </w:tcPr>
          <w:p w14:paraId="3A4A5EA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Disminuyen los niveles de caza furtiva a nivel local.</w:t>
            </w:r>
          </w:p>
        </w:tc>
        <w:tc>
          <w:tcPr>
            <w:tcW w:w="1250" w:type="dxa"/>
            <w:tcBorders>
              <w:bottom w:val="single" w:sz="4" w:space="0" w:color="auto"/>
            </w:tcBorders>
          </w:tcPr>
          <w:p w14:paraId="521ED0E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bottom w:val="single" w:sz="4" w:space="0" w:color="auto"/>
            </w:tcBorders>
          </w:tcPr>
          <w:p w14:paraId="03407D9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3 del PEEM</w:t>
            </w:r>
          </w:p>
        </w:tc>
      </w:tr>
      <w:tr w:rsidR="0050347E" w:rsidRPr="00006DF4" w14:paraId="16378FE8" w14:textId="77777777" w:rsidTr="00006DF4">
        <w:trPr>
          <w:cantSplit/>
          <w:trHeight w:val="300"/>
        </w:trPr>
        <w:tc>
          <w:tcPr>
            <w:tcW w:w="738" w:type="dxa"/>
            <w:tcBorders>
              <w:bottom w:val="single" w:sz="4" w:space="0" w:color="auto"/>
            </w:tcBorders>
          </w:tcPr>
          <w:p w14:paraId="27291FD1" w14:textId="77777777" w:rsidR="0050347E" w:rsidRPr="00006DF4" w:rsidRDefault="0050347E" w:rsidP="00337EFC">
            <w:pPr>
              <w:pStyle w:val="P68B1DB1-Normal51"/>
              <w:spacing w:before="40" w:after="40"/>
              <w:rPr>
                <w:rFonts w:ascii="Arial" w:hAnsi="Arial"/>
              </w:rPr>
            </w:pPr>
            <w:r w:rsidRPr="00006DF4">
              <w:rPr>
                <w:rFonts w:ascii="Arial" w:hAnsi="Arial"/>
              </w:rPr>
              <w:t>13.8</w:t>
            </w:r>
          </w:p>
        </w:tc>
        <w:tc>
          <w:tcPr>
            <w:tcW w:w="5622" w:type="dxa"/>
            <w:tcBorders>
              <w:bottom w:val="single" w:sz="4" w:space="0" w:color="auto"/>
            </w:tcBorders>
          </w:tcPr>
          <w:p w14:paraId="5B9CDD53"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Elaborar documentos para la creación de zonas protegidas en el norte de Ustyurt, en Kazajistán (véase la Actividad 9.4 del PTIMP para el antílope saiga y la Medida 1.1.2 de la hoja de ruta del MdC de Ustyurt).</w:t>
            </w:r>
          </w:p>
          <w:p w14:paraId="6FB6537D" w14:textId="77777777" w:rsidR="00006DF4" w:rsidRPr="00006DF4" w:rsidRDefault="00006DF4" w:rsidP="00337EFC">
            <w:pPr>
              <w:pStyle w:val="P68B1DB1-Normal51"/>
              <w:spacing w:before="40" w:after="40"/>
              <w:jc w:val="both"/>
              <w:rPr>
                <w:rFonts w:ascii="Arial" w:hAnsi="Arial"/>
                <w:lang w:val="es-ES"/>
              </w:rPr>
            </w:pPr>
          </w:p>
        </w:tc>
        <w:tc>
          <w:tcPr>
            <w:tcW w:w="1939" w:type="dxa"/>
            <w:tcBorders>
              <w:bottom w:val="single" w:sz="4" w:space="0" w:color="auto"/>
            </w:tcBorders>
          </w:tcPr>
          <w:p w14:paraId="40ADD5F3"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67F5A8B6" w14:textId="77777777" w:rsidR="0050347E" w:rsidRPr="00006DF4" w:rsidRDefault="0050347E" w:rsidP="00337EFC">
            <w:pPr>
              <w:spacing w:before="40" w:after="40"/>
              <w:rPr>
                <w:rFonts w:ascii="Arial" w:eastAsia="Aptos" w:hAnsi="Arial" w:cs="Arial"/>
                <w:sz w:val="20"/>
              </w:rPr>
            </w:pPr>
          </w:p>
        </w:tc>
        <w:tc>
          <w:tcPr>
            <w:tcW w:w="2490" w:type="dxa"/>
            <w:tcBorders>
              <w:bottom w:val="single" w:sz="4" w:space="0" w:color="auto"/>
            </w:tcBorders>
          </w:tcPr>
          <w:p w14:paraId="56563B5D"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elaboran los documentos. </w:t>
            </w:r>
          </w:p>
        </w:tc>
        <w:tc>
          <w:tcPr>
            <w:tcW w:w="1250" w:type="dxa"/>
            <w:tcBorders>
              <w:bottom w:val="single" w:sz="4" w:space="0" w:color="auto"/>
            </w:tcBorders>
          </w:tcPr>
          <w:p w14:paraId="4530322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bottom w:val="single" w:sz="4" w:space="0" w:color="auto"/>
            </w:tcBorders>
          </w:tcPr>
          <w:p w14:paraId="6501EEE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1EFB6741" w14:textId="77777777" w:rsidTr="00006DF4">
        <w:trPr>
          <w:cantSplit/>
        </w:trPr>
        <w:tc>
          <w:tcPr>
            <w:tcW w:w="14000" w:type="dxa"/>
            <w:gridSpan w:val="6"/>
            <w:tcBorders>
              <w:top w:val="nil"/>
            </w:tcBorders>
            <w:shd w:val="clear" w:color="auto" w:fill="FAE2D5"/>
          </w:tcPr>
          <w:p w14:paraId="6C98654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b/>
                <w:lang w:val="es-ES"/>
              </w:rPr>
              <w:lastRenderedPageBreak/>
              <w:t>14. Aralkum/desierto de Kyzylkum del noroeste (Kazajistán y Uzbekistán): 3</w:t>
            </w:r>
            <w:r w:rsidRPr="00006DF4">
              <w:rPr>
                <w:rFonts w:ascii="Arial" w:hAnsi="Arial"/>
                <w:lang w:val="es-ES"/>
              </w:rPr>
              <w:t xml:space="preserve"> </w:t>
            </w:r>
          </w:p>
          <w:p w14:paraId="2D728F97" w14:textId="77777777" w:rsidR="0050347E" w:rsidRPr="00006DF4" w:rsidRDefault="0050347E" w:rsidP="00337EFC">
            <w:pPr>
              <w:pStyle w:val="P68B1DB1-Normal51"/>
              <w:spacing w:before="40" w:after="40"/>
              <w:jc w:val="both"/>
              <w:rPr>
                <w:rFonts w:ascii="Arial" w:hAnsi="Arial"/>
              </w:rPr>
            </w:pPr>
            <w:r w:rsidRPr="00006DF4">
              <w:rPr>
                <w:rFonts w:ascii="Arial" w:hAnsi="Arial"/>
                <w:lang w:val="es-ES"/>
              </w:rPr>
              <w:t xml:space="preserve">   </w:t>
            </w:r>
            <w:r w:rsidRPr="00006DF4">
              <w:rPr>
                <w:rFonts w:ascii="Arial" w:hAnsi="Arial"/>
              </w:rPr>
              <w:t>Especies: asno salvaje euroasiático, gacela persa, antílope saiga</w:t>
            </w:r>
          </w:p>
        </w:tc>
      </w:tr>
      <w:tr w:rsidR="0050347E" w:rsidRPr="00006DF4" w14:paraId="0F60850A" w14:textId="77777777" w:rsidTr="00006DF4">
        <w:trPr>
          <w:cantSplit/>
        </w:trPr>
        <w:tc>
          <w:tcPr>
            <w:tcW w:w="14000" w:type="dxa"/>
            <w:gridSpan w:val="6"/>
            <w:shd w:val="clear" w:color="auto" w:fill="FAE2D5"/>
          </w:tcPr>
          <w:p w14:paraId="2DB4E276" w14:textId="77777777" w:rsidR="0050347E" w:rsidRPr="00006DF4" w:rsidRDefault="0050347E" w:rsidP="00337EFC">
            <w:pPr>
              <w:pStyle w:val="P68B1DB1-Normal54"/>
              <w:spacing w:before="40" w:after="40"/>
              <w:jc w:val="both"/>
              <w:rPr>
                <w:rFonts w:ascii="Arial" w:eastAsia="Aptos" w:hAnsi="Arial" w:cs="Arial"/>
                <w:lang w:val="es-ES"/>
              </w:rPr>
            </w:pPr>
            <w:hyperlink r:id="rId69" w:history="1">
              <w:r w:rsidRPr="00006DF4">
                <w:rPr>
                  <w:rFonts w:ascii="Arial" w:eastAsia="Calibri"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Calibri" w:hAnsi="Arial" w:cs="Arial"/>
                  <w:u w:val="single"/>
                  <w:lang w:val="es-ES"/>
                </w:rPr>
                <w:t>2033</w:t>
              </w:r>
            </w:hyperlink>
          </w:p>
        </w:tc>
      </w:tr>
      <w:tr w:rsidR="0050347E" w:rsidRPr="00006DF4" w14:paraId="19F3214A" w14:textId="77777777" w:rsidTr="00006DF4">
        <w:trPr>
          <w:cantSplit/>
        </w:trPr>
        <w:tc>
          <w:tcPr>
            <w:tcW w:w="14000" w:type="dxa"/>
            <w:gridSpan w:val="6"/>
            <w:shd w:val="clear" w:color="auto" w:fill="FAE2D5"/>
          </w:tcPr>
          <w:p w14:paraId="04DC7EA5" w14:textId="77777777" w:rsidR="0050347E" w:rsidRPr="00006DF4" w:rsidRDefault="0050347E" w:rsidP="00337EFC">
            <w:pPr>
              <w:pStyle w:val="P68B1DB1-Normal54"/>
              <w:spacing w:before="40" w:after="40"/>
              <w:jc w:val="both"/>
              <w:rPr>
                <w:rFonts w:ascii="Arial" w:eastAsia="Aptos" w:hAnsi="Arial" w:cs="Arial"/>
                <w:b/>
                <w:lang w:val="es-ES"/>
              </w:rPr>
            </w:pPr>
            <w:hyperlink r:id="rId70">
              <w:r w:rsidRPr="00006DF4">
                <w:rPr>
                  <w:rFonts w:ascii="Arial" w:eastAsia="Calibri" w:hAnsi="Arial" w:cs="Arial"/>
                  <w:u w:val="single"/>
                  <w:lang w:val="es-ES"/>
                </w:rPr>
                <w:t>Programa de Trabajo Internacional a Medio Plazo para el Antílope Saiga 2025</w:t>
              </w:r>
              <w:r w:rsidRPr="00006DF4">
                <w:rPr>
                  <w:rFonts w:ascii="Arial" w:hAnsi="Arial" w:cs="Arial"/>
                  <w:lang w:val="es-ES"/>
                </w:rPr>
                <w:t>-</w:t>
              </w:r>
              <w:r w:rsidRPr="00006DF4">
                <w:rPr>
                  <w:rFonts w:ascii="Arial" w:eastAsia="Calibri" w:hAnsi="Arial" w:cs="Arial"/>
                  <w:u w:val="single"/>
                  <w:lang w:val="es-ES"/>
                </w:rPr>
                <w:t>2030</w:t>
              </w:r>
            </w:hyperlink>
          </w:p>
        </w:tc>
      </w:tr>
      <w:tr w:rsidR="0050347E" w:rsidRPr="00006DF4" w14:paraId="72089332" w14:textId="77777777" w:rsidTr="00006DF4">
        <w:trPr>
          <w:cantSplit/>
        </w:trPr>
        <w:tc>
          <w:tcPr>
            <w:tcW w:w="738" w:type="dxa"/>
          </w:tcPr>
          <w:p w14:paraId="1F50C0D8" w14:textId="77777777" w:rsidR="0050347E" w:rsidRPr="00006DF4" w:rsidRDefault="0050347E" w:rsidP="00337EFC">
            <w:pPr>
              <w:pStyle w:val="P68B1DB1-Normal51"/>
              <w:spacing w:before="40" w:after="40"/>
              <w:rPr>
                <w:rFonts w:ascii="Arial" w:hAnsi="Arial"/>
              </w:rPr>
            </w:pPr>
            <w:r w:rsidRPr="00006DF4">
              <w:rPr>
                <w:rFonts w:ascii="Arial" w:hAnsi="Arial"/>
              </w:rPr>
              <w:t>14.1</w:t>
            </w:r>
          </w:p>
        </w:tc>
        <w:tc>
          <w:tcPr>
            <w:tcW w:w="5622" w:type="dxa"/>
          </w:tcPr>
          <w:p w14:paraId="7802D15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Continuar con el monitoreo de la población de asnos salvajes euroasiáticos en la Reserva Natural Estatal Estricta de Barsa-Kelmes (SSNR) de Kazajistán y sus alrededores. </w:t>
            </w:r>
          </w:p>
        </w:tc>
        <w:tc>
          <w:tcPr>
            <w:tcW w:w="1939" w:type="dxa"/>
          </w:tcPr>
          <w:p w14:paraId="1F26039F"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1065BEE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de encuestas, publicaciones científicas.</w:t>
            </w:r>
          </w:p>
        </w:tc>
        <w:tc>
          <w:tcPr>
            <w:tcW w:w="1250" w:type="dxa"/>
          </w:tcPr>
          <w:p w14:paraId="2A59A373"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BE02C1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07DFA7A8" w14:textId="77777777" w:rsidTr="00006DF4">
        <w:trPr>
          <w:cantSplit/>
        </w:trPr>
        <w:tc>
          <w:tcPr>
            <w:tcW w:w="738" w:type="dxa"/>
          </w:tcPr>
          <w:p w14:paraId="4E03D661" w14:textId="77777777" w:rsidR="0050347E" w:rsidRPr="00006DF4" w:rsidRDefault="0050347E" w:rsidP="00337EFC">
            <w:pPr>
              <w:pStyle w:val="P68B1DB1-Normal51"/>
              <w:spacing w:before="40" w:after="40"/>
              <w:rPr>
                <w:rFonts w:ascii="Arial" w:hAnsi="Arial"/>
              </w:rPr>
            </w:pPr>
            <w:r w:rsidRPr="00006DF4">
              <w:rPr>
                <w:rFonts w:ascii="Arial" w:hAnsi="Arial"/>
              </w:rPr>
              <w:t>14.2</w:t>
            </w:r>
          </w:p>
        </w:tc>
        <w:tc>
          <w:tcPr>
            <w:tcW w:w="5622" w:type="dxa"/>
          </w:tcPr>
          <w:p w14:paraId="044432C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Continuar con el monitoreo de las poblaciones de gacelas persas y antílopes saiga en el Parque Nacional de Aralkum, la SSNR de Barsa-Kelmes y el noroeste de Kyzylkum, y evaluar los efectos de la forestación actual y del desarrollo del petróleo y el gas en estas.</w:t>
            </w:r>
          </w:p>
        </w:tc>
        <w:tc>
          <w:tcPr>
            <w:tcW w:w="1939" w:type="dxa"/>
          </w:tcPr>
          <w:p w14:paraId="475C2F6B"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3693E7C6" w14:textId="77777777" w:rsidR="0050347E" w:rsidRPr="00006DF4" w:rsidRDefault="0050347E" w:rsidP="00337EFC">
            <w:pPr>
              <w:spacing w:before="40" w:after="40"/>
              <w:rPr>
                <w:rFonts w:ascii="Arial" w:eastAsia="Aptos" w:hAnsi="Arial" w:cs="Arial"/>
                <w:sz w:val="20"/>
              </w:rPr>
            </w:pPr>
          </w:p>
        </w:tc>
        <w:tc>
          <w:tcPr>
            <w:tcW w:w="2490" w:type="dxa"/>
          </w:tcPr>
          <w:p w14:paraId="632F70D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de encuestas, publicaciones científicas.</w:t>
            </w:r>
          </w:p>
        </w:tc>
        <w:tc>
          <w:tcPr>
            <w:tcW w:w="1250" w:type="dxa"/>
          </w:tcPr>
          <w:p w14:paraId="2E08E71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696F2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772DEE16" w14:textId="77777777" w:rsidTr="00006DF4">
        <w:trPr>
          <w:cantSplit/>
        </w:trPr>
        <w:tc>
          <w:tcPr>
            <w:tcW w:w="738" w:type="dxa"/>
          </w:tcPr>
          <w:p w14:paraId="2A2F79E7" w14:textId="77777777" w:rsidR="0050347E" w:rsidRPr="00006DF4" w:rsidRDefault="0050347E" w:rsidP="00337EFC">
            <w:pPr>
              <w:pStyle w:val="P68B1DB1-Normal51"/>
              <w:spacing w:before="40" w:after="40"/>
              <w:rPr>
                <w:rFonts w:ascii="Arial" w:hAnsi="Arial"/>
              </w:rPr>
            </w:pPr>
            <w:r w:rsidRPr="00006DF4">
              <w:rPr>
                <w:rFonts w:ascii="Arial" w:hAnsi="Arial"/>
              </w:rPr>
              <w:t>14.3</w:t>
            </w:r>
          </w:p>
        </w:tc>
        <w:tc>
          <w:tcPr>
            <w:tcW w:w="5622" w:type="dxa"/>
          </w:tcPr>
          <w:p w14:paraId="7A644A4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Implementar patrullas SMART en el Parque Nacional de Aralkum y en la SSNR de Barsa-Kelmes.</w:t>
            </w:r>
          </w:p>
        </w:tc>
        <w:tc>
          <w:tcPr>
            <w:tcW w:w="1939" w:type="dxa"/>
          </w:tcPr>
          <w:p w14:paraId="7482DBA3"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5B30E5A3"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utiliza SMART en estas zonas. </w:t>
            </w:r>
          </w:p>
        </w:tc>
        <w:tc>
          <w:tcPr>
            <w:tcW w:w="1250" w:type="dxa"/>
          </w:tcPr>
          <w:p w14:paraId="7DE68DEE" w14:textId="77777777" w:rsidR="0050347E" w:rsidRPr="00006DF4" w:rsidRDefault="0050347E" w:rsidP="00337EFC">
            <w:pPr>
              <w:pStyle w:val="P68B1DB1-Normal51"/>
              <w:spacing w:before="40" w:after="40"/>
              <w:rPr>
                <w:rFonts w:ascii="Arial" w:hAnsi="Arial"/>
              </w:rPr>
            </w:pPr>
            <w:r w:rsidRPr="00006DF4">
              <w:rPr>
                <w:rFonts w:ascii="Arial" w:hAnsi="Arial"/>
              </w:rPr>
              <w:t xml:space="preserve">Media </w:t>
            </w:r>
          </w:p>
        </w:tc>
        <w:tc>
          <w:tcPr>
            <w:tcW w:w="1961" w:type="dxa"/>
          </w:tcPr>
          <w:p w14:paraId="10DFDCF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4BF0C7E2" w14:textId="77777777" w:rsidTr="00006DF4">
        <w:trPr>
          <w:cantSplit/>
        </w:trPr>
        <w:tc>
          <w:tcPr>
            <w:tcW w:w="738" w:type="dxa"/>
          </w:tcPr>
          <w:p w14:paraId="3813BED3" w14:textId="77777777" w:rsidR="0050347E" w:rsidRPr="00006DF4" w:rsidRDefault="0050347E" w:rsidP="00337EFC">
            <w:pPr>
              <w:pStyle w:val="P68B1DB1-Normal51"/>
              <w:spacing w:before="40" w:after="40"/>
              <w:rPr>
                <w:rFonts w:ascii="Arial" w:hAnsi="Arial"/>
              </w:rPr>
            </w:pPr>
            <w:r w:rsidRPr="00006DF4">
              <w:rPr>
                <w:rFonts w:ascii="Arial" w:hAnsi="Arial"/>
              </w:rPr>
              <w:t>14.4</w:t>
            </w:r>
          </w:p>
        </w:tc>
        <w:tc>
          <w:tcPr>
            <w:tcW w:w="5622" w:type="dxa"/>
          </w:tcPr>
          <w:p w14:paraId="688C6FC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Realizar un estudio de viabilidad para la creación de una zona protegida en Kazajistán, junto a la parte de Akpetki de Sudochie-Akpetki zakaznik, en Uzbekistán.</w:t>
            </w:r>
          </w:p>
        </w:tc>
        <w:tc>
          <w:tcPr>
            <w:tcW w:w="1939" w:type="dxa"/>
          </w:tcPr>
          <w:p w14:paraId="6EAA12CA"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0D9FD13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realiza el estudio de viabilidad. </w:t>
            </w:r>
          </w:p>
        </w:tc>
        <w:tc>
          <w:tcPr>
            <w:tcW w:w="1250" w:type="dxa"/>
          </w:tcPr>
          <w:p w14:paraId="472ABC65"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Pr>
          <w:p w14:paraId="4D8A411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5BF86EBD" w14:textId="77777777" w:rsidTr="00006DF4">
        <w:trPr>
          <w:cantSplit/>
        </w:trPr>
        <w:tc>
          <w:tcPr>
            <w:tcW w:w="738" w:type="dxa"/>
          </w:tcPr>
          <w:p w14:paraId="6F30F47A" w14:textId="77777777" w:rsidR="0050347E" w:rsidRPr="00006DF4" w:rsidRDefault="0050347E" w:rsidP="00337EFC">
            <w:pPr>
              <w:pStyle w:val="P68B1DB1-Normal51"/>
              <w:spacing w:before="40" w:after="40"/>
              <w:rPr>
                <w:rFonts w:ascii="Arial" w:hAnsi="Arial"/>
              </w:rPr>
            </w:pPr>
            <w:r w:rsidRPr="00006DF4">
              <w:rPr>
                <w:rFonts w:ascii="Arial" w:hAnsi="Arial"/>
              </w:rPr>
              <w:t>14.5</w:t>
            </w:r>
          </w:p>
        </w:tc>
        <w:tc>
          <w:tcPr>
            <w:tcW w:w="5622" w:type="dxa"/>
          </w:tcPr>
          <w:p w14:paraId="441FE22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posibilidad de crear nuevas zonas protegidas en el desierto de Aralkum, en Kazajistán, y de apoyar las medidas de conservación en la SSNR de Barsa-Kelmes y en el Parque Nacional de Aralkum, incluida la posibilidad de crear una zona protegida transfronteriza.</w:t>
            </w:r>
          </w:p>
        </w:tc>
        <w:tc>
          <w:tcPr>
            <w:tcW w:w="1939" w:type="dxa"/>
          </w:tcPr>
          <w:p w14:paraId="1634F447"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088BFB0C" w14:textId="77777777" w:rsidR="0050347E" w:rsidRPr="00006DF4" w:rsidRDefault="0050347E" w:rsidP="00337EFC">
            <w:pPr>
              <w:spacing w:before="40" w:after="40"/>
              <w:rPr>
                <w:rFonts w:ascii="Arial" w:eastAsia="Aptos" w:hAnsi="Arial" w:cs="Arial"/>
                <w:sz w:val="20"/>
              </w:rPr>
            </w:pPr>
          </w:p>
        </w:tc>
        <w:tc>
          <w:tcPr>
            <w:tcW w:w="2490" w:type="dxa"/>
          </w:tcPr>
          <w:p w14:paraId="7D2AB81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 con una nueva evaluación que incluya zonificación y mapas.</w:t>
            </w:r>
          </w:p>
        </w:tc>
        <w:tc>
          <w:tcPr>
            <w:tcW w:w="1250" w:type="dxa"/>
          </w:tcPr>
          <w:p w14:paraId="6AE68960"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29311B7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23725027" w14:textId="77777777" w:rsidTr="00006DF4">
        <w:trPr>
          <w:cantSplit/>
        </w:trPr>
        <w:tc>
          <w:tcPr>
            <w:tcW w:w="738" w:type="dxa"/>
          </w:tcPr>
          <w:p w14:paraId="64BD2AD0" w14:textId="77777777" w:rsidR="0050347E" w:rsidRPr="00006DF4" w:rsidRDefault="0050347E" w:rsidP="00337EFC">
            <w:pPr>
              <w:pStyle w:val="P68B1DB1-Normal51"/>
              <w:spacing w:before="40" w:after="40"/>
              <w:rPr>
                <w:rFonts w:ascii="Arial" w:hAnsi="Arial"/>
              </w:rPr>
            </w:pPr>
            <w:r w:rsidRPr="00006DF4">
              <w:rPr>
                <w:rFonts w:ascii="Arial" w:hAnsi="Arial"/>
              </w:rPr>
              <w:t>14.6</w:t>
            </w:r>
          </w:p>
        </w:tc>
        <w:tc>
          <w:tcPr>
            <w:tcW w:w="5622" w:type="dxa"/>
          </w:tcPr>
          <w:p w14:paraId="48206BD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Para permitir el movimiento transfronterizo de las especies en cuestión de fauna silvestre, identificar los lugares adecuados para los cruces de las vallas fronterizas, facilitar la apertura de dichos cruces y monitorear el uso de los cruces de las vallas fronterizas por parte de la fauna silvestre con cámaras trampa desde los lados kazajo y uzbeko. </w:t>
            </w:r>
          </w:p>
        </w:tc>
        <w:tc>
          <w:tcPr>
            <w:tcW w:w="1939" w:type="dxa"/>
          </w:tcPr>
          <w:p w14:paraId="1ED50D3D"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p w14:paraId="6E69AE9B" w14:textId="77777777" w:rsidR="0050347E" w:rsidRPr="00006DF4" w:rsidRDefault="0050347E" w:rsidP="00337EFC">
            <w:pPr>
              <w:spacing w:before="40" w:after="40"/>
              <w:rPr>
                <w:rFonts w:ascii="Arial" w:eastAsia="Aptos" w:hAnsi="Arial" w:cs="Arial"/>
                <w:sz w:val="20"/>
              </w:rPr>
            </w:pPr>
          </w:p>
        </w:tc>
        <w:tc>
          <w:tcPr>
            <w:tcW w:w="2490" w:type="dxa"/>
          </w:tcPr>
          <w:p w14:paraId="675C5B2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Las especies de la CAMI utilizan activamente los cruces fronterizos, según los datos de las cámaras trampa.</w:t>
            </w:r>
          </w:p>
        </w:tc>
        <w:tc>
          <w:tcPr>
            <w:tcW w:w="1250" w:type="dxa"/>
          </w:tcPr>
          <w:p w14:paraId="5D21E84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8D877A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 del GBF, Objetivo 2 del PEEM</w:t>
            </w:r>
          </w:p>
        </w:tc>
      </w:tr>
      <w:tr w:rsidR="0050347E" w:rsidRPr="00006DF4" w14:paraId="11C41764" w14:textId="77777777" w:rsidTr="00006DF4">
        <w:trPr>
          <w:cantSplit/>
        </w:trPr>
        <w:tc>
          <w:tcPr>
            <w:tcW w:w="738" w:type="dxa"/>
          </w:tcPr>
          <w:p w14:paraId="7379BAF6"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14.7</w:t>
            </w:r>
          </w:p>
        </w:tc>
        <w:tc>
          <w:tcPr>
            <w:tcW w:w="5622" w:type="dxa"/>
          </w:tcPr>
          <w:p w14:paraId="2006648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crear pasajes en las vallas fronterizas para permitir la migración de los asnos salvajes euroasiáticos, los antílopes saigas y las gacelas persas dentro de la región de Aralkum.</w:t>
            </w:r>
          </w:p>
        </w:tc>
        <w:tc>
          <w:tcPr>
            <w:tcW w:w="1939" w:type="dxa"/>
          </w:tcPr>
          <w:p w14:paraId="304C78B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00C0229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la evaluación de viabilidad.</w:t>
            </w:r>
          </w:p>
        </w:tc>
        <w:tc>
          <w:tcPr>
            <w:tcW w:w="1250" w:type="dxa"/>
          </w:tcPr>
          <w:p w14:paraId="65FB6BA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95D77A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 del GBF, Objetivo 2 del PEEM</w:t>
            </w:r>
          </w:p>
        </w:tc>
      </w:tr>
      <w:tr w:rsidR="0050347E" w:rsidRPr="00006DF4" w14:paraId="37BB0057" w14:textId="77777777" w:rsidTr="00006DF4">
        <w:trPr>
          <w:cantSplit/>
        </w:trPr>
        <w:tc>
          <w:tcPr>
            <w:tcW w:w="738" w:type="dxa"/>
          </w:tcPr>
          <w:p w14:paraId="2AC20303" w14:textId="77777777" w:rsidR="0050347E" w:rsidRPr="00006DF4" w:rsidRDefault="0050347E" w:rsidP="00337EFC">
            <w:pPr>
              <w:pStyle w:val="P68B1DB1-Normal51"/>
              <w:spacing w:before="40" w:after="40"/>
              <w:rPr>
                <w:rFonts w:ascii="Arial" w:hAnsi="Arial"/>
              </w:rPr>
            </w:pPr>
            <w:r w:rsidRPr="00006DF4">
              <w:rPr>
                <w:rFonts w:ascii="Arial" w:hAnsi="Arial"/>
              </w:rPr>
              <w:t>14.8</w:t>
            </w:r>
          </w:p>
        </w:tc>
        <w:tc>
          <w:tcPr>
            <w:tcW w:w="5622" w:type="dxa"/>
          </w:tcPr>
          <w:p w14:paraId="6FFA5F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Trabajar con representantes de la industria del petróleo y el gas para desarrollar estrategias de mitigación de los impactos de las actividades industriales en la región, de acuerdo con las normas internacionales IFC6, las </w:t>
            </w:r>
            <w:hyperlink r:id="rId71" w:tooltip="cms-cami_pub_linear-infrastructure_wcs_e.pdf" w:history="1">
              <w:r w:rsidRPr="00006DF4">
                <w:rPr>
                  <w:rFonts w:ascii="Arial" w:hAnsi="Arial"/>
                  <w:i/>
                  <w:color w:val="000000" w:themeColor="text1"/>
                  <w:u w:val="single"/>
                  <w:lang w:val="es-ES"/>
                </w:rPr>
                <w:t>«Directrices para abordar el impacto de las infraestructuras lineales sobre los grandes mamíferos migratorios de Asia Central»</w:t>
              </w:r>
            </w:hyperlink>
            <w:r w:rsidRPr="00006DF4">
              <w:rPr>
                <w:rFonts w:ascii="Arial" w:hAnsi="Arial"/>
                <w:lang w:val="es-ES"/>
              </w:rPr>
              <w:t xml:space="preserve"> y otras directrices. </w:t>
            </w:r>
          </w:p>
        </w:tc>
        <w:tc>
          <w:tcPr>
            <w:tcW w:w="1939" w:type="dxa"/>
          </w:tcPr>
          <w:p w14:paraId="734019FC"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D31CC9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las recomendaciones antes de 2027 y se llevan a cabo las intervenciones antes de 2028</w:t>
            </w:r>
          </w:p>
        </w:tc>
        <w:tc>
          <w:tcPr>
            <w:tcW w:w="1250" w:type="dxa"/>
          </w:tcPr>
          <w:p w14:paraId="7A83647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DB1594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14 del GBF, Objetivo 5 del PEEM</w:t>
            </w:r>
          </w:p>
        </w:tc>
      </w:tr>
      <w:tr w:rsidR="0050347E" w:rsidRPr="00006DF4" w14:paraId="1FE6C7A0" w14:textId="77777777" w:rsidTr="00006DF4">
        <w:trPr>
          <w:cantSplit/>
        </w:trPr>
        <w:tc>
          <w:tcPr>
            <w:tcW w:w="738" w:type="dxa"/>
          </w:tcPr>
          <w:p w14:paraId="1C08D3A3" w14:textId="77777777" w:rsidR="0050347E" w:rsidRPr="00006DF4" w:rsidRDefault="0050347E" w:rsidP="00337EFC">
            <w:pPr>
              <w:pStyle w:val="P68B1DB1-Normal51"/>
              <w:spacing w:before="40" w:after="40"/>
              <w:rPr>
                <w:rFonts w:ascii="Arial" w:hAnsi="Arial"/>
              </w:rPr>
            </w:pPr>
            <w:r w:rsidRPr="00006DF4">
              <w:rPr>
                <w:rFonts w:ascii="Arial" w:hAnsi="Arial"/>
              </w:rPr>
              <w:t>14.9</w:t>
            </w:r>
          </w:p>
        </w:tc>
        <w:tc>
          <w:tcPr>
            <w:tcW w:w="5622" w:type="dxa"/>
          </w:tcPr>
          <w:p w14:paraId="19ABD96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viabilidad del ecoturismo comunitario, incluidos los recorridos de observación de especies de la CAMI, y apoyar el desarrollo empresarial en los lugares más prometedores.</w:t>
            </w:r>
          </w:p>
        </w:tc>
        <w:tc>
          <w:tcPr>
            <w:tcW w:w="1939" w:type="dxa"/>
          </w:tcPr>
          <w:p w14:paraId="70BF0473" w14:textId="77777777" w:rsidR="0050347E" w:rsidRPr="00006DF4" w:rsidRDefault="0050347E" w:rsidP="00337EFC">
            <w:pPr>
              <w:pStyle w:val="P68B1DB1-Normal51"/>
              <w:spacing w:before="40" w:after="40"/>
              <w:rPr>
                <w:rFonts w:ascii="Arial" w:hAnsi="Arial"/>
              </w:rPr>
            </w:pPr>
            <w:r w:rsidRPr="00006DF4">
              <w:rPr>
                <w:rFonts w:ascii="Arial" w:hAnsi="Arial"/>
              </w:rPr>
              <w:t>OG, ONG</w:t>
            </w:r>
          </w:p>
        </w:tc>
        <w:tc>
          <w:tcPr>
            <w:tcW w:w="2490" w:type="dxa"/>
          </w:tcPr>
          <w:p w14:paraId="6B1AA20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 el estudio de viabilidad antes de 2027 y se presta apoyo.</w:t>
            </w:r>
          </w:p>
        </w:tc>
        <w:tc>
          <w:tcPr>
            <w:tcW w:w="1250" w:type="dxa"/>
          </w:tcPr>
          <w:p w14:paraId="77C759FB"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35D3F83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21 del GBF, Objetivo 3 del PEEM</w:t>
            </w:r>
          </w:p>
        </w:tc>
      </w:tr>
      <w:tr w:rsidR="0050347E" w:rsidRPr="00006DF4" w14:paraId="5BC2ECCD" w14:textId="77777777" w:rsidTr="00006DF4">
        <w:trPr>
          <w:cantSplit/>
        </w:trPr>
        <w:tc>
          <w:tcPr>
            <w:tcW w:w="738" w:type="dxa"/>
            <w:tcBorders>
              <w:bottom w:val="single" w:sz="4" w:space="0" w:color="auto"/>
            </w:tcBorders>
          </w:tcPr>
          <w:p w14:paraId="738516F2" w14:textId="77777777" w:rsidR="0050347E" w:rsidRPr="00006DF4" w:rsidRDefault="0050347E" w:rsidP="00337EFC">
            <w:pPr>
              <w:pStyle w:val="P68B1DB1-Normal51"/>
              <w:spacing w:before="40" w:after="40"/>
              <w:rPr>
                <w:rFonts w:ascii="Arial" w:hAnsi="Arial"/>
              </w:rPr>
            </w:pPr>
            <w:r w:rsidRPr="00006DF4">
              <w:rPr>
                <w:rFonts w:ascii="Arial" w:hAnsi="Arial"/>
              </w:rPr>
              <w:t>14.10</w:t>
            </w:r>
          </w:p>
        </w:tc>
        <w:tc>
          <w:tcPr>
            <w:tcW w:w="5622" w:type="dxa"/>
            <w:tcBorders>
              <w:bottom w:val="single" w:sz="4" w:space="0" w:color="auto"/>
            </w:tcBorders>
          </w:tcPr>
          <w:p w14:paraId="53CE293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necesidad y la viabilidad de la reintroducción del asno salvaje euroasiático en Aralkum.</w:t>
            </w:r>
          </w:p>
          <w:p w14:paraId="2710F595"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bottom w:val="single" w:sz="4" w:space="0" w:color="auto"/>
            </w:tcBorders>
          </w:tcPr>
          <w:p w14:paraId="50AA2899"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bottom w:val="single" w:sz="4" w:space="0" w:color="auto"/>
            </w:tcBorders>
          </w:tcPr>
          <w:p w14:paraId="2AE45CC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completa el estudio de viabilidad antes de 2027.</w:t>
            </w:r>
          </w:p>
        </w:tc>
        <w:tc>
          <w:tcPr>
            <w:tcW w:w="1250" w:type="dxa"/>
            <w:tcBorders>
              <w:bottom w:val="single" w:sz="4" w:space="0" w:color="auto"/>
            </w:tcBorders>
          </w:tcPr>
          <w:p w14:paraId="15C75CE4"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1C43453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393073CE" w14:textId="77777777" w:rsidTr="00006DF4">
        <w:trPr>
          <w:cantSplit/>
          <w:trHeight w:val="300"/>
        </w:trPr>
        <w:tc>
          <w:tcPr>
            <w:tcW w:w="738" w:type="dxa"/>
            <w:tcBorders>
              <w:bottom w:val="single" w:sz="4" w:space="0" w:color="auto"/>
            </w:tcBorders>
          </w:tcPr>
          <w:p w14:paraId="6003598D" w14:textId="77777777" w:rsidR="0050347E" w:rsidRPr="00006DF4" w:rsidRDefault="0050347E" w:rsidP="00337EFC">
            <w:pPr>
              <w:pStyle w:val="P68B1DB1-Normal51"/>
              <w:spacing w:before="40" w:after="40"/>
              <w:rPr>
                <w:rFonts w:ascii="Arial" w:hAnsi="Arial"/>
              </w:rPr>
            </w:pPr>
            <w:r w:rsidRPr="00006DF4">
              <w:rPr>
                <w:rFonts w:ascii="Arial" w:hAnsi="Arial"/>
              </w:rPr>
              <w:t>14.11</w:t>
            </w:r>
          </w:p>
        </w:tc>
        <w:tc>
          <w:tcPr>
            <w:tcW w:w="5622" w:type="dxa"/>
            <w:tcBorders>
              <w:bottom w:val="single" w:sz="4" w:space="0" w:color="auto"/>
            </w:tcBorders>
          </w:tcPr>
          <w:p w14:paraId="7B8F515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Estudiar la posibilidad de reintroducir el ciervo de Bukhara y el asno salvaje euroasiático en Sudochie-Akpetki zakaznik, en Uzbekistán.</w:t>
            </w:r>
          </w:p>
          <w:p w14:paraId="44302549"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bottom w:val="single" w:sz="4" w:space="0" w:color="auto"/>
            </w:tcBorders>
          </w:tcPr>
          <w:p w14:paraId="061341A8"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Borders>
              <w:bottom w:val="single" w:sz="4" w:space="0" w:color="auto"/>
            </w:tcBorders>
          </w:tcPr>
          <w:p w14:paraId="2BCA7F3B" w14:textId="77777777" w:rsidR="0050347E" w:rsidRPr="00006DF4" w:rsidRDefault="0050347E" w:rsidP="00337EFC">
            <w:pPr>
              <w:pStyle w:val="P68B1DB1-Normal51"/>
              <w:spacing w:before="40" w:after="40"/>
              <w:rPr>
                <w:rFonts w:ascii="Arial" w:hAnsi="Arial"/>
              </w:rPr>
            </w:pPr>
            <w:r w:rsidRPr="00006DF4">
              <w:rPr>
                <w:rFonts w:ascii="Arial" w:hAnsi="Arial"/>
              </w:rPr>
              <w:t>Se prepara el informe.</w:t>
            </w:r>
          </w:p>
        </w:tc>
        <w:tc>
          <w:tcPr>
            <w:tcW w:w="1250" w:type="dxa"/>
            <w:tcBorders>
              <w:bottom w:val="single" w:sz="4" w:space="0" w:color="auto"/>
            </w:tcBorders>
          </w:tcPr>
          <w:p w14:paraId="127FD2ED"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Borders>
              <w:bottom w:val="single" w:sz="4" w:space="0" w:color="auto"/>
            </w:tcBorders>
          </w:tcPr>
          <w:p w14:paraId="4CCB956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3FA2D7E" w14:textId="77777777" w:rsidTr="00006DF4">
        <w:trPr>
          <w:cantSplit/>
        </w:trPr>
        <w:tc>
          <w:tcPr>
            <w:tcW w:w="14000" w:type="dxa"/>
            <w:gridSpan w:val="6"/>
            <w:tcBorders>
              <w:top w:val="nil"/>
            </w:tcBorders>
            <w:shd w:val="clear" w:color="auto" w:fill="FAE2D5"/>
          </w:tcPr>
          <w:p w14:paraId="12D76D52" w14:textId="77777777" w:rsidR="0050347E" w:rsidRPr="00006DF4" w:rsidRDefault="0050347E" w:rsidP="00337EFC">
            <w:pPr>
              <w:pStyle w:val="P68B1DB1-Normal51"/>
              <w:spacing w:before="40" w:after="40"/>
              <w:rPr>
                <w:rFonts w:ascii="Arial" w:hAnsi="Arial"/>
                <w:lang w:val="es-ES"/>
              </w:rPr>
            </w:pPr>
            <w:r w:rsidRPr="00006DF4">
              <w:rPr>
                <w:rFonts w:ascii="Arial" w:hAnsi="Arial"/>
                <w:b/>
                <w:lang w:val="es-ES"/>
              </w:rPr>
              <w:t>15. Kopetdag (Irán y Turkmenistán): 4</w:t>
            </w:r>
            <w:r w:rsidRPr="00006DF4">
              <w:rPr>
                <w:rFonts w:ascii="Arial" w:hAnsi="Arial"/>
                <w:lang w:val="es-ES"/>
              </w:rPr>
              <w:t xml:space="preserve"> </w:t>
            </w:r>
          </w:p>
          <w:p w14:paraId="6D89A13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     Especies: guepardo asiático, asno salvaje euroasiático, gacela persa, lince, manul, leopardo de Persia, urial</w:t>
            </w:r>
          </w:p>
        </w:tc>
      </w:tr>
      <w:tr w:rsidR="0050347E" w:rsidRPr="00006DF4" w14:paraId="62D40888" w14:textId="77777777" w:rsidTr="00006DF4">
        <w:trPr>
          <w:cantSplit/>
        </w:trPr>
        <w:tc>
          <w:tcPr>
            <w:tcW w:w="14000" w:type="dxa"/>
            <w:gridSpan w:val="6"/>
            <w:shd w:val="clear" w:color="auto" w:fill="FAE2D5"/>
          </w:tcPr>
          <w:p w14:paraId="3FB0204D" w14:textId="77777777" w:rsidR="0050347E" w:rsidRPr="00006DF4" w:rsidRDefault="0050347E" w:rsidP="00337EFC">
            <w:pPr>
              <w:pStyle w:val="P68B1DB1-Normal54"/>
              <w:spacing w:before="40" w:after="40"/>
              <w:rPr>
                <w:rFonts w:ascii="Arial" w:eastAsia="Aptos" w:hAnsi="Arial" w:cs="Arial"/>
                <w:lang w:val="es-ES"/>
              </w:rPr>
            </w:pPr>
            <w:hyperlink r:id="rId72" w:history="1">
              <w:r w:rsidRPr="00006DF4">
                <w:rPr>
                  <w:rFonts w:ascii="Arial" w:eastAsia="Aptos" w:hAnsi="Arial" w:cs="Arial"/>
                  <w:u w:val="single"/>
                  <w:lang w:val="es-ES"/>
                </w:rPr>
                <w:t>Estrategia del Área de Distribución para la Conservación del Leopardo de Persia 2023</w:t>
              </w:r>
              <w:r w:rsidRPr="00006DF4">
                <w:rPr>
                  <w:rFonts w:ascii="Arial" w:hAnsi="Arial" w:cs="Arial"/>
                  <w:lang w:val="es-ES"/>
                </w:rPr>
                <w:t>-</w:t>
              </w:r>
              <w:r w:rsidRPr="00006DF4">
                <w:rPr>
                  <w:rFonts w:ascii="Arial" w:eastAsia="Aptos" w:hAnsi="Arial" w:cs="Arial"/>
                  <w:u w:val="single"/>
                  <w:lang w:val="es-ES"/>
                </w:rPr>
                <w:t>2032</w:t>
              </w:r>
            </w:hyperlink>
          </w:p>
        </w:tc>
      </w:tr>
      <w:tr w:rsidR="0050347E" w:rsidRPr="00006DF4" w14:paraId="00A02A4D" w14:textId="77777777" w:rsidTr="00006DF4">
        <w:trPr>
          <w:cantSplit/>
        </w:trPr>
        <w:tc>
          <w:tcPr>
            <w:tcW w:w="14000" w:type="dxa"/>
            <w:gridSpan w:val="6"/>
            <w:shd w:val="clear" w:color="auto" w:fill="FAE2D5"/>
          </w:tcPr>
          <w:p w14:paraId="7B582C15" w14:textId="77777777" w:rsidR="0050347E" w:rsidRPr="00006DF4" w:rsidRDefault="0050347E" w:rsidP="00337EFC">
            <w:pPr>
              <w:pStyle w:val="P68B1DB1-Normal54"/>
              <w:spacing w:before="40" w:after="40"/>
              <w:rPr>
                <w:rFonts w:ascii="Arial" w:eastAsia="Aptos" w:hAnsi="Arial" w:cs="Arial"/>
                <w:lang w:val="es-ES"/>
              </w:rPr>
            </w:pPr>
            <w:hyperlink r:id="rId73" w:history="1">
              <w:r w:rsidRPr="00006DF4">
                <w:rPr>
                  <w:rFonts w:ascii="Arial" w:eastAsia="Aptos" w:hAnsi="Arial" w:cs="Arial"/>
                  <w:u w:val="single"/>
                  <w:lang w:val="es-ES"/>
                </w:rPr>
                <w:t>Plan de Acción para el Área de Distribución del Asno Salvaje Euroasiático 2024</w:t>
              </w:r>
              <w:r w:rsidRPr="00006DF4">
                <w:rPr>
                  <w:rFonts w:ascii="Arial" w:hAnsi="Arial" w:cs="Arial"/>
                  <w:lang w:val="es-ES"/>
                </w:rPr>
                <w:t>-</w:t>
              </w:r>
              <w:r w:rsidRPr="00006DF4">
                <w:rPr>
                  <w:rFonts w:ascii="Arial" w:eastAsia="Aptos" w:hAnsi="Arial" w:cs="Arial"/>
                  <w:u w:val="single"/>
                  <w:lang w:val="es-ES"/>
                </w:rPr>
                <w:t>2033</w:t>
              </w:r>
            </w:hyperlink>
          </w:p>
        </w:tc>
      </w:tr>
      <w:tr w:rsidR="0050347E" w:rsidRPr="00006DF4" w14:paraId="3D3CF163" w14:textId="77777777" w:rsidTr="00006DF4">
        <w:trPr>
          <w:cantSplit/>
        </w:trPr>
        <w:tc>
          <w:tcPr>
            <w:tcW w:w="738" w:type="dxa"/>
          </w:tcPr>
          <w:p w14:paraId="1B838B71" w14:textId="77777777" w:rsidR="0050347E" w:rsidRPr="00006DF4" w:rsidRDefault="0050347E" w:rsidP="00337EFC">
            <w:pPr>
              <w:pStyle w:val="P68B1DB1-Normal51"/>
              <w:spacing w:before="40" w:after="40"/>
              <w:rPr>
                <w:rFonts w:ascii="Arial" w:hAnsi="Arial"/>
              </w:rPr>
            </w:pPr>
            <w:r w:rsidRPr="00006DF4">
              <w:rPr>
                <w:rFonts w:ascii="Arial" w:hAnsi="Arial"/>
              </w:rPr>
              <w:t>15.1</w:t>
            </w:r>
          </w:p>
        </w:tc>
        <w:tc>
          <w:tcPr>
            <w:tcW w:w="5622" w:type="dxa"/>
          </w:tcPr>
          <w:p w14:paraId="20891BC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Organizar un taller para las autoridades gubernamentales pertinentes, a iniciativa del Departamento de Medio Ambiente de Irán y el Ministerio de Protección del Medio Ambiente de Turkmenistán, con el fin de reforzar la colaboración transfronteriza entre las zonas protegidas vecinas en materia de monitoreo y conservación de las especies de la CAMI.</w:t>
            </w:r>
          </w:p>
        </w:tc>
        <w:tc>
          <w:tcPr>
            <w:tcW w:w="1939" w:type="dxa"/>
          </w:tcPr>
          <w:p w14:paraId="46FABF2D"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1C84ED7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organiza el taller y se elabora el informe antes de finales de 2026. </w:t>
            </w:r>
          </w:p>
        </w:tc>
        <w:tc>
          <w:tcPr>
            <w:tcW w:w="1250" w:type="dxa"/>
          </w:tcPr>
          <w:p w14:paraId="3295B9C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505DEB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w:t>
            </w:r>
          </w:p>
        </w:tc>
      </w:tr>
      <w:tr w:rsidR="0050347E" w:rsidRPr="00006DF4" w14:paraId="562CFEDC" w14:textId="77777777" w:rsidTr="00006DF4">
        <w:trPr>
          <w:cantSplit/>
        </w:trPr>
        <w:tc>
          <w:tcPr>
            <w:tcW w:w="738" w:type="dxa"/>
          </w:tcPr>
          <w:p w14:paraId="66052892"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15.2</w:t>
            </w:r>
          </w:p>
        </w:tc>
        <w:tc>
          <w:tcPr>
            <w:tcW w:w="5622" w:type="dxa"/>
          </w:tcPr>
          <w:p w14:paraId="6EF25F6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Identificar corredores para los movimientos transfronterizos de la fauna silvestre, especialmente para el leopardo de Persia, el guepardo asiático, el urial, la gacela persa y el asno salvaje euroasiático, en colaboración con los servicios de seguridad fronteriza.</w:t>
            </w:r>
          </w:p>
        </w:tc>
        <w:tc>
          <w:tcPr>
            <w:tcW w:w="1939" w:type="dxa"/>
          </w:tcPr>
          <w:p w14:paraId="6343B223"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3715C4F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realizan estudios científicos cada dos años a partir de 2027 y se publican informes.</w:t>
            </w:r>
          </w:p>
        </w:tc>
        <w:tc>
          <w:tcPr>
            <w:tcW w:w="1250" w:type="dxa"/>
          </w:tcPr>
          <w:p w14:paraId="59318F1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D4C60D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3 del GBF, Objetivo 2 del PEEM </w:t>
            </w:r>
          </w:p>
        </w:tc>
      </w:tr>
      <w:tr w:rsidR="0050347E" w:rsidRPr="00006DF4" w14:paraId="08FAE126" w14:textId="77777777" w:rsidTr="00006DF4">
        <w:trPr>
          <w:cantSplit/>
        </w:trPr>
        <w:tc>
          <w:tcPr>
            <w:tcW w:w="738" w:type="dxa"/>
          </w:tcPr>
          <w:p w14:paraId="173A3270" w14:textId="77777777" w:rsidR="0050347E" w:rsidRPr="00006DF4" w:rsidRDefault="0050347E" w:rsidP="00337EFC">
            <w:pPr>
              <w:pStyle w:val="P68B1DB1-Normal51"/>
              <w:spacing w:before="40" w:after="40"/>
              <w:rPr>
                <w:rFonts w:ascii="Arial" w:hAnsi="Arial"/>
              </w:rPr>
            </w:pPr>
            <w:r w:rsidRPr="00006DF4">
              <w:rPr>
                <w:rFonts w:ascii="Arial" w:hAnsi="Arial"/>
              </w:rPr>
              <w:t>15.3</w:t>
            </w:r>
          </w:p>
        </w:tc>
        <w:tc>
          <w:tcPr>
            <w:tcW w:w="5622" w:type="dxa"/>
          </w:tcPr>
          <w:p w14:paraId="2EADB77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Convocar una reunión con las autoridades medioambientales, fronterizas y de seguridad para debatir la viabilidad de crear pasajes para la vida silvestre en las partes de la valla fronteriza que los animales utilizan con mayor intensidad (según se identifica en 15.2) para favorecer la conectividad ecológica de las especies de la CAMI afectadas. </w:t>
            </w:r>
          </w:p>
        </w:tc>
        <w:tc>
          <w:tcPr>
            <w:tcW w:w="1939" w:type="dxa"/>
          </w:tcPr>
          <w:p w14:paraId="59646D0E"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CB8929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 el informe de monitoreo y se organiza un taller antes de finales de 2027.</w:t>
            </w:r>
          </w:p>
        </w:tc>
        <w:tc>
          <w:tcPr>
            <w:tcW w:w="1250" w:type="dxa"/>
          </w:tcPr>
          <w:p w14:paraId="4FDCA94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56334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 del GBF, Objetivo 2 del PEEM</w:t>
            </w:r>
          </w:p>
        </w:tc>
      </w:tr>
      <w:tr w:rsidR="0050347E" w:rsidRPr="00006DF4" w14:paraId="6A157D63" w14:textId="77777777" w:rsidTr="00006DF4">
        <w:trPr>
          <w:cantSplit/>
        </w:trPr>
        <w:tc>
          <w:tcPr>
            <w:tcW w:w="738" w:type="dxa"/>
          </w:tcPr>
          <w:p w14:paraId="1B9C2FEC" w14:textId="77777777" w:rsidR="0050347E" w:rsidRPr="00006DF4" w:rsidRDefault="0050347E" w:rsidP="00337EFC">
            <w:pPr>
              <w:pStyle w:val="P68B1DB1-Normal51"/>
              <w:spacing w:before="40" w:after="40"/>
              <w:rPr>
                <w:rFonts w:ascii="Arial" w:hAnsi="Arial"/>
              </w:rPr>
            </w:pPr>
            <w:r w:rsidRPr="00006DF4">
              <w:rPr>
                <w:rFonts w:ascii="Arial" w:hAnsi="Arial"/>
              </w:rPr>
              <w:t>15.4</w:t>
            </w:r>
          </w:p>
        </w:tc>
        <w:tc>
          <w:tcPr>
            <w:tcW w:w="5622" w:type="dxa"/>
          </w:tcPr>
          <w:p w14:paraId="51E71E4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Reforzar las patrullas y las medidas de lucha contra la caza furtiva utilizando SMART y otras tecnologías innovadoras, como las cámaras trampa por satélite y LORA u otras herramientas y sistemas nacionales.  </w:t>
            </w:r>
          </w:p>
        </w:tc>
        <w:tc>
          <w:tcPr>
            <w:tcW w:w="1939" w:type="dxa"/>
          </w:tcPr>
          <w:p w14:paraId="2A81E782" w14:textId="77777777" w:rsidR="0050347E" w:rsidRPr="00006DF4" w:rsidRDefault="0050347E" w:rsidP="00337EFC">
            <w:pPr>
              <w:pStyle w:val="P68B1DB1-Normal51"/>
              <w:spacing w:before="40" w:after="40"/>
              <w:rPr>
                <w:rFonts w:ascii="Arial" w:hAnsi="Arial"/>
              </w:rPr>
            </w:pPr>
            <w:r w:rsidRPr="00006DF4">
              <w:rPr>
                <w:rFonts w:ascii="Arial" w:hAnsi="Arial"/>
              </w:rPr>
              <w:t>OG, ONG</w:t>
            </w:r>
          </w:p>
        </w:tc>
        <w:tc>
          <w:tcPr>
            <w:tcW w:w="2490" w:type="dxa"/>
          </w:tcPr>
          <w:p w14:paraId="549B2BE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publican informes trimestrales para al menos un emplazamiento.</w:t>
            </w:r>
          </w:p>
        </w:tc>
        <w:tc>
          <w:tcPr>
            <w:tcW w:w="1250" w:type="dxa"/>
          </w:tcPr>
          <w:p w14:paraId="5FF060A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3B822A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6E442E28" w14:textId="77777777" w:rsidTr="00006DF4">
        <w:trPr>
          <w:cantSplit/>
        </w:trPr>
        <w:tc>
          <w:tcPr>
            <w:tcW w:w="738" w:type="dxa"/>
          </w:tcPr>
          <w:p w14:paraId="55782551" w14:textId="77777777" w:rsidR="0050347E" w:rsidRPr="00006DF4" w:rsidRDefault="0050347E" w:rsidP="00337EFC">
            <w:pPr>
              <w:pStyle w:val="P68B1DB1-Normal51"/>
              <w:spacing w:before="40" w:after="40"/>
              <w:rPr>
                <w:rFonts w:ascii="Arial" w:hAnsi="Arial"/>
              </w:rPr>
            </w:pPr>
            <w:r w:rsidRPr="00006DF4">
              <w:rPr>
                <w:rFonts w:ascii="Arial" w:hAnsi="Arial"/>
              </w:rPr>
              <w:t>15.5</w:t>
            </w:r>
          </w:p>
        </w:tc>
        <w:tc>
          <w:tcPr>
            <w:tcW w:w="5622" w:type="dxa"/>
          </w:tcPr>
          <w:p w14:paraId="7D3C72E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Hacer cumplir las prohibiciones y restricciones de pastoreo basadas en evidencias en las zonas protegidas fronterizas.</w:t>
            </w:r>
          </w:p>
        </w:tc>
        <w:tc>
          <w:tcPr>
            <w:tcW w:w="1939" w:type="dxa"/>
          </w:tcPr>
          <w:p w14:paraId="1311305C"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1578F97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Informes y documentos oficiales de aplicación de la ley en relación con las zonas donde no se puede pastorear; ausencia de ganado en estas ZP.</w:t>
            </w:r>
          </w:p>
        </w:tc>
        <w:tc>
          <w:tcPr>
            <w:tcW w:w="1250" w:type="dxa"/>
          </w:tcPr>
          <w:p w14:paraId="5D07EF8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47BD91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0F5C1385" w14:textId="77777777" w:rsidTr="00006DF4">
        <w:trPr>
          <w:cantSplit/>
        </w:trPr>
        <w:tc>
          <w:tcPr>
            <w:tcW w:w="738" w:type="dxa"/>
          </w:tcPr>
          <w:p w14:paraId="48AB9676" w14:textId="77777777" w:rsidR="0050347E" w:rsidRPr="00006DF4" w:rsidRDefault="0050347E" w:rsidP="00337EFC">
            <w:pPr>
              <w:pStyle w:val="P68B1DB1-Normal51"/>
              <w:spacing w:before="40" w:after="40"/>
              <w:rPr>
                <w:rFonts w:ascii="Arial" w:hAnsi="Arial"/>
              </w:rPr>
            </w:pPr>
            <w:r w:rsidRPr="00006DF4">
              <w:rPr>
                <w:rFonts w:ascii="Arial" w:hAnsi="Arial"/>
              </w:rPr>
              <w:t>15.6</w:t>
            </w:r>
          </w:p>
        </w:tc>
        <w:tc>
          <w:tcPr>
            <w:tcW w:w="5622" w:type="dxa"/>
          </w:tcPr>
          <w:p w14:paraId="79B8164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Organizar una serie de talleres prácticos para pastores sobre la aplicación de las «Directrices de la SSC de la UICN sobre conflictos y coexistencia entre humanos y vida silvestre» (HWCC) y facilitar la implementación de herramientas y prácticas de reducción de conflictos.</w:t>
            </w:r>
          </w:p>
        </w:tc>
        <w:tc>
          <w:tcPr>
            <w:tcW w:w="1939" w:type="dxa"/>
          </w:tcPr>
          <w:p w14:paraId="263C048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SSC de la UICN, instituciones científicas</w:t>
            </w:r>
          </w:p>
        </w:tc>
        <w:tc>
          <w:tcPr>
            <w:tcW w:w="2490" w:type="dxa"/>
          </w:tcPr>
          <w:p w14:paraId="67867B6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celebran los dos primeros talleres en Irán y Turkmenistán antes de 2027. </w:t>
            </w:r>
          </w:p>
        </w:tc>
        <w:tc>
          <w:tcPr>
            <w:tcW w:w="1250" w:type="dxa"/>
          </w:tcPr>
          <w:p w14:paraId="2D38AF0E"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2A06BF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20 del GBF, Objetivo 3 del PEEM</w:t>
            </w:r>
          </w:p>
        </w:tc>
      </w:tr>
      <w:tr w:rsidR="0050347E" w:rsidRPr="00006DF4" w14:paraId="4AD5606D" w14:textId="77777777" w:rsidTr="00006DF4">
        <w:trPr>
          <w:cantSplit/>
        </w:trPr>
        <w:tc>
          <w:tcPr>
            <w:tcW w:w="738" w:type="dxa"/>
          </w:tcPr>
          <w:p w14:paraId="5A658EC9" w14:textId="77777777" w:rsidR="0050347E" w:rsidRPr="00006DF4" w:rsidRDefault="0050347E" w:rsidP="00337EFC">
            <w:pPr>
              <w:pStyle w:val="P68B1DB1-Normal51"/>
              <w:spacing w:before="40" w:after="40"/>
              <w:rPr>
                <w:rFonts w:ascii="Arial" w:hAnsi="Arial"/>
              </w:rPr>
            </w:pPr>
            <w:r w:rsidRPr="00006DF4">
              <w:rPr>
                <w:rFonts w:ascii="Arial" w:hAnsi="Arial"/>
              </w:rPr>
              <w:t>15.7</w:t>
            </w:r>
          </w:p>
        </w:tc>
        <w:tc>
          <w:tcPr>
            <w:tcW w:w="5622" w:type="dxa"/>
          </w:tcPr>
          <w:p w14:paraId="05239B1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Mapear los puntos de agua existentes para las especies de la CAMI y evaluar la necesidad de construir otros puntos de agua artificiales para el ganado con el fin de separar la fauna silvestre y el ganado.</w:t>
            </w:r>
          </w:p>
        </w:tc>
        <w:tc>
          <w:tcPr>
            <w:tcW w:w="1939" w:type="dxa"/>
          </w:tcPr>
          <w:p w14:paraId="4200EA84"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w:t>
            </w:r>
          </w:p>
        </w:tc>
        <w:tc>
          <w:tcPr>
            <w:tcW w:w="2490" w:type="dxa"/>
          </w:tcPr>
          <w:p w14:paraId="38318FC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mapean y monitorizan los puntos de agua mediante cámaras trampa en secciones de las RTPC para finales de 2026.</w:t>
            </w:r>
          </w:p>
        </w:tc>
        <w:tc>
          <w:tcPr>
            <w:tcW w:w="1250" w:type="dxa"/>
          </w:tcPr>
          <w:p w14:paraId="6065F6F2"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2BF957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65A1009B" w14:textId="77777777" w:rsidTr="00006DF4">
        <w:trPr>
          <w:cantSplit/>
        </w:trPr>
        <w:tc>
          <w:tcPr>
            <w:tcW w:w="738" w:type="dxa"/>
          </w:tcPr>
          <w:p w14:paraId="76E114E7"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15.8</w:t>
            </w:r>
          </w:p>
        </w:tc>
        <w:tc>
          <w:tcPr>
            <w:tcW w:w="5622" w:type="dxa"/>
          </w:tcPr>
          <w:p w14:paraId="33EBE3E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Implementar amplias campañas educativas y de divulgación para concienciar a las comunidades locales sobre el valor de las especies de la CAMI, la importancia de los corredores de vida silvestre y el papel de las comunidades humanas en su conservación.</w:t>
            </w:r>
          </w:p>
        </w:tc>
        <w:tc>
          <w:tcPr>
            <w:tcW w:w="1939" w:type="dxa"/>
          </w:tcPr>
          <w:p w14:paraId="7B938DE7"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66B7C77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realizan al menos 2 campañas educativas y de divulgación sobre las especies de la CAMI, los corredores de vida silvestre y la implicación de la comunidad. </w:t>
            </w:r>
          </w:p>
        </w:tc>
        <w:tc>
          <w:tcPr>
            <w:tcW w:w="1250" w:type="dxa"/>
          </w:tcPr>
          <w:p w14:paraId="336BCD1D"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9A8A3C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335E09CB" w14:textId="77777777" w:rsidTr="00006DF4">
        <w:trPr>
          <w:cantSplit/>
        </w:trPr>
        <w:tc>
          <w:tcPr>
            <w:tcW w:w="738" w:type="dxa"/>
          </w:tcPr>
          <w:p w14:paraId="6CA1344A" w14:textId="77777777" w:rsidR="0050347E" w:rsidRPr="00006DF4" w:rsidRDefault="0050347E" w:rsidP="00337EFC">
            <w:pPr>
              <w:pStyle w:val="P68B1DB1-Normal51"/>
              <w:spacing w:before="40" w:after="40"/>
              <w:rPr>
                <w:rFonts w:ascii="Arial" w:hAnsi="Arial"/>
              </w:rPr>
            </w:pPr>
            <w:r w:rsidRPr="00006DF4">
              <w:rPr>
                <w:rFonts w:ascii="Arial" w:hAnsi="Arial"/>
              </w:rPr>
              <w:t>15.9</w:t>
            </w:r>
          </w:p>
        </w:tc>
        <w:tc>
          <w:tcPr>
            <w:tcW w:w="5622" w:type="dxa"/>
          </w:tcPr>
          <w:p w14:paraId="7F5FEFF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En Irán, fortalecer la participación del sector privado y las comunidades locales en la gestión participativa de los corredores de vida silvestre para las especies de la CAMI, especialmente fuera de los límites de las zonas oficialmente protegidas, mediante la creación de mecanismos de incentivos y programas de desarrollo de capacidades y reforzando los marcos jurñidicos y económicos apropiados.</w:t>
            </w:r>
          </w:p>
        </w:tc>
        <w:tc>
          <w:tcPr>
            <w:tcW w:w="1939" w:type="dxa"/>
          </w:tcPr>
          <w:p w14:paraId="1E86DFE2"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3747974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identifican y establecen cinco zonas importantes en Irán para la conservación de las especies de la CAMI en los corredores fuera de las zonas protegidas oficiales, utilizando un enfoque de conservación participativa que involucra al Gobierno, las ONG, el sector privado y las comunidades locales.</w:t>
            </w:r>
          </w:p>
        </w:tc>
        <w:tc>
          <w:tcPr>
            <w:tcW w:w="1250" w:type="dxa"/>
          </w:tcPr>
          <w:p w14:paraId="50833EC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60C5D2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02203BC4" w14:textId="77777777" w:rsidTr="00006DF4">
        <w:trPr>
          <w:cantSplit/>
        </w:trPr>
        <w:tc>
          <w:tcPr>
            <w:tcW w:w="738" w:type="dxa"/>
          </w:tcPr>
          <w:p w14:paraId="39AA70CF" w14:textId="77777777" w:rsidR="0050347E" w:rsidRPr="00006DF4" w:rsidRDefault="0050347E" w:rsidP="00337EFC">
            <w:pPr>
              <w:pStyle w:val="P68B1DB1-Normal51"/>
              <w:spacing w:before="40" w:after="40"/>
              <w:rPr>
                <w:rFonts w:ascii="Arial" w:hAnsi="Arial"/>
              </w:rPr>
            </w:pPr>
            <w:r w:rsidRPr="00006DF4">
              <w:rPr>
                <w:rFonts w:ascii="Arial" w:hAnsi="Arial"/>
              </w:rPr>
              <w:t>15.10</w:t>
            </w:r>
          </w:p>
        </w:tc>
        <w:tc>
          <w:tcPr>
            <w:tcW w:w="5622" w:type="dxa"/>
          </w:tcPr>
          <w:p w14:paraId="5AB69AA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establecer una zona protegida transfronteriza o un «parque de la amistad» entre Irán y Turkmenistán para la conservación del leopardo de Persia y sus presas.</w:t>
            </w:r>
          </w:p>
        </w:tc>
        <w:tc>
          <w:tcPr>
            <w:tcW w:w="1939" w:type="dxa"/>
          </w:tcPr>
          <w:p w14:paraId="2A57D043" w14:textId="77777777" w:rsidR="0050347E" w:rsidRPr="00006DF4" w:rsidRDefault="0050347E" w:rsidP="00337EFC">
            <w:pPr>
              <w:pStyle w:val="P68B1DB1-Normal51"/>
              <w:spacing w:before="40" w:after="40"/>
              <w:rPr>
                <w:rFonts w:ascii="Arial" w:hAnsi="Arial"/>
              </w:rPr>
            </w:pPr>
            <w:r w:rsidRPr="00006DF4">
              <w:rPr>
                <w:rFonts w:ascii="Arial" w:hAnsi="Arial"/>
              </w:rPr>
              <w:t>OG</w:t>
            </w:r>
          </w:p>
        </w:tc>
        <w:tc>
          <w:tcPr>
            <w:tcW w:w="2490" w:type="dxa"/>
          </w:tcPr>
          <w:p w14:paraId="05DD5AC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estudia la posibilidad de establecer una zona protegida transfronteriza o un «parque de la amistad» entre Irán y Turkmenistán para la conservación del leopardo de Persia y sus presas.</w:t>
            </w:r>
          </w:p>
        </w:tc>
        <w:tc>
          <w:tcPr>
            <w:tcW w:w="1250" w:type="dxa"/>
          </w:tcPr>
          <w:p w14:paraId="17F0663A"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7C8E820E"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C07C522" w14:textId="77777777" w:rsidTr="00006DF4">
        <w:trPr>
          <w:cantSplit/>
        </w:trPr>
        <w:tc>
          <w:tcPr>
            <w:tcW w:w="738" w:type="dxa"/>
          </w:tcPr>
          <w:p w14:paraId="29A1783D" w14:textId="77777777" w:rsidR="0050347E" w:rsidRPr="00006DF4" w:rsidRDefault="0050347E" w:rsidP="00337EFC">
            <w:pPr>
              <w:pStyle w:val="P68B1DB1-Normal51"/>
              <w:spacing w:before="40" w:after="40"/>
              <w:rPr>
                <w:rFonts w:ascii="Arial" w:hAnsi="Arial"/>
              </w:rPr>
            </w:pPr>
            <w:r w:rsidRPr="00006DF4">
              <w:rPr>
                <w:rFonts w:ascii="Arial" w:hAnsi="Arial"/>
              </w:rPr>
              <w:t>15.11</w:t>
            </w:r>
          </w:p>
        </w:tc>
        <w:tc>
          <w:tcPr>
            <w:tcW w:w="5622" w:type="dxa"/>
          </w:tcPr>
          <w:p w14:paraId="328E922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Desarrollar planes de acción conjuntos entre Irán y los países de la CAMI para la conservación del manul y el lince euroasiático.</w:t>
            </w:r>
          </w:p>
        </w:tc>
        <w:tc>
          <w:tcPr>
            <w:tcW w:w="1939" w:type="dxa"/>
          </w:tcPr>
          <w:p w14:paraId="228ACD46"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41F1B2B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desarrollan planes de acción entre Irán y los países de la CAMI para la conservación del manul y el lince euroasiático.</w:t>
            </w:r>
          </w:p>
        </w:tc>
        <w:tc>
          <w:tcPr>
            <w:tcW w:w="1250" w:type="dxa"/>
          </w:tcPr>
          <w:p w14:paraId="70632BB1"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27900B2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6383E6B7" w14:textId="77777777" w:rsidTr="00006DF4">
        <w:trPr>
          <w:cantSplit/>
        </w:trPr>
        <w:tc>
          <w:tcPr>
            <w:tcW w:w="738" w:type="dxa"/>
          </w:tcPr>
          <w:p w14:paraId="31228284"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15.12</w:t>
            </w:r>
          </w:p>
        </w:tc>
        <w:tc>
          <w:tcPr>
            <w:tcW w:w="5622" w:type="dxa"/>
          </w:tcPr>
          <w:p w14:paraId="13F5E1A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Iniciar una campaña internacional de apoyo a las actividades de conservación del guepardo en Irán.</w:t>
            </w:r>
          </w:p>
        </w:tc>
        <w:tc>
          <w:tcPr>
            <w:tcW w:w="1939" w:type="dxa"/>
          </w:tcPr>
          <w:p w14:paraId="5ADE025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Departamento de Medio Ambiente de Irán, ONG, instituciones científicas (Secretaría de la CMS, si es necesario)</w:t>
            </w:r>
          </w:p>
        </w:tc>
        <w:tc>
          <w:tcPr>
            <w:tcW w:w="2490" w:type="dxa"/>
          </w:tcPr>
          <w:p w14:paraId="120C41B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brinda apoyo técnico y económico por parte de la comunidad internacional para las actividades de conservación del guepardo en Irán. </w:t>
            </w:r>
          </w:p>
        </w:tc>
        <w:tc>
          <w:tcPr>
            <w:tcW w:w="1250" w:type="dxa"/>
          </w:tcPr>
          <w:p w14:paraId="7B428E6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35D0B3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B4A9B86" w14:textId="77777777" w:rsidTr="00006DF4">
        <w:trPr>
          <w:cantSplit/>
        </w:trPr>
        <w:tc>
          <w:tcPr>
            <w:tcW w:w="14000" w:type="dxa"/>
            <w:gridSpan w:val="6"/>
            <w:tcBorders>
              <w:top w:val="nil"/>
            </w:tcBorders>
            <w:shd w:val="clear" w:color="auto" w:fill="FAE2D5"/>
          </w:tcPr>
          <w:p w14:paraId="5636DAFD" w14:textId="77777777" w:rsidR="0050347E" w:rsidRPr="00006DF4" w:rsidRDefault="0050347E" w:rsidP="00337EFC">
            <w:pPr>
              <w:pStyle w:val="P68B1DB1-Normal48"/>
              <w:spacing w:before="40" w:after="40"/>
              <w:rPr>
                <w:rFonts w:ascii="Arial" w:hAnsi="Arial"/>
                <w:lang w:val="es-ES"/>
              </w:rPr>
            </w:pPr>
            <w:r w:rsidRPr="00006DF4">
              <w:rPr>
                <w:rFonts w:ascii="Arial" w:hAnsi="Arial"/>
                <w:lang w:val="es-ES"/>
              </w:rPr>
              <w:t>16. Koytendag/Kugitang (Turkmenistán y Uzbekistán): 5</w:t>
            </w:r>
          </w:p>
          <w:p w14:paraId="117BF3F4" w14:textId="77777777" w:rsidR="0050347E" w:rsidRPr="00006DF4" w:rsidRDefault="0050347E" w:rsidP="00337EFC">
            <w:pPr>
              <w:pStyle w:val="P68B1DB1-Normal51"/>
              <w:spacing w:before="40" w:after="40"/>
              <w:rPr>
                <w:rFonts w:ascii="Arial" w:hAnsi="Arial"/>
              </w:rPr>
            </w:pPr>
            <w:r w:rsidRPr="00006DF4">
              <w:rPr>
                <w:rFonts w:ascii="Arial" w:hAnsi="Arial"/>
                <w:lang w:val="es-ES"/>
              </w:rPr>
              <w:t xml:space="preserve">     </w:t>
            </w:r>
            <w:r w:rsidRPr="00006DF4">
              <w:rPr>
                <w:rFonts w:ascii="Arial" w:hAnsi="Arial"/>
              </w:rPr>
              <w:t>Especies: gacela persa, lince, urial</w:t>
            </w:r>
          </w:p>
        </w:tc>
      </w:tr>
      <w:tr w:rsidR="0050347E" w:rsidRPr="00006DF4" w14:paraId="14342805" w14:textId="77777777" w:rsidTr="00006DF4">
        <w:trPr>
          <w:cantSplit/>
        </w:trPr>
        <w:tc>
          <w:tcPr>
            <w:tcW w:w="738" w:type="dxa"/>
          </w:tcPr>
          <w:p w14:paraId="583D533F" w14:textId="77777777" w:rsidR="0050347E" w:rsidRPr="00006DF4" w:rsidRDefault="0050347E" w:rsidP="00337EFC">
            <w:pPr>
              <w:pStyle w:val="P68B1DB1-Normal51"/>
              <w:spacing w:before="40" w:after="40"/>
              <w:rPr>
                <w:rFonts w:ascii="Arial" w:hAnsi="Arial"/>
              </w:rPr>
            </w:pPr>
            <w:r w:rsidRPr="00006DF4">
              <w:rPr>
                <w:rFonts w:ascii="Arial" w:hAnsi="Arial"/>
              </w:rPr>
              <w:t>16.1</w:t>
            </w:r>
          </w:p>
        </w:tc>
        <w:tc>
          <w:tcPr>
            <w:tcW w:w="5622" w:type="dxa"/>
          </w:tcPr>
          <w:p w14:paraId="43AF837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Coordinar el monitoreo de las especies de la CAMI y el intercambio de datos entre la SSNR de Surkhan y la SSNR de Koytendag.</w:t>
            </w:r>
          </w:p>
        </w:tc>
        <w:tc>
          <w:tcPr>
            <w:tcW w:w="1939" w:type="dxa"/>
          </w:tcPr>
          <w:p w14:paraId="3F53FF98"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 cotos de caza</w:t>
            </w:r>
          </w:p>
        </w:tc>
        <w:tc>
          <w:tcPr>
            <w:tcW w:w="2490" w:type="dxa"/>
          </w:tcPr>
          <w:p w14:paraId="1481320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coordinan los estudios y se comparten los protocolos de datos antes de finales de 2027.</w:t>
            </w:r>
          </w:p>
        </w:tc>
        <w:tc>
          <w:tcPr>
            <w:tcW w:w="1250" w:type="dxa"/>
          </w:tcPr>
          <w:p w14:paraId="3B68044A"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20796001" w14:textId="77777777" w:rsidR="0050347E" w:rsidRPr="00006DF4" w:rsidRDefault="0050347E" w:rsidP="00337EFC">
            <w:pPr>
              <w:spacing w:before="40" w:after="40"/>
              <w:rPr>
                <w:rFonts w:ascii="Arial" w:eastAsia="Aptos" w:hAnsi="Arial" w:cs="Arial"/>
                <w:sz w:val="20"/>
              </w:rPr>
            </w:pPr>
          </w:p>
        </w:tc>
        <w:tc>
          <w:tcPr>
            <w:tcW w:w="1961" w:type="dxa"/>
          </w:tcPr>
          <w:p w14:paraId="6B64C70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3555E5E7" w14:textId="77777777" w:rsidTr="00006DF4">
        <w:trPr>
          <w:cantSplit/>
        </w:trPr>
        <w:tc>
          <w:tcPr>
            <w:tcW w:w="738" w:type="dxa"/>
          </w:tcPr>
          <w:p w14:paraId="2FEFFE97" w14:textId="77777777" w:rsidR="0050347E" w:rsidRPr="00006DF4" w:rsidRDefault="0050347E" w:rsidP="00337EFC">
            <w:pPr>
              <w:pStyle w:val="P68B1DB1-Normal51"/>
              <w:spacing w:before="40" w:after="40"/>
              <w:rPr>
                <w:rFonts w:ascii="Arial" w:hAnsi="Arial"/>
              </w:rPr>
            </w:pPr>
            <w:r w:rsidRPr="00006DF4">
              <w:rPr>
                <w:rFonts w:ascii="Arial" w:hAnsi="Arial"/>
              </w:rPr>
              <w:t>16.2</w:t>
            </w:r>
          </w:p>
        </w:tc>
        <w:tc>
          <w:tcPr>
            <w:tcW w:w="5622" w:type="dxa"/>
          </w:tcPr>
          <w:p w14:paraId="2506B83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Seguir utilizando SMART en la SSNR de Surkhan y en la SSNR de Koytendag y reforzar las patrullas con el uso de SMART.  </w:t>
            </w:r>
          </w:p>
        </w:tc>
        <w:tc>
          <w:tcPr>
            <w:tcW w:w="1939" w:type="dxa"/>
          </w:tcPr>
          <w:p w14:paraId="0DD66CF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61E84F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publican trimestralmente los informes SMART.</w:t>
            </w:r>
          </w:p>
          <w:p w14:paraId="0BE0A82B" w14:textId="77777777" w:rsidR="0050347E" w:rsidRPr="00006DF4" w:rsidRDefault="0050347E" w:rsidP="00337EFC">
            <w:pPr>
              <w:spacing w:before="40" w:after="40"/>
              <w:rPr>
                <w:rFonts w:ascii="Arial" w:eastAsia="Aptos" w:hAnsi="Arial" w:cs="Arial"/>
                <w:sz w:val="20"/>
                <w:lang w:val="es-ES"/>
              </w:rPr>
            </w:pPr>
          </w:p>
        </w:tc>
        <w:tc>
          <w:tcPr>
            <w:tcW w:w="1250" w:type="dxa"/>
          </w:tcPr>
          <w:p w14:paraId="44A02D66"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4FFA693C" w14:textId="77777777" w:rsidR="0050347E" w:rsidRPr="00006DF4" w:rsidRDefault="0050347E" w:rsidP="00337EFC">
            <w:pPr>
              <w:spacing w:before="40" w:after="40"/>
              <w:rPr>
                <w:rFonts w:ascii="Arial" w:eastAsia="Aptos" w:hAnsi="Arial" w:cs="Arial"/>
                <w:sz w:val="20"/>
              </w:rPr>
            </w:pPr>
          </w:p>
        </w:tc>
        <w:tc>
          <w:tcPr>
            <w:tcW w:w="1961" w:type="dxa"/>
          </w:tcPr>
          <w:p w14:paraId="54A41210"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020298A7" w14:textId="77777777" w:rsidTr="00006DF4">
        <w:trPr>
          <w:cantSplit/>
        </w:trPr>
        <w:tc>
          <w:tcPr>
            <w:tcW w:w="738" w:type="dxa"/>
          </w:tcPr>
          <w:p w14:paraId="3B618C96" w14:textId="77777777" w:rsidR="0050347E" w:rsidRPr="00006DF4" w:rsidRDefault="0050347E" w:rsidP="00337EFC">
            <w:pPr>
              <w:pStyle w:val="P68B1DB1-Normal51"/>
              <w:spacing w:before="40" w:after="40"/>
              <w:rPr>
                <w:rFonts w:ascii="Arial" w:hAnsi="Arial"/>
              </w:rPr>
            </w:pPr>
            <w:r w:rsidRPr="00006DF4">
              <w:rPr>
                <w:rFonts w:ascii="Arial" w:hAnsi="Arial"/>
              </w:rPr>
              <w:t>16.3</w:t>
            </w:r>
          </w:p>
        </w:tc>
        <w:tc>
          <w:tcPr>
            <w:tcW w:w="5622" w:type="dxa"/>
          </w:tcPr>
          <w:p w14:paraId="285B1CC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Presentar una solicitud a la Comisión del Patrimonio Mundial de la UNESCO para una evaluación preliminar de la viabilidad de la candidatura de los «karsts», cuevas y cañones de Kugitang a la Lista del Patrimonio Mundial de la UNESCO.</w:t>
            </w:r>
          </w:p>
        </w:tc>
        <w:tc>
          <w:tcPr>
            <w:tcW w:w="1939" w:type="dxa"/>
          </w:tcPr>
          <w:p w14:paraId="4A6BC04E"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22BD4B27" w14:textId="77777777" w:rsidR="0050347E" w:rsidRPr="00006DF4" w:rsidRDefault="0050347E" w:rsidP="00337EFC">
            <w:pPr>
              <w:spacing w:before="40" w:after="40"/>
              <w:rPr>
                <w:rFonts w:ascii="Arial" w:eastAsia="Aptos" w:hAnsi="Arial" w:cs="Arial"/>
                <w:sz w:val="20"/>
              </w:rPr>
            </w:pPr>
          </w:p>
        </w:tc>
        <w:tc>
          <w:tcPr>
            <w:tcW w:w="2490" w:type="dxa"/>
          </w:tcPr>
          <w:p w14:paraId="52F8D05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presenta la solicitud antes del 15 de septiembre de 2026.</w:t>
            </w:r>
          </w:p>
          <w:p w14:paraId="2E5D63C9" w14:textId="77777777" w:rsidR="0050347E" w:rsidRPr="00006DF4" w:rsidRDefault="0050347E" w:rsidP="00337EFC">
            <w:pPr>
              <w:spacing w:before="40" w:after="40"/>
              <w:rPr>
                <w:rFonts w:ascii="Arial" w:eastAsia="Aptos" w:hAnsi="Arial" w:cs="Arial"/>
                <w:sz w:val="20"/>
                <w:lang w:val="es-ES"/>
              </w:rPr>
            </w:pPr>
          </w:p>
        </w:tc>
        <w:tc>
          <w:tcPr>
            <w:tcW w:w="1250" w:type="dxa"/>
          </w:tcPr>
          <w:p w14:paraId="4FC9E91D"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1000E83C" w14:textId="77777777" w:rsidR="0050347E" w:rsidRPr="00006DF4" w:rsidRDefault="0050347E" w:rsidP="00337EFC">
            <w:pPr>
              <w:spacing w:before="40" w:after="40"/>
              <w:rPr>
                <w:rFonts w:ascii="Arial" w:eastAsia="Aptos" w:hAnsi="Arial" w:cs="Arial"/>
                <w:sz w:val="20"/>
              </w:rPr>
            </w:pPr>
          </w:p>
        </w:tc>
        <w:tc>
          <w:tcPr>
            <w:tcW w:w="1961" w:type="dxa"/>
          </w:tcPr>
          <w:p w14:paraId="0DDA127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w:t>
            </w:r>
          </w:p>
        </w:tc>
      </w:tr>
      <w:tr w:rsidR="0050347E" w:rsidRPr="00006DF4" w14:paraId="3B85AFFF" w14:textId="77777777" w:rsidTr="00006DF4">
        <w:trPr>
          <w:cantSplit/>
        </w:trPr>
        <w:tc>
          <w:tcPr>
            <w:tcW w:w="738" w:type="dxa"/>
          </w:tcPr>
          <w:p w14:paraId="38A6EE19" w14:textId="77777777" w:rsidR="0050347E" w:rsidRPr="00006DF4" w:rsidRDefault="0050347E" w:rsidP="00337EFC">
            <w:pPr>
              <w:pStyle w:val="P68B1DB1-Normal51"/>
              <w:spacing w:before="40" w:after="40"/>
              <w:rPr>
                <w:rFonts w:ascii="Arial" w:hAnsi="Arial"/>
              </w:rPr>
            </w:pPr>
            <w:r w:rsidRPr="00006DF4">
              <w:rPr>
                <w:rFonts w:ascii="Arial" w:hAnsi="Arial"/>
              </w:rPr>
              <w:t>16.4</w:t>
            </w:r>
          </w:p>
        </w:tc>
        <w:tc>
          <w:tcPr>
            <w:tcW w:w="5622" w:type="dxa"/>
          </w:tcPr>
          <w:p w14:paraId="77090E1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Si la respuesta de la UNESCO es positiva, presentar un dosier de candidatura completo a la Comisión del Patrimonio Mundial de la UNESCO.</w:t>
            </w:r>
          </w:p>
        </w:tc>
        <w:tc>
          <w:tcPr>
            <w:tcW w:w="1939" w:type="dxa"/>
          </w:tcPr>
          <w:p w14:paraId="316EBDD5"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p w14:paraId="00756BD3" w14:textId="77777777" w:rsidR="0050347E" w:rsidRPr="00006DF4" w:rsidRDefault="0050347E" w:rsidP="00337EFC">
            <w:pPr>
              <w:spacing w:before="40" w:after="40"/>
              <w:rPr>
                <w:rFonts w:ascii="Arial" w:eastAsia="Aptos" w:hAnsi="Arial" w:cs="Arial"/>
                <w:sz w:val="20"/>
              </w:rPr>
            </w:pPr>
          </w:p>
        </w:tc>
        <w:tc>
          <w:tcPr>
            <w:tcW w:w="2490" w:type="dxa"/>
          </w:tcPr>
          <w:p w14:paraId="33B6302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El dosier de la candidatura se presenta antes de febrero de 2028.</w:t>
            </w:r>
          </w:p>
        </w:tc>
        <w:tc>
          <w:tcPr>
            <w:tcW w:w="1250" w:type="dxa"/>
          </w:tcPr>
          <w:p w14:paraId="6F623257"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253227B5" w14:textId="77777777" w:rsidR="0050347E" w:rsidRPr="00006DF4" w:rsidRDefault="0050347E" w:rsidP="00337EFC">
            <w:pPr>
              <w:spacing w:before="40" w:after="40"/>
              <w:rPr>
                <w:rFonts w:ascii="Arial" w:eastAsia="Aptos" w:hAnsi="Arial" w:cs="Arial"/>
                <w:sz w:val="20"/>
              </w:rPr>
            </w:pPr>
          </w:p>
        </w:tc>
        <w:tc>
          <w:tcPr>
            <w:tcW w:w="1961" w:type="dxa"/>
          </w:tcPr>
          <w:p w14:paraId="102A22C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w:t>
            </w:r>
          </w:p>
        </w:tc>
      </w:tr>
      <w:tr w:rsidR="0050347E" w:rsidRPr="00006DF4" w14:paraId="37648D50" w14:textId="77777777" w:rsidTr="00006DF4">
        <w:trPr>
          <w:cantSplit/>
        </w:trPr>
        <w:tc>
          <w:tcPr>
            <w:tcW w:w="738" w:type="dxa"/>
          </w:tcPr>
          <w:p w14:paraId="12BD92D8" w14:textId="77777777" w:rsidR="0050347E" w:rsidRPr="00006DF4" w:rsidRDefault="0050347E" w:rsidP="00337EFC">
            <w:pPr>
              <w:pStyle w:val="P68B1DB1-Normal51"/>
              <w:spacing w:before="40" w:after="40"/>
              <w:rPr>
                <w:rFonts w:ascii="Arial" w:hAnsi="Arial"/>
              </w:rPr>
            </w:pPr>
            <w:r w:rsidRPr="00006DF4">
              <w:rPr>
                <w:rFonts w:ascii="Arial" w:hAnsi="Arial"/>
              </w:rPr>
              <w:t>16.5</w:t>
            </w:r>
          </w:p>
        </w:tc>
        <w:tc>
          <w:tcPr>
            <w:tcW w:w="5622" w:type="dxa"/>
          </w:tcPr>
          <w:p w14:paraId="0DB72DB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Hacer cumplir y monitorear la prohibición total del ganado (vacas, caballos, burros y ovejas) dentro de la SSNR de Koytendag mediante la aplicación SMART, Google Maps y cámaras trampa.</w:t>
            </w:r>
          </w:p>
        </w:tc>
        <w:tc>
          <w:tcPr>
            <w:tcW w:w="1939" w:type="dxa"/>
          </w:tcPr>
          <w:p w14:paraId="476125EF" w14:textId="77777777" w:rsidR="0050347E" w:rsidRPr="00006DF4" w:rsidRDefault="0050347E" w:rsidP="00337EFC">
            <w:pPr>
              <w:pStyle w:val="P68B1DB1-Normal51"/>
              <w:spacing w:before="40" w:after="40"/>
              <w:rPr>
                <w:rFonts w:ascii="Arial" w:hAnsi="Arial"/>
              </w:rPr>
            </w:pPr>
            <w:r w:rsidRPr="00006DF4">
              <w:rPr>
                <w:rFonts w:ascii="Arial" w:hAnsi="Arial"/>
              </w:rPr>
              <w:t>OG</w:t>
            </w:r>
          </w:p>
          <w:p w14:paraId="74F92FF7" w14:textId="77777777" w:rsidR="0050347E" w:rsidRPr="00006DF4" w:rsidRDefault="0050347E" w:rsidP="00337EFC">
            <w:pPr>
              <w:spacing w:before="40" w:after="40"/>
              <w:rPr>
                <w:rFonts w:ascii="Arial" w:eastAsia="Aptos" w:hAnsi="Arial" w:cs="Arial"/>
                <w:sz w:val="20"/>
              </w:rPr>
            </w:pPr>
          </w:p>
        </w:tc>
        <w:tc>
          <w:tcPr>
            <w:tcW w:w="2490" w:type="dxa"/>
          </w:tcPr>
          <w:p w14:paraId="16B2176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aplica la prohibición total antes de finales de 2026; informes SMART e imágenes de cámaras trampa.</w:t>
            </w:r>
          </w:p>
        </w:tc>
        <w:tc>
          <w:tcPr>
            <w:tcW w:w="1250" w:type="dxa"/>
          </w:tcPr>
          <w:p w14:paraId="4937DFCB" w14:textId="77777777" w:rsidR="0050347E" w:rsidRPr="00006DF4" w:rsidRDefault="0050347E" w:rsidP="00337EFC">
            <w:pPr>
              <w:pStyle w:val="P68B1DB1-Normal51"/>
              <w:spacing w:before="40" w:after="40"/>
              <w:rPr>
                <w:rFonts w:ascii="Arial" w:hAnsi="Arial"/>
              </w:rPr>
            </w:pPr>
            <w:r w:rsidRPr="00006DF4">
              <w:rPr>
                <w:rFonts w:ascii="Arial" w:hAnsi="Arial"/>
              </w:rPr>
              <w:t>Alta</w:t>
            </w:r>
          </w:p>
          <w:p w14:paraId="7F915CBD" w14:textId="77777777" w:rsidR="0050347E" w:rsidRPr="00006DF4" w:rsidRDefault="0050347E" w:rsidP="00337EFC">
            <w:pPr>
              <w:spacing w:before="40" w:after="40"/>
              <w:rPr>
                <w:rFonts w:ascii="Arial" w:eastAsia="Aptos" w:hAnsi="Arial" w:cs="Arial"/>
                <w:sz w:val="20"/>
              </w:rPr>
            </w:pPr>
          </w:p>
        </w:tc>
        <w:tc>
          <w:tcPr>
            <w:tcW w:w="1961" w:type="dxa"/>
          </w:tcPr>
          <w:p w14:paraId="069FB16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291F5EBA" w14:textId="77777777" w:rsidTr="00006DF4">
        <w:trPr>
          <w:cantSplit/>
        </w:trPr>
        <w:tc>
          <w:tcPr>
            <w:tcW w:w="738" w:type="dxa"/>
          </w:tcPr>
          <w:p w14:paraId="278DFCF2"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16.6</w:t>
            </w:r>
          </w:p>
        </w:tc>
        <w:tc>
          <w:tcPr>
            <w:tcW w:w="5622" w:type="dxa"/>
          </w:tcPr>
          <w:p w14:paraId="0D2DA350"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y hacer cumplir un pastoreo estrictamente controlado en los Santuarios de Vida Silvestre de Hojeypil y Hojagaraul (Turkmenistán). </w:t>
            </w:r>
          </w:p>
        </w:tc>
        <w:tc>
          <w:tcPr>
            <w:tcW w:w="1939" w:type="dxa"/>
          </w:tcPr>
          <w:p w14:paraId="2ADEEDE9" w14:textId="77777777" w:rsidR="0050347E" w:rsidRPr="00006DF4" w:rsidRDefault="0050347E" w:rsidP="00337EFC">
            <w:pPr>
              <w:pStyle w:val="P68B1DB1-Normal51"/>
              <w:spacing w:before="40" w:after="40"/>
              <w:rPr>
                <w:rFonts w:ascii="Arial" w:hAnsi="Arial"/>
              </w:rPr>
            </w:pPr>
            <w:r w:rsidRPr="00006DF4">
              <w:rPr>
                <w:rFonts w:ascii="Arial" w:hAnsi="Arial"/>
              </w:rPr>
              <w:t>OG, comunidades locales</w:t>
            </w:r>
          </w:p>
        </w:tc>
        <w:tc>
          <w:tcPr>
            <w:tcW w:w="2490" w:type="dxa"/>
          </w:tcPr>
          <w:p w14:paraId="2539CCB1" w14:textId="77777777" w:rsidR="0050347E" w:rsidRDefault="0050347E" w:rsidP="00337EFC">
            <w:pPr>
              <w:pStyle w:val="P68B1DB1-Normal51"/>
              <w:spacing w:before="40" w:after="40"/>
              <w:rPr>
                <w:rFonts w:ascii="Arial" w:hAnsi="Arial"/>
                <w:lang w:val="es-ES"/>
              </w:rPr>
            </w:pPr>
            <w:r w:rsidRPr="00006DF4">
              <w:rPr>
                <w:rFonts w:ascii="Arial" w:hAnsi="Arial"/>
                <w:lang w:val="es-ES"/>
              </w:rPr>
              <w:t>Se aprueba la legislación que regula el pastoreo en los santuarios de vida silvestre antes de finales de 2027.</w:t>
            </w:r>
          </w:p>
          <w:p w14:paraId="4559BFD0" w14:textId="77777777" w:rsidR="00006DF4" w:rsidRPr="00006DF4" w:rsidRDefault="00006DF4" w:rsidP="00337EFC">
            <w:pPr>
              <w:pStyle w:val="P68B1DB1-Normal51"/>
              <w:spacing w:before="40" w:after="40"/>
              <w:rPr>
                <w:rFonts w:ascii="Arial" w:hAnsi="Arial"/>
                <w:lang w:val="es-ES"/>
              </w:rPr>
            </w:pPr>
          </w:p>
        </w:tc>
        <w:tc>
          <w:tcPr>
            <w:tcW w:w="1250" w:type="dxa"/>
          </w:tcPr>
          <w:p w14:paraId="1F2062E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8803288"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48B80A2" w14:textId="77777777" w:rsidTr="00006DF4">
        <w:trPr>
          <w:cantSplit/>
        </w:trPr>
        <w:tc>
          <w:tcPr>
            <w:tcW w:w="738" w:type="dxa"/>
          </w:tcPr>
          <w:p w14:paraId="3381DED0" w14:textId="77777777" w:rsidR="0050347E" w:rsidRPr="00006DF4" w:rsidRDefault="0050347E" w:rsidP="00337EFC">
            <w:pPr>
              <w:pStyle w:val="P68B1DB1-Normal51"/>
              <w:spacing w:before="40" w:after="40"/>
              <w:rPr>
                <w:rFonts w:ascii="Arial" w:hAnsi="Arial"/>
              </w:rPr>
            </w:pPr>
            <w:r w:rsidRPr="00006DF4">
              <w:rPr>
                <w:rFonts w:ascii="Arial" w:hAnsi="Arial"/>
              </w:rPr>
              <w:t>16.7</w:t>
            </w:r>
          </w:p>
        </w:tc>
        <w:tc>
          <w:tcPr>
            <w:tcW w:w="5622" w:type="dxa"/>
          </w:tcPr>
          <w:p w14:paraId="184D91D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Mejorar las praderas adyacentes a los Santuarios de Vida Silvestre de Hojeypil y Hojagaraul promoviendo un uso más sostenible y rotativo de las praderas entre los pastores locales y perforando al menos 2 pozos para el ganado en los territorios adyacentes a las zonas protegidas (Turkmenistán).</w:t>
            </w:r>
          </w:p>
        </w:tc>
        <w:tc>
          <w:tcPr>
            <w:tcW w:w="1939" w:type="dxa"/>
          </w:tcPr>
          <w:p w14:paraId="72E12C30" w14:textId="77777777" w:rsidR="0050347E" w:rsidRPr="00006DF4" w:rsidRDefault="0050347E" w:rsidP="00337EFC">
            <w:pPr>
              <w:pStyle w:val="P68B1DB1-Normal51"/>
              <w:spacing w:before="40" w:after="40"/>
              <w:rPr>
                <w:rFonts w:ascii="Arial" w:hAnsi="Arial"/>
              </w:rPr>
            </w:pPr>
            <w:r w:rsidRPr="00006DF4">
              <w:rPr>
                <w:rFonts w:ascii="Arial" w:hAnsi="Arial"/>
              </w:rPr>
              <w:t>OG, comunidades locales</w:t>
            </w:r>
          </w:p>
        </w:tc>
        <w:tc>
          <w:tcPr>
            <w:tcW w:w="2490" w:type="dxa"/>
          </w:tcPr>
          <w:p w14:paraId="43691F0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perforan al menos 2 pozos y se implementa el uso rotativo de las praderas antes de finales de 2027.</w:t>
            </w:r>
          </w:p>
          <w:p w14:paraId="32D83778" w14:textId="77777777" w:rsidR="0050347E" w:rsidRPr="00006DF4" w:rsidRDefault="0050347E" w:rsidP="00337EFC">
            <w:pPr>
              <w:spacing w:before="40" w:after="40"/>
              <w:rPr>
                <w:rFonts w:ascii="Arial" w:eastAsia="Aptos" w:hAnsi="Arial" w:cs="Arial"/>
                <w:sz w:val="20"/>
                <w:lang w:val="es-ES"/>
              </w:rPr>
            </w:pPr>
          </w:p>
        </w:tc>
        <w:tc>
          <w:tcPr>
            <w:tcW w:w="1250" w:type="dxa"/>
          </w:tcPr>
          <w:p w14:paraId="2BD4CDF6"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DEE284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079A756" w14:textId="77777777" w:rsidTr="00006DF4">
        <w:trPr>
          <w:cantSplit/>
        </w:trPr>
        <w:tc>
          <w:tcPr>
            <w:tcW w:w="738" w:type="dxa"/>
          </w:tcPr>
          <w:p w14:paraId="06D2AF15" w14:textId="77777777" w:rsidR="0050347E" w:rsidRPr="00006DF4" w:rsidRDefault="0050347E" w:rsidP="00337EFC">
            <w:pPr>
              <w:pStyle w:val="P68B1DB1-Normal51"/>
              <w:spacing w:before="40" w:after="40"/>
              <w:rPr>
                <w:rFonts w:ascii="Arial" w:hAnsi="Arial"/>
              </w:rPr>
            </w:pPr>
            <w:r w:rsidRPr="00006DF4">
              <w:rPr>
                <w:rFonts w:ascii="Arial" w:hAnsi="Arial"/>
              </w:rPr>
              <w:t>16.8</w:t>
            </w:r>
          </w:p>
        </w:tc>
        <w:tc>
          <w:tcPr>
            <w:tcW w:w="5622" w:type="dxa"/>
          </w:tcPr>
          <w:p w14:paraId="7EB1B051"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 xml:space="preserve">Elaborar recomendaciones sobre fuentes de medios de subsistencia alternativas basadas en una evaluación socioeconómica de las comunidades locales adyacentes a las zonas protegidas. </w:t>
            </w:r>
          </w:p>
          <w:p w14:paraId="6561BF81" w14:textId="77777777" w:rsidR="00006DF4" w:rsidRDefault="00006DF4" w:rsidP="00337EFC">
            <w:pPr>
              <w:pStyle w:val="P68B1DB1-Normal51"/>
              <w:spacing w:before="40" w:after="40"/>
              <w:jc w:val="both"/>
              <w:rPr>
                <w:rFonts w:ascii="Arial" w:hAnsi="Arial"/>
                <w:lang w:val="es-ES"/>
              </w:rPr>
            </w:pPr>
          </w:p>
          <w:p w14:paraId="5B935F24"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3FB5CFDB" w14:textId="77777777" w:rsidR="0050347E" w:rsidRPr="00006DF4" w:rsidRDefault="0050347E" w:rsidP="00337EFC">
            <w:pPr>
              <w:pStyle w:val="P68B1DB1-Normal51"/>
              <w:spacing w:before="40" w:after="40"/>
              <w:rPr>
                <w:rFonts w:ascii="Arial" w:hAnsi="Arial"/>
              </w:rPr>
            </w:pPr>
            <w:r w:rsidRPr="00006DF4">
              <w:rPr>
                <w:rFonts w:ascii="Arial" w:hAnsi="Arial"/>
              </w:rPr>
              <w:t>ONG, comunidades locales</w:t>
            </w:r>
          </w:p>
        </w:tc>
        <w:tc>
          <w:tcPr>
            <w:tcW w:w="2490" w:type="dxa"/>
          </w:tcPr>
          <w:p w14:paraId="3CF3CDF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elabora el informe con las recomendaciones antes de finales de 2027.</w:t>
            </w:r>
          </w:p>
        </w:tc>
        <w:tc>
          <w:tcPr>
            <w:tcW w:w="1250" w:type="dxa"/>
          </w:tcPr>
          <w:p w14:paraId="70323D0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25CE2E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22 del GBF, Objetivo 3 del PEEM</w:t>
            </w:r>
          </w:p>
        </w:tc>
      </w:tr>
      <w:tr w:rsidR="0050347E" w:rsidRPr="00006DF4" w14:paraId="5C8C49FD" w14:textId="77777777" w:rsidTr="00006DF4">
        <w:trPr>
          <w:cantSplit/>
        </w:trPr>
        <w:tc>
          <w:tcPr>
            <w:tcW w:w="738" w:type="dxa"/>
          </w:tcPr>
          <w:p w14:paraId="66156BE7" w14:textId="77777777" w:rsidR="0050347E" w:rsidRPr="00006DF4" w:rsidRDefault="0050347E" w:rsidP="00337EFC">
            <w:pPr>
              <w:pStyle w:val="P68B1DB1-Normal51"/>
              <w:spacing w:before="40" w:after="40"/>
              <w:rPr>
                <w:rFonts w:ascii="Arial" w:hAnsi="Arial"/>
              </w:rPr>
            </w:pPr>
            <w:r w:rsidRPr="00006DF4">
              <w:rPr>
                <w:rFonts w:ascii="Arial" w:hAnsi="Arial"/>
              </w:rPr>
              <w:t>16.9</w:t>
            </w:r>
          </w:p>
        </w:tc>
        <w:tc>
          <w:tcPr>
            <w:tcW w:w="5622" w:type="dxa"/>
          </w:tcPr>
          <w:p w14:paraId="46550EBB"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Para preservar la integridad general y la conectividad de la SSNR de Koytendag, identificar lugares científicamente justificados para cruces y pasajes abiertos de vida silvestre en pos de garantizar la diversidad genética de los animales salvajes, incluido el intercambio genético entre poblaciones de uriales y otros ungulados.</w:t>
            </w:r>
          </w:p>
          <w:p w14:paraId="3AB3E29E" w14:textId="77777777" w:rsidR="00006DF4" w:rsidRDefault="00006DF4" w:rsidP="00337EFC">
            <w:pPr>
              <w:pStyle w:val="P68B1DB1-Normal51"/>
              <w:spacing w:before="40" w:after="40"/>
              <w:jc w:val="both"/>
              <w:rPr>
                <w:rFonts w:ascii="Arial" w:hAnsi="Arial"/>
                <w:lang w:val="es-ES"/>
              </w:rPr>
            </w:pPr>
          </w:p>
          <w:p w14:paraId="5ED958B4"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532CDEC9"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7B6BA65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crean los pasos antes de finales de 2026.</w:t>
            </w:r>
          </w:p>
        </w:tc>
        <w:tc>
          <w:tcPr>
            <w:tcW w:w="1250" w:type="dxa"/>
          </w:tcPr>
          <w:p w14:paraId="6BD9A2A9"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174210D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060A8448" w14:textId="77777777" w:rsidTr="00006DF4">
        <w:trPr>
          <w:cantSplit/>
          <w:trHeight w:val="300"/>
        </w:trPr>
        <w:tc>
          <w:tcPr>
            <w:tcW w:w="738" w:type="dxa"/>
          </w:tcPr>
          <w:p w14:paraId="0CFF58DD" w14:textId="77777777" w:rsidR="0050347E" w:rsidRPr="00006DF4" w:rsidRDefault="0050347E" w:rsidP="00337EFC">
            <w:pPr>
              <w:pStyle w:val="P68B1DB1-Normal51"/>
              <w:spacing w:before="40" w:after="40"/>
              <w:rPr>
                <w:rFonts w:ascii="Arial" w:hAnsi="Arial"/>
              </w:rPr>
            </w:pPr>
            <w:r w:rsidRPr="00006DF4">
              <w:rPr>
                <w:rFonts w:ascii="Arial" w:hAnsi="Arial"/>
              </w:rPr>
              <w:t>16.10</w:t>
            </w:r>
          </w:p>
        </w:tc>
        <w:tc>
          <w:tcPr>
            <w:tcW w:w="5622" w:type="dxa"/>
          </w:tcPr>
          <w:p w14:paraId="48B136D3" w14:textId="77777777" w:rsidR="0050347E" w:rsidRDefault="0050347E" w:rsidP="00337EFC">
            <w:pPr>
              <w:pStyle w:val="P68B1DB1-Normal51"/>
              <w:spacing w:before="40" w:after="40"/>
              <w:jc w:val="both"/>
              <w:rPr>
                <w:rFonts w:ascii="Arial" w:hAnsi="Arial"/>
                <w:lang w:val="es-ES"/>
              </w:rPr>
            </w:pPr>
            <w:r w:rsidRPr="00006DF4">
              <w:rPr>
                <w:rFonts w:ascii="Arial" w:hAnsi="Arial"/>
                <w:lang w:val="es-ES"/>
              </w:rPr>
              <w:t>Elaborar e implementar recomendaciones sobre la revisión de la zonificación de la SSNR de Surkhan para excluir el campamento infantil que hay en la reserva, con el fin de incluirla en la Lista del Patrimonio Mundial de la UNESCO.</w:t>
            </w:r>
          </w:p>
          <w:p w14:paraId="66112E21" w14:textId="77777777" w:rsidR="00006DF4" w:rsidRDefault="00006DF4" w:rsidP="00337EFC">
            <w:pPr>
              <w:pStyle w:val="P68B1DB1-Normal51"/>
              <w:spacing w:before="40" w:after="40"/>
              <w:jc w:val="both"/>
              <w:rPr>
                <w:rFonts w:ascii="Arial" w:hAnsi="Arial"/>
                <w:lang w:val="es-ES"/>
              </w:rPr>
            </w:pPr>
          </w:p>
          <w:p w14:paraId="3B00C39E" w14:textId="77777777" w:rsidR="00006DF4" w:rsidRPr="00006DF4" w:rsidRDefault="00006DF4" w:rsidP="00337EFC">
            <w:pPr>
              <w:pStyle w:val="P68B1DB1-Normal51"/>
              <w:spacing w:before="40" w:after="40"/>
              <w:jc w:val="both"/>
              <w:rPr>
                <w:rFonts w:ascii="Arial" w:hAnsi="Arial"/>
                <w:lang w:val="es-ES"/>
              </w:rPr>
            </w:pPr>
          </w:p>
        </w:tc>
        <w:tc>
          <w:tcPr>
            <w:tcW w:w="1939" w:type="dxa"/>
          </w:tcPr>
          <w:p w14:paraId="275D5A1E"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instituciones científicas </w:t>
            </w:r>
          </w:p>
        </w:tc>
        <w:tc>
          <w:tcPr>
            <w:tcW w:w="2490" w:type="dxa"/>
          </w:tcPr>
          <w:p w14:paraId="435702F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completa la nueva zonificación.</w:t>
            </w:r>
          </w:p>
        </w:tc>
        <w:tc>
          <w:tcPr>
            <w:tcW w:w="1250" w:type="dxa"/>
          </w:tcPr>
          <w:p w14:paraId="7C18D3C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5F817FA3"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2B1BE4D8" w14:textId="77777777" w:rsidTr="00006DF4">
        <w:trPr>
          <w:cantSplit/>
        </w:trPr>
        <w:tc>
          <w:tcPr>
            <w:tcW w:w="14000" w:type="dxa"/>
            <w:gridSpan w:val="6"/>
            <w:shd w:val="clear" w:color="auto" w:fill="FAE2D5"/>
          </w:tcPr>
          <w:p w14:paraId="5C817F7E" w14:textId="77777777" w:rsidR="0050347E" w:rsidRPr="00006DF4" w:rsidRDefault="0050347E" w:rsidP="00337EFC">
            <w:pPr>
              <w:pStyle w:val="P68B1DB1-Normal48"/>
              <w:spacing w:before="40" w:after="40"/>
              <w:jc w:val="both"/>
              <w:rPr>
                <w:rFonts w:ascii="Arial" w:hAnsi="Arial"/>
                <w:lang w:val="es-ES"/>
              </w:rPr>
            </w:pPr>
            <w:r w:rsidRPr="00006DF4">
              <w:rPr>
                <w:rFonts w:ascii="Arial" w:hAnsi="Arial"/>
                <w:lang w:val="es-ES"/>
              </w:rPr>
              <w:lastRenderedPageBreak/>
              <w:t xml:space="preserve">17. Tian Shan occidental (Kazajistán, Kirguistán y Uzbekistán): 6 </w:t>
            </w:r>
          </w:p>
          <w:p w14:paraId="6F04ED9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      Especies: argalí, lince, leopardo de las nieves</w:t>
            </w:r>
          </w:p>
        </w:tc>
      </w:tr>
      <w:tr w:rsidR="0050347E" w:rsidRPr="00006DF4" w14:paraId="3A3BA4F6" w14:textId="77777777" w:rsidTr="00006DF4">
        <w:trPr>
          <w:cantSplit/>
        </w:trPr>
        <w:tc>
          <w:tcPr>
            <w:tcW w:w="14000" w:type="dxa"/>
            <w:gridSpan w:val="6"/>
            <w:shd w:val="clear" w:color="auto" w:fill="FAE2D5"/>
          </w:tcPr>
          <w:p w14:paraId="6826F96C" w14:textId="77777777" w:rsidR="0050347E" w:rsidRPr="00006DF4" w:rsidRDefault="0050347E" w:rsidP="00337EFC">
            <w:pPr>
              <w:pStyle w:val="P68B1DB1-Normal54"/>
              <w:spacing w:before="40" w:after="40"/>
              <w:jc w:val="both"/>
              <w:rPr>
                <w:rFonts w:ascii="Arial" w:eastAsia="Aptos" w:hAnsi="Arial" w:cs="Arial"/>
                <w:b/>
                <w:lang w:val="es-ES"/>
              </w:rPr>
            </w:pPr>
            <w:hyperlink r:id="rId74">
              <w:r w:rsidRPr="00006DF4">
                <w:rPr>
                  <w:rFonts w:ascii="Arial" w:eastAsia="Aptos" w:hAnsi="Arial" w:cs="Arial"/>
                  <w:u w:val="single"/>
                  <w:lang w:val="es-ES"/>
                </w:rPr>
                <w:t>Plan de Acción para la Conservación del Argalí (2024</w:t>
              </w:r>
              <w:r w:rsidRPr="00006DF4">
                <w:rPr>
                  <w:rFonts w:ascii="Arial" w:hAnsi="Arial" w:cs="Arial"/>
                  <w:lang w:val="es-ES"/>
                </w:rPr>
                <w:t>-</w:t>
              </w:r>
              <w:r w:rsidRPr="00006DF4">
                <w:rPr>
                  <w:rFonts w:ascii="Arial" w:eastAsia="Aptos" w:hAnsi="Arial" w:cs="Arial"/>
                  <w:u w:val="single"/>
                  <w:lang w:val="es-ES"/>
                </w:rPr>
                <w:t>2032)</w:t>
              </w:r>
            </w:hyperlink>
          </w:p>
        </w:tc>
      </w:tr>
      <w:tr w:rsidR="0050347E" w:rsidRPr="00006DF4" w14:paraId="2F93AF26" w14:textId="77777777" w:rsidTr="00006DF4">
        <w:trPr>
          <w:cantSplit/>
        </w:trPr>
        <w:tc>
          <w:tcPr>
            <w:tcW w:w="738" w:type="dxa"/>
          </w:tcPr>
          <w:p w14:paraId="1D344D75" w14:textId="77777777" w:rsidR="0050347E" w:rsidRPr="00006DF4" w:rsidRDefault="0050347E" w:rsidP="00337EFC">
            <w:pPr>
              <w:pStyle w:val="P68B1DB1-Normal51"/>
              <w:spacing w:before="40" w:after="40"/>
              <w:rPr>
                <w:rFonts w:ascii="Arial" w:hAnsi="Arial"/>
              </w:rPr>
            </w:pPr>
            <w:r w:rsidRPr="00006DF4">
              <w:rPr>
                <w:rFonts w:ascii="Arial" w:hAnsi="Arial"/>
              </w:rPr>
              <w:t>17.1</w:t>
            </w:r>
          </w:p>
        </w:tc>
        <w:tc>
          <w:tcPr>
            <w:tcW w:w="5622" w:type="dxa"/>
          </w:tcPr>
          <w:p w14:paraId="7A8C3E0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Intercambiar información sobre las especies en cuestión y planificar y realizar estudios coordinados (véase la Actividad 10.3). </w:t>
            </w:r>
          </w:p>
        </w:tc>
        <w:tc>
          <w:tcPr>
            <w:tcW w:w="1939" w:type="dxa"/>
          </w:tcPr>
          <w:p w14:paraId="71352334"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 cotos de caza</w:t>
            </w:r>
          </w:p>
        </w:tc>
        <w:tc>
          <w:tcPr>
            <w:tcW w:w="2490" w:type="dxa"/>
          </w:tcPr>
          <w:p w14:paraId="1E9481C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organiza el taller y se acuerdan las directrices metodológicas; informes de los estudios, incluidos los estudios transfronterizos coordinados.</w:t>
            </w:r>
          </w:p>
        </w:tc>
        <w:tc>
          <w:tcPr>
            <w:tcW w:w="1250" w:type="dxa"/>
          </w:tcPr>
          <w:p w14:paraId="424424FC"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B4BA20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GSLEP, Meta 4 del GBF, Objetivo 1 del PEEM</w:t>
            </w:r>
          </w:p>
        </w:tc>
      </w:tr>
      <w:tr w:rsidR="0050347E" w:rsidRPr="00006DF4" w14:paraId="4C57D722"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FB31F05" w14:textId="77777777" w:rsidR="0050347E" w:rsidRPr="00006DF4" w:rsidRDefault="0050347E" w:rsidP="00337EFC">
            <w:pPr>
              <w:pStyle w:val="P68B1DB1-Normal56"/>
              <w:spacing w:before="40" w:after="40"/>
              <w:rPr>
                <w:rFonts w:ascii="Arial" w:hAnsi="Arial"/>
              </w:rPr>
            </w:pPr>
            <w:r w:rsidRPr="00006DF4">
              <w:rPr>
                <w:rFonts w:ascii="Arial" w:hAnsi="Arial"/>
              </w:rPr>
              <w:t>17.2</w:t>
            </w:r>
          </w:p>
        </w:tc>
        <w:tc>
          <w:tcPr>
            <w:tcW w:w="5622" w:type="dxa"/>
            <w:tcBorders>
              <w:top w:val="single" w:sz="4" w:space="0" w:color="auto"/>
              <w:left w:val="single" w:sz="4" w:space="0" w:color="auto"/>
              <w:bottom w:val="single" w:sz="4" w:space="0" w:color="auto"/>
              <w:right w:val="single" w:sz="4" w:space="0" w:color="auto"/>
            </w:tcBorders>
          </w:tcPr>
          <w:p w14:paraId="25B9D0F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Monitorear el impacto del cambio climático sobre las especies en cuestión; en concreto, en los lugares donde se produzca una reducción de los glaciares y los consiguientes cambios en el régimen hidrológico.</w:t>
            </w:r>
          </w:p>
        </w:tc>
        <w:tc>
          <w:tcPr>
            <w:tcW w:w="1939" w:type="dxa"/>
            <w:tcBorders>
              <w:top w:val="single" w:sz="4" w:space="0" w:color="auto"/>
              <w:left w:val="single" w:sz="4" w:space="0" w:color="auto"/>
              <w:bottom w:val="single" w:sz="4" w:space="0" w:color="auto"/>
              <w:right w:val="single" w:sz="4" w:space="0" w:color="auto"/>
            </w:tcBorders>
          </w:tcPr>
          <w:p w14:paraId="64927EE0" w14:textId="77777777" w:rsidR="0050347E" w:rsidRPr="00006DF4" w:rsidRDefault="0050347E" w:rsidP="00337EFC">
            <w:pPr>
              <w:pStyle w:val="P68B1DB1-Normal56"/>
              <w:spacing w:before="40" w:after="40"/>
              <w:rPr>
                <w:rFonts w:ascii="Arial" w:hAnsi="Arial"/>
              </w:rPr>
            </w:pPr>
            <w:r w:rsidRPr="00006DF4">
              <w:rPr>
                <w:rFonts w:ascii="Arial" w:hAnsi="Arial"/>
              </w:rPr>
              <w:t>ONG, OG, instituciones científicas</w:t>
            </w:r>
          </w:p>
        </w:tc>
        <w:tc>
          <w:tcPr>
            <w:tcW w:w="2490" w:type="dxa"/>
            <w:tcBorders>
              <w:top w:val="single" w:sz="4" w:space="0" w:color="auto"/>
              <w:left w:val="single" w:sz="4" w:space="0" w:color="auto"/>
              <w:bottom w:val="single" w:sz="4" w:space="0" w:color="auto"/>
              <w:right w:val="single" w:sz="4" w:space="0" w:color="auto"/>
            </w:tcBorders>
          </w:tcPr>
          <w:p w14:paraId="631A4DD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Informe sobre el impacto del cambio climático.</w:t>
            </w:r>
          </w:p>
        </w:tc>
        <w:tc>
          <w:tcPr>
            <w:tcW w:w="1250" w:type="dxa"/>
            <w:tcBorders>
              <w:top w:val="single" w:sz="4" w:space="0" w:color="auto"/>
              <w:left w:val="single" w:sz="4" w:space="0" w:color="auto"/>
              <w:bottom w:val="single" w:sz="4" w:space="0" w:color="auto"/>
              <w:right w:val="single" w:sz="4" w:space="0" w:color="auto"/>
            </w:tcBorders>
          </w:tcPr>
          <w:p w14:paraId="0328EB41" w14:textId="77777777" w:rsidR="0050347E" w:rsidRPr="00006DF4" w:rsidRDefault="0050347E" w:rsidP="00337EFC">
            <w:pPr>
              <w:pStyle w:val="P68B1DB1-Normal56"/>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53D5CE4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w:t>
            </w:r>
          </w:p>
        </w:tc>
      </w:tr>
      <w:tr w:rsidR="0050347E" w:rsidRPr="00006DF4" w14:paraId="6F8B38FE" w14:textId="77777777" w:rsidTr="00006DF4">
        <w:trPr>
          <w:cantSplit/>
        </w:trPr>
        <w:tc>
          <w:tcPr>
            <w:tcW w:w="738" w:type="dxa"/>
          </w:tcPr>
          <w:p w14:paraId="60E5138F" w14:textId="77777777" w:rsidR="0050347E" w:rsidRPr="00006DF4" w:rsidRDefault="0050347E" w:rsidP="00337EFC">
            <w:pPr>
              <w:pStyle w:val="P68B1DB1-Normal51"/>
              <w:spacing w:before="40" w:after="40"/>
              <w:rPr>
                <w:rFonts w:ascii="Arial" w:hAnsi="Arial"/>
              </w:rPr>
            </w:pPr>
            <w:r w:rsidRPr="00006DF4">
              <w:rPr>
                <w:rFonts w:ascii="Arial" w:hAnsi="Arial"/>
              </w:rPr>
              <w:t>17.3</w:t>
            </w:r>
          </w:p>
        </w:tc>
        <w:tc>
          <w:tcPr>
            <w:tcW w:w="5622" w:type="dxa"/>
          </w:tcPr>
          <w:p w14:paraId="4F2C377B"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Evaluar la eficacia de la gestión de las zonas protegidas (EGZP) en el lugar del Patrimonio Natural Mundial de Tian Shan occidental.</w:t>
            </w:r>
          </w:p>
        </w:tc>
        <w:tc>
          <w:tcPr>
            <w:tcW w:w="1939" w:type="dxa"/>
          </w:tcPr>
          <w:p w14:paraId="6E593E0D"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Pr>
          <w:p w14:paraId="70AE66C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Informe sobre la EGZP; por ejemplo, «Informe de evaluación de la Lista Verde de la UICN».</w:t>
            </w:r>
          </w:p>
        </w:tc>
        <w:tc>
          <w:tcPr>
            <w:tcW w:w="1250" w:type="dxa"/>
          </w:tcPr>
          <w:p w14:paraId="6DAA4D2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95E3E5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4 del GBF, Objetivo 1 del PEEM</w:t>
            </w:r>
          </w:p>
        </w:tc>
      </w:tr>
      <w:tr w:rsidR="0050347E" w:rsidRPr="00006DF4" w14:paraId="5305BDF8" w14:textId="77777777" w:rsidTr="00006DF4">
        <w:trPr>
          <w:cantSplit/>
        </w:trPr>
        <w:tc>
          <w:tcPr>
            <w:tcW w:w="738" w:type="dxa"/>
          </w:tcPr>
          <w:p w14:paraId="4B1665DA" w14:textId="77777777" w:rsidR="0050347E" w:rsidRPr="00006DF4" w:rsidRDefault="0050347E" w:rsidP="00337EFC">
            <w:pPr>
              <w:pStyle w:val="P68B1DB1-Normal51"/>
              <w:spacing w:before="40" w:after="40"/>
              <w:rPr>
                <w:rFonts w:ascii="Arial" w:hAnsi="Arial"/>
              </w:rPr>
            </w:pPr>
            <w:r w:rsidRPr="00006DF4">
              <w:rPr>
                <w:rFonts w:ascii="Arial" w:hAnsi="Arial"/>
              </w:rPr>
              <w:t>17.4</w:t>
            </w:r>
          </w:p>
        </w:tc>
        <w:tc>
          <w:tcPr>
            <w:tcW w:w="5622" w:type="dxa"/>
          </w:tcPr>
          <w:p w14:paraId="354E4685"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Integrar las recomendaciones del marco de gestión transfronteriza para el lugar del Patrimonio Natural Mundial de Tian Shan occidental en los planes de gestión de las zonas protegidas. </w:t>
            </w:r>
          </w:p>
        </w:tc>
        <w:tc>
          <w:tcPr>
            <w:tcW w:w="1939" w:type="dxa"/>
          </w:tcPr>
          <w:p w14:paraId="16F42C7E"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UICN, GIZ, instituciones científicas </w:t>
            </w:r>
          </w:p>
          <w:p w14:paraId="305B9EE3" w14:textId="77777777" w:rsidR="0050347E" w:rsidRPr="00006DF4" w:rsidRDefault="0050347E" w:rsidP="00337EFC">
            <w:pPr>
              <w:pStyle w:val="P68B1DB1-Normal51"/>
              <w:spacing w:before="40" w:after="40"/>
              <w:rPr>
                <w:rFonts w:ascii="Arial" w:hAnsi="Arial"/>
              </w:rPr>
            </w:pPr>
            <w:r w:rsidRPr="00006DF4">
              <w:rPr>
                <w:rFonts w:ascii="Arial" w:hAnsi="Arial"/>
              </w:rPr>
              <w:t xml:space="preserve">  </w:t>
            </w:r>
          </w:p>
        </w:tc>
        <w:tc>
          <w:tcPr>
            <w:tcW w:w="2490" w:type="dxa"/>
          </w:tcPr>
          <w:p w14:paraId="45EB3E6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actualizan y coordinan los planes de gestión. </w:t>
            </w:r>
          </w:p>
          <w:p w14:paraId="6CC5203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  </w:t>
            </w:r>
          </w:p>
        </w:tc>
        <w:tc>
          <w:tcPr>
            <w:tcW w:w="1250" w:type="dxa"/>
          </w:tcPr>
          <w:p w14:paraId="617216C0"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70DFC14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1 del GBF, Objetivo 2 del PEEM, UNESCO</w:t>
            </w:r>
          </w:p>
        </w:tc>
      </w:tr>
      <w:tr w:rsidR="0050347E" w:rsidRPr="00006DF4" w14:paraId="6D08109D" w14:textId="77777777" w:rsidTr="00006DF4">
        <w:trPr>
          <w:cantSplit/>
        </w:trPr>
        <w:tc>
          <w:tcPr>
            <w:tcW w:w="738" w:type="dxa"/>
          </w:tcPr>
          <w:p w14:paraId="1E55A78A"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17.5</w:t>
            </w:r>
          </w:p>
        </w:tc>
        <w:tc>
          <w:tcPr>
            <w:tcW w:w="5622" w:type="dxa"/>
          </w:tcPr>
          <w:p w14:paraId="570927CE"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Aplicar las Actividades 3.6, 5.1 y 5.2 a esta RTPC, garantizando que los requisitos para la conservación de todas las especies en cuestión y otra biodiversidad se aborden adecuadamente durante la planificación, la construcción y el funcionamiento de las infraestructuras energéticas, industriales, lineales y turísticas.</w:t>
            </w:r>
          </w:p>
        </w:tc>
        <w:tc>
          <w:tcPr>
            <w:tcW w:w="1939" w:type="dxa"/>
          </w:tcPr>
          <w:p w14:paraId="1548FF67"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Secretaría de la CMS, instituciones científicas</w:t>
            </w:r>
          </w:p>
        </w:tc>
        <w:tc>
          <w:tcPr>
            <w:tcW w:w="2490" w:type="dxa"/>
          </w:tcPr>
          <w:p w14:paraId="2C7AC5AC"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Los procesos de EIA incluyen los requisitos de la CMS para la conservación de las especies de la CAMI.  </w:t>
            </w:r>
          </w:p>
        </w:tc>
        <w:tc>
          <w:tcPr>
            <w:tcW w:w="1250" w:type="dxa"/>
          </w:tcPr>
          <w:p w14:paraId="7CFE143F"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A5BC101"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Meta 14 del GBF, Objetivo 5 del PEEM, Acuerdo entre el Gobierno de la República de Kazajistán, el Gobierno de la República Kirguisa y el Gobierno de la República de Uzbekistán sobre la Cooperación en el Ámbito de la Protección del Medio Ambiente y el Uso Racional de los Recursos Naturales, de fecha 17 de marzo de 1998 (en adelante, el «Acuerdo»). </w:t>
            </w:r>
          </w:p>
        </w:tc>
      </w:tr>
      <w:tr w:rsidR="0050347E" w:rsidRPr="00006DF4" w14:paraId="0920A968" w14:textId="77777777" w:rsidTr="00006DF4">
        <w:trPr>
          <w:cantSplit/>
        </w:trPr>
        <w:tc>
          <w:tcPr>
            <w:tcW w:w="738" w:type="dxa"/>
          </w:tcPr>
          <w:p w14:paraId="69723B49" w14:textId="77777777" w:rsidR="0050347E" w:rsidRPr="00006DF4" w:rsidRDefault="0050347E" w:rsidP="00337EFC">
            <w:pPr>
              <w:pStyle w:val="P68B1DB1-Normal51"/>
              <w:spacing w:before="40" w:after="40"/>
              <w:rPr>
                <w:rFonts w:ascii="Arial" w:hAnsi="Arial"/>
              </w:rPr>
            </w:pPr>
            <w:r w:rsidRPr="00006DF4">
              <w:rPr>
                <w:rFonts w:ascii="Arial" w:hAnsi="Arial"/>
              </w:rPr>
              <w:t>17.6</w:t>
            </w:r>
          </w:p>
        </w:tc>
        <w:tc>
          <w:tcPr>
            <w:tcW w:w="5622" w:type="dxa"/>
          </w:tcPr>
          <w:p w14:paraId="5E596138"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Estudiar las oportunidades de ampliar la SSNR de Karatau anexionando las laderas adyacentes orientadas al noreste de la cordillera de Karatau.</w:t>
            </w:r>
          </w:p>
        </w:tc>
        <w:tc>
          <w:tcPr>
            <w:tcW w:w="1939" w:type="dxa"/>
          </w:tcPr>
          <w:p w14:paraId="25F38B4B" w14:textId="77777777" w:rsidR="0050347E" w:rsidRPr="00006DF4" w:rsidRDefault="0050347E" w:rsidP="00337EFC">
            <w:pPr>
              <w:pStyle w:val="P68B1DB1-Normal51"/>
              <w:spacing w:before="40" w:after="40"/>
              <w:rPr>
                <w:rFonts w:ascii="Arial" w:hAnsi="Arial"/>
              </w:rPr>
            </w:pPr>
            <w:r w:rsidRPr="00006DF4">
              <w:rPr>
                <w:rFonts w:ascii="Arial" w:hAnsi="Arial"/>
              </w:rPr>
              <w:t>OG, instituciones científicas</w:t>
            </w:r>
          </w:p>
        </w:tc>
        <w:tc>
          <w:tcPr>
            <w:tcW w:w="2490" w:type="dxa"/>
          </w:tcPr>
          <w:p w14:paraId="0B338FF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Nueva zonificación y mapas, se amplía la ZPE de Karatau. </w:t>
            </w:r>
          </w:p>
        </w:tc>
        <w:tc>
          <w:tcPr>
            <w:tcW w:w="1250" w:type="dxa"/>
          </w:tcPr>
          <w:p w14:paraId="5425E645" w14:textId="77777777" w:rsidR="0050347E" w:rsidRPr="00006DF4" w:rsidRDefault="0050347E" w:rsidP="00337EFC">
            <w:pPr>
              <w:pStyle w:val="P68B1DB1-Normal51"/>
              <w:spacing w:before="40" w:after="40"/>
              <w:rPr>
                <w:rFonts w:ascii="Arial" w:hAnsi="Arial"/>
              </w:rPr>
            </w:pPr>
            <w:r w:rsidRPr="00006DF4">
              <w:rPr>
                <w:rFonts w:ascii="Arial" w:hAnsi="Arial"/>
              </w:rPr>
              <w:t>Media</w:t>
            </w:r>
          </w:p>
        </w:tc>
        <w:tc>
          <w:tcPr>
            <w:tcW w:w="1961" w:type="dxa"/>
          </w:tcPr>
          <w:p w14:paraId="4CFFB71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 GSLEP</w:t>
            </w:r>
          </w:p>
        </w:tc>
      </w:tr>
      <w:tr w:rsidR="0050347E" w:rsidRPr="00006DF4" w14:paraId="34E0395B" w14:textId="77777777" w:rsidTr="00006DF4">
        <w:trPr>
          <w:cantSplit/>
        </w:trPr>
        <w:tc>
          <w:tcPr>
            <w:tcW w:w="738" w:type="dxa"/>
          </w:tcPr>
          <w:p w14:paraId="450FB467" w14:textId="77777777" w:rsidR="0050347E" w:rsidRPr="00006DF4" w:rsidRDefault="0050347E" w:rsidP="00337EFC">
            <w:pPr>
              <w:pStyle w:val="P68B1DB1-Normal51"/>
              <w:spacing w:before="40" w:after="40"/>
              <w:rPr>
                <w:rFonts w:ascii="Arial" w:hAnsi="Arial"/>
              </w:rPr>
            </w:pPr>
            <w:r w:rsidRPr="00006DF4">
              <w:rPr>
                <w:rFonts w:ascii="Arial" w:hAnsi="Arial"/>
              </w:rPr>
              <w:t>17.7</w:t>
            </w:r>
          </w:p>
        </w:tc>
        <w:tc>
          <w:tcPr>
            <w:tcW w:w="5622" w:type="dxa"/>
          </w:tcPr>
          <w:p w14:paraId="0688A10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Preparar y adoptar una justificación para la creación de la SSNR de Pskem en el curso superior de los ríos Oygaing y Shabyrsai (Uzbekistán).</w:t>
            </w:r>
          </w:p>
        </w:tc>
        <w:tc>
          <w:tcPr>
            <w:tcW w:w="1939" w:type="dxa"/>
          </w:tcPr>
          <w:p w14:paraId="429703BB" w14:textId="77777777" w:rsidR="0050347E" w:rsidRPr="00006DF4" w:rsidRDefault="0050347E" w:rsidP="00337EFC">
            <w:pPr>
              <w:pStyle w:val="P68B1DB1-Normal56"/>
              <w:spacing w:before="40" w:after="40"/>
              <w:rPr>
                <w:rFonts w:ascii="Arial" w:eastAsia="Aptos" w:hAnsi="Arial"/>
              </w:rPr>
            </w:pPr>
            <w:r w:rsidRPr="00006DF4">
              <w:rPr>
                <w:rFonts w:ascii="Arial" w:hAnsi="Arial"/>
              </w:rPr>
              <w:t xml:space="preserve">OG, ONG, instituciones científicas  </w:t>
            </w:r>
          </w:p>
        </w:tc>
        <w:tc>
          <w:tcPr>
            <w:tcW w:w="2490" w:type="dxa"/>
          </w:tcPr>
          <w:p w14:paraId="3676E384"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La SSNR de Pskem se establece legalmente. </w:t>
            </w:r>
          </w:p>
        </w:tc>
        <w:tc>
          <w:tcPr>
            <w:tcW w:w="1250" w:type="dxa"/>
          </w:tcPr>
          <w:p w14:paraId="0A031CD8"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34762E6F"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54B01978" w14:textId="77777777" w:rsidTr="00006DF4">
        <w:trPr>
          <w:cantSplit/>
        </w:trPr>
        <w:tc>
          <w:tcPr>
            <w:tcW w:w="738" w:type="dxa"/>
          </w:tcPr>
          <w:p w14:paraId="19053A84" w14:textId="77777777" w:rsidR="0050347E" w:rsidRPr="00006DF4" w:rsidRDefault="0050347E" w:rsidP="00337EFC">
            <w:pPr>
              <w:pStyle w:val="P68B1DB1-Normal51"/>
              <w:spacing w:before="40" w:after="40"/>
              <w:rPr>
                <w:rFonts w:ascii="Arial" w:hAnsi="Arial"/>
              </w:rPr>
            </w:pPr>
            <w:r w:rsidRPr="00006DF4">
              <w:rPr>
                <w:rFonts w:ascii="Arial" w:hAnsi="Arial"/>
              </w:rPr>
              <w:t>17.8</w:t>
            </w:r>
          </w:p>
        </w:tc>
        <w:tc>
          <w:tcPr>
            <w:tcW w:w="5622" w:type="dxa"/>
          </w:tcPr>
          <w:p w14:paraId="78A2A75A"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Completar la creación de una zona de amortiguamiento alrededor de la Reserva de la Biosfera del Estado de Chatkal.</w:t>
            </w:r>
          </w:p>
        </w:tc>
        <w:tc>
          <w:tcPr>
            <w:tcW w:w="1939" w:type="dxa"/>
          </w:tcPr>
          <w:p w14:paraId="12FB19E4" w14:textId="77777777" w:rsidR="0050347E" w:rsidRPr="00006DF4" w:rsidRDefault="0050347E" w:rsidP="00337EFC">
            <w:pPr>
              <w:pStyle w:val="P68B1DB1-Normal56"/>
              <w:spacing w:before="40" w:after="40"/>
              <w:rPr>
                <w:rFonts w:ascii="Arial" w:eastAsia="Aptos" w:hAnsi="Arial"/>
              </w:rPr>
            </w:pPr>
            <w:r w:rsidRPr="00006DF4">
              <w:rPr>
                <w:rFonts w:ascii="Arial" w:hAnsi="Arial"/>
              </w:rPr>
              <w:t xml:space="preserve">OG, ONG, instituciones científicas  </w:t>
            </w:r>
          </w:p>
        </w:tc>
        <w:tc>
          <w:tcPr>
            <w:tcW w:w="2490" w:type="dxa"/>
          </w:tcPr>
          <w:p w14:paraId="461CEC69"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identifica y aprueba la zona de amortiguamiento.</w:t>
            </w:r>
          </w:p>
        </w:tc>
        <w:tc>
          <w:tcPr>
            <w:tcW w:w="1250" w:type="dxa"/>
          </w:tcPr>
          <w:p w14:paraId="5EA654E7"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2E141D2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2FD65184" w14:textId="77777777" w:rsidTr="00006DF4">
        <w:trPr>
          <w:cantSplit/>
        </w:trPr>
        <w:tc>
          <w:tcPr>
            <w:tcW w:w="738" w:type="dxa"/>
          </w:tcPr>
          <w:p w14:paraId="02CDED6F" w14:textId="77777777" w:rsidR="0050347E" w:rsidRPr="00006DF4" w:rsidRDefault="0050347E" w:rsidP="00337EFC">
            <w:pPr>
              <w:pStyle w:val="P68B1DB1-Normal51"/>
              <w:spacing w:before="40" w:after="40"/>
              <w:rPr>
                <w:rFonts w:ascii="Arial" w:hAnsi="Arial"/>
              </w:rPr>
            </w:pPr>
            <w:r w:rsidRPr="00006DF4">
              <w:rPr>
                <w:rFonts w:ascii="Arial" w:hAnsi="Arial"/>
              </w:rPr>
              <w:t>17.9</w:t>
            </w:r>
          </w:p>
        </w:tc>
        <w:tc>
          <w:tcPr>
            <w:tcW w:w="5622" w:type="dxa"/>
          </w:tcPr>
          <w:p w14:paraId="311A70D3"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ampliar la SSNR de Besh Aral añadiendo la cuenca del río Pskem y la parte oriental del río Chatkal, incluidas las llanuras aluviales fluviales (Kirguistán).</w:t>
            </w:r>
          </w:p>
        </w:tc>
        <w:tc>
          <w:tcPr>
            <w:tcW w:w="1939" w:type="dxa"/>
          </w:tcPr>
          <w:p w14:paraId="5E671CA7" w14:textId="77777777" w:rsidR="0050347E" w:rsidRPr="00006DF4" w:rsidRDefault="0050347E" w:rsidP="00337EFC">
            <w:pPr>
              <w:pStyle w:val="P68B1DB1-Normal56"/>
              <w:spacing w:before="40" w:after="40"/>
              <w:rPr>
                <w:rFonts w:ascii="Arial" w:eastAsia="Aptos" w:hAnsi="Arial"/>
              </w:rPr>
            </w:pPr>
            <w:r w:rsidRPr="00006DF4">
              <w:rPr>
                <w:rFonts w:ascii="Arial" w:hAnsi="Arial"/>
              </w:rPr>
              <w:t xml:space="preserve">OG, ONG, instituciones científicas  </w:t>
            </w:r>
          </w:p>
        </w:tc>
        <w:tc>
          <w:tcPr>
            <w:tcW w:w="2490" w:type="dxa"/>
          </w:tcPr>
          <w:p w14:paraId="34C326E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aprueba legalmente la ampliación de la SSNR de Besh Aral.</w:t>
            </w:r>
          </w:p>
        </w:tc>
        <w:tc>
          <w:tcPr>
            <w:tcW w:w="1250" w:type="dxa"/>
          </w:tcPr>
          <w:p w14:paraId="3DB77B60"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4304F275"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25BE30C1" w14:textId="77777777" w:rsidTr="00006DF4">
        <w:trPr>
          <w:cantSplit/>
        </w:trPr>
        <w:tc>
          <w:tcPr>
            <w:tcW w:w="738" w:type="dxa"/>
          </w:tcPr>
          <w:p w14:paraId="4C01F4B7"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17.10</w:t>
            </w:r>
          </w:p>
        </w:tc>
        <w:tc>
          <w:tcPr>
            <w:tcW w:w="5622" w:type="dxa"/>
          </w:tcPr>
          <w:p w14:paraId="0216006D"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Ampliar el territorio del Parque Nacional de Pap añadiendo la zona de la meseta de Angren (Uzbekistán).</w:t>
            </w:r>
          </w:p>
        </w:tc>
        <w:tc>
          <w:tcPr>
            <w:tcW w:w="1939" w:type="dxa"/>
          </w:tcPr>
          <w:p w14:paraId="211B1750"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Pr>
          <w:p w14:paraId="275A170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Se aprueba legalmente la ampliación del P. N. de Pap.</w:t>
            </w:r>
          </w:p>
        </w:tc>
        <w:tc>
          <w:tcPr>
            <w:tcW w:w="1250" w:type="dxa"/>
          </w:tcPr>
          <w:p w14:paraId="46316205"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Pr>
          <w:p w14:paraId="6F8A3FCB"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Meta 3 del GBF, Objetivo 2 del PEEM</w:t>
            </w:r>
          </w:p>
        </w:tc>
      </w:tr>
      <w:tr w:rsidR="0050347E" w:rsidRPr="00006DF4" w14:paraId="05B95CA3"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0C612612" w14:textId="77777777" w:rsidR="0050347E" w:rsidRPr="00006DF4" w:rsidRDefault="0050347E" w:rsidP="00337EFC">
            <w:pPr>
              <w:pStyle w:val="P68B1DB1-Normal56"/>
              <w:spacing w:before="40" w:after="40"/>
              <w:rPr>
                <w:rFonts w:ascii="Arial" w:hAnsi="Arial"/>
                <w:b/>
                <w:lang w:val="es-ES"/>
              </w:rPr>
            </w:pPr>
            <w:r w:rsidRPr="00006DF4">
              <w:rPr>
                <w:rFonts w:ascii="Arial" w:hAnsi="Arial"/>
                <w:b/>
                <w:lang w:val="es-ES"/>
              </w:rPr>
              <w:t>18. Tian Shan septentrional e interior (China, Kazajistán, Kirguistán)</w:t>
            </w:r>
            <w:r w:rsidRPr="00006DF4">
              <w:rPr>
                <w:rFonts w:ascii="Arial" w:hAnsi="Arial"/>
                <w:lang w:val="es-ES"/>
              </w:rPr>
              <w:t>:</w:t>
            </w:r>
            <w:r w:rsidRPr="00006DF4">
              <w:rPr>
                <w:rFonts w:ascii="Arial" w:hAnsi="Arial"/>
                <w:b/>
                <w:lang w:val="es-ES"/>
              </w:rPr>
              <w:t xml:space="preserve"> 7</w:t>
            </w:r>
          </w:p>
          <w:p w14:paraId="05FE3EB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lince, manul, leopardo de las nieves  </w:t>
            </w:r>
          </w:p>
        </w:tc>
      </w:tr>
      <w:tr w:rsidR="0050347E" w:rsidRPr="00006DF4" w14:paraId="73B42CAC"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3237E61" w14:textId="77777777" w:rsidR="0050347E" w:rsidRPr="00006DF4" w:rsidRDefault="0050347E" w:rsidP="00337EFC">
            <w:pPr>
              <w:pStyle w:val="P68B1DB1-Normal49"/>
              <w:spacing w:before="40" w:after="40"/>
              <w:rPr>
                <w:rFonts w:ascii="Arial" w:eastAsia="Arial" w:hAnsi="Arial"/>
                <w:b/>
                <w:lang w:val="es-ES"/>
              </w:rPr>
            </w:pPr>
            <w:hyperlink r:id="rId75">
              <w:r w:rsidRPr="00006DF4">
                <w:rPr>
                  <w:rFonts w:ascii="Arial" w:hAnsi="Arial"/>
                  <w:lang w:val="es-ES"/>
                </w:rPr>
                <w:t>Plan de Acción para la Conservación del Argalí (2024-2032)</w:t>
              </w:r>
            </w:hyperlink>
          </w:p>
        </w:tc>
      </w:tr>
      <w:tr w:rsidR="0050347E" w:rsidRPr="00006DF4" w14:paraId="708A109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222AFBA"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18.1 </w:t>
            </w:r>
          </w:p>
        </w:tc>
        <w:tc>
          <w:tcPr>
            <w:tcW w:w="5622" w:type="dxa"/>
            <w:tcBorders>
              <w:top w:val="single" w:sz="4" w:space="0" w:color="auto"/>
              <w:left w:val="single" w:sz="4" w:space="0" w:color="auto"/>
              <w:bottom w:val="single" w:sz="4" w:space="0" w:color="auto"/>
              <w:right w:val="single" w:sz="4" w:space="0" w:color="auto"/>
            </w:tcBorders>
          </w:tcPr>
          <w:p w14:paraId="67BC6C7A"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Llevar a cabo una evaluación transfronteriza y un monitoreo sistemático de las especies y los hábitats en cuestión (Actividades 10.1, 10.2 y 10.3). </w:t>
            </w:r>
          </w:p>
        </w:tc>
        <w:tc>
          <w:tcPr>
            <w:tcW w:w="1939" w:type="dxa"/>
            <w:tcBorders>
              <w:top w:val="single" w:sz="4" w:space="0" w:color="auto"/>
              <w:left w:val="single" w:sz="4" w:space="0" w:color="auto"/>
              <w:bottom w:val="single" w:sz="4" w:space="0" w:color="auto"/>
              <w:right w:val="single" w:sz="4" w:space="0" w:color="auto"/>
            </w:tcBorders>
          </w:tcPr>
          <w:p w14:paraId="429A7277"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3A26198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llevan a cabo la evaluación y el monitoreo antes de 2028 y se elabora el informe. </w:t>
            </w:r>
          </w:p>
        </w:tc>
        <w:tc>
          <w:tcPr>
            <w:tcW w:w="1250" w:type="dxa"/>
            <w:tcBorders>
              <w:top w:val="single" w:sz="4" w:space="0" w:color="auto"/>
              <w:left w:val="single" w:sz="4" w:space="0" w:color="auto"/>
              <w:bottom w:val="single" w:sz="4" w:space="0" w:color="auto"/>
              <w:right w:val="single" w:sz="4" w:space="0" w:color="auto"/>
            </w:tcBorders>
          </w:tcPr>
          <w:p w14:paraId="62ADD86F"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255015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p w14:paraId="5221AA2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279DE83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BABF41B" w14:textId="77777777" w:rsidR="0050347E" w:rsidRPr="00006DF4" w:rsidRDefault="0050347E" w:rsidP="00337EFC">
            <w:pPr>
              <w:pStyle w:val="P68B1DB1-Normal56"/>
              <w:spacing w:before="40" w:after="40"/>
              <w:rPr>
                <w:rFonts w:ascii="Arial" w:hAnsi="Arial"/>
              </w:rPr>
            </w:pPr>
            <w:r w:rsidRPr="00006DF4">
              <w:rPr>
                <w:rFonts w:ascii="Arial" w:hAnsi="Arial"/>
              </w:rPr>
              <w:t>18.2</w:t>
            </w:r>
          </w:p>
        </w:tc>
        <w:tc>
          <w:tcPr>
            <w:tcW w:w="5622" w:type="dxa"/>
            <w:tcBorders>
              <w:top w:val="single" w:sz="4" w:space="0" w:color="auto"/>
              <w:left w:val="single" w:sz="4" w:space="0" w:color="auto"/>
              <w:bottom w:val="single" w:sz="4" w:space="0" w:color="auto"/>
              <w:right w:val="single" w:sz="4" w:space="0" w:color="auto"/>
            </w:tcBorders>
          </w:tcPr>
          <w:p w14:paraId="0EC09BE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Monitorear el impacto del cambio climático sobre las especies en cuestión; en concreto, en los lugares donde se produzca una reducción de los glaciares y los consiguientes cambios en el régimen hidrológico.</w:t>
            </w:r>
          </w:p>
        </w:tc>
        <w:tc>
          <w:tcPr>
            <w:tcW w:w="1939" w:type="dxa"/>
            <w:tcBorders>
              <w:top w:val="single" w:sz="4" w:space="0" w:color="auto"/>
              <w:left w:val="single" w:sz="4" w:space="0" w:color="auto"/>
              <w:bottom w:val="single" w:sz="4" w:space="0" w:color="auto"/>
              <w:right w:val="single" w:sz="4" w:space="0" w:color="auto"/>
            </w:tcBorders>
          </w:tcPr>
          <w:p w14:paraId="0E2AD780" w14:textId="77777777" w:rsidR="0050347E" w:rsidRPr="00006DF4" w:rsidRDefault="0050347E" w:rsidP="00337EFC">
            <w:pPr>
              <w:pStyle w:val="P68B1DB1-Normal56"/>
              <w:spacing w:before="40" w:after="40"/>
              <w:rPr>
                <w:rFonts w:ascii="Arial" w:hAnsi="Arial"/>
              </w:rPr>
            </w:pPr>
            <w:r w:rsidRPr="00006DF4">
              <w:rPr>
                <w:rFonts w:ascii="Arial" w:hAnsi="Arial"/>
              </w:rPr>
              <w:t>ONG, OG, instituciones científicas</w:t>
            </w:r>
          </w:p>
        </w:tc>
        <w:tc>
          <w:tcPr>
            <w:tcW w:w="2490" w:type="dxa"/>
            <w:tcBorders>
              <w:top w:val="single" w:sz="4" w:space="0" w:color="auto"/>
              <w:left w:val="single" w:sz="4" w:space="0" w:color="auto"/>
              <w:bottom w:val="single" w:sz="4" w:space="0" w:color="auto"/>
              <w:right w:val="single" w:sz="4" w:space="0" w:color="auto"/>
            </w:tcBorders>
          </w:tcPr>
          <w:p w14:paraId="1C99FB6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Informe sobre el impacto del cambio climático.</w:t>
            </w:r>
          </w:p>
        </w:tc>
        <w:tc>
          <w:tcPr>
            <w:tcW w:w="1250" w:type="dxa"/>
            <w:tcBorders>
              <w:top w:val="single" w:sz="4" w:space="0" w:color="auto"/>
              <w:left w:val="single" w:sz="4" w:space="0" w:color="auto"/>
              <w:bottom w:val="single" w:sz="4" w:space="0" w:color="auto"/>
              <w:right w:val="single" w:sz="4" w:space="0" w:color="auto"/>
            </w:tcBorders>
          </w:tcPr>
          <w:p w14:paraId="5A4E7735" w14:textId="77777777" w:rsidR="0050347E" w:rsidRPr="00006DF4" w:rsidRDefault="0050347E" w:rsidP="00337EFC">
            <w:pPr>
              <w:pStyle w:val="P68B1DB1-Normal56"/>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0F400F7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w:t>
            </w:r>
          </w:p>
        </w:tc>
      </w:tr>
      <w:tr w:rsidR="0050347E" w:rsidRPr="00006DF4" w14:paraId="1BC66879"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FE2C20C"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18.3 </w:t>
            </w:r>
          </w:p>
        </w:tc>
        <w:tc>
          <w:tcPr>
            <w:tcW w:w="5622" w:type="dxa"/>
            <w:tcBorders>
              <w:top w:val="single" w:sz="4" w:space="0" w:color="auto"/>
              <w:left w:val="single" w:sz="4" w:space="0" w:color="auto"/>
              <w:bottom w:val="single" w:sz="4" w:space="0" w:color="auto"/>
              <w:right w:val="single" w:sz="4" w:space="0" w:color="auto"/>
            </w:tcBorders>
          </w:tcPr>
          <w:p w14:paraId="693B436A"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Preparar un plan para establecer una red de zonas protegidas y OECM para conservar las especies en cuestión y sus hábitats en el paisaje transfronterizo entre Kazajistán, China y Kirguistán (montañas de Kungey Alatau, Terskey Alatau y Uzynkara).</w:t>
            </w:r>
          </w:p>
        </w:tc>
        <w:tc>
          <w:tcPr>
            <w:tcW w:w="1939" w:type="dxa"/>
            <w:tcBorders>
              <w:top w:val="single" w:sz="4" w:space="0" w:color="auto"/>
              <w:left w:val="single" w:sz="4" w:space="0" w:color="auto"/>
              <w:bottom w:val="single" w:sz="4" w:space="0" w:color="auto"/>
              <w:right w:val="single" w:sz="4" w:space="0" w:color="auto"/>
            </w:tcBorders>
          </w:tcPr>
          <w:p w14:paraId="219619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OG, ONG, instituciones científicas, Secretaría de la CMS</w:t>
            </w:r>
          </w:p>
        </w:tc>
        <w:tc>
          <w:tcPr>
            <w:tcW w:w="2490" w:type="dxa"/>
            <w:tcBorders>
              <w:top w:val="single" w:sz="4" w:space="0" w:color="auto"/>
              <w:left w:val="single" w:sz="4" w:space="0" w:color="auto"/>
              <w:bottom w:val="single" w:sz="4" w:space="0" w:color="auto"/>
              <w:right w:val="single" w:sz="4" w:space="0" w:color="auto"/>
            </w:tcBorders>
          </w:tcPr>
          <w:p w14:paraId="165CC46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publica y se acuerda entre los tres países el plan para crear una red. </w:t>
            </w:r>
          </w:p>
        </w:tc>
        <w:tc>
          <w:tcPr>
            <w:tcW w:w="1250" w:type="dxa"/>
            <w:tcBorders>
              <w:top w:val="single" w:sz="4" w:space="0" w:color="auto"/>
              <w:left w:val="single" w:sz="4" w:space="0" w:color="auto"/>
              <w:bottom w:val="single" w:sz="4" w:space="0" w:color="auto"/>
              <w:right w:val="single" w:sz="4" w:space="0" w:color="auto"/>
            </w:tcBorders>
          </w:tcPr>
          <w:p w14:paraId="7FE75DC9" w14:textId="77777777" w:rsidR="0050347E" w:rsidRPr="00006DF4" w:rsidRDefault="0050347E" w:rsidP="00337EFC">
            <w:pPr>
              <w:pStyle w:val="P68B1DB1-Normal56"/>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6A05D4F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 2 del PEEM, GSLEP</w:t>
            </w:r>
          </w:p>
          <w:p w14:paraId="7CC7E5C3" w14:textId="77777777" w:rsidR="0050347E" w:rsidRPr="00006DF4" w:rsidRDefault="0050347E" w:rsidP="00337EFC">
            <w:pPr>
              <w:spacing w:before="40" w:after="40"/>
              <w:rPr>
                <w:rFonts w:ascii="Arial" w:eastAsia="Arial" w:hAnsi="Arial" w:cs="Arial"/>
                <w:sz w:val="20"/>
                <w:lang w:val="es-ES"/>
              </w:rPr>
            </w:pPr>
          </w:p>
        </w:tc>
      </w:tr>
      <w:tr w:rsidR="0050347E" w:rsidRPr="00006DF4" w14:paraId="7253761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5A29C89" w14:textId="77777777" w:rsidR="0050347E" w:rsidRPr="00006DF4" w:rsidRDefault="0050347E" w:rsidP="00337EFC">
            <w:pPr>
              <w:pStyle w:val="P68B1DB1-Normal56"/>
              <w:spacing w:before="40" w:after="40"/>
              <w:rPr>
                <w:rFonts w:ascii="Arial" w:hAnsi="Arial"/>
              </w:rPr>
            </w:pPr>
            <w:r w:rsidRPr="00006DF4">
              <w:rPr>
                <w:rFonts w:ascii="Arial" w:hAnsi="Arial"/>
              </w:rPr>
              <w:t>18.4</w:t>
            </w:r>
          </w:p>
        </w:tc>
        <w:tc>
          <w:tcPr>
            <w:tcW w:w="5622" w:type="dxa"/>
            <w:tcBorders>
              <w:top w:val="single" w:sz="4" w:space="0" w:color="auto"/>
              <w:left w:val="single" w:sz="4" w:space="0" w:color="auto"/>
              <w:bottom w:val="single" w:sz="4" w:space="0" w:color="auto"/>
              <w:right w:val="single" w:sz="4" w:space="0" w:color="auto"/>
            </w:tcBorders>
          </w:tcPr>
          <w:p w14:paraId="6A5BFE8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Mapear las vallas fronterizas existentes y planificadas, según corresponda y en función del contexto nacional, y otras infraestructuras lineales, preparar un análisis de sus impactos y desarrollar medidas de mitigación. </w:t>
            </w:r>
          </w:p>
        </w:tc>
        <w:tc>
          <w:tcPr>
            <w:tcW w:w="1939" w:type="dxa"/>
            <w:tcBorders>
              <w:top w:val="single" w:sz="4" w:space="0" w:color="auto"/>
              <w:left w:val="single" w:sz="4" w:space="0" w:color="auto"/>
              <w:bottom w:val="single" w:sz="4" w:space="0" w:color="auto"/>
              <w:right w:val="single" w:sz="4" w:space="0" w:color="auto"/>
            </w:tcBorders>
          </w:tcPr>
          <w:p w14:paraId="6641255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GSLEP, Secretaría de la CMS  </w:t>
            </w:r>
          </w:p>
        </w:tc>
        <w:tc>
          <w:tcPr>
            <w:tcW w:w="2490" w:type="dxa"/>
            <w:tcBorders>
              <w:top w:val="single" w:sz="4" w:space="0" w:color="auto"/>
              <w:left w:val="single" w:sz="4" w:space="0" w:color="auto"/>
              <w:bottom w:val="single" w:sz="4" w:space="0" w:color="auto"/>
              <w:right w:val="single" w:sz="4" w:space="0" w:color="auto"/>
            </w:tcBorders>
          </w:tcPr>
          <w:p w14:paraId="6C42445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el taller antes de 2027 y se elabora el informe, que incluye mapas y medidas de mitigación específicas para cada emplazamiento.  </w:t>
            </w:r>
          </w:p>
        </w:tc>
        <w:tc>
          <w:tcPr>
            <w:tcW w:w="1250" w:type="dxa"/>
            <w:tcBorders>
              <w:top w:val="single" w:sz="4" w:space="0" w:color="auto"/>
              <w:left w:val="single" w:sz="4" w:space="0" w:color="auto"/>
              <w:bottom w:val="single" w:sz="4" w:space="0" w:color="auto"/>
              <w:right w:val="single" w:sz="4" w:space="0" w:color="auto"/>
            </w:tcBorders>
          </w:tcPr>
          <w:p w14:paraId="454466E4"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C2C15F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 GSLEP</w:t>
            </w:r>
          </w:p>
        </w:tc>
      </w:tr>
      <w:tr w:rsidR="0050347E" w:rsidRPr="00006DF4" w14:paraId="464D3917"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6E6A77A"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18.5 </w:t>
            </w:r>
          </w:p>
        </w:tc>
        <w:tc>
          <w:tcPr>
            <w:tcW w:w="5622" w:type="dxa"/>
            <w:tcBorders>
              <w:top w:val="single" w:sz="4" w:space="0" w:color="auto"/>
              <w:left w:val="single" w:sz="4" w:space="0" w:color="auto"/>
              <w:bottom w:val="single" w:sz="4" w:space="0" w:color="auto"/>
              <w:right w:val="single" w:sz="4" w:space="0" w:color="auto"/>
            </w:tcBorders>
          </w:tcPr>
          <w:p w14:paraId="59B3B9AD"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Implementar las medidas para mejorar la conectividad según lo determinado en 18.3 y 18.4. </w:t>
            </w:r>
          </w:p>
        </w:tc>
        <w:tc>
          <w:tcPr>
            <w:tcW w:w="1939" w:type="dxa"/>
            <w:tcBorders>
              <w:top w:val="single" w:sz="4" w:space="0" w:color="auto"/>
              <w:left w:val="single" w:sz="4" w:space="0" w:color="auto"/>
              <w:bottom w:val="single" w:sz="4" w:space="0" w:color="auto"/>
              <w:right w:val="single" w:sz="4" w:space="0" w:color="auto"/>
            </w:tcBorders>
          </w:tcPr>
          <w:p w14:paraId="5EE71131"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IFI </w:t>
            </w:r>
          </w:p>
        </w:tc>
        <w:tc>
          <w:tcPr>
            <w:tcW w:w="2490" w:type="dxa"/>
            <w:tcBorders>
              <w:top w:val="single" w:sz="4" w:space="0" w:color="auto"/>
              <w:left w:val="single" w:sz="4" w:space="0" w:color="auto"/>
              <w:bottom w:val="single" w:sz="4" w:space="0" w:color="auto"/>
              <w:right w:val="single" w:sz="4" w:space="0" w:color="auto"/>
            </w:tcBorders>
          </w:tcPr>
          <w:p w14:paraId="618B5B7E" w14:textId="77777777" w:rsidR="0050347E" w:rsidRPr="00006DF4" w:rsidRDefault="0050347E" w:rsidP="00337EFC">
            <w:pPr>
              <w:pStyle w:val="P68B1DB1-Normal56"/>
              <w:spacing w:before="40" w:after="40"/>
              <w:rPr>
                <w:rFonts w:ascii="Arial" w:hAnsi="Arial"/>
              </w:rPr>
            </w:pPr>
            <w:r w:rsidRPr="00006DF4">
              <w:rPr>
                <w:rFonts w:ascii="Arial" w:hAnsi="Arial"/>
              </w:rPr>
              <w:t xml:space="preserve">Se implementan las medidas.  </w:t>
            </w:r>
          </w:p>
        </w:tc>
        <w:tc>
          <w:tcPr>
            <w:tcW w:w="1250" w:type="dxa"/>
            <w:tcBorders>
              <w:top w:val="single" w:sz="4" w:space="0" w:color="auto"/>
              <w:left w:val="single" w:sz="4" w:space="0" w:color="auto"/>
              <w:bottom w:val="single" w:sz="4" w:space="0" w:color="auto"/>
              <w:right w:val="single" w:sz="4" w:space="0" w:color="auto"/>
            </w:tcBorders>
          </w:tcPr>
          <w:p w14:paraId="3A41D0AF"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9EF903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 GSLEP</w:t>
            </w:r>
          </w:p>
          <w:p w14:paraId="467D0C4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01A1EDB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1B9408C4"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18.6</w:t>
            </w:r>
          </w:p>
        </w:tc>
        <w:tc>
          <w:tcPr>
            <w:tcW w:w="5622" w:type="dxa"/>
            <w:tcBorders>
              <w:top w:val="single" w:sz="4" w:space="0" w:color="auto"/>
              <w:left w:val="single" w:sz="4" w:space="0" w:color="auto"/>
              <w:bottom w:val="single" w:sz="4" w:space="0" w:color="auto"/>
              <w:right w:val="single" w:sz="4" w:space="0" w:color="auto"/>
            </w:tcBorders>
          </w:tcPr>
          <w:p w14:paraId="1920FFC7"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Impartir formación a los guardias fronterizos y a los funcionarios de aduanas de acuerdo con las Actividades 4.3, 7.7 y 10.6.</w:t>
            </w:r>
          </w:p>
        </w:tc>
        <w:tc>
          <w:tcPr>
            <w:tcW w:w="1939" w:type="dxa"/>
            <w:tcBorders>
              <w:top w:val="single" w:sz="4" w:space="0" w:color="auto"/>
              <w:left w:val="single" w:sz="4" w:space="0" w:color="auto"/>
              <w:bottom w:val="single" w:sz="4" w:space="0" w:color="auto"/>
              <w:right w:val="single" w:sz="4" w:space="0" w:color="auto"/>
            </w:tcBorders>
          </w:tcPr>
          <w:p w14:paraId="22012E17"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251F60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imparte la formación antes de 2027 en cada país y una a nivel regional. </w:t>
            </w:r>
          </w:p>
        </w:tc>
        <w:tc>
          <w:tcPr>
            <w:tcW w:w="1250" w:type="dxa"/>
            <w:tcBorders>
              <w:top w:val="single" w:sz="4" w:space="0" w:color="auto"/>
              <w:left w:val="single" w:sz="4" w:space="0" w:color="auto"/>
              <w:bottom w:val="single" w:sz="4" w:space="0" w:color="auto"/>
              <w:right w:val="single" w:sz="4" w:space="0" w:color="auto"/>
            </w:tcBorders>
          </w:tcPr>
          <w:p w14:paraId="3D595ECA"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28962DD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3 del PEEM, GSLEP</w:t>
            </w:r>
          </w:p>
          <w:p w14:paraId="246995B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7D5C4D0E"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C2A5E73" w14:textId="77777777" w:rsidR="0050347E" w:rsidRPr="00006DF4" w:rsidRDefault="0050347E" w:rsidP="00337EFC">
            <w:pPr>
              <w:pStyle w:val="P68B1DB1-Normal56"/>
              <w:spacing w:before="40" w:after="40"/>
              <w:rPr>
                <w:rFonts w:ascii="Arial" w:hAnsi="Arial"/>
              </w:rPr>
            </w:pPr>
            <w:r w:rsidRPr="00006DF4">
              <w:rPr>
                <w:rFonts w:ascii="Arial" w:hAnsi="Arial"/>
              </w:rPr>
              <w:t>18.7</w:t>
            </w:r>
          </w:p>
        </w:tc>
        <w:tc>
          <w:tcPr>
            <w:tcW w:w="5622" w:type="dxa"/>
            <w:tcBorders>
              <w:top w:val="single" w:sz="4" w:space="0" w:color="auto"/>
              <w:left w:val="single" w:sz="4" w:space="0" w:color="auto"/>
              <w:bottom w:val="single" w:sz="4" w:space="0" w:color="auto"/>
              <w:right w:val="single" w:sz="4" w:space="0" w:color="auto"/>
            </w:tcBorders>
          </w:tcPr>
          <w:p w14:paraId="4076461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Mejorar las políticas y la normativa para evitar los impactos negativos del turismo en las especies en cuestión, en sus hábitats y en el potencial ecoturístico de la zona, garantizando que el turismo beneficie a las comunidades locales e incentive la conservación de la biodiversidad. </w:t>
            </w:r>
          </w:p>
        </w:tc>
        <w:tc>
          <w:tcPr>
            <w:tcW w:w="1939" w:type="dxa"/>
            <w:tcBorders>
              <w:top w:val="single" w:sz="4" w:space="0" w:color="auto"/>
              <w:left w:val="single" w:sz="4" w:space="0" w:color="auto"/>
              <w:bottom w:val="single" w:sz="4" w:space="0" w:color="auto"/>
              <w:right w:val="single" w:sz="4" w:space="0" w:color="auto"/>
            </w:tcBorders>
          </w:tcPr>
          <w:p w14:paraId="146C676F"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w:t>
            </w:r>
          </w:p>
        </w:tc>
        <w:tc>
          <w:tcPr>
            <w:tcW w:w="2490" w:type="dxa"/>
            <w:tcBorders>
              <w:top w:val="single" w:sz="4" w:space="0" w:color="auto"/>
              <w:left w:val="single" w:sz="4" w:space="0" w:color="auto"/>
              <w:bottom w:val="single" w:sz="4" w:space="0" w:color="auto"/>
              <w:right w:val="single" w:sz="4" w:space="0" w:color="auto"/>
            </w:tcBorders>
          </w:tcPr>
          <w:p w14:paraId="1DC8B6D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establecen y se hacen cumplir políticas y normativas para evitar los impactos negativos en las especies y los hábitats en cuestión.  </w:t>
            </w:r>
          </w:p>
        </w:tc>
        <w:tc>
          <w:tcPr>
            <w:tcW w:w="1250" w:type="dxa"/>
            <w:tcBorders>
              <w:top w:val="single" w:sz="4" w:space="0" w:color="auto"/>
              <w:left w:val="single" w:sz="4" w:space="0" w:color="auto"/>
              <w:bottom w:val="single" w:sz="4" w:space="0" w:color="auto"/>
              <w:right w:val="single" w:sz="4" w:space="0" w:color="auto"/>
            </w:tcBorders>
          </w:tcPr>
          <w:p w14:paraId="381AFB58"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E29435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1 del GBF, Objetivo 2 del PEEM, GSLEP</w:t>
            </w:r>
          </w:p>
          <w:p w14:paraId="100A7CA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05ECEA0D"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9051C1A"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18.8 </w:t>
            </w:r>
          </w:p>
        </w:tc>
        <w:tc>
          <w:tcPr>
            <w:tcW w:w="5622" w:type="dxa"/>
            <w:tcBorders>
              <w:top w:val="single" w:sz="4" w:space="0" w:color="auto"/>
              <w:left w:val="single" w:sz="4" w:space="0" w:color="auto"/>
              <w:bottom w:val="single" w:sz="4" w:space="0" w:color="auto"/>
              <w:right w:val="single" w:sz="4" w:space="0" w:color="auto"/>
            </w:tcBorders>
          </w:tcPr>
          <w:p w14:paraId="341401C4"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Apoyar el desarrollo de soluciones basadas en las comunidades y la naturaleza, a saber: </w:t>
            </w:r>
          </w:p>
          <w:p w14:paraId="7E947A64"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 xml:space="preserve">proporcionar inversión inicial y asistencia para el desarrollo y la comercialización de productos de turismo de vida silvestre; </w:t>
            </w:r>
          </w:p>
          <w:p w14:paraId="21284564"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 xml:space="preserve">garantizar el vínculo entre los beneficios para las comunidades y los trabajos de conservación; </w:t>
            </w:r>
          </w:p>
          <w:p w14:paraId="20FAD8EF"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asignar la gestión de los hábitats del argalí y de otras especies a organizaciones comunitarias, incluido el uso sostenible del argalí una vez que su población alcance los umbrales establecidos; y</w:t>
            </w:r>
          </w:p>
          <w:p w14:paraId="526106DD" w14:textId="77777777" w:rsidR="0050347E" w:rsidRPr="00006DF4" w:rsidRDefault="0050347E" w:rsidP="0050347E">
            <w:pPr>
              <w:pStyle w:val="P68B1DB1-Normal56"/>
              <w:widowControl w:val="0"/>
              <w:numPr>
                <w:ilvl w:val="0"/>
                <w:numId w:val="19"/>
              </w:numPr>
              <w:spacing w:before="40" w:after="40"/>
              <w:jc w:val="both"/>
              <w:rPr>
                <w:rFonts w:ascii="Arial" w:hAnsi="Arial"/>
                <w:lang w:val="es-ES"/>
              </w:rPr>
            </w:pPr>
            <w:r w:rsidRPr="00006DF4">
              <w:rPr>
                <w:rFonts w:ascii="Arial" w:hAnsi="Arial"/>
                <w:lang w:val="es-ES"/>
              </w:rPr>
              <w:t xml:space="preserve">apoyar otras alternativas a la cría de ganado sostenibles y respetuosas con la vida silvestre. </w:t>
            </w:r>
          </w:p>
        </w:tc>
        <w:tc>
          <w:tcPr>
            <w:tcW w:w="1939" w:type="dxa"/>
            <w:tcBorders>
              <w:top w:val="single" w:sz="4" w:space="0" w:color="auto"/>
              <w:left w:val="single" w:sz="4" w:space="0" w:color="auto"/>
              <w:bottom w:val="single" w:sz="4" w:space="0" w:color="auto"/>
              <w:right w:val="single" w:sz="4" w:space="0" w:color="auto"/>
            </w:tcBorders>
          </w:tcPr>
          <w:p w14:paraId="6F513568"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w:t>
            </w:r>
          </w:p>
          <w:p w14:paraId="197AD0EB"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p w14:paraId="17AD7DD9"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75C1A35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desarrolla al menos una solución basada en las comunidades y la naturaleza antes de 2028. </w:t>
            </w:r>
          </w:p>
        </w:tc>
        <w:tc>
          <w:tcPr>
            <w:tcW w:w="1250" w:type="dxa"/>
            <w:tcBorders>
              <w:top w:val="single" w:sz="4" w:space="0" w:color="auto"/>
              <w:left w:val="single" w:sz="4" w:space="0" w:color="auto"/>
              <w:bottom w:val="single" w:sz="4" w:space="0" w:color="auto"/>
              <w:right w:val="single" w:sz="4" w:space="0" w:color="auto"/>
            </w:tcBorders>
          </w:tcPr>
          <w:p w14:paraId="20A3C1E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551B20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22 del GBF, Objetivo 3 del PEEM, GSLEP</w:t>
            </w:r>
          </w:p>
          <w:p w14:paraId="6A276F7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1B5AA2CE"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CDBADD1" w14:textId="77777777" w:rsidR="0050347E" w:rsidRPr="00006DF4" w:rsidRDefault="0050347E" w:rsidP="00337EFC">
            <w:pPr>
              <w:pStyle w:val="P68B1DB1-Normal56"/>
              <w:spacing w:before="40" w:after="40"/>
              <w:rPr>
                <w:rFonts w:ascii="Arial" w:hAnsi="Arial"/>
              </w:rPr>
            </w:pPr>
            <w:r w:rsidRPr="00006DF4">
              <w:rPr>
                <w:rFonts w:ascii="Arial" w:hAnsi="Arial"/>
              </w:rPr>
              <w:t xml:space="preserve">18.9 </w:t>
            </w:r>
          </w:p>
        </w:tc>
        <w:tc>
          <w:tcPr>
            <w:tcW w:w="5622" w:type="dxa"/>
            <w:tcBorders>
              <w:top w:val="single" w:sz="4" w:space="0" w:color="auto"/>
              <w:left w:val="single" w:sz="4" w:space="0" w:color="auto"/>
              <w:bottom w:val="single" w:sz="4" w:space="0" w:color="auto"/>
              <w:right w:val="single" w:sz="4" w:space="0" w:color="auto"/>
            </w:tcBorders>
          </w:tcPr>
          <w:p w14:paraId="42A81480"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Fuera de las zonas protegidas, colaborar con las comunidades locales y proporcionarles formación para garantizar la sostenibilidad de las prácticas de pastoreo. </w:t>
            </w:r>
          </w:p>
        </w:tc>
        <w:tc>
          <w:tcPr>
            <w:tcW w:w="1939" w:type="dxa"/>
            <w:tcBorders>
              <w:top w:val="single" w:sz="4" w:space="0" w:color="auto"/>
              <w:left w:val="single" w:sz="4" w:space="0" w:color="auto"/>
              <w:bottom w:val="single" w:sz="4" w:space="0" w:color="auto"/>
              <w:right w:val="single" w:sz="4" w:space="0" w:color="auto"/>
            </w:tcBorders>
          </w:tcPr>
          <w:p w14:paraId="452749CB" w14:textId="77777777" w:rsidR="0050347E" w:rsidRPr="00006DF4" w:rsidRDefault="0050347E" w:rsidP="00337EFC">
            <w:pPr>
              <w:pStyle w:val="P68B1DB1-Normal56"/>
              <w:spacing w:before="40" w:after="40"/>
              <w:rPr>
                <w:rFonts w:ascii="Arial" w:hAnsi="Arial"/>
              </w:rPr>
            </w:pPr>
            <w:r w:rsidRPr="00006DF4">
              <w:rPr>
                <w:rFonts w:ascii="Arial" w:hAnsi="Arial"/>
              </w:rPr>
              <w:t xml:space="preserve">ONG, OG, instituciones científicas, PNUMA </w:t>
            </w:r>
          </w:p>
        </w:tc>
        <w:tc>
          <w:tcPr>
            <w:tcW w:w="2490" w:type="dxa"/>
            <w:tcBorders>
              <w:top w:val="single" w:sz="4" w:space="0" w:color="auto"/>
              <w:left w:val="single" w:sz="4" w:space="0" w:color="auto"/>
              <w:bottom w:val="single" w:sz="4" w:space="0" w:color="auto"/>
              <w:right w:val="single" w:sz="4" w:space="0" w:color="auto"/>
            </w:tcBorders>
          </w:tcPr>
          <w:p w14:paraId="0F46BB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imparte al menos una formación a las comunidades locales de cada país.  </w:t>
            </w:r>
          </w:p>
        </w:tc>
        <w:tc>
          <w:tcPr>
            <w:tcW w:w="1250" w:type="dxa"/>
            <w:tcBorders>
              <w:top w:val="single" w:sz="4" w:space="0" w:color="auto"/>
              <w:left w:val="single" w:sz="4" w:space="0" w:color="auto"/>
              <w:bottom w:val="single" w:sz="4" w:space="0" w:color="auto"/>
              <w:right w:val="single" w:sz="4" w:space="0" w:color="auto"/>
            </w:tcBorders>
          </w:tcPr>
          <w:p w14:paraId="279AA7E7"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73280A6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4 del PEEM, GSLEP</w:t>
            </w:r>
          </w:p>
          <w:p w14:paraId="6224082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13B9E66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F24875B"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18.10 </w:t>
            </w:r>
          </w:p>
        </w:tc>
        <w:tc>
          <w:tcPr>
            <w:tcW w:w="5622" w:type="dxa"/>
            <w:tcBorders>
              <w:top w:val="single" w:sz="4" w:space="0" w:color="auto"/>
              <w:left w:val="single" w:sz="4" w:space="0" w:color="auto"/>
              <w:bottom w:val="single" w:sz="4" w:space="0" w:color="auto"/>
              <w:right w:val="single" w:sz="4" w:space="0" w:color="auto"/>
            </w:tcBorders>
          </w:tcPr>
          <w:p w14:paraId="3769BC0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Aplicar la gestión del pastoreo, incluidas las restricciones estacionales y temporales necesarias para el pastoreo en las OECM (incluidos los corredores ecológicos) o en las zonas protegidas (si procede), para mejorar las condiciones de los hábitats de las especies en cuestión utilizando las herramientas pertinentes (directrices de gestión de pastos que incluyan la vida silvestre utilizadas en Kirguistán).</w:t>
            </w:r>
          </w:p>
        </w:tc>
        <w:tc>
          <w:tcPr>
            <w:tcW w:w="1939" w:type="dxa"/>
            <w:tcBorders>
              <w:top w:val="single" w:sz="4" w:space="0" w:color="auto"/>
              <w:left w:val="single" w:sz="4" w:space="0" w:color="auto"/>
              <w:bottom w:val="single" w:sz="4" w:space="0" w:color="auto"/>
              <w:right w:val="single" w:sz="4" w:space="0" w:color="auto"/>
            </w:tcBorders>
          </w:tcPr>
          <w:p w14:paraId="6E5FFA4A" w14:textId="77777777" w:rsidR="0050347E" w:rsidRPr="00006DF4" w:rsidRDefault="0050347E" w:rsidP="00337EFC">
            <w:pPr>
              <w:pStyle w:val="P68B1DB1-Normal56"/>
              <w:spacing w:before="40" w:after="40"/>
              <w:rPr>
                <w:rFonts w:ascii="Arial" w:hAnsi="Arial"/>
              </w:rPr>
            </w:pPr>
            <w:r w:rsidRPr="00006DF4">
              <w:rPr>
                <w:rFonts w:ascii="Arial" w:hAnsi="Arial"/>
              </w:rPr>
              <w:t>OG, ONG, instituciones científicas</w:t>
            </w:r>
          </w:p>
        </w:tc>
        <w:tc>
          <w:tcPr>
            <w:tcW w:w="2490" w:type="dxa"/>
            <w:tcBorders>
              <w:top w:val="single" w:sz="4" w:space="0" w:color="auto"/>
              <w:left w:val="single" w:sz="4" w:space="0" w:color="auto"/>
              <w:bottom w:val="single" w:sz="4" w:space="0" w:color="auto"/>
              <w:right w:val="single" w:sz="4" w:space="0" w:color="auto"/>
            </w:tcBorders>
          </w:tcPr>
          <w:p w14:paraId="7311D23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mejora la gestión del pastoreo en al menos una zona protegida u OECM por país.  </w:t>
            </w:r>
          </w:p>
        </w:tc>
        <w:tc>
          <w:tcPr>
            <w:tcW w:w="1250" w:type="dxa"/>
            <w:tcBorders>
              <w:top w:val="single" w:sz="4" w:space="0" w:color="auto"/>
              <w:left w:val="single" w:sz="4" w:space="0" w:color="auto"/>
              <w:bottom w:val="single" w:sz="4" w:space="0" w:color="auto"/>
              <w:right w:val="single" w:sz="4" w:space="0" w:color="auto"/>
            </w:tcBorders>
          </w:tcPr>
          <w:p w14:paraId="0DBB0A43"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B85644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y 4 del GBF, Objetivos 1 y 2 del PEEM, GSLEP</w:t>
            </w:r>
          </w:p>
          <w:p w14:paraId="27661ED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0A171978"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DC92ED9" w14:textId="77777777" w:rsidR="0050347E" w:rsidRPr="00006DF4" w:rsidRDefault="0050347E" w:rsidP="00337EFC">
            <w:pPr>
              <w:pStyle w:val="P68B1DB1-Normal54"/>
              <w:spacing w:before="40" w:after="40"/>
              <w:rPr>
                <w:rFonts w:ascii="Arial" w:eastAsia="Arial" w:hAnsi="Arial" w:cs="Arial"/>
                <w:lang w:val="es-ES"/>
              </w:rPr>
            </w:pPr>
            <w:r w:rsidRPr="00006DF4">
              <w:rPr>
                <w:rFonts w:ascii="Arial" w:eastAsia="Arial" w:hAnsi="Arial" w:cs="Arial"/>
                <w:b/>
                <w:lang w:val="es-ES"/>
              </w:rPr>
              <w:t xml:space="preserve">19. Pamir-Hindukush-Karakoram (Afganistán, China, Kirguistán, Pakistán, Tayikistán): 8 </w:t>
            </w:r>
            <w:r w:rsidRPr="00006DF4">
              <w:rPr>
                <w:rFonts w:ascii="Arial" w:hAnsi="Arial" w:cs="Arial"/>
                <w:lang w:val="es-ES"/>
              </w:rPr>
              <w:br/>
              <w:t xml:space="preserve">       Especies: argalí, lince, manul, leopardo de las nieves, urial  </w:t>
            </w:r>
          </w:p>
        </w:tc>
      </w:tr>
      <w:tr w:rsidR="0050347E" w:rsidRPr="00006DF4" w14:paraId="26253CED"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338D3E1" w14:textId="77777777" w:rsidR="0050347E" w:rsidRPr="00006DF4" w:rsidRDefault="0050347E" w:rsidP="00337EFC">
            <w:pPr>
              <w:pStyle w:val="P68B1DB1-Normal49"/>
              <w:spacing w:before="40" w:after="40"/>
              <w:rPr>
                <w:rFonts w:ascii="Arial" w:eastAsia="Arial" w:hAnsi="Arial"/>
                <w:b/>
                <w:lang w:val="es-ES"/>
              </w:rPr>
            </w:pPr>
            <w:hyperlink r:id="rId76">
              <w:r w:rsidRPr="00006DF4">
                <w:rPr>
                  <w:rFonts w:ascii="Arial" w:hAnsi="Arial"/>
                  <w:lang w:val="es-ES"/>
                </w:rPr>
                <w:t>Plan de Acción para la Conservación del Argalí (2024-2032)</w:t>
              </w:r>
            </w:hyperlink>
          </w:p>
        </w:tc>
      </w:tr>
      <w:tr w:rsidR="0050347E" w:rsidRPr="00006DF4" w14:paraId="2CF596F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D9F0FEF"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19.1 </w:t>
            </w:r>
          </w:p>
        </w:tc>
        <w:tc>
          <w:tcPr>
            <w:tcW w:w="5622" w:type="dxa"/>
            <w:tcBorders>
              <w:top w:val="single" w:sz="4" w:space="0" w:color="auto"/>
              <w:left w:val="single" w:sz="4" w:space="0" w:color="auto"/>
              <w:bottom w:val="single" w:sz="4" w:space="0" w:color="auto"/>
              <w:right w:val="single" w:sz="4" w:space="0" w:color="auto"/>
            </w:tcBorders>
          </w:tcPr>
          <w:p w14:paraId="5A333AB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Coordinar el monitoreo y la investigación del estado de las poblaciones y de las amenazas a las especies en cuestión, intercambiando análisis de datos/información sobre dichas especies, en particular lo recopilados mediante cámaras trampa y muestreos de ADN no invasivos.</w:t>
            </w:r>
          </w:p>
        </w:tc>
        <w:tc>
          <w:tcPr>
            <w:tcW w:w="1939" w:type="dxa"/>
            <w:tcBorders>
              <w:top w:val="single" w:sz="4" w:space="0" w:color="auto"/>
              <w:left w:val="single" w:sz="4" w:space="0" w:color="auto"/>
              <w:bottom w:val="single" w:sz="4" w:space="0" w:color="auto"/>
              <w:right w:val="single" w:sz="4" w:space="0" w:color="auto"/>
            </w:tcBorders>
          </w:tcPr>
          <w:p w14:paraId="7A61225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GSLEP, instituciones científicas, Grupo de Trabajo de la SSC de la UICN  </w:t>
            </w:r>
          </w:p>
        </w:tc>
        <w:tc>
          <w:tcPr>
            <w:tcW w:w="2490" w:type="dxa"/>
            <w:tcBorders>
              <w:top w:val="single" w:sz="4" w:space="0" w:color="auto"/>
              <w:left w:val="single" w:sz="4" w:space="0" w:color="auto"/>
              <w:bottom w:val="single" w:sz="4" w:space="0" w:color="auto"/>
              <w:right w:val="single" w:sz="4" w:space="0" w:color="auto"/>
            </w:tcBorders>
          </w:tcPr>
          <w:p w14:paraId="7B6EB6C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Informes de encuestas, publicaciones científicas. Se lleva a cabo el monitoreo coordinado antes de 2028. </w:t>
            </w:r>
          </w:p>
        </w:tc>
        <w:tc>
          <w:tcPr>
            <w:tcW w:w="1250" w:type="dxa"/>
            <w:tcBorders>
              <w:top w:val="single" w:sz="4" w:space="0" w:color="auto"/>
              <w:left w:val="single" w:sz="4" w:space="0" w:color="auto"/>
              <w:bottom w:val="single" w:sz="4" w:space="0" w:color="auto"/>
              <w:right w:val="single" w:sz="4" w:space="0" w:color="auto"/>
            </w:tcBorders>
          </w:tcPr>
          <w:p w14:paraId="616798A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E5767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20 y 21 del GBF, Objetivos 1 y 4 del PEEM, GSLEP</w:t>
            </w:r>
          </w:p>
          <w:p w14:paraId="5A31361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551DE66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4ADE79C"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19.2 </w:t>
            </w:r>
          </w:p>
        </w:tc>
        <w:tc>
          <w:tcPr>
            <w:tcW w:w="5622" w:type="dxa"/>
            <w:tcBorders>
              <w:top w:val="single" w:sz="4" w:space="0" w:color="auto"/>
              <w:left w:val="single" w:sz="4" w:space="0" w:color="auto"/>
              <w:bottom w:val="single" w:sz="4" w:space="0" w:color="auto"/>
              <w:right w:val="single" w:sz="4" w:space="0" w:color="auto"/>
            </w:tcBorders>
          </w:tcPr>
          <w:p w14:paraId="7E9B2FF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Mapear las estructuras fronterizas y los restos de las antiguas vallas, cuando corresponda y de conformidad con la legislación nacional, así como las vallas y carreteras existentes y planificadas; evaluar sus impactos e identificar medidas de mitigación involucrando a todas las partes interesadas nacionales e internacionales pertinentes, a los PFE de la CAMI y a los expertos nacionales, con la mediación de la Secretaría de la CMS y otras organizaciones, teniendo en cuenta las directrices pertinentes.</w:t>
            </w:r>
          </w:p>
        </w:tc>
        <w:tc>
          <w:tcPr>
            <w:tcW w:w="1939" w:type="dxa"/>
            <w:tcBorders>
              <w:top w:val="single" w:sz="4" w:space="0" w:color="auto"/>
              <w:left w:val="single" w:sz="4" w:space="0" w:color="auto"/>
              <w:bottom w:val="single" w:sz="4" w:space="0" w:color="auto"/>
              <w:right w:val="single" w:sz="4" w:space="0" w:color="auto"/>
            </w:tcBorders>
          </w:tcPr>
          <w:p w14:paraId="228D522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Secretaría de la CMS, OG, ONG, instituciones científicas, GSLEP </w:t>
            </w:r>
          </w:p>
        </w:tc>
        <w:tc>
          <w:tcPr>
            <w:tcW w:w="2490" w:type="dxa"/>
            <w:tcBorders>
              <w:top w:val="single" w:sz="4" w:space="0" w:color="auto"/>
              <w:left w:val="single" w:sz="4" w:space="0" w:color="auto"/>
              <w:bottom w:val="single" w:sz="4" w:space="0" w:color="auto"/>
              <w:right w:val="single" w:sz="4" w:space="0" w:color="auto"/>
            </w:tcBorders>
          </w:tcPr>
          <w:p w14:paraId="2295A09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la reunión (presencial o en línea), se publican los resultados de la reunión antes de 2028, se añaden los resultados al Atlas de la CAMI actualizado, se identifica la mitigación y se preparan las medidas para su implementación.   </w:t>
            </w:r>
          </w:p>
        </w:tc>
        <w:tc>
          <w:tcPr>
            <w:tcW w:w="1250" w:type="dxa"/>
            <w:tcBorders>
              <w:top w:val="single" w:sz="4" w:space="0" w:color="auto"/>
              <w:left w:val="single" w:sz="4" w:space="0" w:color="auto"/>
              <w:bottom w:val="single" w:sz="4" w:space="0" w:color="auto"/>
              <w:right w:val="single" w:sz="4" w:space="0" w:color="auto"/>
            </w:tcBorders>
          </w:tcPr>
          <w:p w14:paraId="613DEB49"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1F783F1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14 del GBF, Objetivos 2 y 5 del PEEM, GSLEP</w:t>
            </w:r>
          </w:p>
          <w:p w14:paraId="63191A9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51EB9FD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71CC532"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19.3 </w:t>
            </w:r>
          </w:p>
        </w:tc>
        <w:tc>
          <w:tcPr>
            <w:tcW w:w="5622" w:type="dxa"/>
            <w:tcBorders>
              <w:top w:val="single" w:sz="4" w:space="0" w:color="auto"/>
              <w:left w:val="single" w:sz="4" w:space="0" w:color="auto"/>
              <w:bottom w:val="single" w:sz="4" w:space="0" w:color="auto"/>
              <w:right w:val="single" w:sz="4" w:space="0" w:color="auto"/>
            </w:tcBorders>
          </w:tcPr>
          <w:p w14:paraId="25C60FD1"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Implementar las medidas acordadas en la reunión anterior (19.2) para aumentar la conectividad, las migraciones transfronterizas y respaldar la expansión del área de distribución de las especies en cuestión de la CAMI.  </w:t>
            </w:r>
          </w:p>
        </w:tc>
        <w:tc>
          <w:tcPr>
            <w:tcW w:w="1939" w:type="dxa"/>
            <w:tcBorders>
              <w:top w:val="single" w:sz="4" w:space="0" w:color="auto"/>
              <w:left w:val="single" w:sz="4" w:space="0" w:color="auto"/>
              <w:bottom w:val="single" w:sz="4" w:space="0" w:color="auto"/>
              <w:right w:val="single" w:sz="4" w:space="0" w:color="auto"/>
            </w:tcBorders>
          </w:tcPr>
          <w:p w14:paraId="3A599A1F"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1A7A5EE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Antes de 2032, se elabora el informe sobre las medidas de mitigación implementadas. </w:t>
            </w:r>
          </w:p>
        </w:tc>
        <w:tc>
          <w:tcPr>
            <w:tcW w:w="1250" w:type="dxa"/>
            <w:tcBorders>
              <w:top w:val="single" w:sz="4" w:space="0" w:color="auto"/>
              <w:left w:val="single" w:sz="4" w:space="0" w:color="auto"/>
              <w:bottom w:val="single" w:sz="4" w:space="0" w:color="auto"/>
              <w:right w:val="single" w:sz="4" w:space="0" w:color="auto"/>
            </w:tcBorders>
          </w:tcPr>
          <w:p w14:paraId="6397438B"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D0708D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14 del GBF, Objetivos 2 y 5 del PEEM, GSLEP</w:t>
            </w:r>
          </w:p>
        </w:tc>
      </w:tr>
      <w:tr w:rsidR="0050347E" w:rsidRPr="00006DF4" w14:paraId="1C438A04"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75FAC42"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19.4 </w:t>
            </w:r>
          </w:p>
        </w:tc>
        <w:tc>
          <w:tcPr>
            <w:tcW w:w="5622" w:type="dxa"/>
            <w:tcBorders>
              <w:top w:val="single" w:sz="4" w:space="0" w:color="auto"/>
              <w:left w:val="single" w:sz="4" w:space="0" w:color="auto"/>
              <w:bottom w:val="single" w:sz="4" w:space="0" w:color="auto"/>
              <w:right w:val="single" w:sz="4" w:space="0" w:color="auto"/>
            </w:tcBorders>
          </w:tcPr>
          <w:p w14:paraId="0C603FD0"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Apoyar la implementación de enfoques de gestión de la fauna silvestre basados en las comunidades, siempre que sea posible, incluido el uso sostenible de la fauna silvestre (en particular, en Kirguistán y Pakistán y, posiblemente, en Afganistán y Tayikistán).  </w:t>
            </w:r>
          </w:p>
        </w:tc>
        <w:tc>
          <w:tcPr>
            <w:tcW w:w="1939" w:type="dxa"/>
            <w:tcBorders>
              <w:top w:val="single" w:sz="4" w:space="0" w:color="auto"/>
              <w:left w:val="single" w:sz="4" w:space="0" w:color="auto"/>
              <w:bottom w:val="single" w:sz="4" w:space="0" w:color="auto"/>
              <w:right w:val="single" w:sz="4" w:space="0" w:color="auto"/>
            </w:tcBorders>
          </w:tcPr>
          <w:p w14:paraId="637CCE40" w14:textId="77777777" w:rsidR="0050347E" w:rsidRPr="00006DF4" w:rsidRDefault="0050347E" w:rsidP="00337EFC">
            <w:pPr>
              <w:pStyle w:val="P68B1DB1-Normal56"/>
              <w:spacing w:before="40" w:after="40"/>
              <w:rPr>
                <w:rFonts w:ascii="Arial" w:hAnsi="Arial"/>
              </w:rPr>
            </w:pPr>
            <w:r w:rsidRPr="00006DF4">
              <w:rPr>
                <w:rFonts w:ascii="Arial" w:hAnsi="Arial"/>
              </w:rPr>
              <w:t xml:space="preserve">ONG, OG,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601563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Número de iniciativas de gestión de la fauna silvestre basadas en las comunidades que están activas las RTPC. </w:t>
            </w:r>
          </w:p>
        </w:tc>
        <w:tc>
          <w:tcPr>
            <w:tcW w:w="1250" w:type="dxa"/>
            <w:tcBorders>
              <w:top w:val="single" w:sz="4" w:space="0" w:color="auto"/>
              <w:left w:val="single" w:sz="4" w:space="0" w:color="auto"/>
              <w:bottom w:val="single" w:sz="4" w:space="0" w:color="auto"/>
              <w:right w:val="single" w:sz="4" w:space="0" w:color="auto"/>
            </w:tcBorders>
          </w:tcPr>
          <w:p w14:paraId="3C55B4E7"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3F09E6D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22 del GBF, Objetivo 3 del PEEM, GSLEP</w:t>
            </w:r>
          </w:p>
          <w:p w14:paraId="79E9E00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7EB31931"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6127479" w14:textId="77777777" w:rsidR="0050347E" w:rsidRPr="00006DF4" w:rsidRDefault="0050347E" w:rsidP="00337EFC">
            <w:pPr>
              <w:pStyle w:val="P68B1DB1-Normal56"/>
              <w:spacing w:before="40" w:after="40"/>
              <w:rPr>
                <w:rFonts w:ascii="Arial" w:hAnsi="Arial"/>
              </w:rPr>
            </w:pPr>
            <w:r w:rsidRPr="00006DF4">
              <w:rPr>
                <w:rFonts w:ascii="Arial" w:hAnsi="Arial"/>
              </w:rPr>
              <w:t xml:space="preserve">19.5 </w:t>
            </w:r>
          </w:p>
        </w:tc>
        <w:tc>
          <w:tcPr>
            <w:tcW w:w="5622" w:type="dxa"/>
            <w:tcBorders>
              <w:top w:val="single" w:sz="4" w:space="0" w:color="auto"/>
              <w:left w:val="single" w:sz="4" w:space="0" w:color="auto"/>
              <w:bottom w:val="single" w:sz="4" w:space="0" w:color="auto"/>
              <w:right w:val="single" w:sz="4" w:space="0" w:color="auto"/>
            </w:tcBorders>
          </w:tcPr>
          <w:p w14:paraId="6D0B288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Realizar un estudio de viabilidad para la reintroducción de subespecies locales de urial en la parte tayika del Wakhan utilizando animales de Afganistán, incluida la viabilidad de reintroducir el urial en su antigua área de distribución dentro de Pakistán.</w:t>
            </w:r>
          </w:p>
        </w:tc>
        <w:tc>
          <w:tcPr>
            <w:tcW w:w="1939" w:type="dxa"/>
            <w:tcBorders>
              <w:top w:val="single" w:sz="4" w:space="0" w:color="auto"/>
              <w:left w:val="single" w:sz="4" w:space="0" w:color="auto"/>
              <w:bottom w:val="single" w:sz="4" w:space="0" w:color="auto"/>
              <w:right w:val="single" w:sz="4" w:space="0" w:color="auto"/>
            </w:tcBorders>
          </w:tcPr>
          <w:p w14:paraId="601FF7A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ONG, OG, Grupo de Trabajo de la SSC de la UICN, instituciones científicas </w:t>
            </w:r>
          </w:p>
        </w:tc>
        <w:tc>
          <w:tcPr>
            <w:tcW w:w="2490" w:type="dxa"/>
            <w:tcBorders>
              <w:top w:val="single" w:sz="4" w:space="0" w:color="auto"/>
              <w:left w:val="single" w:sz="4" w:space="0" w:color="auto"/>
              <w:bottom w:val="single" w:sz="4" w:space="0" w:color="auto"/>
              <w:right w:val="single" w:sz="4" w:space="0" w:color="auto"/>
            </w:tcBorders>
          </w:tcPr>
          <w:p w14:paraId="456C855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Estudios de viabilidad antes de 2032. </w:t>
            </w:r>
          </w:p>
        </w:tc>
        <w:tc>
          <w:tcPr>
            <w:tcW w:w="1250" w:type="dxa"/>
            <w:tcBorders>
              <w:top w:val="single" w:sz="4" w:space="0" w:color="auto"/>
              <w:left w:val="single" w:sz="4" w:space="0" w:color="auto"/>
              <w:bottom w:val="single" w:sz="4" w:space="0" w:color="auto"/>
              <w:right w:val="single" w:sz="4" w:space="0" w:color="auto"/>
            </w:tcBorders>
          </w:tcPr>
          <w:p w14:paraId="6F43C22D"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157D305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006DF4" w14:paraId="479FFA6D"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7DA6C7B"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 xml:space="preserve">20. Altái (China, Mongolia, Kazajistán, Federación de Rusia): 9 </w:t>
            </w:r>
          </w:p>
          <w:p w14:paraId="518071F1" w14:textId="77777777" w:rsidR="0050347E" w:rsidRPr="00006DF4" w:rsidRDefault="0050347E" w:rsidP="00337EFC">
            <w:pPr>
              <w:pStyle w:val="P68B1DB1-Normal56"/>
              <w:spacing w:before="40" w:after="40"/>
              <w:ind w:left="284"/>
              <w:rPr>
                <w:rFonts w:ascii="Arial" w:hAnsi="Arial"/>
                <w:lang w:val="es-ES"/>
              </w:rPr>
            </w:pPr>
            <w:r w:rsidRPr="00006DF4">
              <w:rPr>
                <w:rFonts w:ascii="Arial" w:hAnsi="Arial"/>
                <w:lang w:val="es-ES"/>
              </w:rPr>
              <w:t xml:space="preserve">Especies: argalí, leopardo de las nieves, manul, lince </w:t>
            </w:r>
          </w:p>
        </w:tc>
      </w:tr>
      <w:tr w:rsidR="0050347E" w:rsidRPr="00006DF4" w14:paraId="25BCCFEF"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F56F333" w14:textId="77777777" w:rsidR="0050347E" w:rsidRPr="00006DF4" w:rsidRDefault="0050347E" w:rsidP="00337EFC">
            <w:pPr>
              <w:pStyle w:val="P68B1DB1-Normal49"/>
              <w:spacing w:before="40" w:after="40"/>
              <w:rPr>
                <w:rFonts w:ascii="Arial" w:eastAsia="Arial" w:hAnsi="Arial"/>
                <w:b/>
                <w:lang w:val="es-ES"/>
              </w:rPr>
            </w:pPr>
            <w:hyperlink r:id="rId77">
              <w:r w:rsidRPr="00006DF4">
                <w:rPr>
                  <w:rFonts w:ascii="Arial" w:hAnsi="Arial"/>
                  <w:lang w:val="es-ES"/>
                </w:rPr>
                <w:t>Plan de Acción para la Conservación del Argalí (2024-2032)</w:t>
              </w:r>
            </w:hyperlink>
          </w:p>
        </w:tc>
      </w:tr>
      <w:tr w:rsidR="0050347E" w:rsidRPr="00006DF4" w14:paraId="47F69E4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781C696" w14:textId="77777777" w:rsidR="0050347E" w:rsidRPr="00006DF4" w:rsidRDefault="0050347E" w:rsidP="00337EFC">
            <w:pPr>
              <w:pStyle w:val="P68B1DB1-Normal56"/>
              <w:spacing w:before="40" w:after="40"/>
              <w:rPr>
                <w:rFonts w:ascii="Arial" w:hAnsi="Arial"/>
              </w:rPr>
            </w:pPr>
            <w:r w:rsidRPr="00006DF4">
              <w:rPr>
                <w:rFonts w:ascii="Arial" w:hAnsi="Arial"/>
              </w:rPr>
              <w:t xml:space="preserve">20.1 </w:t>
            </w:r>
          </w:p>
        </w:tc>
        <w:tc>
          <w:tcPr>
            <w:tcW w:w="5622" w:type="dxa"/>
            <w:tcBorders>
              <w:top w:val="single" w:sz="4" w:space="0" w:color="auto"/>
              <w:left w:val="single" w:sz="4" w:space="0" w:color="auto"/>
              <w:bottom w:val="single" w:sz="4" w:space="0" w:color="auto"/>
              <w:right w:val="single" w:sz="4" w:space="0" w:color="auto"/>
            </w:tcBorders>
          </w:tcPr>
          <w:p w14:paraId="28AC3C44"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Recopilar datos de especies de la CAMI de diferentes instituciones de esta RTPC para actualizar el área de distribución y las estimaciones de población.  </w:t>
            </w:r>
          </w:p>
        </w:tc>
        <w:tc>
          <w:tcPr>
            <w:tcW w:w="1939" w:type="dxa"/>
            <w:tcBorders>
              <w:top w:val="single" w:sz="4" w:space="0" w:color="auto"/>
              <w:left w:val="single" w:sz="4" w:space="0" w:color="auto"/>
              <w:bottom w:val="single" w:sz="4" w:space="0" w:color="auto"/>
              <w:right w:val="single" w:sz="4" w:space="0" w:color="auto"/>
            </w:tcBorders>
          </w:tcPr>
          <w:p w14:paraId="7290B306"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GSLEP, instituciones científicas </w:t>
            </w:r>
          </w:p>
        </w:tc>
        <w:tc>
          <w:tcPr>
            <w:tcW w:w="2490" w:type="dxa"/>
            <w:tcBorders>
              <w:top w:val="single" w:sz="4" w:space="0" w:color="auto"/>
              <w:left w:val="single" w:sz="4" w:space="0" w:color="auto"/>
              <w:bottom w:val="single" w:sz="4" w:space="0" w:color="auto"/>
              <w:right w:val="single" w:sz="4" w:space="0" w:color="auto"/>
            </w:tcBorders>
          </w:tcPr>
          <w:p w14:paraId="3430E17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La recopilación de datos comienza antes de 2026. Los resultados se notifican anualmente.  </w:t>
            </w:r>
          </w:p>
        </w:tc>
        <w:tc>
          <w:tcPr>
            <w:tcW w:w="1250" w:type="dxa"/>
            <w:tcBorders>
              <w:top w:val="single" w:sz="4" w:space="0" w:color="auto"/>
              <w:left w:val="single" w:sz="4" w:space="0" w:color="auto"/>
              <w:bottom w:val="single" w:sz="4" w:space="0" w:color="auto"/>
              <w:right w:val="single" w:sz="4" w:space="0" w:color="auto"/>
            </w:tcBorders>
          </w:tcPr>
          <w:p w14:paraId="52468ED6"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77E2843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4 del PEEM, GSLEP</w:t>
            </w:r>
          </w:p>
        </w:tc>
      </w:tr>
      <w:tr w:rsidR="0050347E" w:rsidRPr="00006DF4" w14:paraId="34F610F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B22C61C" w14:textId="77777777" w:rsidR="0050347E" w:rsidRPr="00006DF4" w:rsidRDefault="0050347E" w:rsidP="00337EFC">
            <w:pPr>
              <w:pStyle w:val="P68B1DB1-Normal56"/>
              <w:spacing w:before="40" w:after="40"/>
              <w:rPr>
                <w:rFonts w:ascii="Arial" w:hAnsi="Arial"/>
              </w:rPr>
            </w:pPr>
            <w:r w:rsidRPr="00006DF4">
              <w:rPr>
                <w:rFonts w:ascii="Arial" w:hAnsi="Arial"/>
              </w:rPr>
              <w:t>20.2</w:t>
            </w:r>
          </w:p>
        </w:tc>
        <w:tc>
          <w:tcPr>
            <w:tcW w:w="5622" w:type="dxa"/>
            <w:tcBorders>
              <w:top w:val="single" w:sz="4" w:space="0" w:color="auto"/>
              <w:left w:val="single" w:sz="4" w:space="0" w:color="auto"/>
              <w:bottom w:val="single" w:sz="4" w:space="0" w:color="auto"/>
              <w:right w:val="single" w:sz="4" w:space="0" w:color="auto"/>
            </w:tcBorders>
          </w:tcPr>
          <w:p w14:paraId="6017027A"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Llevar a cabo un monitoreo transfronterizo y coordinado de las especies en cuestión.  </w:t>
            </w:r>
          </w:p>
        </w:tc>
        <w:tc>
          <w:tcPr>
            <w:tcW w:w="1939" w:type="dxa"/>
            <w:tcBorders>
              <w:top w:val="single" w:sz="4" w:space="0" w:color="auto"/>
              <w:left w:val="single" w:sz="4" w:space="0" w:color="auto"/>
              <w:bottom w:val="single" w:sz="4" w:space="0" w:color="auto"/>
              <w:right w:val="single" w:sz="4" w:space="0" w:color="auto"/>
            </w:tcBorders>
          </w:tcPr>
          <w:p w14:paraId="6DC6E825"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w:t>
            </w:r>
            <w:r w:rsidRPr="00006DF4">
              <w:rPr>
                <w:rFonts w:ascii="Arial" w:hAnsi="Arial"/>
                <w:color w:val="000000" w:themeColor="text1"/>
                <w:lang w:val="es-ES"/>
              </w:rPr>
              <w:t>zonas protegidas</w:t>
            </w:r>
            <w:r w:rsidRPr="00006DF4">
              <w:rPr>
                <w:rFonts w:ascii="Arial" w:hAnsi="Arial"/>
                <w:lang w:val="es-ES"/>
              </w:rPr>
              <w:t xml:space="preserve">, GSLEP, SSC de la UICN, Grupo de Trabajo sobre el Manul </w:t>
            </w:r>
          </w:p>
        </w:tc>
        <w:tc>
          <w:tcPr>
            <w:tcW w:w="2490" w:type="dxa"/>
            <w:tcBorders>
              <w:top w:val="single" w:sz="4" w:space="0" w:color="auto"/>
              <w:left w:val="single" w:sz="4" w:space="0" w:color="auto"/>
              <w:bottom w:val="single" w:sz="4" w:space="0" w:color="auto"/>
              <w:right w:val="single" w:sz="4" w:space="0" w:color="auto"/>
            </w:tcBorders>
          </w:tcPr>
          <w:p w14:paraId="02C4CDE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lleva a cabo el monitoreo coordinado antes de 2026. </w:t>
            </w:r>
          </w:p>
        </w:tc>
        <w:tc>
          <w:tcPr>
            <w:tcW w:w="1250" w:type="dxa"/>
            <w:tcBorders>
              <w:top w:val="single" w:sz="4" w:space="0" w:color="auto"/>
              <w:left w:val="single" w:sz="4" w:space="0" w:color="auto"/>
              <w:bottom w:val="single" w:sz="4" w:space="0" w:color="auto"/>
              <w:right w:val="single" w:sz="4" w:space="0" w:color="auto"/>
            </w:tcBorders>
          </w:tcPr>
          <w:p w14:paraId="531ADCB8"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892709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tc>
      </w:tr>
      <w:tr w:rsidR="0050347E" w:rsidRPr="00006DF4" w14:paraId="724DEB61"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EF6CCB1" w14:textId="77777777" w:rsidR="0050347E" w:rsidRPr="00006DF4" w:rsidRDefault="0050347E" w:rsidP="00337EFC">
            <w:pPr>
              <w:pStyle w:val="P68B1DB1-Normal56"/>
              <w:spacing w:before="40" w:after="40"/>
              <w:rPr>
                <w:rFonts w:ascii="Arial" w:hAnsi="Arial"/>
              </w:rPr>
            </w:pPr>
            <w:r w:rsidRPr="00006DF4">
              <w:rPr>
                <w:rFonts w:ascii="Arial" w:hAnsi="Arial"/>
              </w:rPr>
              <w:t xml:space="preserve">20.3 </w:t>
            </w:r>
          </w:p>
        </w:tc>
        <w:tc>
          <w:tcPr>
            <w:tcW w:w="5622" w:type="dxa"/>
            <w:tcBorders>
              <w:top w:val="single" w:sz="4" w:space="0" w:color="auto"/>
              <w:left w:val="single" w:sz="4" w:space="0" w:color="auto"/>
              <w:bottom w:val="single" w:sz="4" w:space="0" w:color="auto"/>
              <w:right w:val="single" w:sz="4" w:space="0" w:color="auto"/>
            </w:tcBorders>
          </w:tcPr>
          <w:p w14:paraId="3D179C22"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Actualizar el mapa de infraestructuras lineales de esta RTPC en el Atlas de la CAMI, incluyendo las vallas fronterizas entre los Estados del área de distribución, evaluar su impacto sobre las especies en cuestión y mitigar sus efectos.  </w:t>
            </w:r>
          </w:p>
        </w:tc>
        <w:tc>
          <w:tcPr>
            <w:tcW w:w="1939" w:type="dxa"/>
            <w:tcBorders>
              <w:top w:val="single" w:sz="4" w:space="0" w:color="auto"/>
              <w:left w:val="single" w:sz="4" w:space="0" w:color="auto"/>
              <w:bottom w:val="single" w:sz="4" w:space="0" w:color="auto"/>
              <w:right w:val="single" w:sz="4" w:space="0" w:color="auto"/>
            </w:tcBorders>
          </w:tcPr>
          <w:p w14:paraId="4DCDAB8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ZP, instituciones científicas </w:t>
            </w:r>
          </w:p>
        </w:tc>
        <w:tc>
          <w:tcPr>
            <w:tcW w:w="2490" w:type="dxa"/>
            <w:tcBorders>
              <w:top w:val="single" w:sz="4" w:space="0" w:color="auto"/>
              <w:left w:val="single" w:sz="4" w:space="0" w:color="auto"/>
              <w:bottom w:val="single" w:sz="4" w:space="0" w:color="auto"/>
              <w:right w:val="single" w:sz="4" w:space="0" w:color="auto"/>
            </w:tcBorders>
          </w:tcPr>
          <w:p w14:paraId="663A387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elaboran los informes sobre la evaluación de impacto antes 2028 y sobre la reducción de los efectos negativos antes 2032. </w:t>
            </w:r>
          </w:p>
        </w:tc>
        <w:tc>
          <w:tcPr>
            <w:tcW w:w="1250" w:type="dxa"/>
            <w:tcBorders>
              <w:top w:val="single" w:sz="4" w:space="0" w:color="auto"/>
              <w:left w:val="single" w:sz="4" w:space="0" w:color="auto"/>
              <w:bottom w:val="single" w:sz="4" w:space="0" w:color="auto"/>
              <w:right w:val="single" w:sz="4" w:space="0" w:color="auto"/>
            </w:tcBorders>
          </w:tcPr>
          <w:p w14:paraId="62948EE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83A5EA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14 del GBF, Objetivo 2 del PEEM</w:t>
            </w:r>
          </w:p>
        </w:tc>
      </w:tr>
      <w:tr w:rsidR="0050347E" w:rsidRPr="00006DF4" w14:paraId="404ECC80"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24BE9CA" w14:textId="77777777" w:rsidR="0050347E" w:rsidRPr="00006DF4" w:rsidRDefault="0050347E" w:rsidP="00337EFC">
            <w:pPr>
              <w:pStyle w:val="P68B1DB1-Normal56"/>
              <w:spacing w:before="40" w:after="40"/>
              <w:rPr>
                <w:rFonts w:ascii="Arial" w:hAnsi="Arial"/>
                <w:lang w:val="es-ES"/>
              </w:rPr>
            </w:pPr>
            <w:r w:rsidRPr="00006DF4">
              <w:rPr>
                <w:rFonts w:ascii="Arial" w:hAnsi="Arial"/>
                <w:b/>
                <w:lang w:val="es-ES"/>
              </w:rPr>
              <w:lastRenderedPageBreak/>
              <w:t>21. Estepa dauriana (China, Mongolia, Federación de Rusia): 10</w:t>
            </w:r>
          </w:p>
          <w:p w14:paraId="2554C67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gacela de Mongolia, manul, caballo de Przewalski (reintroducción en curso), gacela persa (se ha informado de su presencia en la Federación de Rusia) </w:t>
            </w:r>
          </w:p>
        </w:tc>
      </w:tr>
      <w:tr w:rsidR="0050347E" w:rsidRPr="00006DF4" w14:paraId="3CB39ED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A081B59" w14:textId="77777777" w:rsidR="0050347E" w:rsidRPr="00006DF4" w:rsidRDefault="0050347E" w:rsidP="00337EFC">
            <w:pPr>
              <w:pStyle w:val="P68B1DB1-Normal56"/>
              <w:spacing w:before="40" w:after="40"/>
              <w:rPr>
                <w:rFonts w:ascii="Arial" w:hAnsi="Arial"/>
              </w:rPr>
            </w:pPr>
            <w:r w:rsidRPr="00006DF4">
              <w:rPr>
                <w:rFonts w:ascii="Arial" w:hAnsi="Arial"/>
              </w:rPr>
              <w:t>21.1</w:t>
            </w:r>
          </w:p>
        </w:tc>
        <w:tc>
          <w:tcPr>
            <w:tcW w:w="5622" w:type="dxa"/>
            <w:tcBorders>
              <w:top w:val="single" w:sz="4" w:space="0" w:color="auto"/>
              <w:left w:val="single" w:sz="4" w:space="0" w:color="auto"/>
              <w:bottom w:val="single" w:sz="4" w:space="0" w:color="auto"/>
              <w:right w:val="single" w:sz="4" w:space="0" w:color="auto"/>
            </w:tcBorders>
          </w:tcPr>
          <w:p w14:paraId="140DFECD"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Recopilar datos de especies de la CAMI de diferentes instituciones de esta RTPC para actualizar el área de distribución y las estimaciones de población y elaborar recomendaciones sobre el monitoreo coordinado.  </w:t>
            </w:r>
          </w:p>
        </w:tc>
        <w:tc>
          <w:tcPr>
            <w:tcW w:w="1939" w:type="dxa"/>
            <w:tcBorders>
              <w:top w:val="single" w:sz="4" w:space="0" w:color="auto"/>
              <w:left w:val="single" w:sz="4" w:space="0" w:color="auto"/>
              <w:bottom w:val="single" w:sz="4" w:space="0" w:color="auto"/>
              <w:right w:val="single" w:sz="4" w:space="0" w:color="auto"/>
            </w:tcBorders>
          </w:tcPr>
          <w:p w14:paraId="77F4AD4D"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00A950F9" w14:textId="77777777" w:rsidR="0050347E" w:rsidRPr="00006DF4" w:rsidRDefault="0050347E" w:rsidP="00337EFC">
            <w:pPr>
              <w:spacing w:before="40" w:after="40"/>
              <w:rPr>
                <w:rFonts w:ascii="Arial" w:eastAsia="Arial" w:hAnsi="Arial" w:cs="Arial"/>
                <w:sz w:val="20"/>
              </w:rPr>
            </w:pPr>
          </w:p>
        </w:tc>
        <w:tc>
          <w:tcPr>
            <w:tcW w:w="2490" w:type="dxa"/>
            <w:tcBorders>
              <w:top w:val="single" w:sz="4" w:space="0" w:color="auto"/>
              <w:left w:val="single" w:sz="4" w:space="0" w:color="auto"/>
              <w:bottom w:val="single" w:sz="4" w:space="0" w:color="auto"/>
              <w:right w:val="single" w:sz="4" w:space="0" w:color="auto"/>
            </w:tcBorders>
          </w:tcPr>
          <w:p w14:paraId="7A94067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Se elaboran el informe y las recomendaciones antes de 2026.</w:t>
            </w:r>
          </w:p>
        </w:tc>
        <w:tc>
          <w:tcPr>
            <w:tcW w:w="1250" w:type="dxa"/>
            <w:tcBorders>
              <w:top w:val="single" w:sz="4" w:space="0" w:color="auto"/>
              <w:left w:val="single" w:sz="4" w:space="0" w:color="auto"/>
              <w:bottom w:val="single" w:sz="4" w:space="0" w:color="auto"/>
              <w:right w:val="single" w:sz="4" w:space="0" w:color="auto"/>
            </w:tcBorders>
          </w:tcPr>
          <w:p w14:paraId="1BC820C7"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79E3DB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y 17 del GBF, Objetivos 1 y 5 del PEEM</w:t>
            </w:r>
          </w:p>
        </w:tc>
      </w:tr>
      <w:tr w:rsidR="0050347E" w:rsidRPr="00006DF4" w14:paraId="78FAFC9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1E20290" w14:textId="77777777" w:rsidR="0050347E" w:rsidRPr="00006DF4" w:rsidRDefault="0050347E" w:rsidP="00337EFC">
            <w:pPr>
              <w:pStyle w:val="P68B1DB1-Normal56"/>
              <w:spacing w:before="40" w:after="40"/>
              <w:rPr>
                <w:rFonts w:ascii="Arial" w:hAnsi="Arial"/>
              </w:rPr>
            </w:pPr>
            <w:r w:rsidRPr="00006DF4">
              <w:rPr>
                <w:rFonts w:ascii="Arial" w:hAnsi="Arial"/>
              </w:rPr>
              <w:t>21.2</w:t>
            </w:r>
          </w:p>
        </w:tc>
        <w:tc>
          <w:tcPr>
            <w:tcW w:w="5622" w:type="dxa"/>
            <w:tcBorders>
              <w:top w:val="single" w:sz="4" w:space="0" w:color="auto"/>
              <w:left w:val="single" w:sz="4" w:space="0" w:color="auto"/>
              <w:bottom w:val="single" w:sz="4" w:space="0" w:color="auto"/>
              <w:right w:val="single" w:sz="4" w:space="0" w:color="auto"/>
            </w:tcBorders>
          </w:tcPr>
          <w:p w14:paraId="66892155"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Llevar a cabo un monitoreo transfronterizo y coordinado de las especies en cuestión.</w:t>
            </w:r>
          </w:p>
        </w:tc>
        <w:tc>
          <w:tcPr>
            <w:tcW w:w="1939" w:type="dxa"/>
            <w:tcBorders>
              <w:top w:val="single" w:sz="4" w:space="0" w:color="auto"/>
              <w:left w:val="single" w:sz="4" w:space="0" w:color="auto"/>
              <w:bottom w:val="single" w:sz="4" w:space="0" w:color="auto"/>
              <w:right w:val="single" w:sz="4" w:space="0" w:color="auto"/>
            </w:tcBorders>
          </w:tcPr>
          <w:p w14:paraId="35D09D9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OG, ONG, instituciones científicas, ZP, SSC de la UICN, PICA, Grupo de Trabajo sobre el Manul</w:t>
            </w:r>
          </w:p>
        </w:tc>
        <w:tc>
          <w:tcPr>
            <w:tcW w:w="2490" w:type="dxa"/>
            <w:tcBorders>
              <w:top w:val="single" w:sz="4" w:space="0" w:color="auto"/>
              <w:left w:val="single" w:sz="4" w:space="0" w:color="auto"/>
              <w:bottom w:val="single" w:sz="4" w:space="0" w:color="auto"/>
              <w:right w:val="single" w:sz="4" w:space="0" w:color="auto"/>
            </w:tcBorders>
          </w:tcPr>
          <w:p w14:paraId="1F3B3A7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lleva a cabo el monitoreo coordinado y se elaboran el informe y las recomendaciones antes de finales de 2026. </w:t>
            </w:r>
          </w:p>
        </w:tc>
        <w:tc>
          <w:tcPr>
            <w:tcW w:w="1250" w:type="dxa"/>
            <w:tcBorders>
              <w:top w:val="single" w:sz="4" w:space="0" w:color="auto"/>
              <w:left w:val="single" w:sz="4" w:space="0" w:color="auto"/>
              <w:bottom w:val="single" w:sz="4" w:space="0" w:color="auto"/>
              <w:right w:val="single" w:sz="4" w:space="0" w:color="auto"/>
            </w:tcBorders>
          </w:tcPr>
          <w:p w14:paraId="3E3DF9E9"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AA938F5" w14:textId="77777777" w:rsidR="0050347E" w:rsidRPr="00006DF4" w:rsidRDefault="0050347E" w:rsidP="00337EFC">
            <w:pPr>
              <w:pStyle w:val="P68B1DB1-Normal56"/>
              <w:spacing w:before="40" w:after="40"/>
              <w:rPr>
                <w:rFonts w:ascii="Arial" w:hAnsi="Arial"/>
              </w:rPr>
            </w:pPr>
            <w:r w:rsidRPr="00006DF4">
              <w:rPr>
                <w:rFonts w:ascii="Arial" w:hAnsi="Arial"/>
              </w:rPr>
              <w:t>Meta 4 del GBF, Objetivo 1 del PEEM, PICA</w:t>
            </w:r>
          </w:p>
        </w:tc>
      </w:tr>
      <w:tr w:rsidR="0050347E" w:rsidRPr="00006DF4" w14:paraId="753DC742"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FBA55FF" w14:textId="77777777" w:rsidR="0050347E" w:rsidRPr="00006DF4" w:rsidRDefault="0050347E" w:rsidP="00337EFC">
            <w:pPr>
              <w:pStyle w:val="P68B1DB1-Normal56"/>
              <w:spacing w:before="40" w:after="40"/>
              <w:rPr>
                <w:rFonts w:ascii="Arial" w:hAnsi="Arial"/>
              </w:rPr>
            </w:pPr>
            <w:r w:rsidRPr="00006DF4">
              <w:rPr>
                <w:rFonts w:ascii="Arial" w:hAnsi="Arial"/>
              </w:rPr>
              <w:t xml:space="preserve">21.3 </w:t>
            </w:r>
          </w:p>
        </w:tc>
        <w:tc>
          <w:tcPr>
            <w:tcW w:w="5622" w:type="dxa"/>
            <w:tcBorders>
              <w:top w:val="single" w:sz="4" w:space="0" w:color="auto"/>
              <w:left w:val="single" w:sz="4" w:space="0" w:color="auto"/>
              <w:bottom w:val="single" w:sz="4" w:space="0" w:color="auto"/>
              <w:right w:val="single" w:sz="4" w:space="0" w:color="auto"/>
            </w:tcBorders>
          </w:tcPr>
          <w:p w14:paraId="3A8209C1"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Realizar estudios conjuntos para comprender y acordar la forma de mantener y mejorar la migración transfronteriza de las gacelas de Mongolia entre China, Mongolia y Rusia.   </w:t>
            </w:r>
          </w:p>
          <w:p w14:paraId="29BCFD1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 </w:t>
            </w:r>
          </w:p>
        </w:tc>
        <w:tc>
          <w:tcPr>
            <w:tcW w:w="1939" w:type="dxa"/>
            <w:tcBorders>
              <w:top w:val="single" w:sz="4" w:space="0" w:color="auto"/>
              <w:left w:val="single" w:sz="4" w:space="0" w:color="auto"/>
              <w:bottom w:val="single" w:sz="4" w:space="0" w:color="auto"/>
              <w:right w:val="single" w:sz="4" w:space="0" w:color="auto"/>
            </w:tcBorders>
          </w:tcPr>
          <w:p w14:paraId="52463C3D"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6B81C4AD"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6C631CD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realizan los estudios y se elabora el informe de evaluación antes de finales de 2028; se rediseñan los pasos en al menos un punto crítico identificado. </w:t>
            </w:r>
          </w:p>
        </w:tc>
        <w:tc>
          <w:tcPr>
            <w:tcW w:w="1250" w:type="dxa"/>
            <w:tcBorders>
              <w:top w:val="single" w:sz="4" w:space="0" w:color="auto"/>
              <w:left w:val="single" w:sz="4" w:space="0" w:color="auto"/>
              <w:bottom w:val="single" w:sz="4" w:space="0" w:color="auto"/>
              <w:right w:val="single" w:sz="4" w:space="0" w:color="auto"/>
            </w:tcBorders>
          </w:tcPr>
          <w:p w14:paraId="3156C8B7"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95ECF2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006DF4" w14:paraId="6719EAD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E1222BD" w14:textId="77777777" w:rsidR="0050347E" w:rsidRPr="00006DF4" w:rsidRDefault="0050347E" w:rsidP="00337EFC">
            <w:pPr>
              <w:pStyle w:val="P68B1DB1-Normal56"/>
              <w:spacing w:before="40" w:after="40"/>
              <w:rPr>
                <w:rFonts w:ascii="Arial" w:hAnsi="Arial"/>
              </w:rPr>
            </w:pPr>
            <w:r w:rsidRPr="00006DF4">
              <w:rPr>
                <w:rFonts w:ascii="Arial" w:hAnsi="Arial"/>
              </w:rPr>
              <w:t xml:space="preserve">21.4 </w:t>
            </w:r>
          </w:p>
        </w:tc>
        <w:tc>
          <w:tcPr>
            <w:tcW w:w="5622" w:type="dxa"/>
            <w:tcBorders>
              <w:top w:val="single" w:sz="4" w:space="0" w:color="auto"/>
              <w:left w:val="single" w:sz="4" w:space="0" w:color="auto"/>
              <w:bottom w:val="single" w:sz="4" w:space="0" w:color="auto"/>
              <w:right w:val="single" w:sz="4" w:space="0" w:color="auto"/>
            </w:tcBorders>
          </w:tcPr>
          <w:p w14:paraId="78CB9EE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Mantener y mejorar la conectividad a lo largo de las vías de ferrocarril mediante la modificación y el rediseño de las vallas de alambre de espino: </w:t>
            </w:r>
          </w:p>
          <w:p w14:paraId="369CC403" w14:textId="77777777" w:rsidR="0050347E" w:rsidRPr="00006DF4" w:rsidRDefault="0050347E" w:rsidP="0050347E">
            <w:pPr>
              <w:pStyle w:val="P68B1DB1-Normal56"/>
              <w:numPr>
                <w:ilvl w:val="0"/>
                <w:numId w:val="21"/>
              </w:numPr>
              <w:spacing w:before="40" w:after="40"/>
              <w:jc w:val="both"/>
              <w:rPr>
                <w:rFonts w:ascii="Arial" w:hAnsi="Arial"/>
                <w:lang w:val="es-ES"/>
              </w:rPr>
            </w:pPr>
            <w:r w:rsidRPr="00006DF4">
              <w:rPr>
                <w:rFonts w:ascii="Arial" w:hAnsi="Arial"/>
                <w:lang w:val="es-ES"/>
              </w:rPr>
              <w:t xml:space="preserve">sustituir las vallas de alambre de espino a lo largo de la vía del ferrocarril transmongol por alambre liso y ajustar la altura de las vallas para permitir el paso de las gacelas de Mongolia y las gacelas persas; </w:t>
            </w:r>
          </w:p>
          <w:p w14:paraId="37187FBB" w14:textId="77777777" w:rsidR="0050347E" w:rsidRPr="00006DF4" w:rsidRDefault="0050347E" w:rsidP="0050347E">
            <w:pPr>
              <w:pStyle w:val="P68B1DB1-Normal56"/>
              <w:numPr>
                <w:ilvl w:val="0"/>
                <w:numId w:val="21"/>
              </w:numPr>
              <w:spacing w:before="40" w:after="40"/>
              <w:jc w:val="both"/>
              <w:rPr>
                <w:rFonts w:ascii="Arial" w:hAnsi="Arial"/>
                <w:lang w:val="es-ES"/>
              </w:rPr>
            </w:pPr>
            <w:r w:rsidRPr="00006DF4">
              <w:rPr>
                <w:rFonts w:ascii="Arial" w:hAnsi="Arial"/>
                <w:lang w:val="es-ES"/>
              </w:rPr>
              <w:t xml:space="preserve">retirar las vallas donde no haya asentamientos humanos, de acuerdo con las normas mongolas sobre vallas a partir de 2024. </w:t>
            </w:r>
          </w:p>
        </w:tc>
        <w:tc>
          <w:tcPr>
            <w:tcW w:w="1939" w:type="dxa"/>
            <w:tcBorders>
              <w:top w:val="single" w:sz="4" w:space="0" w:color="auto"/>
              <w:left w:val="single" w:sz="4" w:space="0" w:color="auto"/>
              <w:bottom w:val="single" w:sz="4" w:space="0" w:color="auto"/>
              <w:right w:val="single" w:sz="4" w:space="0" w:color="auto"/>
            </w:tcBorders>
          </w:tcPr>
          <w:p w14:paraId="41E8FE34"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26CDF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rediseñan las vallas a lo largo de los puntos críticos identificados a partir de los datos de seguimiento por GPS antes de 2028. </w:t>
            </w:r>
          </w:p>
        </w:tc>
        <w:tc>
          <w:tcPr>
            <w:tcW w:w="1250" w:type="dxa"/>
            <w:tcBorders>
              <w:top w:val="single" w:sz="4" w:space="0" w:color="auto"/>
              <w:left w:val="single" w:sz="4" w:space="0" w:color="auto"/>
              <w:bottom w:val="single" w:sz="4" w:space="0" w:color="auto"/>
              <w:right w:val="single" w:sz="4" w:space="0" w:color="auto"/>
            </w:tcBorders>
          </w:tcPr>
          <w:p w14:paraId="45C6AD01"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1E7DD19"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2 y 14 del GBF, Objetivos 2 y 5 del PEEM</w:t>
            </w:r>
          </w:p>
        </w:tc>
      </w:tr>
      <w:tr w:rsidR="0050347E" w:rsidRPr="00006DF4" w14:paraId="683A6BEC"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852FD2A"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21.5 </w:t>
            </w:r>
          </w:p>
        </w:tc>
        <w:tc>
          <w:tcPr>
            <w:tcW w:w="5622" w:type="dxa"/>
            <w:tcBorders>
              <w:top w:val="single" w:sz="4" w:space="0" w:color="auto"/>
              <w:left w:val="single" w:sz="4" w:space="0" w:color="auto"/>
              <w:bottom w:val="single" w:sz="4" w:space="0" w:color="auto"/>
              <w:right w:val="single" w:sz="4" w:space="0" w:color="auto"/>
            </w:tcBorders>
          </w:tcPr>
          <w:p w14:paraId="52C723E6"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La Secretaría de la CMS abordará la planificación del ferrocarril, incluido el cercado de las vías, en una carta al Gobierno de Mongolia, compartiendo los Atlas de la GIUM y la CAMI y, a modo de seguimiento, organizará una reunión en línea entre los representantes del sector pertinentes de Mongolia. </w:t>
            </w:r>
          </w:p>
        </w:tc>
        <w:tc>
          <w:tcPr>
            <w:tcW w:w="1939" w:type="dxa"/>
            <w:tcBorders>
              <w:top w:val="single" w:sz="4" w:space="0" w:color="auto"/>
              <w:left w:val="single" w:sz="4" w:space="0" w:color="auto"/>
              <w:bottom w:val="single" w:sz="4" w:space="0" w:color="auto"/>
              <w:right w:val="single" w:sz="4" w:space="0" w:color="auto"/>
            </w:tcBorders>
          </w:tcPr>
          <w:p w14:paraId="3CB9211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Secretaría de la CMS, 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53871B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envía la carta y el protocolo de reunión en línea está disponible antes de 2026. </w:t>
            </w:r>
          </w:p>
        </w:tc>
        <w:tc>
          <w:tcPr>
            <w:tcW w:w="1250" w:type="dxa"/>
            <w:tcBorders>
              <w:top w:val="single" w:sz="4" w:space="0" w:color="auto"/>
              <w:left w:val="single" w:sz="4" w:space="0" w:color="auto"/>
              <w:bottom w:val="single" w:sz="4" w:space="0" w:color="auto"/>
              <w:right w:val="single" w:sz="4" w:space="0" w:color="auto"/>
            </w:tcBorders>
          </w:tcPr>
          <w:p w14:paraId="016E3519"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BF7B07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w:t>
            </w:r>
          </w:p>
        </w:tc>
      </w:tr>
      <w:tr w:rsidR="0050347E" w:rsidRPr="00006DF4" w14:paraId="440633C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44B3140" w14:textId="77777777" w:rsidR="0050347E" w:rsidRPr="00006DF4" w:rsidRDefault="0050347E" w:rsidP="00337EFC">
            <w:pPr>
              <w:pStyle w:val="P68B1DB1-Normal56"/>
              <w:spacing w:before="40" w:after="40"/>
              <w:rPr>
                <w:rFonts w:ascii="Arial" w:hAnsi="Arial"/>
              </w:rPr>
            </w:pPr>
            <w:r w:rsidRPr="00006DF4">
              <w:rPr>
                <w:rFonts w:ascii="Arial" w:hAnsi="Arial"/>
              </w:rPr>
              <w:t xml:space="preserve">21.6 </w:t>
            </w:r>
          </w:p>
        </w:tc>
        <w:tc>
          <w:tcPr>
            <w:tcW w:w="5622" w:type="dxa"/>
            <w:tcBorders>
              <w:top w:val="single" w:sz="4" w:space="0" w:color="auto"/>
              <w:left w:val="single" w:sz="4" w:space="0" w:color="auto"/>
              <w:bottom w:val="single" w:sz="4" w:space="0" w:color="auto"/>
              <w:right w:val="single" w:sz="4" w:space="0" w:color="auto"/>
            </w:tcBorders>
          </w:tcPr>
          <w:p w14:paraId="73AD2908"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Mapear la distribución de las actividades mineras y organizar talleres con las partes interesadas pertinentes para analizar su impacto en las especies de la CAMI y otras medidas de mitigación. </w:t>
            </w:r>
          </w:p>
        </w:tc>
        <w:tc>
          <w:tcPr>
            <w:tcW w:w="1939" w:type="dxa"/>
            <w:tcBorders>
              <w:top w:val="single" w:sz="4" w:space="0" w:color="auto"/>
              <w:left w:val="single" w:sz="4" w:space="0" w:color="auto"/>
              <w:bottom w:val="single" w:sz="4" w:space="0" w:color="auto"/>
              <w:right w:val="single" w:sz="4" w:space="0" w:color="auto"/>
            </w:tcBorders>
          </w:tcPr>
          <w:p w14:paraId="550C0E5E"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A900CB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 el informe de evaluación de impacto antes de 2028. </w:t>
            </w:r>
          </w:p>
        </w:tc>
        <w:tc>
          <w:tcPr>
            <w:tcW w:w="1250" w:type="dxa"/>
            <w:tcBorders>
              <w:top w:val="single" w:sz="4" w:space="0" w:color="auto"/>
              <w:left w:val="single" w:sz="4" w:space="0" w:color="auto"/>
              <w:bottom w:val="single" w:sz="4" w:space="0" w:color="auto"/>
              <w:right w:val="single" w:sz="4" w:space="0" w:color="auto"/>
            </w:tcBorders>
          </w:tcPr>
          <w:p w14:paraId="134540F2"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2D943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w:t>
            </w:r>
          </w:p>
        </w:tc>
      </w:tr>
      <w:tr w:rsidR="0050347E" w:rsidRPr="00006DF4" w14:paraId="1E19E60C"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CFDB475" w14:textId="77777777" w:rsidR="0050347E" w:rsidRPr="00006DF4" w:rsidRDefault="0050347E" w:rsidP="00337EFC">
            <w:pPr>
              <w:pStyle w:val="P68B1DB1-Normal56"/>
              <w:spacing w:before="40" w:after="40"/>
              <w:rPr>
                <w:rFonts w:ascii="Arial" w:hAnsi="Arial"/>
              </w:rPr>
            </w:pPr>
            <w:r w:rsidRPr="00006DF4">
              <w:rPr>
                <w:rFonts w:ascii="Arial" w:hAnsi="Arial"/>
              </w:rPr>
              <w:t>21.7</w:t>
            </w:r>
          </w:p>
        </w:tc>
        <w:tc>
          <w:tcPr>
            <w:tcW w:w="5622" w:type="dxa"/>
            <w:tcBorders>
              <w:top w:val="single" w:sz="4" w:space="0" w:color="auto"/>
              <w:left w:val="single" w:sz="4" w:space="0" w:color="auto"/>
              <w:bottom w:val="single" w:sz="4" w:space="0" w:color="auto"/>
              <w:right w:val="single" w:sz="4" w:space="0" w:color="auto"/>
            </w:tcBorders>
          </w:tcPr>
          <w:p w14:paraId="6C00D1CE"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un taller para formar a los guardias fronterizos en el monitoreo de los movimientos transfronterizos de especies silvestres y en el control y la prevención de los delitos contra las especies silvestres. </w:t>
            </w:r>
          </w:p>
        </w:tc>
        <w:tc>
          <w:tcPr>
            <w:tcW w:w="1939" w:type="dxa"/>
            <w:tcBorders>
              <w:top w:val="single" w:sz="4" w:space="0" w:color="auto"/>
              <w:left w:val="single" w:sz="4" w:space="0" w:color="auto"/>
              <w:bottom w:val="single" w:sz="4" w:space="0" w:color="auto"/>
              <w:right w:val="single" w:sz="4" w:space="0" w:color="auto"/>
            </w:tcBorders>
          </w:tcPr>
          <w:p w14:paraId="767DBBDA"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w:t>
            </w:r>
          </w:p>
          <w:p w14:paraId="509C8950"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204CAA4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organiza el taller antes de finales de 2027.  </w:t>
            </w:r>
          </w:p>
        </w:tc>
        <w:tc>
          <w:tcPr>
            <w:tcW w:w="1250" w:type="dxa"/>
            <w:tcBorders>
              <w:top w:val="single" w:sz="4" w:space="0" w:color="auto"/>
              <w:left w:val="single" w:sz="4" w:space="0" w:color="auto"/>
              <w:bottom w:val="single" w:sz="4" w:space="0" w:color="auto"/>
              <w:right w:val="single" w:sz="4" w:space="0" w:color="auto"/>
            </w:tcBorders>
          </w:tcPr>
          <w:p w14:paraId="382DA5C3" w14:textId="77777777" w:rsidR="0050347E" w:rsidRPr="00006DF4" w:rsidRDefault="0050347E" w:rsidP="00337EFC">
            <w:pPr>
              <w:pStyle w:val="P68B1DB1-Normal56"/>
              <w:spacing w:before="40" w:after="40"/>
              <w:rPr>
                <w:rFonts w:ascii="Arial" w:hAnsi="Arial"/>
              </w:rPr>
            </w:pPr>
            <w:r w:rsidRPr="00006DF4">
              <w:rPr>
                <w:rFonts w:ascii="Arial" w:hAnsi="Arial"/>
              </w:rPr>
              <w:t xml:space="preserve">Baja </w:t>
            </w:r>
          </w:p>
        </w:tc>
        <w:tc>
          <w:tcPr>
            <w:tcW w:w="1961" w:type="dxa"/>
            <w:tcBorders>
              <w:top w:val="single" w:sz="4" w:space="0" w:color="auto"/>
              <w:left w:val="single" w:sz="4" w:space="0" w:color="auto"/>
              <w:bottom w:val="single" w:sz="4" w:space="0" w:color="auto"/>
              <w:right w:val="single" w:sz="4" w:space="0" w:color="auto"/>
            </w:tcBorders>
          </w:tcPr>
          <w:p w14:paraId="4A3CEB4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20 del GBF, Objetivo 4 del PEEM</w:t>
            </w:r>
          </w:p>
        </w:tc>
      </w:tr>
      <w:tr w:rsidR="0050347E" w:rsidRPr="00006DF4" w14:paraId="5E48FCD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29B0E22" w14:textId="77777777" w:rsidR="0050347E" w:rsidRPr="00006DF4" w:rsidRDefault="0050347E" w:rsidP="00337EFC">
            <w:pPr>
              <w:pStyle w:val="P68B1DB1-Normal56"/>
              <w:spacing w:before="40" w:after="40"/>
              <w:rPr>
                <w:rFonts w:ascii="Arial" w:hAnsi="Arial"/>
              </w:rPr>
            </w:pPr>
            <w:r w:rsidRPr="00006DF4">
              <w:rPr>
                <w:rFonts w:ascii="Arial" w:hAnsi="Arial"/>
              </w:rPr>
              <w:t>21.8</w:t>
            </w:r>
          </w:p>
        </w:tc>
        <w:tc>
          <w:tcPr>
            <w:tcW w:w="5622" w:type="dxa"/>
            <w:tcBorders>
              <w:top w:val="single" w:sz="4" w:space="0" w:color="auto"/>
              <w:left w:val="single" w:sz="4" w:space="0" w:color="auto"/>
              <w:bottom w:val="single" w:sz="4" w:space="0" w:color="auto"/>
              <w:right w:val="single" w:sz="4" w:space="0" w:color="auto"/>
            </w:tcBorders>
          </w:tcPr>
          <w:p w14:paraId="717A1BE5"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un taller con las partes interesadas a nivel nacional y local para analizar la magnitud, la distribución y el proceso de toma de decisiones de la producción de heno y sus efectos sobre las especies de fauna silvestre en cuestión. </w:t>
            </w:r>
          </w:p>
        </w:tc>
        <w:tc>
          <w:tcPr>
            <w:tcW w:w="1939" w:type="dxa"/>
            <w:tcBorders>
              <w:top w:val="single" w:sz="4" w:space="0" w:color="auto"/>
              <w:left w:val="single" w:sz="4" w:space="0" w:color="auto"/>
              <w:bottom w:val="single" w:sz="4" w:space="0" w:color="auto"/>
              <w:right w:val="single" w:sz="4" w:space="0" w:color="auto"/>
            </w:tcBorders>
          </w:tcPr>
          <w:p w14:paraId="748D0F75"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comunidades locales </w:t>
            </w:r>
          </w:p>
        </w:tc>
        <w:tc>
          <w:tcPr>
            <w:tcW w:w="2490" w:type="dxa"/>
            <w:tcBorders>
              <w:top w:val="single" w:sz="4" w:space="0" w:color="auto"/>
              <w:left w:val="single" w:sz="4" w:space="0" w:color="auto"/>
              <w:bottom w:val="single" w:sz="4" w:space="0" w:color="auto"/>
              <w:right w:val="single" w:sz="4" w:space="0" w:color="auto"/>
            </w:tcBorders>
          </w:tcPr>
          <w:p w14:paraId="6296F1A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organiza un taller antes de finales de 2027. </w:t>
            </w:r>
          </w:p>
        </w:tc>
        <w:tc>
          <w:tcPr>
            <w:tcW w:w="1250" w:type="dxa"/>
            <w:tcBorders>
              <w:top w:val="single" w:sz="4" w:space="0" w:color="auto"/>
              <w:left w:val="single" w:sz="4" w:space="0" w:color="auto"/>
              <w:bottom w:val="single" w:sz="4" w:space="0" w:color="auto"/>
              <w:right w:val="single" w:sz="4" w:space="0" w:color="auto"/>
            </w:tcBorders>
          </w:tcPr>
          <w:p w14:paraId="53C1F1D4"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267418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2 del GBF, Objetivo 2 del PEEM</w:t>
            </w:r>
          </w:p>
        </w:tc>
      </w:tr>
      <w:tr w:rsidR="0050347E" w:rsidRPr="00006DF4" w14:paraId="55A75B21" w14:textId="77777777" w:rsidTr="00006DF4">
        <w:trPr>
          <w:cantSplit/>
        </w:trPr>
        <w:tc>
          <w:tcPr>
            <w:tcW w:w="14000" w:type="dxa"/>
            <w:gridSpan w:val="6"/>
            <w:tcBorders>
              <w:top w:val="nil"/>
              <w:left w:val="single" w:sz="4" w:space="0" w:color="auto"/>
              <w:bottom w:val="single" w:sz="4" w:space="0" w:color="auto"/>
              <w:right w:val="single" w:sz="4" w:space="0" w:color="auto"/>
            </w:tcBorders>
            <w:shd w:val="clear" w:color="auto" w:fill="FAE2D5"/>
          </w:tcPr>
          <w:p w14:paraId="3119353A"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22. Gobi (China, Mongolia): 1</w:t>
            </w:r>
          </w:p>
          <w:p w14:paraId="2F1BB97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asno salvaje euroasiático, oso del Gobi, gacela persa, lince, manul, caballo de Przewalski, leopardo de las nieves, camello bactriano </w:t>
            </w:r>
          </w:p>
        </w:tc>
      </w:tr>
      <w:tr w:rsidR="0050347E" w:rsidRPr="00006DF4" w14:paraId="4ABC2D45"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105FEAB7" w14:textId="77777777" w:rsidR="0050347E" w:rsidRPr="00006DF4" w:rsidRDefault="0050347E" w:rsidP="00337EFC">
            <w:pPr>
              <w:pStyle w:val="P68B1DB1-Normal49"/>
              <w:spacing w:before="40" w:after="40"/>
              <w:rPr>
                <w:rFonts w:ascii="Arial" w:eastAsia="Arial" w:hAnsi="Arial"/>
                <w:b/>
                <w:lang w:val="es-ES"/>
              </w:rPr>
            </w:pPr>
            <w:hyperlink r:id="rId78">
              <w:r w:rsidRPr="00006DF4">
                <w:rPr>
                  <w:rFonts w:ascii="Arial" w:hAnsi="Arial"/>
                  <w:lang w:val="es-ES"/>
                </w:rPr>
                <w:t>Plan de Acción para la Conservación del Argalí (2024-2032)</w:t>
              </w:r>
            </w:hyperlink>
          </w:p>
        </w:tc>
      </w:tr>
      <w:tr w:rsidR="0050347E" w:rsidRPr="00006DF4" w14:paraId="12F08CBB"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0219226" w14:textId="77777777" w:rsidR="0050347E" w:rsidRPr="00006DF4" w:rsidRDefault="0050347E" w:rsidP="00337EFC">
            <w:pPr>
              <w:pStyle w:val="P68B1DB1-Normal54"/>
              <w:spacing w:before="40" w:after="40"/>
              <w:rPr>
                <w:rFonts w:ascii="Arial" w:eastAsia="Aptos" w:hAnsi="Arial" w:cs="Arial"/>
                <w:lang w:val="es-ES"/>
              </w:rPr>
            </w:pPr>
            <w:hyperlink r:id="rId79">
              <w:r w:rsidRPr="00006DF4">
                <w:rPr>
                  <w:rFonts w:ascii="Arial" w:eastAsia="Aptos" w:hAnsi="Arial" w:cs="Arial"/>
                  <w:u w:val="single"/>
                  <w:lang w:val="es-ES"/>
                </w:rPr>
                <w:t>Plan de Acción para el Área de Distribución del Asno Salvaje Euroasiático (2024-2033)</w:t>
              </w:r>
            </w:hyperlink>
            <w:r w:rsidRPr="00006DF4">
              <w:rPr>
                <w:rFonts w:ascii="Arial" w:hAnsi="Arial" w:cs="Arial"/>
                <w:lang w:val="es-ES"/>
              </w:rPr>
              <w:t xml:space="preserve"> </w:t>
            </w:r>
          </w:p>
        </w:tc>
      </w:tr>
      <w:tr w:rsidR="0050347E" w:rsidRPr="00006DF4" w14:paraId="045D4D4C"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1539C01" w14:textId="77777777" w:rsidR="0050347E" w:rsidRPr="00006DF4" w:rsidRDefault="0050347E" w:rsidP="00337EFC">
            <w:pPr>
              <w:pStyle w:val="P68B1DB1-Normal56"/>
              <w:spacing w:before="40" w:after="40"/>
              <w:rPr>
                <w:rFonts w:ascii="Arial" w:hAnsi="Arial"/>
              </w:rPr>
            </w:pPr>
            <w:r w:rsidRPr="00006DF4">
              <w:rPr>
                <w:rFonts w:ascii="Arial" w:hAnsi="Arial"/>
              </w:rPr>
              <w:t>22.1</w:t>
            </w:r>
          </w:p>
        </w:tc>
        <w:tc>
          <w:tcPr>
            <w:tcW w:w="5622" w:type="dxa"/>
            <w:tcBorders>
              <w:top w:val="single" w:sz="4" w:space="0" w:color="auto"/>
              <w:left w:val="single" w:sz="4" w:space="0" w:color="auto"/>
              <w:bottom w:val="single" w:sz="4" w:space="0" w:color="auto"/>
              <w:right w:val="single" w:sz="4" w:space="0" w:color="auto"/>
            </w:tcBorders>
          </w:tcPr>
          <w:p w14:paraId="6F94A36F"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La Secretaría de la CMS organizará una reunión de los Estados del área de distribución entre Mongolia y China, en la que participarán las autoridades nacionales y provinciales pertinentes, para debatir posibles ámbitos y medios de cooperación para mejorar la conservación de las especies de la CAMI. </w:t>
            </w:r>
          </w:p>
        </w:tc>
        <w:tc>
          <w:tcPr>
            <w:tcW w:w="1939" w:type="dxa"/>
            <w:tcBorders>
              <w:top w:val="single" w:sz="4" w:space="0" w:color="auto"/>
              <w:left w:val="single" w:sz="4" w:space="0" w:color="auto"/>
              <w:bottom w:val="single" w:sz="4" w:space="0" w:color="auto"/>
              <w:right w:val="single" w:sz="4" w:space="0" w:color="auto"/>
            </w:tcBorders>
          </w:tcPr>
          <w:p w14:paraId="344EC7B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OG, ONG, Secretaría de la CMS, instituciones científicas</w:t>
            </w:r>
          </w:p>
        </w:tc>
        <w:tc>
          <w:tcPr>
            <w:tcW w:w="2490" w:type="dxa"/>
            <w:tcBorders>
              <w:top w:val="single" w:sz="4" w:space="0" w:color="auto"/>
              <w:left w:val="single" w:sz="4" w:space="0" w:color="auto"/>
              <w:bottom w:val="single" w:sz="4" w:space="0" w:color="auto"/>
              <w:right w:val="single" w:sz="4" w:space="0" w:color="auto"/>
            </w:tcBorders>
          </w:tcPr>
          <w:p w14:paraId="4D4FC092"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celebra una reunión presencial antes de 2027. </w:t>
            </w:r>
          </w:p>
        </w:tc>
        <w:tc>
          <w:tcPr>
            <w:tcW w:w="1250" w:type="dxa"/>
            <w:tcBorders>
              <w:top w:val="single" w:sz="4" w:space="0" w:color="auto"/>
              <w:left w:val="single" w:sz="4" w:space="0" w:color="auto"/>
              <w:bottom w:val="single" w:sz="4" w:space="0" w:color="auto"/>
              <w:right w:val="single" w:sz="4" w:space="0" w:color="auto"/>
            </w:tcBorders>
          </w:tcPr>
          <w:p w14:paraId="079B70C4"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7141CCD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4 y 20 del GBF, Objetivos 1, 2 y 4 del PEEM, GSLEP</w:t>
            </w:r>
          </w:p>
        </w:tc>
      </w:tr>
      <w:tr w:rsidR="0050347E" w:rsidRPr="00006DF4" w14:paraId="4CAD788A"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A6B1EC6"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22.2 </w:t>
            </w:r>
          </w:p>
        </w:tc>
        <w:tc>
          <w:tcPr>
            <w:tcW w:w="5622" w:type="dxa"/>
            <w:tcBorders>
              <w:top w:val="single" w:sz="4" w:space="0" w:color="auto"/>
              <w:left w:val="single" w:sz="4" w:space="0" w:color="auto"/>
              <w:bottom w:val="single" w:sz="4" w:space="0" w:color="auto"/>
              <w:right w:val="single" w:sz="4" w:space="0" w:color="auto"/>
            </w:tcBorders>
          </w:tcPr>
          <w:p w14:paraId="4A885451"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Continuar la colaboración entre China y Mongolia mediante la concienciación sobre las cuestiones transfronterizas y, cuando sea necesario, estableciendo canales de comunicación entre el personal de los organismos, los biólogos y los conservacionistas que trabajan en la conservación de las especies de la CAMI en China y Mongolia. </w:t>
            </w:r>
          </w:p>
        </w:tc>
        <w:tc>
          <w:tcPr>
            <w:tcW w:w="1939" w:type="dxa"/>
            <w:tcBorders>
              <w:top w:val="single" w:sz="4" w:space="0" w:color="auto"/>
              <w:left w:val="single" w:sz="4" w:space="0" w:color="auto"/>
              <w:bottom w:val="single" w:sz="4" w:space="0" w:color="auto"/>
              <w:right w:val="single" w:sz="4" w:space="0" w:color="auto"/>
            </w:tcBorders>
          </w:tcPr>
          <w:p w14:paraId="6B177EB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7F6523C5"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organizar una reunión en línea antes de finales de 2026, seguida de reuniones anuales presenciales/en línea y el intercambio de información y datos sobre la vida silvestre.  </w:t>
            </w:r>
          </w:p>
        </w:tc>
        <w:tc>
          <w:tcPr>
            <w:tcW w:w="1250" w:type="dxa"/>
            <w:tcBorders>
              <w:top w:val="single" w:sz="4" w:space="0" w:color="auto"/>
              <w:left w:val="single" w:sz="4" w:space="0" w:color="auto"/>
              <w:bottom w:val="single" w:sz="4" w:space="0" w:color="auto"/>
              <w:right w:val="single" w:sz="4" w:space="0" w:color="auto"/>
            </w:tcBorders>
          </w:tcPr>
          <w:p w14:paraId="661A2EFB"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15893B1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y 20 del GBF; Objetivos 2 y 4 del PEEM</w:t>
            </w:r>
          </w:p>
        </w:tc>
      </w:tr>
      <w:tr w:rsidR="0050347E" w:rsidRPr="00006DF4" w14:paraId="5928BAF8"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5F61808"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22.3 </w:t>
            </w:r>
          </w:p>
        </w:tc>
        <w:tc>
          <w:tcPr>
            <w:tcW w:w="5622" w:type="dxa"/>
            <w:tcBorders>
              <w:top w:val="single" w:sz="4" w:space="0" w:color="auto"/>
              <w:left w:val="single" w:sz="4" w:space="0" w:color="auto"/>
              <w:bottom w:val="single" w:sz="4" w:space="0" w:color="auto"/>
              <w:right w:val="single" w:sz="4" w:space="0" w:color="auto"/>
            </w:tcBorders>
          </w:tcPr>
          <w:p w14:paraId="3D04B2D7"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Sobre la base de los resultados de la Actividad 22.2, armonizar los protocolos de monitoreo de los movimientos y la distribución de la fauna silvestre y coordinar los estudios de campo a lo largo de la frontera entre China y Mongolia.</w:t>
            </w:r>
          </w:p>
        </w:tc>
        <w:tc>
          <w:tcPr>
            <w:tcW w:w="1939" w:type="dxa"/>
            <w:tcBorders>
              <w:top w:val="single" w:sz="4" w:space="0" w:color="auto"/>
              <w:left w:val="single" w:sz="4" w:space="0" w:color="auto"/>
              <w:bottom w:val="single" w:sz="4" w:space="0" w:color="auto"/>
              <w:right w:val="single" w:sz="4" w:space="0" w:color="auto"/>
            </w:tcBorders>
          </w:tcPr>
          <w:p w14:paraId="784DA3F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55982DF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Se realiza al menos un estudio después de 2028 y se elabora un informe con los resultados de dicho estudio.</w:t>
            </w:r>
          </w:p>
        </w:tc>
        <w:tc>
          <w:tcPr>
            <w:tcW w:w="1250" w:type="dxa"/>
            <w:tcBorders>
              <w:top w:val="single" w:sz="4" w:space="0" w:color="auto"/>
              <w:left w:val="single" w:sz="4" w:space="0" w:color="auto"/>
              <w:bottom w:val="single" w:sz="4" w:space="0" w:color="auto"/>
              <w:right w:val="single" w:sz="4" w:space="0" w:color="auto"/>
            </w:tcBorders>
          </w:tcPr>
          <w:p w14:paraId="4A286B05"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B9E7630"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3, 4 y 20 del GBF, Objetivos 1, 2 y 4 del PEEM, GSLEP</w:t>
            </w:r>
          </w:p>
        </w:tc>
      </w:tr>
      <w:tr w:rsidR="0050347E" w:rsidRPr="00006DF4" w14:paraId="18F0C6C1"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A99AA64" w14:textId="77777777" w:rsidR="0050347E" w:rsidRPr="00006DF4" w:rsidRDefault="0050347E" w:rsidP="00337EFC">
            <w:pPr>
              <w:pStyle w:val="P68B1DB1-Normal56"/>
              <w:spacing w:before="40" w:after="40"/>
              <w:rPr>
                <w:rFonts w:ascii="Arial" w:hAnsi="Arial"/>
              </w:rPr>
            </w:pPr>
            <w:r w:rsidRPr="00006DF4">
              <w:rPr>
                <w:rFonts w:ascii="Arial" w:hAnsi="Arial"/>
              </w:rPr>
              <w:t>22.4</w:t>
            </w:r>
          </w:p>
        </w:tc>
        <w:tc>
          <w:tcPr>
            <w:tcW w:w="5622" w:type="dxa"/>
            <w:tcBorders>
              <w:top w:val="single" w:sz="4" w:space="0" w:color="auto"/>
              <w:left w:val="single" w:sz="4" w:space="0" w:color="auto"/>
              <w:bottom w:val="single" w:sz="4" w:space="0" w:color="auto"/>
              <w:right w:val="single" w:sz="4" w:space="0" w:color="auto"/>
            </w:tcBorders>
          </w:tcPr>
          <w:p w14:paraId="442A8031"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Identificar, detallas y mapear los posibles corredores transfronterizos de movimiento de la fauna silvestre en función de los datos de movimiento de los equipos de Mongolia y China, centrándose en las ZPE Gran Gobi A y Gran Gobi B de Mongolia y en el Parque Nacional de Kalamaili de China. </w:t>
            </w:r>
          </w:p>
        </w:tc>
        <w:tc>
          <w:tcPr>
            <w:tcW w:w="1939" w:type="dxa"/>
            <w:tcBorders>
              <w:top w:val="single" w:sz="4" w:space="0" w:color="auto"/>
              <w:left w:val="single" w:sz="4" w:space="0" w:color="auto"/>
              <w:bottom w:val="single" w:sz="4" w:space="0" w:color="auto"/>
              <w:right w:val="single" w:sz="4" w:space="0" w:color="auto"/>
            </w:tcBorders>
          </w:tcPr>
          <w:p w14:paraId="2D84A4AE"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54AE689F"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identifican, detallan y mapean los corredores de movimiento de la fauna silvestre antes de finales de 2028. </w:t>
            </w:r>
          </w:p>
        </w:tc>
        <w:tc>
          <w:tcPr>
            <w:tcW w:w="1250" w:type="dxa"/>
            <w:tcBorders>
              <w:top w:val="single" w:sz="4" w:space="0" w:color="auto"/>
              <w:left w:val="single" w:sz="4" w:space="0" w:color="auto"/>
              <w:bottom w:val="single" w:sz="4" w:space="0" w:color="auto"/>
              <w:right w:val="single" w:sz="4" w:space="0" w:color="auto"/>
            </w:tcBorders>
          </w:tcPr>
          <w:p w14:paraId="41F08B8E"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4426A0B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2 y 3 del GBF, Objetivo 2 del PEEM, GSLEP</w:t>
            </w:r>
          </w:p>
        </w:tc>
      </w:tr>
      <w:tr w:rsidR="0050347E" w:rsidRPr="00006DF4" w14:paraId="3C0A382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805A304" w14:textId="77777777" w:rsidR="0050347E" w:rsidRPr="00006DF4" w:rsidRDefault="0050347E" w:rsidP="00337EFC">
            <w:pPr>
              <w:pStyle w:val="P68B1DB1-Normal56"/>
              <w:spacing w:before="40" w:after="40"/>
              <w:rPr>
                <w:rFonts w:ascii="Arial" w:hAnsi="Arial"/>
              </w:rPr>
            </w:pPr>
            <w:r w:rsidRPr="00006DF4">
              <w:rPr>
                <w:rFonts w:ascii="Arial" w:hAnsi="Arial"/>
              </w:rPr>
              <w:t>22.5</w:t>
            </w:r>
          </w:p>
        </w:tc>
        <w:tc>
          <w:tcPr>
            <w:tcW w:w="5622" w:type="dxa"/>
            <w:tcBorders>
              <w:top w:val="single" w:sz="4" w:space="0" w:color="auto"/>
              <w:left w:val="single" w:sz="4" w:space="0" w:color="auto"/>
              <w:bottom w:val="single" w:sz="4" w:space="0" w:color="auto"/>
              <w:right w:val="single" w:sz="4" w:space="0" w:color="auto"/>
            </w:tcBorders>
          </w:tcPr>
          <w:p w14:paraId="3B4BC68A"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Identificar, detallar y mapear la huella humana (por ejemplo, emplazamientos mineros) y los puntos de agua a ambos lados de la frontera entre China y Mongolia, basándose en las imágenes de satélite más recientes.</w:t>
            </w:r>
          </w:p>
        </w:tc>
        <w:tc>
          <w:tcPr>
            <w:tcW w:w="1939" w:type="dxa"/>
            <w:tcBorders>
              <w:top w:val="single" w:sz="4" w:space="0" w:color="auto"/>
              <w:left w:val="single" w:sz="4" w:space="0" w:color="auto"/>
              <w:bottom w:val="single" w:sz="4" w:space="0" w:color="auto"/>
              <w:right w:val="single" w:sz="4" w:space="0" w:color="auto"/>
            </w:tcBorders>
          </w:tcPr>
          <w:p w14:paraId="650C8029"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2B9D918B"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elaboran los mapas antes de finales de 2026. </w:t>
            </w:r>
          </w:p>
        </w:tc>
        <w:tc>
          <w:tcPr>
            <w:tcW w:w="1250" w:type="dxa"/>
            <w:tcBorders>
              <w:top w:val="single" w:sz="4" w:space="0" w:color="auto"/>
              <w:left w:val="single" w:sz="4" w:space="0" w:color="auto"/>
              <w:bottom w:val="single" w:sz="4" w:space="0" w:color="auto"/>
              <w:right w:val="single" w:sz="4" w:space="0" w:color="auto"/>
            </w:tcBorders>
          </w:tcPr>
          <w:p w14:paraId="56E54382"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45BAD0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2 del GBF, Objetivo 2 del PEEM, GSLEP</w:t>
            </w:r>
          </w:p>
        </w:tc>
      </w:tr>
      <w:tr w:rsidR="0050347E" w:rsidRPr="00006DF4" w14:paraId="5921D5D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6F1993CC" w14:textId="77777777" w:rsidR="0050347E" w:rsidRPr="00006DF4" w:rsidRDefault="0050347E" w:rsidP="00337EFC">
            <w:pPr>
              <w:pStyle w:val="P68B1DB1-Normal51"/>
              <w:spacing w:before="40" w:after="40"/>
              <w:rPr>
                <w:rFonts w:ascii="Arial" w:eastAsia="Arial" w:hAnsi="Arial"/>
              </w:rPr>
            </w:pPr>
            <w:r w:rsidRPr="00006DF4">
              <w:rPr>
                <w:rFonts w:ascii="Arial" w:hAnsi="Arial"/>
              </w:rPr>
              <w:t>22.6</w:t>
            </w:r>
          </w:p>
        </w:tc>
        <w:tc>
          <w:tcPr>
            <w:tcW w:w="5622" w:type="dxa"/>
            <w:tcBorders>
              <w:top w:val="single" w:sz="4" w:space="0" w:color="auto"/>
              <w:left w:val="single" w:sz="4" w:space="0" w:color="auto"/>
              <w:bottom w:val="single" w:sz="4" w:space="0" w:color="auto"/>
              <w:right w:val="single" w:sz="4" w:space="0" w:color="auto"/>
            </w:tcBorders>
          </w:tcPr>
          <w:p w14:paraId="4347F291"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Continuar monitoreando los impactos de la minería y las infraestructuras relacionadas sobre las especies de la CAMI y proporcionar información a la dirección de las empresas para mitigarlos. </w:t>
            </w:r>
          </w:p>
        </w:tc>
        <w:tc>
          <w:tcPr>
            <w:tcW w:w="1939" w:type="dxa"/>
            <w:tcBorders>
              <w:top w:val="single" w:sz="4" w:space="0" w:color="auto"/>
              <w:left w:val="single" w:sz="4" w:space="0" w:color="auto"/>
              <w:bottom w:val="single" w:sz="4" w:space="0" w:color="auto"/>
              <w:right w:val="single" w:sz="4" w:space="0" w:color="auto"/>
            </w:tcBorders>
          </w:tcPr>
          <w:p w14:paraId="3A318F73"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instituciones científicas, empresas privadas </w:t>
            </w:r>
          </w:p>
        </w:tc>
        <w:tc>
          <w:tcPr>
            <w:tcW w:w="2490" w:type="dxa"/>
            <w:tcBorders>
              <w:top w:val="single" w:sz="4" w:space="0" w:color="auto"/>
              <w:left w:val="single" w:sz="4" w:space="0" w:color="auto"/>
              <w:bottom w:val="single" w:sz="4" w:space="0" w:color="auto"/>
              <w:right w:val="single" w:sz="4" w:space="0" w:color="auto"/>
            </w:tcBorders>
          </w:tcPr>
          <w:p w14:paraId="1A590266"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dispone de informes periódicos de monitoreo relativos a los impactos a largo plazo relacionados con la minería sobre las especies de la CAMI. </w:t>
            </w:r>
          </w:p>
        </w:tc>
        <w:tc>
          <w:tcPr>
            <w:tcW w:w="1250" w:type="dxa"/>
            <w:tcBorders>
              <w:top w:val="single" w:sz="4" w:space="0" w:color="auto"/>
              <w:left w:val="single" w:sz="4" w:space="0" w:color="auto"/>
              <w:bottom w:val="single" w:sz="4" w:space="0" w:color="auto"/>
              <w:right w:val="single" w:sz="4" w:space="0" w:color="auto"/>
            </w:tcBorders>
          </w:tcPr>
          <w:p w14:paraId="63BDD1CD"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426A20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14 del GBF, Objetivo 2 del PEEM</w:t>
            </w:r>
          </w:p>
        </w:tc>
      </w:tr>
      <w:tr w:rsidR="0050347E" w:rsidRPr="00006DF4" w14:paraId="1B46A8C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2161611" w14:textId="77777777" w:rsidR="0050347E" w:rsidRPr="00006DF4" w:rsidRDefault="0050347E" w:rsidP="00337EFC">
            <w:pPr>
              <w:pStyle w:val="P68B1DB1-Normal51"/>
              <w:spacing w:before="40" w:after="40"/>
              <w:rPr>
                <w:rFonts w:ascii="Arial" w:hAnsi="Arial"/>
              </w:rPr>
            </w:pPr>
            <w:r w:rsidRPr="00006DF4">
              <w:rPr>
                <w:rFonts w:ascii="Arial" w:hAnsi="Arial"/>
              </w:rPr>
              <w:lastRenderedPageBreak/>
              <w:t>22.7</w:t>
            </w:r>
          </w:p>
        </w:tc>
        <w:tc>
          <w:tcPr>
            <w:tcW w:w="5622" w:type="dxa"/>
            <w:tcBorders>
              <w:top w:val="single" w:sz="4" w:space="0" w:color="auto"/>
              <w:left w:val="single" w:sz="4" w:space="0" w:color="auto"/>
              <w:bottom w:val="single" w:sz="4" w:space="0" w:color="auto"/>
              <w:right w:val="single" w:sz="4" w:space="0" w:color="auto"/>
            </w:tcBorders>
          </w:tcPr>
          <w:p w14:paraId="2459460C"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Apoyar proyectos comunitarios, garantizando el vínculo entre los beneficios para las comunidades y los trabajos de conservación para:</w:t>
            </w:r>
          </w:p>
          <w:p w14:paraId="0FE0F2DC" w14:textId="77777777" w:rsidR="0050347E" w:rsidRPr="00006DF4" w:rsidRDefault="0050347E" w:rsidP="0050347E">
            <w:pPr>
              <w:pStyle w:val="P68B1DB1-Normal51"/>
              <w:numPr>
                <w:ilvl w:val="0"/>
                <w:numId w:val="22"/>
              </w:numPr>
              <w:spacing w:before="40" w:after="40"/>
              <w:jc w:val="both"/>
              <w:rPr>
                <w:rFonts w:ascii="Arial" w:hAnsi="Arial"/>
                <w:lang w:val="es-ES"/>
              </w:rPr>
            </w:pPr>
            <w:r w:rsidRPr="00006DF4">
              <w:rPr>
                <w:rFonts w:ascii="Arial" w:hAnsi="Arial"/>
                <w:lang w:val="es-ES"/>
              </w:rPr>
              <w:t>aumentar los ingresos por unidades de animales domésticos mediante la mejora de la cría de animales; y</w:t>
            </w:r>
          </w:p>
          <w:p w14:paraId="43D1AAC1" w14:textId="77777777" w:rsidR="0050347E" w:rsidRPr="00006DF4" w:rsidRDefault="0050347E" w:rsidP="0050347E">
            <w:pPr>
              <w:pStyle w:val="P68B1DB1-Normal51"/>
              <w:numPr>
                <w:ilvl w:val="0"/>
                <w:numId w:val="22"/>
              </w:numPr>
              <w:spacing w:before="40" w:after="40"/>
              <w:jc w:val="both"/>
              <w:rPr>
                <w:rFonts w:ascii="Arial" w:hAnsi="Arial"/>
                <w:lang w:val="es-ES"/>
              </w:rPr>
            </w:pPr>
            <w:r w:rsidRPr="00006DF4">
              <w:rPr>
                <w:rFonts w:ascii="Arial" w:hAnsi="Arial"/>
                <w:lang w:val="es-ES"/>
              </w:rPr>
              <w:t>proporcionar inversiones iniciales y asistencia para el desarrollo y la comercialización de productos ganaderos y de ecoturismo.</w:t>
            </w:r>
          </w:p>
        </w:tc>
        <w:tc>
          <w:tcPr>
            <w:tcW w:w="1939" w:type="dxa"/>
            <w:tcBorders>
              <w:top w:val="single" w:sz="4" w:space="0" w:color="auto"/>
              <w:left w:val="single" w:sz="4" w:space="0" w:color="auto"/>
              <w:bottom w:val="single" w:sz="4" w:space="0" w:color="auto"/>
              <w:right w:val="single" w:sz="4" w:space="0" w:color="auto"/>
            </w:tcBorders>
          </w:tcPr>
          <w:p w14:paraId="5D9076DE" w14:textId="77777777" w:rsidR="0050347E" w:rsidRPr="00006DF4" w:rsidRDefault="0050347E" w:rsidP="00337EFC">
            <w:pPr>
              <w:pStyle w:val="P68B1DB1-Normal51"/>
              <w:spacing w:before="40" w:after="40"/>
              <w:rPr>
                <w:rFonts w:ascii="Arial" w:hAnsi="Arial"/>
              </w:rPr>
            </w:pPr>
            <w:r w:rsidRPr="00006DF4">
              <w:rPr>
                <w:rFonts w:ascii="Arial" w:hAnsi="Arial"/>
              </w:rPr>
              <w:t>Comunidades locales, OG, ONG</w:t>
            </w:r>
          </w:p>
        </w:tc>
        <w:tc>
          <w:tcPr>
            <w:tcW w:w="2490" w:type="dxa"/>
            <w:tcBorders>
              <w:top w:val="single" w:sz="4" w:space="0" w:color="auto"/>
              <w:left w:val="single" w:sz="4" w:space="0" w:color="auto"/>
              <w:bottom w:val="single" w:sz="4" w:space="0" w:color="auto"/>
              <w:right w:val="single" w:sz="4" w:space="0" w:color="auto"/>
            </w:tcBorders>
          </w:tcPr>
          <w:p w14:paraId="0A2D0ACD"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Los proyectos están en curso. </w:t>
            </w:r>
          </w:p>
        </w:tc>
        <w:tc>
          <w:tcPr>
            <w:tcW w:w="1250" w:type="dxa"/>
            <w:tcBorders>
              <w:top w:val="single" w:sz="4" w:space="0" w:color="auto"/>
              <w:left w:val="single" w:sz="4" w:space="0" w:color="auto"/>
              <w:bottom w:val="single" w:sz="4" w:space="0" w:color="auto"/>
              <w:right w:val="single" w:sz="4" w:space="0" w:color="auto"/>
            </w:tcBorders>
          </w:tcPr>
          <w:p w14:paraId="7D042061" w14:textId="77777777" w:rsidR="0050347E" w:rsidRPr="00006DF4" w:rsidRDefault="0050347E" w:rsidP="00337EFC">
            <w:pPr>
              <w:pStyle w:val="P68B1DB1-Normal51"/>
              <w:spacing w:before="40" w:after="40"/>
              <w:rPr>
                <w:rFonts w:ascii="Arial" w:hAnsi="Arial"/>
              </w:rPr>
            </w:pPr>
            <w:r w:rsidRPr="00006DF4">
              <w:rPr>
                <w:rFonts w:ascii="Arial" w:hAnsi="Arial"/>
              </w:rPr>
              <w:t>Alta</w:t>
            </w:r>
          </w:p>
        </w:tc>
        <w:tc>
          <w:tcPr>
            <w:tcW w:w="1961" w:type="dxa"/>
            <w:tcBorders>
              <w:top w:val="single" w:sz="4" w:space="0" w:color="auto"/>
              <w:left w:val="single" w:sz="4" w:space="0" w:color="auto"/>
              <w:bottom w:val="single" w:sz="4" w:space="0" w:color="auto"/>
              <w:right w:val="single" w:sz="4" w:space="0" w:color="auto"/>
            </w:tcBorders>
          </w:tcPr>
          <w:p w14:paraId="225B152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w:t>
            </w:r>
          </w:p>
        </w:tc>
      </w:tr>
      <w:tr w:rsidR="0050347E" w:rsidRPr="00006DF4" w14:paraId="4BBBDE58"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0C56B3B"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22.8 </w:t>
            </w:r>
          </w:p>
          <w:p w14:paraId="30AF6BDC"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5622" w:type="dxa"/>
            <w:tcBorders>
              <w:top w:val="single" w:sz="4" w:space="0" w:color="auto"/>
              <w:left w:val="single" w:sz="4" w:space="0" w:color="auto"/>
              <w:bottom w:val="single" w:sz="4" w:space="0" w:color="auto"/>
              <w:right w:val="single" w:sz="4" w:space="0" w:color="auto"/>
            </w:tcBorders>
          </w:tcPr>
          <w:p w14:paraId="54C99DF4"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Valorar la posibilidad de ampliar la red de zonas protegidas en la región de la ZPE Gran Gobi A de Mongolia y la ZP de MaJu Shan, y la R. N. del Desierto Árido Extremo de Anxi de China, así como a lo largo del ecosistema del río Bulgan.</w:t>
            </w:r>
          </w:p>
          <w:p w14:paraId="55BD8679"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top w:val="single" w:sz="4" w:space="0" w:color="auto"/>
              <w:left w:val="single" w:sz="4" w:space="0" w:color="auto"/>
              <w:bottom w:val="single" w:sz="4" w:space="0" w:color="auto"/>
              <w:right w:val="single" w:sz="4" w:space="0" w:color="auto"/>
            </w:tcBorders>
          </w:tcPr>
          <w:p w14:paraId="62DCB69B"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85652AB"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organiza una reunión en línea antes de finales de 2026. </w:t>
            </w:r>
          </w:p>
        </w:tc>
        <w:tc>
          <w:tcPr>
            <w:tcW w:w="1250" w:type="dxa"/>
            <w:tcBorders>
              <w:top w:val="single" w:sz="4" w:space="0" w:color="auto"/>
              <w:left w:val="single" w:sz="4" w:space="0" w:color="auto"/>
              <w:bottom w:val="single" w:sz="4" w:space="0" w:color="auto"/>
              <w:right w:val="single" w:sz="4" w:space="0" w:color="auto"/>
            </w:tcBorders>
          </w:tcPr>
          <w:p w14:paraId="32AE355A"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0417F4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Objetivos 1 y 5 del PEEM, GSLEP</w:t>
            </w:r>
          </w:p>
        </w:tc>
      </w:tr>
      <w:tr w:rsidR="0050347E" w:rsidRPr="00006DF4" w14:paraId="2060BB73"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14DA7DF"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22.9 </w:t>
            </w:r>
          </w:p>
        </w:tc>
        <w:tc>
          <w:tcPr>
            <w:tcW w:w="5622" w:type="dxa"/>
            <w:tcBorders>
              <w:top w:val="single" w:sz="4" w:space="0" w:color="auto"/>
              <w:left w:val="single" w:sz="4" w:space="0" w:color="auto"/>
              <w:bottom w:val="single" w:sz="4" w:space="0" w:color="auto"/>
              <w:right w:val="single" w:sz="4" w:space="0" w:color="auto"/>
            </w:tcBorders>
          </w:tcPr>
          <w:p w14:paraId="1B2DB795"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Garantizar la aplicación de las normas nacionales para los pasos de fauna silvestre en las vallas a lo largo de los ferrocarriles transmongol, Tavan Tolgoi, Zuun Bayan y Khangi, así como en las carreteras mineras de mucho tráfico.  </w:t>
            </w:r>
          </w:p>
        </w:tc>
        <w:tc>
          <w:tcPr>
            <w:tcW w:w="1939" w:type="dxa"/>
            <w:tcBorders>
              <w:top w:val="single" w:sz="4" w:space="0" w:color="auto"/>
              <w:left w:val="single" w:sz="4" w:space="0" w:color="auto"/>
              <w:bottom w:val="single" w:sz="4" w:space="0" w:color="auto"/>
              <w:right w:val="single" w:sz="4" w:space="0" w:color="auto"/>
            </w:tcBorders>
          </w:tcPr>
          <w:p w14:paraId="43E890FE"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empresas privadas </w:t>
            </w:r>
          </w:p>
        </w:tc>
        <w:tc>
          <w:tcPr>
            <w:tcW w:w="2490" w:type="dxa"/>
            <w:tcBorders>
              <w:top w:val="single" w:sz="4" w:space="0" w:color="auto"/>
              <w:left w:val="single" w:sz="4" w:space="0" w:color="auto"/>
              <w:bottom w:val="single" w:sz="4" w:space="0" w:color="auto"/>
              <w:right w:val="single" w:sz="4" w:space="0" w:color="auto"/>
            </w:tcBorders>
          </w:tcPr>
          <w:p w14:paraId="4C0F38A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Número de estructuras de cruce respetuosas con la vida silvestre construidas antes de finales de 2030. </w:t>
            </w:r>
          </w:p>
        </w:tc>
        <w:tc>
          <w:tcPr>
            <w:tcW w:w="1250" w:type="dxa"/>
            <w:tcBorders>
              <w:top w:val="single" w:sz="4" w:space="0" w:color="auto"/>
              <w:left w:val="single" w:sz="4" w:space="0" w:color="auto"/>
              <w:bottom w:val="single" w:sz="4" w:space="0" w:color="auto"/>
              <w:right w:val="single" w:sz="4" w:space="0" w:color="auto"/>
            </w:tcBorders>
          </w:tcPr>
          <w:p w14:paraId="7EFD2EB0"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1F515D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3 y 14 del GBF, Objetivos 1, 2 y 5 del PEEM y GSLEP</w:t>
            </w:r>
          </w:p>
          <w:p w14:paraId="4253B55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r>
      <w:tr w:rsidR="0050347E" w:rsidRPr="00006DF4" w14:paraId="53693826"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3A03F362" w14:textId="77777777" w:rsidR="0050347E" w:rsidRPr="00006DF4" w:rsidRDefault="0050347E" w:rsidP="00337EFC">
            <w:pPr>
              <w:pStyle w:val="P68B1DB1-Normal56"/>
              <w:spacing w:before="40" w:after="40"/>
              <w:rPr>
                <w:rFonts w:ascii="Arial" w:hAnsi="Arial"/>
              </w:rPr>
            </w:pPr>
            <w:r w:rsidRPr="00006DF4">
              <w:rPr>
                <w:rFonts w:ascii="Arial" w:hAnsi="Arial"/>
              </w:rPr>
              <w:t>22.10</w:t>
            </w:r>
          </w:p>
        </w:tc>
        <w:tc>
          <w:tcPr>
            <w:tcW w:w="5622" w:type="dxa"/>
            <w:tcBorders>
              <w:top w:val="single" w:sz="4" w:space="0" w:color="auto"/>
              <w:left w:val="single" w:sz="4" w:space="0" w:color="auto"/>
              <w:bottom w:val="single" w:sz="4" w:space="0" w:color="auto"/>
              <w:right w:val="single" w:sz="4" w:space="0" w:color="auto"/>
            </w:tcBorders>
          </w:tcPr>
          <w:p w14:paraId="449CD0D1"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Evaluar y mejorar los planes de gestión de pastos para regular el pastoreo del ganado en las zonas de amortiguamiento de las ZPE Gran Gobi A y B y Pequeño Gobi A y B, en estrecha colaboración con las comunidades locales y las administraciones de «soum» y «aymag».</w:t>
            </w:r>
          </w:p>
        </w:tc>
        <w:tc>
          <w:tcPr>
            <w:tcW w:w="1939" w:type="dxa"/>
            <w:tcBorders>
              <w:top w:val="single" w:sz="4" w:space="0" w:color="auto"/>
              <w:left w:val="single" w:sz="4" w:space="0" w:color="auto"/>
              <w:bottom w:val="single" w:sz="4" w:space="0" w:color="auto"/>
              <w:right w:val="single" w:sz="4" w:space="0" w:color="auto"/>
            </w:tcBorders>
          </w:tcPr>
          <w:p w14:paraId="4F03B013"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comunidades locales </w:t>
            </w:r>
          </w:p>
        </w:tc>
        <w:tc>
          <w:tcPr>
            <w:tcW w:w="2490" w:type="dxa"/>
            <w:tcBorders>
              <w:top w:val="single" w:sz="4" w:space="0" w:color="auto"/>
              <w:left w:val="single" w:sz="4" w:space="0" w:color="auto"/>
              <w:bottom w:val="single" w:sz="4" w:space="0" w:color="auto"/>
              <w:right w:val="single" w:sz="4" w:space="0" w:color="auto"/>
            </w:tcBorders>
          </w:tcPr>
          <w:p w14:paraId="5B86B40C"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revisan los planes de gestión de pastos antes de finales de 2027. </w:t>
            </w:r>
          </w:p>
        </w:tc>
        <w:tc>
          <w:tcPr>
            <w:tcW w:w="1250" w:type="dxa"/>
            <w:tcBorders>
              <w:top w:val="single" w:sz="4" w:space="0" w:color="auto"/>
              <w:left w:val="single" w:sz="4" w:space="0" w:color="auto"/>
              <w:bottom w:val="single" w:sz="4" w:space="0" w:color="auto"/>
              <w:right w:val="single" w:sz="4" w:space="0" w:color="auto"/>
            </w:tcBorders>
          </w:tcPr>
          <w:p w14:paraId="59B626D2"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BFC26C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10 del GBF, Objetivo 2 del PEEM</w:t>
            </w:r>
          </w:p>
        </w:tc>
      </w:tr>
      <w:tr w:rsidR="0050347E" w:rsidRPr="00006DF4" w14:paraId="058174EE"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69BF40F"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22.11 </w:t>
            </w:r>
          </w:p>
        </w:tc>
        <w:tc>
          <w:tcPr>
            <w:tcW w:w="5622" w:type="dxa"/>
            <w:tcBorders>
              <w:top w:val="single" w:sz="4" w:space="0" w:color="auto"/>
              <w:left w:val="single" w:sz="4" w:space="0" w:color="auto"/>
              <w:bottom w:val="single" w:sz="4" w:space="0" w:color="auto"/>
              <w:right w:val="single" w:sz="4" w:space="0" w:color="auto"/>
            </w:tcBorders>
          </w:tcPr>
          <w:p w14:paraId="27EE864B"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Reducir el número de cabezas de ganado dentro de las ZPE Gran Gobi B, Pequeño Gobi A y Pequeño Gobi B y restringir el pastoreo del ganado a zonas de uso limitado, en estrecha colaboración con las comunidades locales y las administraciones de «soum» y «aymag». </w:t>
            </w:r>
          </w:p>
        </w:tc>
        <w:tc>
          <w:tcPr>
            <w:tcW w:w="1939" w:type="dxa"/>
            <w:tcBorders>
              <w:top w:val="single" w:sz="4" w:space="0" w:color="auto"/>
              <w:left w:val="single" w:sz="4" w:space="0" w:color="auto"/>
              <w:bottom w:val="single" w:sz="4" w:space="0" w:color="auto"/>
              <w:right w:val="single" w:sz="4" w:space="0" w:color="auto"/>
            </w:tcBorders>
          </w:tcPr>
          <w:p w14:paraId="04A2B07C"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comunidades locales </w:t>
            </w:r>
          </w:p>
        </w:tc>
        <w:tc>
          <w:tcPr>
            <w:tcW w:w="2490" w:type="dxa"/>
            <w:tcBorders>
              <w:top w:val="single" w:sz="4" w:space="0" w:color="auto"/>
              <w:left w:val="single" w:sz="4" w:space="0" w:color="auto"/>
              <w:bottom w:val="single" w:sz="4" w:space="0" w:color="auto"/>
              <w:right w:val="single" w:sz="4" w:space="0" w:color="auto"/>
            </w:tcBorders>
          </w:tcPr>
          <w:p w14:paraId="7059323A"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revisan los contratos de pastoreo con la ZPE Gran Gobi B antes de finales de 2028. </w:t>
            </w:r>
          </w:p>
        </w:tc>
        <w:tc>
          <w:tcPr>
            <w:tcW w:w="1250" w:type="dxa"/>
            <w:tcBorders>
              <w:top w:val="single" w:sz="4" w:space="0" w:color="auto"/>
              <w:left w:val="single" w:sz="4" w:space="0" w:color="auto"/>
              <w:bottom w:val="single" w:sz="4" w:space="0" w:color="auto"/>
              <w:right w:val="single" w:sz="4" w:space="0" w:color="auto"/>
            </w:tcBorders>
          </w:tcPr>
          <w:p w14:paraId="28E8C937"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57C1D6C"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1 y 4 del GBF, Objetivo 1 del PEEM, GSLEP</w:t>
            </w:r>
          </w:p>
        </w:tc>
      </w:tr>
      <w:tr w:rsidR="0050347E" w:rsidRPr="00006DF4" w14:paraId="2BE016A9"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26F86E2" w14:textId="77777777" w:rsidR="0050347E" w:rsidRPr="00006DF4" w:rsidRDefault="0050347E" w:rsidP="00337EFC">
            <w:pPr>
              <w:pStyle w:val="P68B1DB1-Normal56"/>
              <w:spacing w:before="40" w:after="40"/>
              <w:rPr>
                <w:rFonts w:ascii="Arial" w:hAnsi="Arial"/>
              </w:rPr>
            </w:pPr>
            <w:r w:rsidRPr="00006DF4">
              <w:rPr>
                <w:rFonts w:ascii="Arial" w:hAnsi="Arial"/>
              </w:rPr>
              <w:t xml:space="preserve">22.12 </w:t>
            </w:r>
          </w:p>
        </w:tc>
        <w:tc>
          <w:tcPr>
            <w:tcW w:w="5622" w:type="dxa"/>
            <w:tcBorders>
              <w:top w:val="single" w:sz="4" w:space="0" w:color="auto"/>
              <w:left w:val="single" w:sz="4" w:space="0" w:color="auto"/>
              <w:bottom w:val="single" w:sz="4" w:space="0" w:color="auto"/>
              <w:right w:val="single" w:sz="4" w:space="0" w:color="auto"/>
            </w:tcBorders>
          </w:tcPr>
          <w:p w14:paraId="1B965D54"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Establecer planes de gestión del agua para garantizar un caudal de agua suficiente en la ZPE Gran Gobi B, en colaboración con los consejos de las cuencas hidrográficas. </w:t>
            </w:r>
          </w:p>
        </w:tc>
        <w:tc>
          <w:tcPr>
            <w:tcW w:w="1939" w:type="dxa"/>
            <w:tcBorders>
              <w:top w:val="single" w:sz="4" w:space="0" w:color="auto"/>
              <w:left w:val="single" w:sz="4" w:space="0" w:color="auto"/>
              <w:bottom w:val="single" w:sz="4" w:space="0" w:color="auto"/>
              <w:right w:val="single" w:sz="4" w:space="0" w:color="auto"/>
            </w:tcBorders>
          </w:tcPr>
          <w:p w14:paraId="72870F18"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ONG </w:t>
            </w:r>
          </w:p>
        </w:tc>
        <w:tc>
          <w:tcPr>
            <w:tcW w:w="2490" w:type="dxa"/>
            <w:tcBorders>
              <w:top w:val="single" w:sz="4" w:space="0" w:color="auto"/>
              <w:left w:val="single" w:sz="4" w:space="0" w:color="auto"/>
              <w:bottom w:val="single" w:sz="4" w:space="0" w:color="auto"/>
              <w:right w:val="single" w:sz="4" w:space="0" w:color="auto"/>
            </w:tcBorders>
          </w:tcPr>
          <w:p w14:paraId="425AF2AC"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establecen los planes de gestión del agua antes de finales de 2028. </w:t>
            </w:r>
          </w:p>
        </w:tc>
        <w:tc>
          <w:tcPr>
            <w:tcW w:w="1250" w:type="dxa"/>
            <w:tcBorders>
              <w:top w:val="single" w:sz="4" w:space="0" w:color="auto"/>
              <w:left w:val="single" w:sz="4" w:space="0" w:color="auto"/>
              <w:bottom w:val="single" w:sz="4" w:space="0" w:color="auto"/>
              <w:right w:val="single" w:sz="4" w:space="0" w:color="auto"/>
            </w:tcBorders>
          </w:tcPr>
          <w:p w14:paraId="361C7A24"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D867FC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006DF4" w14:paraId="73ECB0DE" w14:textId="77777777" w:rsidTr="00006DF4">
        <w:trPr>
          <w:cantSplit/>
          <w:trHeight w:val="917"/>
        </w:trPr>
        <w:tc>
          <w:tcPr>
            <w:tcW w:w="738" w:type="dxa"/>
            <w:tcBorders>
              <w:top w:val="single" w:sz="4" w:space="0" w:color="auto"/>
              <w:left w:val="single" w:sz="4" w:space="0" w:color="auto"/>
              <w:bottom w:val="single" w:sz="4" w:space="0" w:color="auto"/>
              <w:right w:val="single" w:sz="4" w:space="0" w:color="auto"/>
            </w:tcBorders>
          </w:tcPr>
          <w:p w14:paraId="4ED21B7F" w14:textId="77777777" w:rsidR="0050347E" w:rsidRPr="00006DF4" w:rsidRDefault="0050347E" w:rsidP="00337EFC">
            <w:pPr>
              <w:pStyle w:val="P68B1DB1-Normal56"/>
              <w:spacing w:before="40" w:after="40"/>
              <w:rPr>
                <w:rFonts w:ascii="Arial" w:hAnsi="Arial"/>
                <w:highlight w:val="yellow"/>
              </w:rPr>
            </w:pPr>
            <w:r w:rsidRPr="00006DF4">
              <w:rPr>
                <w:rFonts w:ascii="Arial" w:hAnsi="Arial"/>
              </w:rPr>
              <w:lastRenderedPageBreak/>
              <w:t>22.13</w:t>
            </w:r>
          </w:p>
        </w:tc>
        <w:tc>
          <w:tcPr>
            <w:tcW w:w="5622" w:type="dxa"/>
            <w:tcBorders>
              <w:top w:val="single" w:sz="4" w:space="0" w:color="auto"/>
              <w:left w:val="single" w:sz="4" w:space="0" w:color="auto"/>
              <w:bottom w:val="single" w:sz="4" w:space="0" w:color="auto"/>
              <w:right w:val="single" w:sz="4" w:space="0" w:color="auto"/>
            </w:tcBorders>
          </w:tcPr>
          <w:p w14:paraId="6D75C9A0"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 xml:space="preserve">Mantener y restablecer, cuando sea necesario, la conectividad funcional entre todas las ZP del Gran Gobi y el Pequeño Gobi a partir de estudios socioecológicos, así como mediante el mapeo y la definición de corredores de movimiento de la fauna silvestre. </w:t>
            </w:r>
          </w:p>
        </w:tc>
        <w:tc>
          <w:tcPr>
            <w:tcW w:w="1939" w:type="dxa"/>
            <w:tcBorders>
              <w:top w:val="single" w:sz="4" w:space="0" w:color="auto"/>
              <w:left w:val="single" w:sz="4" w:space="0" w:color="auto"/>
              <w:bottom w:val="single" w:sz="4" w:space="0" w:color="auto"/>
              <w:right w:val="single" w:sz="4" w:space="0" w:color="auto"/>
            </w:tcBorders>
          </w:tcPr>
          <w:p w14:paraId="5AC4EDF1" w14:textId="77777777" w:rsidR="0050347E" w:rsidRPr="00006DF4" w:rsidRDefault="0050347E" w:rsidP="00337EFC">
            <w:pPr>
              <w:pStyle w:val="P68B1DB1-Normal51"/>
              <w:spacing w:before="40" w:after="40"/>
              <w:rPr>
                <w:rFonts w:ascii="Arial" w:eastAsia="Arial" w:hAnsi="Arial"/>
                <w:highlight w:val="yellow"/>
              </w:rPr>
            </w:pPr>
            <w:r w:rsidRPr="00006DF4">
              <w:rPr>
                <w:rFonts w:ascii="Arial" w:hAnsi="Arial"/>
              </w:rPr>
              <w:t xml:space="preserve">OG, ONG, instituciones científicas </w:t>
            </w:r>
          </w:p>
        </w:tc>
        <w:tc>
          <w:tcPr>
            <w:tcW w:w="2490" w:type="dxa"/>
            <w:tcBorders>
              <w:top w:val="single" w:sz="4" w:space="0" w:color="auto"/>
              <w:left w:val="single" w:sz="4" w:space="0" w:color="auto"/>
              <w:bottom w:val="single" w:sz="4" w:space="0" w:color="auto"/>
              <w:right w:val="single" w:sz="4" w:space="0" w:color="auto"/>
            </w:tcBorders>
          </w:tcPr>
          <w:p w14:paraId="4FE92944" w14:textId="77777777" w:rsidR="0050347E" w:rsidRPr="00006DF4" w:rsidRDefault="0050347E" w:rsidP="00337EFC">
            <w:pPr>
              <w:pStyle w:val="P68B1DB1-Normal51"/>
              <w:spacing w:before="40" w:after="40"/>
              <w:rPr>
                <w:rFonts w:ascii="Arial" w:eastAsia="Arial" w:hAnsi="Arial"/>
                <w:highlight w:val="yellow"/>
                <w:lang w:val="es-ES"/>
              </w:rPr>
            </w:pPr>
            <w:r w:rsidRPr="00006DF4">
              <w:rPr>
                <w:rFonts w:ascii="Arial" w:hAnsi="Arial"/>
                <w:lang w:val="es-ES"/>
              </w:rPr>
              <w:t xml:space="preserve">Se realizan estudios socioecológicos y mapeo de corredores de movimiento de la fauna silvestre antes de finales de 2028. </w:t>
            </w:r>
          </w:p>
        </w:tc>
        <w:tc>
          <w:tcPr>
            <w:tcW w:w="1250" w:type="dxa"/>
            <w:tcBorders>
              <w:top w:val="single" w:sz="4" w:space="0" w:color="auto"/>
              <w:left w:val="single" w:sz="4" w:space="0" w:color="auto"/>
              <w:bottom w:val="single" w:sz="4" w:space="0" w:color="auto"/>
              <w:right w:val="single" w:sz="4" w:space="0" w:color="auto"/>
            </w:tcBorders>
          </w:tcPr>
          <w:p w14:paraId="3EE0F310" w14:textId="77777777" w:rsidR="0050347E" w:rsidRPr="00006DF4" w:rsidRDefault="0050347E" w:rsidP="00337EFC">
            <w:pPr>
              <w:pStyle w:val="P68B1DB1-Normal51"/>
              <w:spacing w:before="40" w:after="40"/>
              <w:rPr>
                <w:rFonts w:ascii="Arial" w:eastAsia="Arial" w:hAnsi="Arial"/>
                <w:highlight w:val="yellow"/>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56D99317"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 2 del PEEM</w:t>
            </w:r>
          </w:p>
        </w:tc>
      </w:tr>
      <w:tr w:rsidR="0050347E" w:rsidRPr="00006DF4" w14:paraId="3AC04134"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A4A3AD8" w14:textId="77777777" w:rsidR="0050347E" w:rsidRPr="00006DF4" w:rsidRDefault="0050347E" w:rsidP="00337EFC">
            <w:pPr>
              <w:pStyle w:val="P68B1DB1-Normal56"/>
              <w:spacing w:before="40" w:after="40"/>
              <w:rPr>
                <w:rFonts w:ascii="Arial" w:hAnsi="Arial"/>
              </w:rPr>
            </w:pPr>
            <w:r w:rsidRPr="00006DF4">
              <w:rPr>
                <w:rFonts w:ascii="Arial" w:hAnsi="Arial"/>
              </w:rPr>
              <w:t>22.14</w:t>
            </w:r>
          </w:p>
        </w:tc>
        <w:tc>
          <w:tcPr>
            <w:tcW w:w="5622" w:type="dxa"/>
            <w:tcBorders>
              <w:top w:val="single" w:sz="4" w:space="0" w:color="auto"/>
              <w:left w:val="single" w:sz="4" w:space="0" w:color="auto"/>
              <w:bottom w:val="single" w:sz="4" w:space="0" w:color="auto"/>
              <w:right w:val="single" w:sz="4" w:space="0" w:color="auto"/>
            </w:tcBorders>
          </w:tcPr>
          <w:p w14:paraId="6CC05698" w14:textId="77777777" w:rsidR="0050347E" w:rsidRPr="00006DF4" w:rsidRDefault="0050347E" w:rsidP="00337EFC">
            <w:pPr>
              <w:pStyle w:val="P68B1DB1-Normal51"/>
              <w:spacing w:before="40" w:after="40"/>
              <w:jc w:val="both"/>
              <w:rPr>
                <w:rFonts w:ascii="Arial" w:eastAsia="Arial" w:hAnsi="Arial"/>
                <w:lang w:val="es-ES"/>
              </w:rPr>
            </w:pPr>
            <w:r w:rsidRPr="00006DF4">
              <w:rPr>
                <w:rFonts w:ascii="Arial" w:hAnsi="Arial"/>
                <w:lang w:val="es-ES"/>
              </w:rPr>
              <w:t>Revisar los límites de la ZPE Pequeño Gobi B excluyendo las infraestructuras relacionadas con la minería.</w:t>
            </w:r>
          </w:p>
        </w:tc>
        <w:tc>
          <w:tcPr>
            <w:tcW w:w="1939" w:type="dxa"/>
            <w:tcBorders>
              <w:top w:val="single" w:sz="4" w:space="0" w:color="auto"/>
              <w:left w:val="single" w:sz="4" w:space="0" w:color="auto"/>
              <w:bottom w:val="single" w:sz="4" w:space="0" w:color="auto"/>
              <w:right w:val="single" w:sz="4" w:space="0" w:color="auto"/>
            </w:tcBorders>
          </w:tcPr>
          <w:p w14:paraId="29C6F52A"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OG </w:t>
            </w:r>
          </w:p>
        </w:tc>
        <w:tc>
          <w:tcPr>
            <w:tcW w:w="2490" w:type="dxa"/>
            <w:tcBorders>
              <w:top w:val="single" w:sz="4" w:space="0" w:color="auto"/>
              <w:left w:val="single" w:sz="4" w:space="0" w:color="auto"/>
              <w:bottom w:val="single" w:sz="4" w:space="0" w:color="auto"/>
              <w:right w:val="single" w:sz="4" w:space="0" w:color="auto"/>
            </w:tcBorders>
          </w:tcPr>
          <w:p w14:paraId="50B80E1E" w14:textId="77777777" w:rsidR="0050347E" w:rsidRPr="00006DF4" w:rsidRDefault="0050347E" w:rsidP="00337EFC">
            <w:pPr>
              <w:pStyle w:val="P68B1DB1-Normal51"/>
              <w:spacing w:before="40" w:after="40"/>
              <w:rPr>
                <w:rFonts w:ascii="Arial" w:eastAsia="Arial" w:hAnsi="Arial"/>
                <w:lang w:val="es-ES"/>
              </w:rPr>
            </w:pPr>
            <w:r w:rsidRPr="00006DF4">
              <w:rPr>
                <w:rFonts w:ascii="Arial" w:hAnsi="Arial"/>
                <w:lang w:val="es-ES"/>
              </w:rPr>
              <w:t xml:space="preserve">Se aprueba oficialmente el decreto sobre los límites de la ZPE Pequeño Gobi B antes de finales de 2026. </w:t>
            </w:r>
          </w:p>
        </w:tc>
        <w:tc>
          <w:tcPr>
            <w:tcW w:w="1250" w:type="dxa"/>
            <w:tcBorders>
              <w:top w:val="single" w:sz="4" w:space="0" w:color="auto"/>
              <w:left w:val="single" w:sz="4" w:space="0" w:color="auto"/>
              <w:bottom w:val="single" w:sz="4" w:space="0" w:color="auto"/>
              <w:right w:val="single" w:sz="4" w:space="0" w:color="auto"/>
            </w:tcBorders>
          </w:tcPr>
          <w:p w14:paraId="40028823" w14:textId="77777777" w:rsidR="0050347E" w:rsidRPr="00006DF4" w:rsidRDefault="0050347E" w:rsidP="00337EFC">
            <w:pPr>
              <w:pStyle w:val="P68B1DB1-Normal51"/>
              <w:spacing w:before="40" w:after="40"/>
              <w:rPr>
                <w:rFonts w:ascii="Arial" w:eastAsia="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C2D8E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3 del GBF, Objetivo 2 del PEEM</w:t>
            </w:r>
          </w:p>
        </w:tc>
      </w:tr>
      <w:tr w:rsidR="0050347E" w:rsidRPr="00006DF4" w14:paraId="4F3F12DD"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7C924207" w14:textId="77777777" w:rsidR="0050347E" w:rsidRPr="00006DF4" w:rsidRDefault="0050347E" w:rsidP="00337EFC">
            <w:pPr>
              <w:pStyle w:val="P68B1DB1-Normal51"/>
              <w:spacing w:before="40" w:after="40"/>
              <w:rPr>
                <w:rFonts w:ascii="Arial" w:eastAsia="Arial" w:hAnsi="Arial"/>
              </w:rPr>
            </w:pPr>
            <w:r w:rsidRPr="00006DF4">
              <w:rPr>
                <w:rFonts w:ascii="Arial" w:hAnsi="Arial"/>
              </w:rPr>
              <w:t>22.15</w:t>
            </w:r>
          </w:p>
        </w:tc>
        <w:tc>
          <w:tcPr>
            <w:tcW w:w="5622" w:type="dxa"/>
            <w:tcBorders>
              <w:top w:val="single" w:sz="4" w:space="0" w:color="auto"/>
              <w:left w:val="single" w:sz="4" w:space="0" w:color="auto"/>
              <w:bottom w:val="single" w:sz="4" w:space="0" w:color="auto"/>
              <w:right w:val="single" w:sz="4" w:space="0" w:color="auto"/>
            </w:tcBorders>
          </w:tcPr>
          <w:p w14:paraId="11FBF417"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 xml:space="preserve">Establecer un marco jurídico nacional adecuado para evitar la hibridación de los caballos de Przewalski con los caballos domésticos y de los camellos bactrianos con los camellos domésticos y para favorecer la eliminación de los híbridos de la naturaleza. </w:t>
            </w:r>
          </w:p>
        </w:tc>
        <w:tc>
          <w:tcPr>
            <w:tcW w:w="1939" w:type="dxa"/>
            <w:tcBorders>
              <w:top w:val="single" w:sz="4" w:space="0" w:color="auto"/>
              <w:left w:val="single" w:sz="4" w:space="0" w:color="auto"/>
              <w:bottom w:val="single" w:sz="4" w:space="0" w:color="auto"/>
              <w:right w:val="single" w:sz="4" w:space="0" w:color="auto"/>
            </w:tcBorders>
          </w:tcPr>
          <w:p w14:paraId="09CFDF6A" w14:textId="77777777" w:rsidR="0050347E" w:rsidRPr="00006DF4" w:rsidRDefault="0050347E" w:rsidP="00337EFC">
            <w:pPr>
              <w:pStyle w:val="P68B1DB1-Normal51"/>
              <w:spacing w:before="40" w:after="40"/>
              <w:rPr>
                <w:rFonts w:ascii="Arial" w:hAnsi="Arial"/>
              </w:rPr>
            </w:pPr>
            <w:r w:rsidRPr="00006DF4">
              <w:rPr>
                <w:rFonts w:ascii="Arial" w:hAnsi="Arial"/>
              </w:rPr>
              <w:t>OG, ONG, instituciones científicas</w:t>
            </w:r>
          </w:p>
        </w:tc>
        <w:tc>
          <w:tcPr>
            <w:tcW w:w="2490" w:type="dxa"/>
            <w:tcBorders>
              <w:top w:val="single" w:sz="4" w:space="0" w:color="auto"/>
              <w:left w:val="single" w:sz="4" w:space="0" w:color="auto"/>
              <w:bottom w:val="single" w:sz="4" w:space="0" w:color="auto"/>
              <w:right w:val="single" w:sz="4" w:space="0" w:color="auto"/>
            </w:tcBorders>
          </w:tcPr>
          <w:p w14:paraId="06BA9CCF" w14:textId="77777777" w:rsidR="0050347E" w:rsidRPr="00006DF4" w:rsidRDefault="0050347E" w:rsidP="00337EFC">
            <w:pPr>
              <w:pStyle w:val="P68B1DB1-Normal51"/>
              <w:spacing w:before="40" w:after="40"/>
              <w:rPr>
                <w:rFonts w:ascii="Arial" w:hAnsi="Arial"/>
              </w:rPr>
            </w:pPr>
            <w:r w:rsidRPr="00006DF4">
              <w:rPr>
                <w:rFonts w:ascii="Arial" w:hAnsi="Arial"/>
              </w:rPr>
              <w:t xml:space="preserve">Se revisa el marco jurídico nacional antes de finales de 2029. </w:t>
            </w:r>
          </w:p>
        </w:tc>
        <w:tc>
          <w:tcPr>
            <w:tcW w:w="1250" w:type="dxa"/>
            <w:tcBorders>
              <w:top w:val="single" w:sz="4" w:space="0" w:color="auto"/>
              <w:left w:val="single" w:sz="4" w:space="0" w:color="auto"/>
              <w:bottom w:val="single" w:sz="4" w:space="0" w:color="auto"/>
              <w:right w:val="single" w:sz="4" w:space="0" w:color="auto"/>
            </w:tcBorders>
          </w:tcPr>
          <w:p w14:paraId="401E66A0"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6953CF2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2 del PEEM</w:t>
            </w:r>
          </w:p>
        </w:tc>
      </w:tr>
      <w:tr w:rsidR="0050347E" w:rsidRPr="00006DF4" w14:paraId="6F99D6F3"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1C38040" w14:textId="77777777" w:rsidR="0050347E" w:rsidRPr="00006DF4" w:rsidRDefault="0050347E" w:rsidP="00337EFC">
            <w:pPr>
              <w:pStyle w:val="P68B1DB1-Normal51"/>
              <w:spacing w:before="40" w:after="40"/>
              <w:rPr>
                <w:rFonts w:ascii="Arial" w:hAnsi="Arial"/>
              </w:rPr>
            </w:pPr>
            <w:r w:rsidRPr="00006DF4">
              <w:rPr>
                <w:rFonts w:ascii="Arial" w:hAnsi="Arial"/>
              </w:rPr>
              <w:t>22.16</w:t>
            </w:r>
          </w:p>
        </w:tc>
        <w:tc>
          <w:tcPr>
            <w:tcW w:w="5622" w:type="dxa"/>
            <w:tcBorders>
              <w:top w:val="single" w:sz="4" w:space="0" w:color="auto"/>
              <w:left w:val="single" w:sz="4" w:space="0" w:color="auto"/>
              <w:bottom w:val="single" w:sz="4" w:space="0" w:color="auto"/>
              <w:right w:val="single" w:sz="4" w:space="0" w:color="auto"/>
            </w:tcBorders>
          </w:tcPr>
          <w:p w14:paraId="041BFA89" w14:textId="77777777" w:rsidR="0050347E" w:rsidRPr="00006DF4" w:rsidRDefault="0050347E" w:rsidP="00337EFC">
            <w:pPr>
              <w:pStyle w:val="P68B1DB1-Normal51"/>
              <w:spacing w:before="40" w:after="40"/>
              <w:jc w:val="both"/>
              <w:rPr>
                <w:rFonts w:ascii="Arial" w:hAnsi="Arial"/>
                <w:lang w:val="es-ES"/>
              </w:rPr>
            </w:pPr>
            <w:r w:rsidRPr="00006DF4">
              <w:rPr>
                <w:rFonts w:ascii="Arial" w:hAnsi="Arial"/>
                <w:lang w:val="es-ES"/>
              </w:rPr>
              <w:t>Reducir el número de caballos domésticos que pastan en la zona de uso limitado de la ZPE Gran Gobi B y limitar su presencia al período no reproductivo de los caballos de Przewalski, desde el otoño hasta principios de la primavera.</w:t>
            </w:r>
          </w:p>
          <w:p w14:paraId="406700BC" w14:textId="77777777" w:rsidR="0050347E" w:rsidRPr="00006DF4" w:rsidRDefault="0050347E" w:rsidP="00337EFC">
            <w:pPr>
              <w:spacing w:before="40" w:after="40"/>
              <w:jc w:val="both"/>
              <w:rPr>
                <w:rFonts w:ascii="Arial" w:eastAsia="Aptos" w:hAnsi="Arial" w:cs="Arial"/>
                <w:sz w:val="20"/>
                <w:lang w:val="es-ES"/>
              </w:rPr>
            </w:pPr>
          </w:p>
        </w:tc>
        <w:tc>
          <w:tcPr>
            <w:tcW w:w="1939" w:type="dxa"/>
            <w:tcBorders>
              <w:top w:val="single" w:sz="4" w:space="0" w:color="auto"/>
              <w:left w:val="single" w:sz="4" w:space="0" w:color="auto"/>
              <w:bottom w:val="single" w:sz="4" w:space="0" w:color="auto"/>
              <w:right w:val="single" w:sz="4" w:space="0" w:color="auto"/>
            </w:tcBorders>
          </w:tcPr>
          <w:p w14:paraId="4A93F128" w14:textId="77777777" w:rsidR="0050347E" w:rsidRPr="00006DF4" w:rsidRDefault="0050347E" w:rsidP="00337EFC">
            <w:pPr>
              <w:pStyle w:val="P68B1DB1-Normal51"/>
              <w:spacing w:before="40" w:after="40"/>
              <w:rPr>
                <w:rFonts w:ascii="Arial" w:hAnsi="Arial"/>
              </w:rPr>
            </w:pPr>
            <w:r w:rsidRPr="00006DF4">
              <w:rPr>
                <w:rFonts w:ascii="Arial" w:hAnsi="Arial"/>
              </w:rPr>
              <w:t xml:space="preserve">OG, ONG, comunidades locales </w:t>
            </w:r>
          </w:p>
        </w:tc>
        <w:tc>
          <w:tcPr>
            <w:tcW w:w="2490" w:type="dxa"/>
            <w:tcBorders>
              <w:top w:val="single" w:sz="4" w:space="0" w:color="auto"/>
              <w:left w:val="single" w:sz="4" w:space="0" w:color="auto"/>
              <w:bottom w:val="single" w:sz="4" w:space="0" w:color="auto"/>
              <w:right w:val="single" w:sz="4" w:space="0" w:color="auto"/>
            </w:tcBorders>
          </w:tcPr>
          <w:p w14:paraId="2897629A" w14:textId="77777777" w:rsidR="0050347E" w:rsidRPr="00006DF4" w:rsidRDefault="0050347E" w:rsidP="00337EFC">
            <w:pPr>
              <w:pStyle w:val="P68B1DB1-Normal51"/>
              <w:spacing w:before="40" w:after="40"/>
              <w:rPr>
                <w:rFonts w:ascii="Arial" w:hAnsi="Arial"/>
                <w:lang w:val="es-ES"/>
              </w:rPr>
            </w:pPr>
            <w:r w:rsidRPr="00006DF4">
              <w:rPr>
                <w:rFonts w:ascii="Arial" w:hAnsi="Arial"/>
                <w:lang w:val="es-ES"/>
              </w:rPr>
              <w:t xml:space="preserve">Se revisan los planes de gestión de pastos antes de finales de 2027. </w:t>
            </w:r>
          </w:p>
        </w:tc>
        <w:tc>
          <w:tcPr>
            <w:tcW w:w="1250" w:type="dxa"/>
            <w:tcBorders>
              <w:top w:val="single" w:sz="4" w:space="0" w:color="auto"/>
              <w:left w:val="single" w:sz="4" w:space="0" w:color="auto"/>
              <w:bottom w:val="single" w:sz="4" w:space="0" w:color="auto"/>
              <w:right w:val="single" w:sz="4" w:space="0" w:color="auto"/>
            </w:tcBorders>
          </w:tcPr>
          <w:p w14:paraId="52AE63F8" w14:textId="77777777" w:rsidR="0050347E" w:rsidRPr="00006DF4" w:rsidRDefault="0050347E" w:rsidP="00337EFC">
            <w:pPr>
              <w:pStyle w:val="P68B1DB1-Normal51"/>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073DF98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w:t>
            </w:r>
          </w:p>
        </w:tc>
      </w:tr>
      <w:tr w:rsidR="0050347E" w:rsidRPr="00006DF4" w14:paraId="395A18A0"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7BD8299A"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23. Himalaya occidental (China, India, Nepal): 12</w:t>
            </w:r>
          </w:p>
          <w:p w14:paraId="2EC0E691"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lince, kiang, leopardo de las nieves, manul, yak salvaje </w:t>
            </w:r>
          </w:p>
        </w:tc>
      </w:tr>
      <w:tr w:rsidR="0050347E" w:rsidRPr="00006DF4" w14:paraId="614280F2"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06F84B2" w14:textId="77777777" w:rsidR="0050347E" w:rsidRPr="00006DF4" w:rsidRDefault="0050347E" w:rsidP="00337EFC">
            <w:pPr>
              <w:pStyle w:val="P68B1DB1-Normal49"/>
              <w:spacing w:before="40" w:after="40"/>
              <w:rPr>
                <w:rFonts w:ascii="Arial" w:eastAsia="Arial" w:hAnsi="Arial"/>
                <w:b/>
                <w:lang w:val="es-ES"/>
              </w:rPr>
            </w:pPr>
            <w:hyperlink r:id="rId80">
              <w:r w:rsidRPr="00006DF4">
                <w:rPr>
                  <w:rFonts w:ascii="Arial" w:hAnsi="Arial"/>
                  <w:lang w:val="es-ES"/>
                </w:rPr>
                <w:t>Plan de Acción para la Conservación del Argalí (2024-2032)</w:t>
              </w:r>
            </w:hyperlink>
          </w:p>
        </w:tc>
      </w:tr>
      <w:tr w:rsidR="0050347E" w:rsidRPr="00006DF4" w14:paraId="1544DA52"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F59AD6A" w14:textId="77777777" w:rsidR="0050347E" w:rsidRPr="00006DF4" w:rsidRDefault="0050347E" w:rsidP="00337EFC">
            <w:pPr>
              <w:pStyle w:val="P68B1DB1-Normal56"/>
              <w:spacing w:before="40" w:after="40"/>
              <w:rPr>
                <w:rFonts w:ascii="Arial" w:hAnsi="Arial"/>
              </w:rPr>
            </w:pPr>
            <w:r w:rsidRPr="00006DF4">
              <w:rPr>
                <w:rFonts w:ascii="Arial" w:hAnsi="Arial"/>
              </w:rPr>
              <w:t xml:space="preserve">23.1 </w:t>
            </w:r>
          </w:p>
        </w:tc>
        <w:tc>
          <w:tcPr>
            <w:tcW w:w="5622" w:type="dxa"/>
            <w:tcBorders>
              <w:top w:val="single" w:sz="4" w:space="0" w:color="auto"/>
              <w:left w:val="single" w:sz="4" w:space="0" w:color="auto"/>
              <w:bottom w:val="single" w:sz="4" w:space="0" w:color="auto"/>
              <w:right w:val="single" w:sz="4" w:space="0" w:color="auto"/>
            </w:tcBorders>
          </w:tcPr>
          <w:p w14:paraId="3E5E8BC2"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Evaluar las áreas de distribución de las especies en cuestión (al menos para el argalí, el kiang, el leopardo de las nieves y el yak salvaje), el uso de los hábitats, el tamaño de las poblaciones y sus tendencias. En el caso de otras especies, definir las áreas de distribución.  </w:t>
            </w:r>
          </w:p>
        </w:tc>
        <w:tc>
          <w:tcPr>
            <w:tcW w:w="1939" w:type="dxa"/>
            <w:tcBorders>
              <w:top w:val="single" w:sz="4" w:space="0" w:color="auto"/>
              <w:left w:val="single" w:sz="4" w:space="0" w:color="auto"/>
              <w:bottom w:val="single" w:sz="4" w:space="0" w:color="auto"/>
              <w:right w:val="single" w:sz="4" w:space="0" w:color="auto"/>
            </w:tcBorders>
          </w:tcPr>
          <w:p w14:paraId="4C24598F"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298C92C0"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10E69463"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elaboran los mapas del área de distribución, las primeras encuestas, informes y publicaciones científicas. </w:t>
            </w:r>
          </w:p>
        </w:tc>
        <w:tc>
          <w:tcPr>
            <w:tcW w:w="1250" w:type="dxa"/>
            <w:tcBorders>
              <w:top w:val="single" w:sz="4" w:space="0" w:color="auto"/>
              <w:left w:val="single" w:sz="4" w:space="0" w:color="auto"/>
              <w:bottom w:val="single" w:sz="4" w:space="0" w:color="auto"/>
              <w:right w:val="single" w:sz="4" w:space="0" w:color="auto"/>
            </w:tcBorders>
          </w:tcPr>
          <w:p w14:paraId="78D75C20"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78F6205F"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tc>
      </w:tr>
      <w:tr w:rsidR="0050347E" w:rsidRPr="00006DF4" w14:paraId="7AEC58C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0D782E5E" w14:textId="77777777" w:rsidR="0050347E" w:rsidRPr="00006DF4" w:rsidRDefault="0050347E" w:rsidP="00337EFC">
            <w:pPr>
              <w:pStyle w:val="P68B1DB1-Normal56"/>
              <w:spacing w:before="40" w:after="40"/>
              <w:rPr>
                <w:rFonts w:ascii="Arial" w:hAnsi="Arial"/>
              </w:rPr>
            </w:pPr>
            <w:r w:rsidRPr="00006DF4">
              <w:rPr>
                <w:rFonts w:ascii="Arial" w:hAnsi="Arial"/>
              </w:rPr>
              <w:lastRenderedPageBreak/>
              <w:t xml:space="preserve">23.2 </w:t>
            </w:r>
          </w:p>
        </w:tc>
        <w:tc>
          <w:tcPr>
            <w:tcW w:w="5622" w:type="dxa"/>
            <w:tcBorders>
              <w:top w:val="single" w:sz="4" w:space="0" w:color="auto"/>
              <w:left w:val="single" w:sz="4" w:space="0" w:color="auto"/>
              <w:bottom w:val="single" w:sz="4" w:space="0" w:color="auto"/>
              <w:right w:val="single" w:sz="4" w:space="0" w:color="auto"/>
            </w:tcBorders>
          </w:tcPr>
          <w:p w14:paraId="569796ED"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reuniones para compartir las mejores prácticas/experiencias para la conservación de las especies en cuestión en las RTPC con el fin de mejorar la cooperación transfronteriza. </w:t>
            </w:r>
          </w:p>
        </w:tc>
        <w:tc>
          <w:tcPr>
            <w:tcW w:w="1939" w:type="dxa"/>
            <w:tcBorders>
              <w:top w:val="single" w:sz="4" w:space="0" w:color="auto"/>
              <w:left w:val="single" w:sz="4" w:space="0" w:color="auto"/>
              <w:bottom w:val="single" w:sz="4" w:space="0" w:color="auto"/>
              <w:right w:val="single" w:sz="4" w:space="0" w:color="auto"/>
            </w:tcBorders>
          </w:tcPr>
          <w:p w14:paraId="1085E69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Secretaría de la CMS </w:t>
            </w:r>
          </w:p>
          <w:p w14:paraId="7BEB857E"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w:t>
            </w:r>
          </w:p>
        </w:tc>
        <w:tc>
          <w:tcPr>
            <w:tcW w:w="2490" w:type="dxa"/>
            <w:tcBorders>
              <w:top w:val="single" w:sz="4" w:space="0" w:color="auto"/>
              <w:left w:val="single" w:sz="4" w:space="0" w:color="auto"/>
              <w:bottom w:val="single" w:sz="4" w:space="0" w:color="auto"/>
              <w:right w:val="single" w:sz="4" w:space="0" w:color="auto"/>
            </w:tcBorders>
          </w:tcPr>
          <w:p w14:paraId="156D28C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una reunión, se determinan las actividades coordinadas y se informa sobre la implementación en el marco de la CAMI.  </w:t>
            </w:r>
          </w:p>
        </w:tc>
        <w:tc>
          <w:tcPr>
            <w:tcW w:w="1250" w:type="dxa"/>
            <w:tcBorders>
              <w:top w:val="single" w:sz="4" w:space="0" w:color="auto"/>
              <w:left w:val="single" w:sz="4" w:space="0" w:color="auto"/>
              <w:bottom w:val="single" w:sz="4" w:space="0" w:color="auto"/>
              <w:right w:val="single" w:sz="4" w:space="0" w:color="auto"/>
            </w:tcBorders>
          </w:tcPr>
          <w:p w14:paraId="17C28428"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1C54C3E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y 20 del GBF, Objetivos 1 y 5 del PEEM, GSLEP</w:t>
            </w:r>
          </w:p>
        </w:tc>
      </w:tr>
      <w:tr w:rsidR="0050347E" w:rsidRPr="00006DF4" w14:paraId="18D50505"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81768D1" w14:textId="77777777" w:rsidR="0050347E" w:rsidRPr="00006DF4" w:rsidRDefault="0050347E" w:rsidP="00337EFC">
            <w:pPr>
              <w:pStyle w:val="P68B1DB1-Normal56"/>
              <w:spacing w:before="40" w:after="40"/>
              <w:rPr>
                <w:rFonts w:ascii="Arial" w:hAnsi="Arial"/>
              </w:rPr>
            </w:pPr>
            <w:r w:rsidRPr="00006DF4">
              <w:rPr>
                <w:rFonts w:ascii="Arial" w:hAnsi="Arial"/>
              </w:rPr>
              <w:t xml:space="preserve">23.3 </w:t>
            </w:r>
          </w:p>
        </w:tc>
        <w:tc>
          <w:tcPr>
            <w:tcW w:w="5622" w:type="dxa"/>
            <w:tcBorders>
              <w:top w:val="single" w:sz="4" w:space="0" w:color="auto"/>
              <w:left w:val="single" w:sz="4" w:space="0" w:color="auto"/>
              <w:bottom w:val="single" w:sz="4" w:space="0" w:color="auto"/>
              <w:right w:val="single" w:sz="4" w:space="0" w:color="auto"/>
            </w:tcBorders>
          </w:tcPr>
          <w:p w14:paraId="151D0A8C"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Monitorear los impactos del cambio climático en la disponibilidad de agua y pastos para la vida silvestre, así como los cambios en el uso de la tierra, y definir e implementar medidas de adaptación, si es necesario. </w:t>
            </w:r>
          </w:p>
        </w:tc>
        <w:tc>
          <w:tcPr>
            <w:tcW w:w="1939" w:type="dxa"/>
            <w:tcBorders>
              <w:top w:val="single" w:sz="4" w:space="0" w:color="auto"/>
              <w:left w:val="single" w:sz="4" w:space="0" w:color="auto"/>
              <w:bottom w:val="single" w:sz="4" w:space="0" w:color="auto"/>
              <w:right w:val="single" w:sz="4" w:space="0" w:color="auto"/>
            </w:tcBorders>
          </w:tcPr>
          <w:p w14:paraId="162A5090"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e instituciones científicas </w:t>
            </w:r>
          </w:p>
        </w:tc>
        <w:tc>
          <w:tcPr>
            <w:tcW w:w="2490" w:type="dxa"/>
            <w:tcBorders>
              <w:top w:val="single" w:sz="4" w:space="0" w:color="auto"/>
              <w:left w:val="single" w:sz="4" w:space="0" w:color="auto"/>
              <w:bottom w:val="single" w:sz="4" w:space="0" w:color="auto"/>
              <w:right w:val="single" w:sz="4" w:space="0" w:color="auto"/>
            </w:tcBorders>
          </w:tcPr>
          <w:p w14:paraId="70616486"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Colaboración entre las autoridades pertinentes. Se identifican las medidas de adaptación. </w:t>
            </w:r>
          </w:p>
        </w:tc>
        <w:tc>
          <w:tcPr>
            <w:tcW w:w="1250" w:type="dxa"/>
            <w:tcBorders>
              <w:top w:val="single" w:sz="4" w:space="0" w:color="auto"/>
              <w:left w:val="single" w:sz="4" w:space="0" w:color="auto"/>
              <w:bottom w:val="single" w:sz="4" w:space="0" w:color="auto"/>
              <w:right w:val="single" w:sz="4" w:space="0" w:color="auto"/>
            </w:tcBorders>
          </w:tcPr>
          <w:p w14:paraId="635A5C11"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1C8AEDE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 GSLEP</w:t>
            </w:r>
          </w:p>
        </w:tc>
      </w:tr>
      <w:tr w:rsidR="0050347E" w:rsidRPr="00006DF4" w14:paraId="0C62553C"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F2E4557" w14:textId="77777777" w:rsidR="0050347E" w:rsidRPr="00006DF4" w:rsidRDefault="0050347E" w:rsidP="00337EFC">
            <w:pPr>
              <w:pStyle w:val="P68B1DB1-Normal50"/>
              <w:spacing w:before="40" w:after="40"/>
              <w:rPr>
                <w:rFonts w:ascii="Arial" w:hAnsi="Arial"/>
                <w:lang w:val="es-ES"/>
              </w:rPr>
            </w:pPr>
            <w:r w:rsidRPr="00006DF4">
              <w:rPr>
                <w:rFonts w:ascii="Arial" w:hAnsi="Arial"/>
                <w:lang w:val="es-ES"/>
              </w:rPr>
              <w:t>24. Himalaya oriental (Bután, China, India, Nepal): 13</w:t>
            </w:r>
          </w:p>
          <w:p w14:paraId="6D27011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     Especies: argalí, kiang, leopardo de las nieves, manul</w:t>
            </w:r>
          </w:p>
        </w:tc>
      </w:tr>
      <w:tr w:rsidR="0050347E" w:rsidRPr="00006DF4" w14:paraId="6642E3F6" w14:textId="77777777" w:rsidTr="00006DF4">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36C8BFB" w14:textId="77777777" w:rsidR="0050347E" w:rsidRPr="00006DF4" w:rsidRDefault="0050347E" w:rsidP="00337EFC">
            <w:pPr>
              <w:pStyle w:val="P68B1DB1-Normal49"/>
              <w:spacing w:before="40" w:after="40"/>
              <w:rPr>
                <w:rFonts w:ascii="Arial" w:eastAsia="Arial" w:hAnsi="Arial"/>
                <w:b/>
                <w:lang w:val="es-ES"/>
              </w:rPr>
            </w:pPr>
            <w:hyperlink r:id="rId81">
              <w:r w:rsidRPr="00006DF4">
                <w:rPr>
                  <w:rFonts w:ascii="Arial" w:hAnsi="Arial"/>
                  <w:lang w:val="es-ES"/>
                </w:rPr>
                <w:t>Plan de Acción para la Conservación del Argalí (2024-2032)</w:t>
              </w:r>
            </w:hyperlink>
          </w:p>
        </w:tc>
      </w:tr>
      <w:tr w:rsidR="0050347E" w:rsidRPr="00006DF4" w14:paraId="16FF104B"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2F305505" w14:textId="77777777" w:rsidR="0050347E" w:rsidRPr="00006DF4" w:rsidRDefault="0050347E" w:rsidP="00337EFC">
            <w:pPr>
              <w:pStyle w:val="P68B1DB1-Normal56"/>
              <w:spacing w:before="40" w:after="40"/>
              <w:rPr>
                <w:rFonts w:ascii="Arial" w:hAnsi="Arial"/>
              </w:rPr>
            </w:pPr>
            <w:r w:rsidRPr="00006DF4">
              <w:rPr>
                <w:rFonts w:ascii="Arial" w:hAnsi="Arial"/>
              </w:rPr>
              <w:t xml:space="preserve">24.1 </w:t>
            </w:r>
          </w:p>
        </w:tc>
        <w:tc>
          <w:tcPr>
            <w:tcW w:w="5622" w:type="dxa"/>
            <w:tcBorders>
              <w:top w:val="single" w:sz="4" w:space="0" w:color="auto"/>
              <w:left w:val="single" w:sz="4" w:space="0" w:color="auto"/>
              <w:bottom w:val="single" w:sz="4" w:space="0" w:color="auto"/>
              <w:right w:val="single" w:sz="4" w:space="0" w:color="auto"/>
            </w:tcBorders>
          </w:tcPr>
          <w:p w14:paraId="6C3A75EF"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Evaluar las áreas de distribución de las especies en cuestión (al menos para el argalí, el kiang y el leopardo de las nieves), el uso de los hábitats, el tamaño de las poblaciones y sus tendencias. En el caso del manul, definir las áreas de distribución. </w:t>
            </w:r>
          </w:p>
        </w:tc>
        <w:tc>
          <w:tcPr>
            <w:tcW w:w="1939" w:type="dxa"/>
            <w:tcBorders>
              <w:top w:val="single" w:sz="4" w:space="0" w:color="auto"/>
              <w:left w:val="single" w:sz="4" w:space="0" w:color="auto"/>
              <w:bottom w:val="single" w:sz="4" w:space="0" w:color="auto"/>
              <w:right w:val="single" w:sz="4" w:space="0" w:color="auto"/>
            </w:tcBorders>
          </w:tcPr>
          <w:p w14:paraId="19CB38DA"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instituciones científicas </w:t>
            </w:r>
          </w:p>
          <w:p w14:paraId="2450D3BF" w14:textId="77777777" w:rsidR="0050347E" w:rsidRPr="00006DF4" w:rsidRDefault="0050347E" w:rsidP="00337EFC">
            <w:pPr>
              <w:pStyle w:val="P68B1DB1-Normal56"/>
              <w:spacing w:before="40" w:after="40"/>
              <w:rPr>
                <w:rFonts w:ascii="Arial" w:hAnsi="Arial"/>
              </w:rPr>
            </w:pPr>
            <w:r w:rsidRPr="00006DF4">
              <w:rPr>
                <w:rFonts w:ascii="Arial" w:hAnsi="Arial"/>
              </w:rPr>
              <w:t xml:space="preserve"> </w:t>
            </w:r>
          </w:p>
        </w:tc>
        <w:tc>
          <w:tcPr>
            <w:tcW w:w="2490" w:type="dxa"/>
            <w:tcBorders>
              <w:top w:val="single" w:sz="4" w:space="0" w:color="auto"/>
              <w:left w:val="single" w:sz="4" w:space="0" w:color="auto"/>
              <w:bottom w:val="single" w:sz="4" w:space="0" w:color="auto"/>
              <w:right w:val="single" w:sz="4" w:space="0" w:color="auto"/>
            </w:tcBorders>
          </w:tcPr>
          <w:p w14:paraId="4BD803FA"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elaboran los mapas del área de distribución, las primeras encuestas, informes y publicaciones científicas. </w:t>
            </w:r>
          </w:p>
        </w:tc>
        <w:tc>
          <w:tcPr>
            <w:tcW w:w="1250" w:type="dxa"/>
            <w:tcBorders>
              <w:top w:val="single" w:sz="4" w:space="0" w:color="auto"/>
              <w:left w:val="single" w:sz="4" w:space="0" w:color="auto"/>
              <w:bottom w:val="single" w:sz="4" w:space="0" w:color="auto"/>
              <w:right w:val="single" w:sz="4" w:space="0" w:color="auto"/>
            </w:tcBorders>
          </w:tcPr>
          <w:p w14:paraId="391D7380" w14:textId="77777777" w:rsidR="0050347E" w:rsidRPr="00006DF4" w:rsidRDefault="0050347E" w:rsidP="00337EFC">
            <w:pPr>
              <w:pStyle w:val="P68B1DB1-Normal56"/>
              <w:spacing w:before="40" w:after="40"/>
              <w:rPr>
                <w:rFonts w:ascii="Arial" w:hAnsi="Arial"/>
              </w:rPr>
            </w:pPr>
            <w:r w:rsidRPr="00006DF4">
              <w:rPr>
                <w:rFonts w:ascii="Arial" w:hAnsi="Arial"/>
              </w:rPr>
              <w:t xml:space="preserve">Alta </w:t>
            </w:r>
          </w:p>
        </w:tc>
        <w:tc>
          <w:tcPr>
            <w:tcW w:w="1961" w:type="dxa"/>
            <w:tcBorders>
              <w:top w:val="single" w:sz="4" w:space="0" w:color="auto"/>
              <w:left w:val="single" w:sz="4" w:space="0" w:color="auto"/>
              <w:bottom w:val="single" w:sz="4" w:space="0" w:color="auto"/>
              <w:right w:val="single" w:sz="4" w:space="0" w:color="auto"/>
            </w:tcBorders>
          </w:tcPr>
          <w:p w14:paraId="39E4BBA2"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4 del GBF, Objetivo 1 del PEEM, GSLEP</w:t>
            </w:r>
          </w:p>
        </w:tc>
      </w:tr>
      <w:tr w:rsidR="0050347E" w:rsidRPr="00006DF4" w14:paraId="7CB17D4F"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5220C9F0" w14:textId="77777777" w:rsidR="0050347E" w:rsidRPr="00006DF4" w:rsidRDefault="0050347E" w:rsidP="00337EFC">
            <w:pPr>
              <w:pStyle w:val="P68B1DB1-Normal56"/>
              <w:spacing w:before="40" w:after="40"/>
              <w:rPr>
                <w:rFonts w:ascii="Arial" w:hAnsi="Arial"/>
              </w:rPr>
            </w:pPr>
            <w:r w:rsidRPr="00006DF4">
              <w:rPr>
                <w:rFonts w:ascii="Arial" w:hAnsi="Arial"/>
              </w:rPr>
              <w:t xml:space="preserve">24.2 </w:t>
            </w:r>
          </w:p>
        </w:tc>
        <w:tc>
          <w:tcPr>
            <w:tcW w:w="5622" w:type="dxa"/>
            <w:tcBorders>
              <w:top w:val="single" w:sz="4" w:space="0" w:color="auto"/>
              <w:left w:val="single" w:sz="4" w:space="0" w:color="auto"/>
              <w:bottom w:val="single" w:sz="4" w:space="0" w:color="auto"/>
              <w:right w:val="single" w:sz="4" w:space="0" w:color="auto"/>
            </w:tcBorders>
          </w:tcPr>
          <w:p w14:paraId="4EEFDAF9"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Organizar reuniones para compartir las mejores prácticas/experiencias para la conservación de las especies en cuestión en las RTPC con el fin de mejorar la cooperación transfronteriza. </w:t>
            </w:r>
          </w:p>
        </w:tc>
        <w:tc>
          <w:tcPr>
            <w:tcW w:w="1939" w:type="dxa"/>
            <w:tcBorders>
              <w:top w:val="single" w:sz="4" w:space="0" w:color="auto"/>
              <w:left w:val="single" w:sz="4" w:space="0" w:color="auto"/>
              <w:bottom w:val="single" w:sz="4" w:space="0" w:color="auto"/>
              <w:right w:val="single" w:sz="4" w:space="0" w:color="auto"/>
            </w:tcBorders>
          </w:tcPr>
          <w:p w14:paraId="62B053A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OG, ONG, instituciones científicas, Secretaría de la CMS </w:t>
            </w:r>
          </w:p>
        </w:tc>
        <w:tc>
          <w:tcPr>
            <w:tcW w:w="2490" w:type="dxa"/>
            <w:tcBorders>
              <w:top w:val="single" w:sz="4" w:space="0" w:color="auto"/>
              <w:left w:val="single" w:sz="4" w:space="0" w:color="auto"/>
              <w:bottom w:val="single" w:sz="4" w:space="0" w:color="auto"/>
              <w:right w:val="single" w:sz="4" w:space="0" w:color="auto"/>
            </w:tcBorders>
          </w:tcPr>
          <w:p w14:paraId="21871028"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Se celebra una reunión, se determinan las actividades coordinadas y se informa sobre la implementación en el marco de la CAMI.  </w:t>
            </w:r>
          </w:p>
        </w:tc>
        <w:tc>
          <w:tcPr>
            <w:tcW w:w="1250" w:type="dxa"/>
            <w:tcBorders>
              <w:top w:val="single" w:sz="4" w:space="0" w:color="auto"/>
              <w:left w:val="single" w:sz="4" w:space="0" w:color="auto"/>
              <w:bottom w:val="single" w:sz="4" w:space="0" w:color="auto"/>
              <w:right w:val="single" w:sz="4" w:space="0" w:color="auto"/>
            </w:tcBorders>
          </w:tcPr>
          <w:p w14:paraId="55838F1E"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331661C4"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Metas 4 y 20 del GBF, Objetivos 1 y 5 del PEEM, GSLEP</w:t>
            </w:r>
          </w:p>
        </w:tc>
      </w:tr>
      <w:tr w:rsidR="0050347E" w:rsidRPr="00006DF4" w14:paraId="480973A5" w14:textId="77777777" w:rsidTr="00006DF4">
        <w:trPr>
          <w:cantSplit/>
        </w:trPr>
        <w:tc>
          <w:tcPr>
            <w:tcW w:w="738" w:type="dxa"/>
            <w:tcBorders>
              <w:top w:val="single" w:sz="4" w:space="0" w:color="auto"/>
              <w:left w:val="single" w:sz="4" w:space="0" w:color="auto"/>
              <w:bottom w:val="single" w:sz="4" w:space="0" w:color="auto"/>
              <w:right w:val="single" w:sz="4" w:space="0" w:color="auto"/>
            </w:tcBorders>
          </w:tcPr>
          <w:p w14:paraId="40212920" w14:textId="77777777" w:rsidR="0050347E" w:rsidRPr="00006DF4" w:rsidRDefault="0050347E" w:rsidP="00337EFC">
            <w:pPr>
              <w:pStyle w:val="P68B1DB1-Normal56"/>
              <w:spacing w:before="40" w:after="40"/>
              <w:rPr>
                <w:rFonts w:ascii="Arial" w:hAnsi="Arial"/>
              </w:rPr>
            </w:pPr>
            <w:r w:rsidRPr="00006DF4">
              <w:rPr>
                <w:rFonts w:ascii="Arial" w:hAnsi="Arial"/>
              </w:rPr>
              <w:t xml:space="preserve">24.3 </w:t>
            </w:r>
          </w:p>
        </w:tc>
        <w:tc>
          <w:tcPr>
            <w:tcW w:w="5622" w:type="dxa"/>
            <w:tcBorders>
              <w:top w:val="single" w:sz="4" w:space="0" w:color="auto"/>
              <w:left w:val="single" w:sz="4" w:space="0" w:color="auto"/>
              <w:bottom w:val="single" w:sz="4" w:space="0" w:color="auto"/>
              <w:right w:val="single" w:sz="4" w:space="0" w:color="auto"/>
            </w:tcBorders>
          </w:tcPr>
          <w:p w14:paraId="533379FB" w14:textId="77777777" w:rsidR="0050347E" w:rsidRPr="00006DF4" w:rsidRDefault="0050347E" w:rsidP="00337EFC">
            <w:pPr>
              <w:pStyle w:val="P68B1DB1-Normal56"/>
              <w:spacing w:before="40" w:after="40"/>
              <w:jc w:val="both"/>
              <w:rPr>
                <w:rFonts w:ascii="Arial" w:hAnsi="Arial"/>
                <w:lang w:val="es-ES"/>
              </w:rPr>
            </w:pPr>
            <w:r w:rsidRPr="00006DF4">
              <w:rPr>
                <w:rFonts w:ascii="Arial" w:hAnsi="Arial"/>
                <w:lang w:val="es-ES"/>
              </w:rPr>
              <w:t xml:space="preserve">Monitorear los impactos del cambio climático en la disponibilidad de agua y pastos para la vida silvestre, así como los cambios en el uso de la tierra, y definir e implementar medidas de adaptación, si es necesario. </w:t>
            </w:r>
          </w:p>
        </w:tc>
        <w:tc>
          <w:tcPr>
            <w:tcW w:w="1939" w:type="dxa"/>
            <w:tcBorders>
              <w:top w:val="single" w:sz="4" w:space="0" w:color="auto"/>
              <w:left w:val="single" w:sz="4" w:space="0" w:color="auto"/>
              <w:bottom w:val="single" w:sz="4" w:space="0" w:color="auto"/>
              <w:right w:val="single" w:sz="4" w:space="0" w:color="auto"/>
            </w:tcBorders>
          </w:tcPr>
          <w:p w14:paraId="78DB655A" w14:textId="77777777" w:rsidR="0050347E" w:rsidRPr="00006DF4" w:rsidRDefault="0050347E" w:rsidP="00337EFC">
            <w:pPr>
              <w:pStyle w:val="P68B1DB1-Normal56"/>
              <w:spacing w:before="40" w:after="40"/>
              <w:rPr>
                <w:rFonts w:ascii="Arial" w:hAnsi="Arial"/>
              </w:rPr>
            </w:pPr>
            <w:r w:rsidRPr="00006DF4">
              <w:rPr>
                <w:rFonts w:ascii="Arial" w:hAnsi="Arial"/>
              </w:rPr>
              <w:t xml:space="preserve">OG, ONG e instituciones científicas </w:t>
            </w:r>
          </w:p>
        </w:tc>
        <w:tc>
          <w:tcPr>
            <w:tcW w:w="2490" w:type="dxa"/>
            <w:tcBorders>
              <w:top w:val="single" w:sz="4" w:space="0" w:color="auto"/>
              <w:left w:val="single" w:sz="4" w:space="0" w:color="auto"/>
              <w:bottom w:val="single" w:sz="4" w:space="0" w:color="auto"/>
              <w:right w:val="single" w:sz="4" w:space="0" w:color="auto"/>
            </w:tcBorders>
          </w:tcPr>
          <w:p w14:paraId="13CC1F5D"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 xml:space="preserve">Colaboración entre las autoridades pertinentes. Se identifican las medidas de adaptación. </w:t>
            </w:r>
          </w:p>
        </w:tc>
        <w:tc>
          <w:tcPr>
            <w:tcW w:w="1250" w:type="dxa"/>
            <w:tcBorders>
              <w:top w:val="single" w:sz="4" w:space="0" w:color="auto"/>
              <w:left w:val="single" w:sz="4" w:space="0" w:color="auto"/>
              <w:bottom w:val="single" w:sz="4" w:space="0" w:color="auto"/>
              <w:right w:val="single" w:sz="4" w:space="0" w:color="auto"/>
            </w:tcBorders>
          </w:tcPr>
          <w:p w14:paraId="18DBFB65" w14:textId="77777777" w:rsidR="0050347E" w:rsidRPr="00006DF4" w:rsidRDefault="0050347E" w:rsidP="00337EFC">
            <w:pPr>
              <w:pStyle w:val="P68B1DB1-Normal56"/>
              <w:spacing w:before="40" w:after="40"/>
              <w:rPr>
                <w:rFonts w:ascii="Arial" w:hAnsi="Arial"/>
              </w:rPr>
            </w:pPr>
            <w:r w:rsidRPr="00006DF4">
              <w:rPr>
                <w:rFonts w:ascii="Arial" w:hAnsi="Arial"/>
              </w:rPr>
              <w:t xml:space="preserve">Media </w:t>
            </w:r>
          </w:p>
        </w:tc>
        <w:tc>
          <w:tcPr>
            <w:tcW w:w="1961" w:type="dxa"/>
            <w:tcBorders>
              <w:top w:val="single" w:sz="4" w:space="0" w:color="auto"/>
              <w:left w:val="single" w:sz="4" w:space="0" w:color="auto"/>
              <w:bottom w:val="single" w:sz="4" w:space="0" w:color="auto"/>
              <w:right w:val="single" w:sz="4" w:space="0" w:color="auto"/>
            </w:tcBorders>
          </w:tcPr>
          <w:p w14:paraId="4A48058B" w14:textId="77777777" w:rsidR="0050347E" w:rsidRPr="00006DF4" w:rsidRDefault="0050347E" w:rsidP="00337EFC">
            <w:pPr>
              <w:pStyle w:val="P68B1DB1-Normal56"/>
              <w:spacing w:before="40" w:after="40"/>
              <w:rPr>
                <w:rFonts w:ascii="Arial" w:hAnsi="Arial"/>
                <w:lang w:val="es-ES"/>
              </w:rPr>
            </w:pPr>
            <w:r w:rsidRPr="00006DF4">
              <w:rPr>
                <w:rFonts w:ascii="Arial" w:hAnsi="Arial"/>
                <w:lang w:val="es-ES"/>
              </w:rPr>
              <w:t>Meta 8 del GBF, Objetivo 3 del PEEM, GSLEP</w:t>
            </w:r>
          </w:p>
        </w:tc>
      </w:tr>
    </w:tbl>
    <w:p w14:paraId="4D2829C0" w14:textId="77777777" w:rsidR="00B56ED7" w:rsidRPr="00BD0605" w:rsidRDefault="00B56ED7" w:rsidP="005E59F8">
      <w:pPr>
        <w:pStyle w:val="Secondnumbering"/>
        <w:numPr>
          <w:ilvl w:val="0"/>
          <w:numId w:val="0"/>
        </w:numPr>
        <w:ind w:left="360" w:hanging="360"/>
        <w:jc w:val="both"/>
        <w:rPr>
          <w:rFonts w:cs="Arial"/>
          <w:lang w:val="es-ES"/>
        </w:rPr>
        <w:sectPr w:rsidR="00B56ED7" w:rsidRPr="00BD0605" w:rsidSect="009068F8">
          <w:pgSz w:w="16838" w:h="11906" w:orient="landscape" w:code="9"/>
          <w:pgMar w:top="1440" w:right="1440" w:bottom="1440" w:left="1440" w:header="720" w:footer="720" w:gutter="0"/>
          <w:cols w:space="720"/>
          <w:titlePg/>
          <w:docGrid w:linePitch="360"/>
        </w:sectPr>
      </w:pPr>
    </w:p>
    <w:p w14:paraId="5ACB4E93" w14:textId="77777777" w:rsidR="00BD0605" w:rsidRPr="00124885" w:rsidRDefault="00BD0605" w:rsidP="00BD0605">
      <w:pPr>
        <w:pStyle w:val="P68B1DB1-Normal36"/>
        <w:spacing w:after="0" w:line="240" w:lineRule="auto"/>
        <w:jc w:val="right"/>
        <w:rPr>
          <w:lang w:val="es-ES"/>
        </w:rPr>
      </w:pPr>
      <w:r w:rsidRPr="00124885">
        <w:rPr>
          <w:lang w:val="es-ES"/>
        </w:rPr>
        <w:lastRenderedPageBreak/>
        <w:t>Anexo al PdT de la CAMI</w:t>
      </w:r>
    </w:p>
    <w:p w14:paraId="449243FB" w14:textId="77777777" w:rsidR="00BD0605" w:rsidRPr="00124885" w:rsidRDefault="00BD0605" w:rsidP="00BD0605">
      <w:pPr>
        <w:spacing w:after="0" w:line="240" w:lineRule="auto"/>
        <w:rPr>
          <w:rFonts w:eastAsia="Aptos" w:cs="Arial"/>
          <w:sz w:val="20"/>
          <w:lang w:val="es-ES"/>
        </w:rPr>
      </w:pPr>
    </w:p>
    <w:p w14:paraId="3A46C136" w14:textId="77777777" w:rsidR="00BD0605" w:rsidRPr="00124885" w:rsidRDefault="00BD0605" w:rsidP="00BD0605">
      <w:pPr>
        <w:pStyle w:val="P68B1DB1-Normal37"/>
        <w:spacing w:before="240" w:after="240" w:line="240" w:lineRule="auto"/>
        <w:jc w:val="both"/>
        <w:rPr>
          <w:lang w:val="es-ES"/>
        </w:rPr>
      </w:pPr>
      <w:r w:rsidRPr="00124885">
        <w:rPr>
          <w:lang w:val="es-ES"/>
        </w:rPr>
        <w:t xml:space="preserve">Las regiones transfronterizas prioritarias para la conservación (RTPC) mencionadas en el Programa de Trabajo de la Iniciativa sobre los Mamíferos de Asia Central 2026-2032 se identificaron en la 3.ª Reunión de los Estados del Área de Distribución de la CAMI, utilizando como base el estudio </w:t>
      </w:r>
      <w:hyperlink r:id="rId82" w:history="1">
        <w:r w:rsidRPr="00124885">
          <w:rPr>
            <w:i/>
            <w:color w:val="0000FF"/>
            <w:u w:val="single"/>
            <w:lang w:val="es-ES"/>
          </w:rPr>
          <w:t>«Puntos críticos de conservación transfronteriza para la Iniciativa sobre los Mamíferos de Asia Central»</w:t>
        </w:r>
      </w:hyperlink>
      <w:r w:rsidRPr="00124885">
        <w:rPr>
          <w:lang w:val="es-ES"/>
        </w:rPr>
        <w:t>. Se cambió el nombre de varias zonas del estudio o se ampliaron sus límites durante las consultas con expertos y Estados del área de distribución, para reflejar los datos actuales y las prioridades de conservación.</w:t>
      </w:r>
    </w:p>
    <w:p w14:paraId="476F03F7" w14:textId="77777777" w:rsidR="00BD0605" w:rsidRPr="00124885" w:rsidRDefault="00BD0605" w:rsidP="00BD0605">
      <w:pPr>
        <w:spacing w:after="0" w:line="240" w:lineRule="auto"/>
        <w:jc w:val="both"/>
        <w:rPr>
          <w:rFonts w:eastAsia="Aptos" w:cs="Arial"/>
          <w:sz w:val="20"/>
          <w:lang w:val="es-ES"/>
        </w:rPr>
      </w:pPr>
    </w:p>
    <w:p w14:paraId="08F80249" w14:textId="77777777" w:rsidR="00BD0605" w:rsidRPr="00124885" w:rsidRDefault="00BD0605" w:rsidP="00BD0605">
      <w:pPr>
        <w:pStyle w:val="P68B1DB1-Normal36"/>
        <w:widowControl w:val="0"/>
        <w:numPr>
          <w:ilvl w:val="0"/>
          <w:numId w:val="25"/>
        </w:numPr>
        <w:spacing w:after="0" w:line="240" w:lineRule="auto"/>
        <w:ind w:left="426" w:hanging="426"/>
        <w:contextualSpacing/>
        <w:jc w:val="both"/>
        <w:rPr>
          <w:lang w:val="es-ES"/>
        </w:rPr>
      </w:pPr>
      <w:r w:rsidRPr="00124885">
        <w:rPr>
          <w:lang w:val="es-ES"/>
        </w:rPr>
        <w:t>Cambio de nombre para mayor precisión y claridad geográfica:</w:t>
      </w:r>
    </w:p>
    <w:p w14:paraId="2D7C5F0C" w14:textId="77777777" w:rsidR="00BD0605" w:rsidRPr="00124885" w:rsidRDefault="00BD0605" w:rsidP="00BD0605">
      <w:pPr>
        <w:widowControl w:val="0"/>
        <w:spacing w:after="0" w:line="240" w:lineRule="auto"/>
        <w:ind w:left="720"/>
        <w:contextualSpacing/>
        <w:jc w:val="both"/>
        <w:rPr>
          <w:rFonts w:eastAsia="Aptos" w:cs="Arial"/>
          <w:lang w:val="es-ES"/>
        </w:rPr>
      </w:pPr>
    </w:p>
    <w:p w14:paraId="17570F80" w14:textId="77777777" w:rsidR="00BD0605" w:rsidRPr="00124885" w:rsidRDefault="00BD0605" w:rsidP="00BD0605">
      <w:pPr>
        <w:pStyle w:val="P68B1DB1-Normal38"/>
        <w:widowControl w:val="0"/>
        <w:numPr>
          <w:ilvl w:val="0"/>
          <w:numId w:val="24"/>
        </w:numPr>
        <w:spacing w:after="80" w:line="240" w:lineRule="auto"/>
        <w:ind w:left="709" w:hanging="357"/>
        <w:jc w:val="both"/>
        <w:rPr>
          <w:lang w:val="es-ES"/>
        </w:rPr>
      </w:pPr>
      <w:r w:rsidRPr="00124885">
        <w:rPr>
          <w:lang w:val="es-ES"/>
        </w:rPr>
        <w:t>el mar de Aral/desierto de Kyzylkum del oeste pasó a llamarse Aralkum/desierto de Kyzylkum del noroeste;</w:t>
      </w:r>
    </w:p>
    <w:p w14:paraId="01FA6790" w14:textId="77777777" w:rsidR="00BD0605" w:rsidRPr="00124885" w:rsidRDefault="00BD0605" w:rsidP="00BD0605">
      <w:pPr>
        <w:pStyle w:val="P68B1DB1-Normal38"/>
        <w:widowControl w:val="0"/>
        <w:numPr>
          <w:ilvl w:val="0"/>
          <w:numId w:val="24"/>
        </w:numPr>
        <w:spacing w:after="80" w:line="240" w:lineRule="auto"/>
        <w:ind w:left="709" w:hanging="357"/>
        <w:jc w:val="both"/>
        <w:rPr>
          <w:lang w:val="es-ES"/>
        </w:rPr>
      </w:pPr>
      <w:r w:rsidRPr="00124885">
        <w:rPr>
          <w:lang w:val="es-ES"/>
        </w:rPr>
        <w:t>Ustyurt oriental pasó a llamarse Ustiurt septentrional y oriental;</w:t>
      </w:r>
    </w:p>
    <w:p w14:paraId="7E63AC6A" w14:textId="77777777" w:rsidR="00BD0605" w:rsidRPr="00124885" w:rsidRDefault="00BD0605" w:rsidP="00BD0605">
      <w:pPr>
        <w:pStyle w:val="P68B1DB1-Normal38"/>
        <w:widowControl w:val="0"/>
        <w:numPr>
          <w:ilvl w:val="0"/>
          <w:numId w:val="24"/>
        </w:numPr>
        <w:spacing w:after="80" w:line="240" w:lineRule="auto"/>
        <w:ind w:left="709" w:hanging="357"/>
        <w:jc w:val="both"/>
        <w:rPr>
          <w:lang w:val="es-ES"/>
        </w:rPr>
      </w:pPr>
      <w:r w:rsidRPr="00124885">
        <w:rPr>
          <w:lang w:val="es-ES"/>
        </w:rPr>
        <w:t xml:space="preserve">Ustyurt sudoccidental pasó a llamarse Ustyurt occidental y meridional; </w:t>
      </w:r>
    </w:p>
    <w:p w14:paraId="50DA6C0D" w14:textId="77777777" w:rsidR="00BD0605" w:rsidRPr="00124885" w:rsidRDefault="00BD0605" w:rsidP="00BD0605">
      <w:pPr>
        <w:pStyle w:val="P68B1DB1-Normal38"/>
        <w:widowControl w:val="0"/>
        <w:numPr>
          <w:ilvl w:val="0"/>
          <w:numId w:val="24"/>
        </w:numPr>
        <w:spacing w:after="80" w:line="240" w:lineRule="auto"/>
        <w:ind w:left="709" w:hanging="357"/>
        <w:jc w:val="both"/>
        <w:rPr>
          <w:sz w:val="20"/>
          <w:lang w:val="es-ES"/>
        </w:rPr>
      </w:pPr>
      <w:r w:rsidRPr="00124885">
        <w:rPr>
          <w:lang w:val="es-ES"/>
        </w:rPr>
        <w:t xml:space="preserve">la región de Khan Tengri pasó a llamarse Tian Shan septentrional e interior, lo que refleja la inclusión de dos puntos críticos identificados en el estudio; </w:t>
      </w:r>
    </w:p>
    <w:p w14:paraId="666FFDC5" w14:textId="77777777" w:rsidR="00BD0605" w:rsidRPr="00124885" w:rsidRDefault="00BD0605" w:rsidP="00BD0605">
      <w:pPr>
        <w:pStyle w:val="P68B1DB1-Normal38"/>
        <w:widowControl w:val="0"/>
        <w:numPr>
          <w:ilvl w:val="0"/>
          <w:numId w:val="24"/>
        </w:numPr>
        <w:spacing w:after="80" w:line="240" w:lineRule="auto"/>
        <w:ind w:left="709" w:hanging="357"/>
        <w:jc w:val="both"/>
        <w:rPr>
          <w:sz w:val="20"/>
          <w:lang w:val="es-ES"/>
        </w:rPr>
      </w:pPr>
      <w:r w:rsidRPr="00124885">
        <w:rPr>
          <w:lang w:val="es-ES"/>
        </w:rPr>
        <w:t>el Alto Pamir se amplió para incluir Pamiro-Alai en Kirguistán y Wakhan en Afganistán, y se extendió en Pakistán para reflejar las prioridades de los Estados del área de distribución, por lo que pasó a llamarse Pamir-Hindukush-Karakoram;</w:t>
      </w:r>
    </w:p>
    <w:p w14:paraId="7167609B" w14:textId="77777777" w:rsidR="00BD0605" w:rsidRPr="00124885" w:rsidRDefault="00BD0605" w:rsidP="00BD0605">
      <w:pPr>
        <w:pStyle w:val="P68B1DB1-Normal38"/>
        <w:widowControl w:val="0"/>
        <w:numPr>
          <w:ilvl w:val="0"/>
          <w:numId w:val="24"/>
        </w:numPr>
        <w:spacing w:after="80" w:line="240" w:lineRule="auto"/>
        <w:ind w:left="709" w:hanging="357"/>
        <w:jc w:val="both"/>
        <w:rPr>
          <w:sz w:val="20"/>
          <w:lang w:val="es-ES"/>
        </w:rPr>
      </w:pPr>
      <w:r w:rsidRPr="00124885">
        <w:rPr>
          <w:lang w:val="es-ES"/>
        </w:rPr>
        <w:t xml:space="preserve">Transaltai Gobi, Gobi del Sur y Gobi de Jungaria se fusionaron en una RTPC llamada Gobi; </w:t>
      </w:r>
    </w:p>
    <w:p w14:paraId="25F205AF" w14:textId="77777777" w:rsidR="00BD0605" w:rsidRPr="00124885" w:rsidRDefault="00BD0605" w:rsidP="00BD0605">
      <w:pPr>
        <w:pStyle w:val="P68B1DB1-Normal38"/>
        <w:widowControl w:val="0"/>
        <w:numPr>
          <w:ilvl w:val="0"/>
          <w:numId w:val="24"/>
        </w:numPr>
        <w:spacing w:before="240" w:after="240" w:line="240" w:lineRule="auto"/>
        <w:ind w:left="709"/>
        <w:contextualSpacing/>
        <w:jc w:val="both"/>
        <w:rPr>
          <w:sz w:val="20"/>
          <w:lang w:val="es-ES"/>
        </w:rPr>
      </w:pPr>
      <w:r w:rsidRPr="00124885">
        <w:rPr>
          <w:lang w:val="es-ES"/>
        </w:rPr>
        <w:t>el Transhimalaya occidental pasó a llamarse Himalaya occidental para reflejar la expansión de la región.</w:t>
      </w:r>
    </w:p>
    <w:p w14:paraId="74C6F6FE" w14:textId="77777777" w:rsidR="00BD0605" w:rsidRPr="00124885" w:rsidRDefault="00BD0605" w:rsidP="00BD0605">
      <w:pPr>
        <w:pStyle w:val="P68B1DB1-Normal59"/>
        <w:numPr>
          <w:ilvl w:val="0"/>
          <w:numId w:val="25"/>
        </w:numPr>
        <w:spacing w:before="240" w:after="240" w:line="240" w:lineRule="auto"/>
        <w:ind w:left="426" w:hanging="426"/>
        <w:contextualSpacing/>
        <w:jc w:val="both"/>
        <w:rPr>
          <w:lang w:val="es-ES"/>
        </w:rPr>
      </w:pPr>
      <w:r w:rsidRPr="00124885">
        <w:rPr>
          <w:lang w:val="es-ES"/>
        </w:rPr>
        <w:t>Ampliación de zonas de importancia para la conservación, según la CAMI (que no se refleja en el nombre de la RTPC):</w:t>
      </w:r>
    </w:p>
    <w:p w14:paraId="2E291858" w14:textId="77777777" w:rsidR="00BD0605" w:rsidRPr="00124885" w:rsidRDefault="00BD0605" w:rsidP="00BD0605">
      <w:pPr>
        <w:pStyle w:val="P68B1DB1-Normal37"/>
        <w:spacing w:after="0" w:line="240" w:lineRule="auto"/>
        <w:ind w:left="90"/>
        <w:jc w:val="both"/>
        <w:rPr>
          <w:lang w:val="es-ES"/>
        </w:rPr>
      </w:pPr>
      <w:r w:rsidRPr="00124885">
        <w:rPr>
          <w:lang w:val="es-ES"/>
        </w:rPr>
        <w:t>Se han ampliado varias zonas existentes en función de datos actualizados sobre la distribución de especies, la conectividad de hábitats, otras zonas importantes identificadas para la conservación de la biodiversidad y las amenazas emergentes:</w:t>
      </w:r>
    </w:p>
    <w:p w14:paraId="7997C387" w14:textId="77777777" w:rsidR="00BD0605" w:rsidRPr="00124885" w:rsidRDefault="00BD0605" w:rsidP="00BD0605">
      <w:pPr>
        <w:spacing w:after="0" w:line="240" w:lineRule="auto"/>
        <w:ind w:left="90"/>
        <w:jc w:val="both"/>
        <w:rPr>
          <w:rFonts w:eastAsia="Aptos" w:cs="Arial"/>
          <w:lang w:val="es-ES"/>
        </w:rPr>
      </w:pPr>
    </w:p>
    <w:p w14:paraId="4E3510E5" w14:textId="77777777" w:rsidR="00BD0605" w:rsidRPr="00124885" w:rsidRDefault="00BD0605" w:rsidP="00BD0605">
      <w:pPr>
        <w:pStyle w:val="P68B1DB1-Normal37"/>
        <w:numPr>
          <w:ilvl w:val="0"/>
          <w:numId w:val="27"/>
        </w:numPr>
        <w:spacing w:after="80" w:line="240" w:lineRule="auto"/>
        <w:ind w:left="714" w:hanging="357"/>
        <w:jc w:val="both"/>
        <w:rPr>
          <w:lang w:val="es-ES"/>
        </w:rPr>
      </w:pPr>
      <w:r w:rsidRPr="00124885">
        <w:rPr>
          <w:lang w:val="es-ES"/>
        </w:rPr>
        <w:t>Ustyurt occidental y meridional, para incluir el Parque Natural Regional de Kyzylsai en Kazajistán y el corredor utilizado por los leopardos de Persia; y en Turkmenistán, el grupo de zonas protegidas de los Balcanes propuesto;</w:t>
      </w:r>
    </w:p>
    <w:p w14:paraId="64D60EF6" w14:textId="77777777" w:rsidR="00BD0605" w:rsidRPr="00124885" w:rsidRDefault="00BD0605" w:rsidP="00BD0605">
      <w:pPr>
        <w:pStyle w:val="P68B1DB1-Normal37"/>
        <w:numPr>
          <w:ilvl w:val="0"/>
          <w:numId w:val="27"/>
        </w:numPr>
        <w:spacing w:after="80" w:line="240" w:lineRule="auto"/>
        <w:ind w:left="714" w:hanging="357"/>
        <w:jc w:val="both"/>
        <w:rPr>
          <w:lang w:val="es-ES"/>
        </w:rPr>
      </w:pPr>
      <w:r w:rsidRPr="00124885">
        <w:rPr>
          <w:lang w:val="es-ES"/>
        </w:rPr>
        <w:t>Kopetdag, para incluir las estribaciones del Kopetdag en Turkmenistán; y en Irán, el Parque Nacional de Golestán (hábitat clave del leopardo de Persia y del urial), el Parque Nacional de Turán y el Refugio de Vida Silvestre de Miandasht (hábitat crítico del guepardo asiático); y</w:t>
      </w:r>
    </w:p>
    <w:p w14:paraId="0308D12E" w14:textId="77777777" w:rsidR="00BD0605" w:rsidRPr="00124885" w:rsidRDefault="00BD0605" w:rsidP="00BD0605">
      <w:pPr>
        <w:pStyle w:val="P68B1DB1-Normal38"/>
        <w:widowControl w:val="0"/>
        <w:numPr>
          <w:ilvl w:val="0"/>
          <w:numId w:val="24"/>
        </w:numPr>
        <w:spacing w:before="240" w:after="240" w:line="240" w:lineRule="auto"/>
        <w:ind w:left="709"/>
        <w:contextualSpacing/>
        <w:jc w:val="both"/>
        <w:rPr>
          <w:sz w:val="20"/>
          <w:lang w:val="es-ES"/>
        </w:rPr>
      </w:pPr>
      <w:r w:rsidRPr="00124885">
        <w:rPr>
          <w:lang w:val="es-ES"/>
        </w:rPr>
        <w:t>los límites de Tian Shan occidental se ampliaron para reflejar fielmente los del lugar Patrimonio Mundial de la UNESCO.</w:t>
      </w:r>
    </w:p>
    <w:p w14:paraId="044D9513" w14:textId="77777777" w:rsidR="00BD0605" w:rsidRPr="00124885" w:rsidRDefault="00BD0605" w:rsidP="00BD0605">
      <w:pPr>
        <w:pStyle w:val="P68B1DB1-Normal60"/>
        <w:widowControl w:val="0"/>
        <w:spacing w:before="240" w:after="240" w:line="240" w:lineRule="auto"/>
        <w:ind w:left="709"/>
        <w:contextualSpacing/>
        <w:jc w:val="both"/>
        <w:rPr>
          <w:vanish w:val="0"/>
          <w:lang w:val="es-ES"/>
        </w:rPr>
      </w:pPr>
      <w:r w:rsidRPr="00124885">
        <w:rPr>
          <w:vanish w:val="0"/>
          <w:lang w:val="es-ES"/>
        </w:rPr>
        <w:br w:type="page"/>
      </w:r>
    </w:p>
    <w:p w14:paraId="2F5CB8B2" w14:textId="77777777" w:rsidR="00BD0605" w:rsidRPr="00A46A34" w:rsidRDefault="00BD0605" w:rsidP="00BD0605">
      <w:pPr>
        <w:pStyle w:val="P68B1DB1-Normal36"/>
        <w:numPr>
          <w:ilvl w:val="0"/>
          <w:numId w:val="25"/>
        </w:numPr>
        <w:spacing w:before="240" w:after="240" w:line="240" w:lineRule="auto"/>
        <w:ind w:left="426" w:hanging="426"/>
        <w:contextualSpacing/>
        <w:jc w:val="both"/>
      </w:pPr>
      <w:r w:rsidRPr="00A46A34">
        <w:lastRenderedPageBreak/>
        <w:t>Nuevas RTPC:</w:t>
      </w:r>
    </w:p>
    <w:p w14:paraId="40F2DCD9" w14:textId="77777777" w:rsidR="00BD0605" w:rsidRPr="00124885" w:rsidRDefault="00BD0605" w:rsidP="00BD0605">
      <w:pPr>
        <w:pStyle w:val="P68B1DB1-Normal37"/>
        <w:spacing w:after="0" w:line="240" w:lineRule="auto"/>
        <w:ind w:left="180"/>
        <w:jc w:val="both"/>
        <w:rPr>
          <w:lang w:val="es-ES"/>
        </w:rPr>
      </w:pPr>
      <w:r w:rsidRPr="00124885">
        <w:rPr>
          <w:lang w:val="es-ES"/>
        </w:rPr>
        <w:t>Se han añadido dos zonas de conservación transfronterizas, Altái y Gobi del Sur, a la lista de RTPC. Se identificaron como zonas prioritarias durante el taller técnico para la CAMI organizado en la isla de Vilm, Alemania, del 6 al 8 de mayo de 2025, en función de los hábitats de las especies adicionales propuestas para su inclusión en la CAMI:</w:t>
      </w:r>
    </w:p>
    <w:p w14:paraId="400F404B" w14:textId="77777777" w:rsidR="00BD0605" w:rsidRPr="00124885" w:rsidRDefault="00BD0605" w:rsidP="00BD0605">
      <w:pPr>
        <w:spacing w:after="0" w:line="240" w:lineRule="auto"/>
        <w:ind w:left="180"/>
        <w:jc w:val="both"/>
        <w:rPr>
          <w:rFonts w:eastAsia="Aptos" w:cs="Arial"/>
          <w:lang w:val="es-ES"/>
        </w:rPr>
      </w:pPr>
    </w:p>
    <w:p w14:paraId="24225C1B" w14:textId="77777777" w:rsidR="00BD0605" w:rsidRPr="00124885" w:rsidRDefault="00BD0605" w:rsidP="00BD0605">
      <w:pPr>
        <w:pStyle w:val="P68B1DB1-Normal37"/>
        <w:numPr>
          <w:ilvl w:val="0"/>
          <w:numId w:val="26"/>
        </w:numPr>
        <w:spacing w:after="80" w:line="240" w:lineRule="auto"/>
        <w:ind w:left="709" w:hanging="357"/>
        <w:jc w:val="both"/>
        <w:rPr>
          <w:rFonts w:eastAsia="Arial"/>
          <w:lang w:val="es-ES"/>
        </w:rPr>
      </w:pPr>
      <w:r w:rsidRPr="00124885">
        <w:rPr>
          <w:lang w:val="es-ES"/>
        </w:rPr>
        <w:t xml:space="preserve">Altái abarca hábitats críticos en las montañas de Altái para las especies de la CAMI; </w:t>
      </w:r>
    </w:p>
    <w:p w14:paraId="55345000" w14:textId="77777777" w:rsidR="00BD0605" w:rsidRPr="00124885" w:rsidRDefault="00BD0605" w:rsidP="00BD0605">
      <w:pPr>
        <w:pStyle w:val="P68B1DB1-Normal37"/>
        <w:numPr>
          <w:ilvl w:val="0"/>
          <w:numId w:val="26"/>
        </w:numPr>
        <w:spacing w:after="80" w:line="240" w:lineRule="auto"/>
        <w:ind w:left="709" w:hanging="357"/>
        <w:jc w:val="both"/>
        <w:rPr>
          <w:rFonts w:eastAsia="Arial"/>
          <w:lang w:val="es-ES"/>
        </w:rPr>
      </w:pPr>
      <w:r w:rsidRPr="00124885">
        <w:rPr>
          <w:lang w:val="es-ES"/>
        </w:rPr>
        <w:t>Gobi del Sur es un ecosistema singular de estepa desértica y montaña en el sur de Mongolia (ahora parte de la RTPC de Gobi);</w:t>
      </w:r>
    </w:p>
    <w:p w14:paraId="52EDE1D2" w14:textId="77777777" w:rsidR="00BD0605" w:rsidRPr="00124885" w:rsidRDefault="00BD0605" w:rsidP="00BD0605">
      <w:pPr>
        <w:pStyle w:val="P68B1DB1-Normal37"/>
        <w:numPr>
          <w:ilvl w:val="0"/>
          <w:numId w:val="26"/>
        </w:numPr>
        <w:spacing w:before="240" w:after="240" w:line="240" w:lineRule="auto"/>
        <w:ind w:left="709"/>
        <w:contextualSpacing/>
        <w:jc w:val="both"/>
        <w:rPr>
          <w:rFonts w:eastAsia="Arial"/>
          <w:lang w:val="es-ES"/>
        </w:rPr>
      </w:pPr>
      <w:r w:rsidRPr="00124885">
        <w:rPr>
          <w:lang w:val="es-ES"/>
        </w:rPr>
        <w:t xml:space="preserve">El Himalaya oriental se añadió a raíz de una solicitud conjunta de los respectivos Estados del área de distribución (Buthán, China, India y Nepal).  </w:t>
      </w:r>
    </w:p>
    <w:p w14:paraId="3A1AD955" w14:textId="77777777" w:rsidR="003E1D61" w:rsidRDefault="003E1D61" w:rsidP="00BD0605">
      <w:pPr>
        <w:pStyle w:val="P68B1DB1-Normal37"/>
        <w:spacing w:after="0" w:line="240" w:lineRule="auto"/>
        <w:jc w:val="both"/>
        <w:rPr>
          <w:lang w:val="es-ES"/>
        </w:rPr>
      </w:pPr>
    </w:p>
    <w:p w14:paraId="2B3F9F62" w14:textId="5E609401" w:rsidR="00BD0605" w:rsidRPr="00124885" w:rsidRDefault="00BD0605" w:rsidP="00BD0605">
      <w:pPr>
        <w:pStyle w:val="P68B1DB1-Normal37"/>
        <w:spacing w:after="0" w:line="240" w:lineRule="auto"/>
        <w:jc w:val="both"/>
        <w:rPr>
          <w:lang w:val="es-ES"/>
        </w:rPr>
        <w:sectPr w:rsidR="00BD0605" w:rsidRPr="00124885" w:rsidSect="00BD0605">
          <w:headerReference w:type="first" r:id="rId83"/>
          <w:pgSz w:w="11906" w:h="16838" w:code="9"/>
          <w:pgMar w:top="1440" w:right="1440" w:bottom="1440" w:left="1440" w:header="720" w:footer="580" w:gutter="0"/>
          <w:cols w:space="720"/>
          <w:titlePg/>
          <w:docGrid w:linePitch="360"/>
        </w:sectPr>
      </w:pPr>
      <w:r w:rsidRPr="00124885">
        <w:rPr>
          <w:lang w:val="es-ES"/>
        </w:rPr>
        <w:t>Estas modificaciones tienen como objetivo proporcionar un marco de conservación operativo que se ajuste a los conocimientos ecológicos actuales, apoye las medidas de conservación específicas y facilite la colaboración transfronteriza en Asia Central.</w:t>
      </w:r>
    </w:p>
    <w:p w14:paraId="42D23F1A" w14:textId="77777777" w:rsidR="00BD0605" w:rsidRPr="00124885" w:rsidRDefault="00BD0605" w:rsidP="00BD0605">
      <w:pPr>
        <w:spacing w:after="0" w:line="240" w:lineRule="auto"/>
        <w:jc w:val="both"/>
        <w:rPr>
          <w:rFonts w:eastAsia="Aptos" w:cs="Arial"/>
          <w:lang w:val="es-ES"/>
        </w:rPr>
      </w:pPr>
    </w:p>
    <w:p w14:paraId="16CBB3BF" w14:textId="77777777" w:rsidR="00BD0605" w:rsidRPr="00124885" w:rsidRDefault="00BD0605" w:rsidP="00BD0605">
      <w:pPr>
        <w:spacing w:after="0" w:line="240" w:lineRule="auto"/>
        <w:rPr>
          <w:rFonts w:eastAsia="Aptos" w:cs="Arial"/>
          <w:lang w:val="es-ES"/>
        </w:rPr>
      </w:pPr>
    </w:p>
    <w:p w14:paraId="1FBB5E10" w14:textId="77777777" w:rsidR="00BD0605" w:rsidRPr="00124885" w:rsidRDefault="00BD0605" w:rsidP="00BD0605">
      <w:pPr>
        <w:spacing w:after="0" w:line="240" w:lineRule="auto"/>
        <w:ind w:left="720"/>
        <w:contextualSpacing/>
        <w:rPr>
          <w:rFonts w:eastAsia="Aptos" w:cs="Arial"/>
          <w:lang w:val="es-ES"/>
        </w:rPr>
        <w:sectPr w:rsidR="00BD0605" w:rsidRPr="00124885" w:rsidSect="00BD0605">
          <w:type w:val="continuous"/>
          <w:pgSz w:w="11906" w:h="16838" w:code="9"/>
          <w:pgMar w:top="1440" w:right="1440" w:bottom="1440" w:left="1440" w:header="720" w:footer="580" w:gutter="0"/>
          <w:cols w:space="720"/>
          <w:titlePg/>
          <w:docGrid w:linePitch="360"/>
        </w:sectPr>
      </w:pPr>
    </w:p>
    <w:p w14:paraId="72143DB6" w14:textId="77777777" w:rsidR="00BD0605" w:rsidRPr="00124885" w:rsidRDefault="00BD0605" w:rsidP="00BD0605">
      <w:pPr>
        <w:pStyle w:val="P68B1DB1-Normal64"/>
        <w:framePr w:wrap="none" w:vAnchor="page" w:hAnchor="page" w:x="8485" w:y="1690"/>
        <w:widowControl w:val="0"/>
        <w:shd w:val="clear" w:color="auto" w:fill="FFFFFF"/>
        <w:spacing w:after="0" w:line="240" w:lineRule="auto"/>
        <w:outlineLvl w:val="0"/>
        <w:rPr>
          <w:sz w:val="20"/>
          <w:lang w:val="es-ES"/>
        </w:rPr>
      </w:pPr>
      <w:r w:rsidRPr="00124885">
        <w:rPr>
          <w:lang w:val="es-ES"/>
        </w:rPr>
        <w:lastRenderedPageBreak/>
        <w:t>Leyenda</w:t>
      </w:r>
    </w:p>
    <w:p w14:paraId="0D906E46"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8E33058"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EC293A9" w14:textId="77777777" w:rsidR="00BD0605" w:rsidRPr="00124885" w:rsidRDefault="00BD0605" w:rsidP="00BD0605">
      <w:pPr>
        <w:pStyle w:val="P68B1DB1-Normal40"/>
        <w:framePr w:w="1846" w:wrap="none" w:vAnchor="page" w:hAnchor="page" w:x="6691" w:y="2266"/>
        <w:widowControl w:val="0"/>
        <w:shd w:val="clear" w:color="auto" w:fill="FBE4D5" w:themeFill="accent2" w:themeFillTint="33"/>
        <w:spacing w:after="0" w:line="240" w:lineRule="auto"/>
        <w:rPr>
          <w:lang w:val="es-ES"/>
        </w:rPr>
      </w:pPr>
      <w:r w:rsidRPr="00124885">
        <w:rPr>
          <w:lang w:val="es-ES"/>
        </w:rPr>
        <w:t>Ustyurt septentrional y oriental</w:t>
      </w:r>
    </w:p>
    <w:p w14:paraId="49A77F4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9C9B7AE"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0A986A9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143E4800"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45CE85D"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B4B12BF" w14:textId="77777777" w:rsidR="00BD0605" w:rsidRPr="00124885" w:rsidRDefault="00BD0605" w:rsidP="00BD0605">
      <w:pPr>
        <w:pStyle w:val="P68B1DB1-Normal42"/>
        <w:framePr w:wrap="none" w:vAnchor="page" w:hAnchor="page" w:x="4201" w:y="3421"/>
        <w:widowControl w:val="0"/>
        <w:shd w:val="clear" w:color="auto" w:fill="D9F2D0"/>
        <w:spacing w:after="0" w:line="240" w:lineRule="auto"/>
        <w:rPr>
          <w:i/>
          <w:color w:val="476338"/>
          <w:lang w:val="es-ES"/>
        </w:rPr>
      </w:pPr>
      <w:r w:rsidRPr="00124885">
        <w:rPr>
          <w:lang w:val="es-ES"/>
        </w:rPr>
        <w:t>KAZAJISTÁN</w:t>
      </w:r>
    </w:p>
    <w:p w14:paraId="3A1B16DC" w14:textId="77777777" w:rsidR="00BD0605" w:rsidRPr="00124885" w:rsidRDefault="00BD0605" w:rsidP="00BD0605">
      <w:pPr>
        <w:spacing w:after="0" w:line="240" w:lineRule="auto"/>
        <w:rPr>
          <w:rFonts w:ascii="Times New Roman" w:eastAsia="Times New Roman" w:hAnsi="Times New Roman" w:cs="Times New Roman"/>
          <w:sz w:val="24"/>
          <w:lang w:val="es-ES"/>
        </w:rPr>
      </w:pPr>
    </w:p>
    <w:tbl>
      <w:tblPr>
        <w:tblOverlap w:val="never"/>
        <w:tblW w:w="0" w:type="auto"/>
        <w:tblLayout w:type="fixed"/>
        <w:tblCellMar>
          <w:left w:w="10" w:type="dxa"/>
          <w:right w:w="10" w:type="dxa"/>
        </w:tblCellMar>
        <w:tblLook w:val="0000" w:firstRow="0" w:lastRow="0" w:firstColumn="0" w:lastColumn="0" w:noHBand="0" w:noVBand="0"/>
      </w:tblPr>
      <w:tblGrid>
        <w:gridCol w:w="3379"/>
      </w:tblGrid>
      <w:tr w:rsidR="00BD0605" w:rsidRPr="00124885" w14:paraId="4CC526A3" w14:textId="77777777" w:rsidTr="00337EFC">
        <w:trPr>
          <w:trHeight w:hRule="exact" w:val="437"/>
        </w:trPr>
        <w:tc>
          <w:tcPr>
            <w:tcW w:w="3379" w:type="dxa"/>
            <w:shd w:val="clear" w:color="auto" w:fill="FFFFFF"/>
            <w:vAlign w:val="center"/>
          </w:tcPr>
          <w:p w14:paraId="3C48B7EF" w14:textId="77777777" w:rsidR="00BD0605" w:rsidRPr="00124885" w:rsidRDefault="00BD0605" w:rsidP="00337EFC">
            <w:pPr>
              <w:pStyle w:val="P68B1DB1-Normal41"/>
              <w:framePr w:w="3379" w:h="1157" w:wrap="none" w:vAnchor="page" w:hAnchor="page" w:x="8824" w:y="1980"/>
              <w:widowControl w:val="0"/>
              <w:spacing w:after="0" w:line="262" w:lineRule="auto"/>
              <w:rPr>
                <w:rFonts w:eastAsia="Arial" w:cs="Arial"/>
                <w:i/>
                <w:color w:val="476338"/>
                <w:lang w:val="es-ES"/>
              </w:rPr>
            </w:pPr>
            <w:bookmarkStart w:id="9" w:name="_Hlk214385908"/>
            <w:r w:rsidRPr="00124885">
              <w:rPr>
                <w:lang w:val="es-ES"/>
              </w:rPr>
              <w:t>Regiones transfronterizas prioritarias para la conservación del Programa de Trabajo de la CAMI 2026-2032</w:t>
            </w:r>
          </w:p>
        </w:tc>
      </w:tr>
      <w:tr w:rsidR="00BD0605" w:rsidRPr="00124885" w14:paraId="2ED701EE" w14:textId="77777777" w:rsidTr="00337EFC">
        <w:trPr>
          <w:trHeight w:hRule="exact" w:val="442"/>
        </w:trPr>
        <w:tc>
          <w:tcPr>
            <w:tcW w:w="3379" w:type="dxa"/>
            <w:shd w:val="clear" w:color="auto" w:fill="FFFFFF"/>
            <w:vAlign w:val="center"/>
          </w:tcPr>
          <w:p w14:paraId="42681AC0" w14:textId="77777777" w:rsidR="00BD0605" w:rsidRPr="00124885" w:rsidRDefault="00BD0605" w:rsidP="00337EFC">
            <w:pPr>
              <w:pStyle w:val="P68B1DB1-Normal41"/>
              <w:framePr w:w="3379" w:h="1157" w:wrap="none" w:vAnchor="page" w:hAnchor="page" w:x="8824" w:y="1980"/>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6FDA6448" w14:textId="77777777" w:rsidTr="00337EFC">
        <w:trPr>
          <w:trHeight w:hRule="exact" w:val="278"/>
        </w:trPr>
        <w:tc>
          <w:tcPr>
            <w:tcW w:w="3379" w:type="dxa"/>
            <w:shd w:val="clear" w:color="auto" w:fill="FFFFFF"/>
            <w:vAlign w:val="center"/>
          </w:tcPr>
          <w:p w14:paraId="0971DA8F" w14:textId="77777777" w:rsidR="00BD0605" w:rsidRPr="00124885" w:rsidRDefault="00BD0605" w:rsidP="00337EFC">
            <w:pPr>
              <w:pStyle w:val="P68B1DB1-Normal41"/>
              <w:framePr w:w="3379" w:h="1157" w:wrap="none" w:vAnchor="page" w:hAnchor="page" w:x="8824" w:y="1980"/>
              <w:widowControl w:val="0"/>
              <w:spacing w:after="0" w:line="240" w:lineRule="auto"/>
              <w:rPr>
                <w:rFonts w:eastAsia="Arial" w:cs="Arial"/>
                <w:i/>
                <w:color w:val="476338"/>
                <w:lang w:val="es-ES"/>
              </w:rPr>
            </w:pPr>
            <w:r w:rsidRPr="00124885">
              <w:rPr>
                <w:lang w:val="es-ES"/>
              </w:rPr>
              <w:t>Estados del área de distribución de la CAMI</w:t>
            </w:r>
          </w:p>
        </w:tc>
      </w:tr>
      <w:bookmarkEnd w:id="9"/>
    </w:tbl>
    <w:p w14:paraId="2846112C"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230D97EF" w14:textId="77777777" w:rsidR="00BD0605" w:rsidRPr="00124885" w:rsidRDefault="00BD0605" w:rsidP="00BD0605">
      <w:pPr>
        <w:pStyle w:val="P68B1DB1-Normal42"/>
        <w:framePr w:w="976" w:wrap="none" w:vAnchor="page" w:hAnchor="page" w:x="8851" w:y="4021"/>
        <w:widowControl w:val="0"/>
        <w:shd w:val="clear" w:color="auto" w:fill="D9F2D0"/>
        <w:spacing w:after="0" w:line="240" w:lineRule="auto"/>
        <w:rPr>
          <w:i/>
          <w:color w:val="476338"/>
          <w:lang w:val="es-ES"/>
        </w:rPr>
      </w:pPr>
      <w:r w:rsidRPr="00124885">
        <w:rPr>
          <w:lang w:val="es-ES"/>
        </w:rPr>
        <w:t>UZBEKISTÁN</w:t>
      </w:r>
    </w:p>
    <w:p w14:paraId="5B8A6239"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6E6F999"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46025B1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36C7803" w14:textId="77777777" w:rsidR="00BD0605" w:rsidRPr="00124885" w:rsidRDefault="00BD0605" w:rsidP="00BD0605">
      <w:pPr>
        <w:pStyle w:val="P68B1DB1-Normal40"/>
        <w:framePr w:w="1846" w:wrap="none" w:vAnchor="page" w:hAnchor="page" w:x="4546" w:y="5041"/>
        <w:widowControl w:val="0"/>
        <w:shd w:val="clear" w:color="auto" w:fill="FBE4D5" w:themeFill="accent2" w:themeFillTint="33"/>
        <w:spacing w:after="0" w:line="240" w:lineRule="auto"/>
        <w:rPr>
          <w:lang w:val="es-ES"/>
        </w:rPr>
      </w:pPr>
      <w:r w:rsidRPr="00124885">
        <w:rPr>
          <w:lang w:val="es-ES"/>
        </w:rPr>
        <w:t>Ustyurt occidental y meridional</w:t>
      </w:r>
    </w:p>
    <w:p w14:paraId="5344E6F3"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155CECA5"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28EF2CC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A9619B8"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6B65ADF7"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6CFBBF7"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5A6AC779"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4D73578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5CF0D4F1"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1E25FCA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25ADACD" w14:textId="77777777" w:rsidR="00BD0605" w:rsidRPr="00124885" w:rsidRDefault="00BD0605" w:rsidP="00BD0605">
      <w:pPr>
        <w:pStyle w:val="P68B1DB1-Normal42"/>
        <w:framePr w:wrap="none" w:vAnchor="page" w:hAnchor="page" w:x="7696" w:y="7576"/>
        <w:widowControl w:val="0"/>
        <w:shd w:val="clear" w:color="auto" w:fill="D9F2D0"/>
        <w:spacing w:after="0" w:line="240" w:lineRule="auto"/>
        <w:rPr>
          <w:i/>
          <w:color w:val="476338"/>
          <w:lang w:val="es-ES"/>
        </w:rPr>
      </w:pPr>
      <w:bookmarkStart w:id="10" w:name="_Hlk214385771"/>
      <w:r w:rsidRPr="00124885">
        <w:rPr>
          <w:lang w:val="es-ES"/>
        </w:rPr>
        <w:t>TURKMENISTÁN</w:t>
      </w:r>
    </w:p>
    <w:bookmarkEnd w:id="10"/>
    <w:p w14:paraId="6288CA87"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4CE9800"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4AA149C"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3BE591FE"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11E97B6" w14:textId="77777777" w:rsidR="00BD0605" w:rsidRPr="00124885" w:rsidRDefault="00BD0605" w:rsidP="00BD0605">
      <w:pPr>
        <w:pStyle w:val="P68B1DB1-Normal61"/>
        <w:framePr w:wrap="none" w:vAnchor="page" w:hAnchor="page" w:x="8836" w:y="8776"/>
        <w:widowControl w:val="0"/>
        <w:shd w:val="clear" w:color="auto" w:fill="FFFFFF" w:themeFill="background1"/>
        <w:spacing w:after="0" w:line="240" w:lineRule="auto"/>
        <w:rPr>
          <w:lang w:val="es-ES"/>
        </w:rPr>
      </w:pPr>
      <w:r w:rsidRPr="00124885">
        <w:rPr>
          <w:lang w:val="es-ES"/>
        </w:rPr>
        <w:t>150 km</w:t>
      </w:r>
    </w:p>
    <w:p w14:paraId="3DAF042C"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E3FEAEA" w14:textId="77777777" w:rsidR="00BD0605" w:rsidRPr="00124885" w:rsidRDefault="00BD0605" w:rsidP="00BD0605">
      <w:pPr>
        <w:spacing w:after="0" w:line="240" w:lineRule="auto"/>
        <w:rPr>
          <w:rFonts w:ascii="Times New Roman" w:eastAsia="Times New Roman" w:hAnsi="Times New Roman" w:cs="Times New Roman"/>
          <w:sz w:val="24"/>
          <w:lang w:val="es-ES"/>
        </w:rPr>
      </w:pPr>
    </w:p>
    <w:p w14:paraId="75241887" w14:textId="77777777" w:rsidR="00BD0605" w:rsidRPr="00124885" w:rsidRDefault="00BD0605" w:rsidP="00BD0605">
      <w:pPr>
        <w:pStyle w:val="P68B1DB1-Normal62"/>
        <w:spacing w:after="0" w:line="240" w:lineRule="auto"/>
        <w:rPr>
          <w:lang w:val="es-ES"/>
        </w:rPr>
      </w:pPr>
      <w:r w:rsidRPr="00A46A34">
        <w:rPr>
          <w:noProof/>
        </w:rPr>
        <w:drawing>
          <wp:anchor distT="0" distB="0" distL="114300" distR="114300" simplePos="0" relativeHeight="251660288" behindDoc="1" locked="0" layoutInCell="1" allowOverlap="1" wp14:anchorId="3A383FAB" wp14:editId="1AEF485C">
            <wp:simplePos x="0" y="0"/>
            <wp:positionH relativeFrom="column">
              <wp:posOffset>1270</wp:posOffset>
            </wp:positionH>
            <wp:positionV relativeFrom="page">
              <wp:posOffset>933450</wp:posOffset>
            </wp:positionV>
            <wp:extent cx="7073900" cy="5000625"/>
            <wp:effectExtent l="0" t="0" r="0" b="9525"/>
            <wp:wrapNone/>
            <wp:docPr id="1462389193" name="Picture 1462389193" descr="A map of the united stat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united states  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073900" cy="5000625"/>
                    </a:xfrm>
                    <a:prstGeom prst="rect">
                      <a:avLst/>
                    </a:prstGeom>
                    <a:noFill/>
                    <a:ln>
                      <a:noFill/>
                    </a:ln>
                  </pic:spPr>
                </pic:pic>
              </a:graphicData>
            </a:graphic>
          </wp:anchor>
        </w:drawing>
      </w:r>
    </w:p>
    <w:p w14:paraId="04CDE743" w14:textId="77777777" w:rsidR="00BD0605" w:rsidRPr="00124885" w:rsidRDefault="00BD0605" w:rsidP="00BD0605">
      <w:pPr>
        <w:pStyle w:val="P68B1DB1-Normal37"/>
        <w:spacing w:after="0" w:line="240" w:lineRule="auto"/>
        <w:rPr>
          <w:rFonts w:ascii="Times New Roman" w:eastAsia="Times New Roman" w:hAnsi="Times New Roman" w:cs="Times New Roman"/>
          <w:sz w:val="24"/>
          <w:lang w:val="es-ES"/>
        </w:rPr>
      </w:pPr>
      <w:r w:rsidRPr="00124885">
        <w:rPr>
          <w:lang w:val="es-ES"/>
        </w:rPr>
        <w:t>Figura 2. Región transfronteriza prioritaria para la conservación 1: Ustyurt occidental y meridional</w:t>
      </w:r>
    </w:p>
    <w:p w14:paraId="6A2D9E53" w14:textId="77777777" w:rsidR="00BD0605" w:rsidRPr="00124885" w:rsidRDefault="00BD0605" w:rsidP="00BD0605">
      <w:pPr>
        <w:pStyle w:val="nova-legacy-e-listitem"/>
        <w:rPr>
          <w:lang w:val="es-ES"/>
        </w:rPr>
      </w:pP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23BD7D48" w14:textId="77777777" w:rsidTr="00337EFC">
        <w:trPr>
          <w:trHeight w:hRule="exact" w:val="437"/>
        </w:trPr>
        <w:tc>
          <w:tcPr>
            <w:tcW w:w="3379" w:type="dxa"/>
            <w:shd w:val="clear" w:color="auto" w:fill="FFFFFF" w:themeFill="background1"/>
            <w:vAlign w:val="center"/>
          </w:tcPr>
          <w:p w14:paraId="731FBDB3" w14:textId="77777777" w:rsidR="00BD0605" w:rsidRPr="00124885" w:rsidRDefault="00BD0605" w:rsidP="00337EFC">
            <w:pPr>
              <w:pStyle w:val="P68B1DB1-Normal41"/>
              <w:framePr w:w="3379" w:h="1157" w:wrap="none" w:vAnchor="page" w:hAnchor="page" w:x="8899" w:y="1708"/>
              <w:widowControl w:val="0"/>
              <w:spacing w:after="0" w:line="262" w:lineRule="auto"/>
              <w:rPr>
                <w:rFonts w:eastAsia="Arial" w:cs="Arial"/>
                <w:i/>
                <w:color w:val="476338"/>
                <w:lang w:val="es-ES"/>
              </w:rPr>
            </w:pPr>
            <w:bookmarkStart w:id="11" w:name="_Hlk214385978"/>
            <w:r w:rsidRPr="00124885">
              <w:rPr>
                <w:lang w:val="es-ES"/>
              </w:rPr>
              <w:lastRenderedPageBreak/>
              <w:t>Regiones transfronterizas prioritarias para la conservación del Programa de Trabajo de la CAMI 2026-2032</w:t>
            </w:r>
          </w:p>
        </w:tc>
      </w:tr>
      <w:tr w:rsidR="00BD0605" w:rsidRPr="00124885" w14:paraId="2934508A" w14:textId="77777777" w:rsidTr="00337EFC">
        <w:trPr>
          <w:trHeight w:hRule="exact" w:val="442"/>
        </w:trPr>
        <w:tc>
          <w:tcPr>
            <w:tcW w:w="3379" w:type="dxa"/>
            <w:shd w:val="clear" w:color="auto" w:fill="FFFFFF" w:themeFill="background1"/>
            <w:vAlign w:val="center"/>
          </w:tcPr>
          <w:p w14:paraId="377BF35F" w14:textId="77777777" w:rsidR="00BD0605" w:rsidRPr="00124885" w:rsidRDefault="00BD0605" w:rsidP="00337EFC">
            <w:pPr>
              <w:pStyle w:val="P68B1DB1-Normal41"/>
              <w:framePr w:w="3379" w:h="1157" w:wrap="none" w:vAnchor="page" w:hAnchor="page" w:x="8899" w:y="1708"/>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17FA8F3D" w14:textId="77777777" w:rsidTr="00337EFC">
        <w:trPr>
          <w:trHeight w:hRule="exact" w:val="278"/>
        </w:trPr>
        <w:tc>
          <w:tcPr>
            <w:tcW w:w="3379" w:type="dxa"/>
            <w:shd w:val="clear" w:color="auto" w:fill="FFFFFF" w:themeFill="background1"/>
            <w:vAlign w:val="center"/>
          </w:tcPr>
          <w:p w14:paraId="57028D7B" w14:textId="77777777" w:rsidR="00BD0605" w:rsidRPr="00124885" w:rsidRDefault="00BD0605" w:rsidP="00337EFC">
            <w:pPr>
              <w:pStyle w:val="P68B1DB1-Normal41"/>
              <w:framePr w:w="3379" w:h="1157" w:wrap="none" w:vAnchor="page" w:hAnchor="page" w:x="8899" w:y="1708"/>
              <w:widowControl w:val="0"/>
              <w:spacing w:after="0" w:line="240" w:lineRule="auto"/>
              <w:rPr>
                <w:rFonts w:eastAsia="Arial" w:cs="Arial"/>
                <w:i/>
                <w:color w:val="476338"/>
                <w:lang w:val="es-ES"/>
              </w:rPr>
            </w:pPr>
            <w:r w:rsidRPr="00124885">
              <w:rPr>
                <w:lang w:val="es-ES"/>
              </w:rPr>
              <w:t>Estados del área de distribución de la CAMI</w:t>
            </w:r>
          </w:p>
        </w:tc>
      </w:tr>
    </w:tbl>
    <w:bookmarkEnd w:id="11"/>
    <w:p w14:paraId="0255CBB0" w14:textId="77777777" w:rsidR="00BD0605" w:rsidRPr="00124885" w:rsidRDefault="00BD0605" w:rsidP="00BD0605">
      <w:pPr>
        <w:pStyle w:val="P68B1DB1-Normal61"/>
        <w:framePr w:wrap="none" w:vAnchor="page" w:hAnchor="page" w:x="7306" w:y="8551"/>
        <w:widowControl w:val="0"/>
        <w:shd w:val="clear" w:color="auto" w:fill="FFFFFF" w:themeFill="background1"/>
        <w:spacing w:after="0" w:line="240" w:lineRule="auto"/>
        <w:rPr>
          <w:lang w:val="es-ES"/>
        </w:rPr>
      </w:pPr>
      <w:r w:rsidRPr="00124885">
        <w:rPr>
          <w:lang w:val="es-ES"/>
        </w:rPr>
        <w:t>150 km</w:t>
      </w:r>
    </w:p>
    <w:p w14:paraId="3073DF14" w14:textId="77777777" w:rsidR="00BD0605" w:rsidRPr="00124885" w:rsidRDefault="00BD0605" w:rsidP="00BD0605">
      <w:pPr>
        <w:pStyle w:val="P68B1DB1-Normal63"/>
        <w:framePr w:w="1801" w:wrap="none" w:vAnchor="page" w:hAnchor="page" w:x="6394" w:y="4301"/>
        <w:widowControl w:val="0"/>
        <w:shd w:val="clear" w:color="auto" w:fill="FAE2D5"/>
        <w:spacing w:after="0" w:line="240" w:lineRule="auto"/>
        <w:ind w:right="5"/>
        <w:rPr>
          <w:lang w:val="es-ES"/>
        </w:rPr>
      </w:pPr>
      <w:r w:rsidRPr="00124885">
        <w:rPr>
          <w:lang w:val="es-ES"/>
        </w:rPr>
        <w:t>Ustyurt septentrional y oriental</w:t>
      </w:r>
    </w:p>
    <w:p w14:paraId="6841C853" w14:textId="77777777" w:rsidR="00BD0605" w:rsidRPr="00124885" w:rsidRDefault="00BD0605" w:rsidP="00BD0605">
      <w:pPr>
        <w:pStyle w:val="P68B1DB1-Normal42"/>
        <w:framePr w:wrap="none" w:vAnchor="page" w:hAnchor="page" w:x="6290" w:y="4487"/>
        <w:widowControl w:val="0"/>
        <w:shd w:val="clear" w:color="auto" w:fill="FAE2D5"/>
        <w:spacing w:after="0" w:line="240" w:lineRule="auto"/>
        <w:rPr>
          <w:i/>
          <w:color w:val="476338"/>
          <w:lang w:val="es-ES"/>
        </w:rPr>
      </w:pPr>
      <w:r w:rsidRPr="00124885">
        <w:rPr>
          <w:lang w:val="es-ES"/>
        </w:rPr>
        <w:t>KAZAJISTÁN</w:t>
      </w:r>
    </w:p>
    <w:p w14:paraId="3EAF02A0" w14:textId="77777777" w:rsidR="00BD0605" w:rsidRPr="00124885" w:rsidRDefault="00BD0605" w:rsidP="00BD0605">
      <w:pPr>
        <w:pStyle w:val="P68B1DB1-Normal42"/>
        <w:framePr w:wrap="none" w:vAnchor="page" w:hAnchor="page" w:x="7574" w:y="7761"/>
        <w:widowControl w:val="0"/>
        <w:shd w:val="clear" w:color="auto" w:fill="D9F2D0"/>
        <w:spacing w:after="0" w:line="240" w:lineRule="auto"/>
        <w:rPr>
          <w:i/>
          <w:color w:val="476338"/>
          <w:lang w:val="es-ES"/>
        </w:rPr>
      </w:pPr>
      <w:r w:rsidRPr="00124885">
        <w:rPr>
          <w:lang w:val="es-ES"/>
        </w:rPr>
        <w:t>UZBEKISTÁN</w:t>
      </w:r>
    </w:p>
    <w:p w14:paraId="5B04923C" w14:textId="77777777" w:rsidR="00BD0605" w:rsidRPr="00124885" w:rsidRDefault="00BD0605" w:rsidP="00BD0605">
      <w:pPr>
        <w:pStyle w:val="P68B1DB1-Normal64"/>
        <w:framePr w:wrap="none" w:vAnchor="page" w:hAnchor="page" w:x="8537" w:y="1358"/>
        <w:widowControl w:val="0"/>
        <w:shd w:val="clear" w:color="auto" w:fill="FFFFFF"/>
        <w:spacing w:after="0" w:line="240" w:lineRule="auto"/>
        <w:outlineLvl w:val="0"/>
        <w:rPr>
          <w:sz w:val="20"/>
          <w:lang w:val="es-ES"/>
        </w:rPr>
      </w:pPr>
      <w:bookmarkStart w:id="12" w:name="_Hlk214386391"/>
      <w:r w:rsidRPr="00124885">
        <w:rPr>
          <w:lang w:val="es-ES"/>
        </w:rPr>
        <w:t>Leyenda</w:t>
      </w:r>
    </w:p>
    <w:bookmarkEnd w:id="12"/>
    <w:p w14:paraId="596AE708" w14:textId="77777777" w:rsidR="00BD0605" w:rsidRPr="00124885" w:rsidRDefault="00BD0605" w:rsidP="00BD0605">
      <w:pPr>
        <w:pStyle w:val="P68B1DB1-Normal40"/>
        <w:framePr w:w="1921" w:wrap="none" w:vAnchor="page" w:hAnchor="page" w:x="3120" w:y="7927"/>
        <w:widowControl w:val="0"/>
        <w:shd w:val="clear" w:color="auto" w:fill="D9F2D0"/>
        <w:spacing w:after="0" w:line="240" w:lineRule="auto"/>
        <w:rPr>
          <w:lang w:val="es-ES"/>
        </w:rPr>
      </w:pPr>
      <w:r w:rsidRPr="00124885">
        <w:rPr>
          <w:lang w:val="es-ES"/>
        </w:rPr>
        <w:t>Ustyurt occidental y meridional</w:t>
      </w:r>
    </w:p>
    <w:p w14:paraId="752DF293" w14:textId="77777777" w:rsidR="00BD0605" w:rsidRPr="00A46A34" w:rsidRDefault="00BD0605" w:rsidP="00BD0605">
      <w:pPr>
        <w:pStyle w:val="P68B1DB1-Normal40"/>
        <w:framePr w:w="2237" w:h="197" w:hRule="exact" w:wrap="none" w:vAnchor="page" w:hAnchor="page" w:x="9626" w:y="6786"/>
        <w:widowControl w:val="0"/>
        <w:shd w:val="clear" w:color="auto" w:fill="FAE2D5"/>
        <w:spacing w:after="0" w:line="240" w:lineRule="auto"/>
      </w:pPr>
      <w:r w:rsidRPr="00A46A34">
        <w:t>Aralkum y Kyzylkum del noroeste</w:t>
      </w:r>
    </w:p>
    <w:p w14:paraId="7EBFD4FB" w14:textId="77777777" w:rsidR="00BD0605" w:rsidRPr="00A46A34" w:rsidRDefault="00BD0605" w:rsidP="00BD0605">
      <w:pPr>
        <w:pStyle w:val="P68B1DB1-Normal62"/>
        <w:spacing w:after="0" w:line="240" w:lineRule="auto"/>
        <w:rPr>
          <w:rFonts w:eastAsia="Aptos" w:cs="Arial"/>
        </w:rPr>
      </w:pPr>
      <w:r w:rsidRPr="00A46A34">
        <w:rPr>
          <w:noProof/>
        </w:rPr>
        <w:drawing>
          <wp:inline distT="0" distB="0" distL="0" distR="0" wp14:anchorId="68B79E9A" wp14:editId="674C6816">
            <wp:extent cx="7149849" cy="5054600"/>
            <wp:effectExtent l="0" t="0" r="0" b="0"/>
            <wp:docPr id="15872024" name="Picture 1" descr="A map of the eastern part of the united stat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024" name="Picture 1" descr="A map of the eastern part of the united states  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183744" cy="5078562"/>
                    </a:xfrm>
                    <a:prstGeom prst="rect">
                      <a:avLst/>
                    </a:prstGeom>
                    <a:noFill/>
                    <a:ln>
                      <a:noFill/>
                    </a:ln>
                  </pic:spPr>
                </pic:pic>
              </a:graphicData>
            </a:graphic>
          </wp:inline>
        </w:drawing>
      </w:r>
    </w:p>
    <w:p w14:paraId="205A8A76" w14:textId="77777777" w:rsidR="00BD0605" w:rsidRPr="00A46A34" w:rsidRDefault="00BD0605" w:rsidP="00BD0605">
      <w:pPr>
        <w:widowControl w:val="0"/>
        <w:shd w:val="clear" w:color="auto" w:fill="D9F2D0"/>
        <w:spacing w:after="0" w:line="1" w:lineRule="exact"/>
        <w:rPr>
          <w:rFonts w:ascii="Arial Unicode MS" w:eastAsia="Arial Unicode MS" w:hAnsi="Arial Unicode MS" w:cs="Arial Unicode MS"/>
          <w:color w:val="000000"/>
          <w:sz w:val="24"/>
        </w:rPr>
      </w:pPr>
    </w:p>
    <w:p w14:paraId="4C7E8C49" w14:textId="77777777" w:rsidR="00BD0605" w:rsidRPr="00A46A34" w:rsidRDefault="00BD0605" w:rsidP="00BD0605">
      <w:pPr>
        <w:widowControl w:val="0"/>
        <w:shd w:val="clear" w:color="auto" w:fill="D9F2D0"/>
        <w:spacing w:after="0" w:line="1" w:lineRule="exact"/>
        <w:rPr>
          <w:rFonts w:ascii="Arial Unicode MS" w:eastAsia="Arial Unicode MS" w:hAnsi="Arial Unicode MS" w:cs="Arial Unicode MS"/>
          <w:color w:val="000000"/>
          <w:sz w:val="24"/>
        </w:rPr>
      </w:pPr>
    </w:p>
    <w:p w14:paraId="2DD8A7EF" w14:textId="77777777" w:rsidR="00BD0605" w:rsidRPr="00A46A34" w:rsidRDefault="00BD0605" w:rsidP="00BD0605">
      <w:pPr>
        <w:spacing w:after="0" w:line="240" w:lineRule="auto"/>
        <w:rPr>
          <w:rFonts w:eastAsia="Aptos" w:cs="Arial"/>
          <w:sz w:val="36"/>
        </w:rPr>
      </w:pPr>
    </w:p>
    <w:p w14:paraId="6BAF4660" w14:textId="77777777" w:rsidR="00BD0605" w:rsidRPr="00124885" w:rsidRDefault="00BD0605" w:rsidP="00BD0605">
      <w:pPr>
        <w:pStyle w:val="P68B1DB1-Normal37"/>
        <w:spacing w:after="0" w:line="240" w:lineRule="auto"/>
        <w:rPr>
          <w:lang w:val="es-ES"/>
        </w:rPr>
      </w:pPr>
      <w:r w:rsidRPr="00124885">
        <w:rPr>
          <w:lang w:val="es-ES"/>
        </w:rPr>
        <w:t>Figura 3. Región transfronteriza prioritaria para la conservación 2: Ustyurt septentrional y oriental; y 3: Aralkum y Kyzylkum del noroeste</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3076EFCE" w14:textId="77777777" w:rsidTr="00337EFC">
        <w:trPr>
          <w:trHeight w:hRule="exact" w:val="437"/>
        </w:trPr>
        <w:tc>
          <w:tcPr>
            <w:tcW w:w="3379" w:type="dxa"/>
            <w:shd w:val="clear" w:color="auto" w:fill="FFFFFF" w:themeFill="background1"/>
            <w:vAlign w:val="center"/>
          </w:tcPr>
          <w:p w14:paraId="3E2BC6D0" w14:textId="77777777" w:rsidR="00BD0605" w:rsidRPr="00124885" w:rsidRDefault="00BD0605" w:rsidP="00337EFC">
            <w:pPr>
              <w:pStyle w:val="P68B1DB1-Normal41"/>
              <w:framePr w:w="3379" w:h="1157" w:wrap="none" w:vAnchor="page" w:hAnchor="page" w:x="8986" w:y="1696"/>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2491D8FF" w14:textId="77777777" w:rsidTr="00337EFC">
        <w:trPr>
          <w:trHeight w:hRule="exact" w:val="442"/>
        </w:trPr>
        <w:tc>
          <w:tcPr>
            <w:tcW w:w="3379" w:type="dxa"/>
            <w:shd w:val="clear" w:color="auto" w:fill="FFFFFF" w:themeFill="background1"/>
            <w:vAlign w:val="center"/>
          </w:tcPr>
          <w:p w14:paraId="5DDA8E4C" w14:textId="77777777" w:rsidR="00BD0605" w:rsidRPr="00124885" w:rsidRDefault="00BD0605" w:rsidP="00337EFC">
            <w:pPr>
              <w:pStyle w:val="P68B1DB1-Normal41"/>
              <w:framePr w:w="3379" w:h="1157" w:wrap="none" w:vAnchor="page" w:hAnchor="page" w:x="8986" w:y="1696"/>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17971514" w14:textId="77777777" w:rsidTr="00337EFC">
        <w:trPr>
          <w:trHeight w:hRule="exact" w:val="278"/>
        </w:trPr>
        <w:tc>
          <w:tcPr>
            <w:tcW w:w="3379" w:type="dxa"/>
            <w:shd w:val="clear" w:color="auto" w:fill="FFFFFF" w:themeFill="background1"/>
            <w:vAlign w:val="center"/>
          </w:tcPr>
          <w:p w14:paraId="0A3E6AE2" w14:textId="77777777" w:rsidR="00BD0605" w:rsidRPr="00124885" w:rsidRDefault="00BD0605" w:rsidP="00337EFC">
            <w:pPr>
              <w:pStyle w:val="P68B1DB1-Normal41"/>
              <w:framePr w:w="3379" w:h="1157" w:wrap="none" w:vAnchor="page" w:hAnchor="page" w:x="8986" w:y="1696"/>
              <w:widowControl w:val="0"/>
              <w:spacing w:after="0" w:line="240" w:lineRule="auto"/>
              <w:rPr>
                <w:rFonts w:eastAsia="Arial" w:cs="Arial"/>
                <w:i/>
                <w:color w:val="476338"/>
                <w:lang w:val="es-ES"/>
              </w:rPr>
            </w:pPr>
            <w:r w:rsidRPr="00124885">
              <w:rPr>
                <w:lang w:val="es-ES"/>
              </w:rPr>
              <w:t>Estados del área de distribución de la CAMI</w:t>
            </w:r>
          </w:p>
        </w:tc>
      </w:tr>
    </w:tbl>
    <w:p w14:paraId="1A1063DB" w14:textId="77777777" w:rsidR="00BD0605" w:rsidRPr="00124885" w:rsidRDefault="00BD0605" w:rsidP="00BD0605">
      <w:pPr>
        <w:pStyle w:val="P68B1DB1-Normal61"/>
        <w:framePr w:wrap="none" w:vAnchor="page" w:hAnchor="page" w:x="9631" w:y="8701"/>
        <w:widowControl w:val="0"/>
        <w:shd w:val="clear" w:color="auto" w:fill="FFFFFF" w:themeFill="background1"/>
        <w:spacing w:after="0" w:line="240" w:lineRule="auto"/>
        <w:rPr>
          <w:lang w:val="es-ES"/>
        </w:rPr>
      </w:pPr>
      <w:r w:rsidRPr="00124885">
        <w:rPr>
          <w:lang w:val="es-ES"/>
        </w:rPr>
        <w:t>150 km</w:t>
      </w:r>
    </w:p>
    <w:p w14:paraId="01D375E5" w14:textId="77777777" w:rsidR="00BD0605" w:rsidRPr="00124885" w:rsidRDefault="00BD0605" w:rsidP="00BD0605">
      <w:pPr>
        <w:pStyle w:val="P68B1DB1-Normal64"/>
        <w:framePr w:wrap="none" w:vAnchor="page" w:hAnchor="page" w:x="8651" w:y="1482"/>
        <w:widowControl w:val="0"/>
        <w:shd w:val="clear" w:color="auto" w:fill="FFFFFF"/>
        <w:spacing w:after="0" w:line="240" w:lineRule="auto"/>
        <w:outlineLvl w:val="0"/>
        <w:rPr>
          <w:sz w:val="20"/>
          <w:lang w:val="es-ES"/>
        </w:rPr>
      </w:pPr>
      <w:r w:rsidRPr="00124885">
        <w:rPr>
          <w:lang w:val="es-ES"/>
        </w:rPr>
        <w:t>Leyenda</w:t>
      </w:r>
    </w:p>
    <w:p w14:paraId="285E818C" w14:textId="77777777" w:rsidR="00BD0605" w:rsidRPr="00124885" w:rsidRDefault="00BD0605" w:rsidP="00BD0605">
      <w:pPr>
        <w:pStyle w:val="P68B1DB1-Normal67"/>
        <w:framePr w:wrap="none" w:vAnchor="page" w:hAnchor="page" w:x="5979" w:y="5139"/>
        <w:widowControl w:val="0"/>
        <w:shd w:val="clear" w:color="auto" w:fill="FAE2D5"/>
        <w:spacing w:after="0" w:line="240" w:lineRule="auto"/>
        <w:rPr>
          <w:lang w:val="es-ES"/>
        </w:rPr>
      </w:pPr>
      <w:r w:rsidRPr="00124885">
        <w:rPr>
          <w:lang w:val="es-ES"/>
        </w:rPr>
        <w:t>Kopetdag</w:t>
      </w:r>
    </w:p>
    <w:p w14:paraId="4C9CA9E8" w14:textId="77777777" w:rsidR="00BD0605" w:rsidRPr="00124885" w:rsidRDefault="00BD0605" w:rsidP="00BD0605">
      <w:pPr>
        <w:pStyle w:val="P68B1DB1-Normal66"/>
        <w:framePr w:wrap="none" w:vAnchor="page" w:hAnchor="page" w:x="7564" w:y="3337"/>
        <w:widowControl w:val="0"/>
        <w:shd w:val="clear" w:color="auto" w:fill="E2EFD9" w:themeFill="accent6" w:themeFillTint="33"/>
        <w:spacing w:after="0" w:line="240" w:lineRule="auto"/>
        <w:rPr>
          <w:i/>
          <w:color w:val="476338"/>
          <w:sz w:val="13"/>
          <w:lang w:val="es-ES"/>
        </w:rPr>
      </w:pPr>
      <w:r w:rsidRPr="00124885">
        <w:rPr>
          <w:lang w:val="es-ES"/>
        </w:rPr>
        <w:t>TURKMENISTÁN</w:t>
      </w:r>
    </w:p>
    <w:p w14:paraId="312F1627" w14:textId="77777777" w:rsidR="00BD0605" w:rsidRPr="00124885" w:rsidRDefault="00BD0605" w:rsidP="00BD0605">
      <w:pPr>
        <w:pStyle w:val="P68B1DB1-Normal65"/>
        <w:framePr w:wrap="none" w:vAnchor="page" w:hAnchor="page" w:x="1576" w:y="1741"/>
        <w:widowControl w:val="0"/>
        <w:shd w:val="clear" w:color="auto" w:fill="FAE2D5"/>
        <w:spacing w:after="0" w:line="240" w:lineRule="auto"/>
        <w:rPr>
          <w:color w:val="476338"/>
          <w:lang w:val="es-ES"/>
        </w:rPr>
      </w:pPr>
      <w:r w:rsidRPr="00124885">
        <w:rPr>
          <w:color w:val="603368"/>
          <w:lang w:val="es-ES"/>
        </w:rPr>
        <w:t xml:space="preserve"> </w:t>
      </w:r>
      <w:r w:rsidRPr="00124885">
        <w:rPr>
          <w:color w:val="476338"/>
          <w:lang w:val="es-ES"/>
        </w:rPr>
        <w:t>Ustyurt occidental y meridional</w:t>
      </w:r>
    </w:p>
    <w:p w14:paraId="7671AD15" w14:textId="77777777" w:rsidR="00BD0605" w:rsidRPr="00A46A34" w:rsidRDefault="00BD0605" w:rsidP="00BD0605">
      <w:pPr>
        <w:pStyle w:val="P68B1DB1-Normal66"/>
        <w:framePr w:wrap="none" w:vAnchor="page" w:hAnchor="page" w:x="11176" w:y="8548"/>
        <w:widowControl w:val="0"/>
        <w:shd w:val="clear" w:color="auto" w:fill="E2EFD9" w:themeFill="accent6" w:themeFillTint="33"/>
        <w:spacing w:after="0" w:line="240" w:lineRule="auto"/>
        <w:rPr>
          <w:i/>
          <w:color w:val="476338"/>
        </w:rPr>
      </w:pPr>
      <w:r w:rsidRPr="00A46A34">
        <w:t>AFGANISTÁN</w:t>
      </w:r>
    </w:p>
    <w:p w14:paraId="0209F372" w14:textId="77777777" w:rsidR="00BD0605" w:rsidRPr="00A46A34" w:rsidRDefault="00BD0605" w:rsidP="00BD0605">
      <w:pPr>
        <w:pStyle w:val="P68B1DB1-Normal66"/>
        <w:framePr w:wrap="none" w:vAnchor="page" w:hAnchor="page" w:x="5729" w:y="6829"/>
        <w:widowControl w:val="0"/>
        <w:shd w:val="clear" w:color="auto" w:fill="FAE2D5"/>
        <w:spacing w:after="0" w:line="240" w:lineRule="auto"/>
        <w:rPr>
          <w:i/>
          <w:color w:val="476338"/>
          <w:sz w:val="13"/>
        </w:rPr>
      </w:pPr>
      <w:r w:rsidRPr="00A46A34">
        <w:t>IRÁN</w:t>
      </w:r>
    </w:p>
    <w:p w14:paraId="52CD16C8" w14:textId="77777777" w:rsidR="00BD0605" w:rsidRPr="00A46A34" w:rsidRDefault="00BD0605" w:rsidP="00BD0605">
      <w:pPr>
        <w:pStyle w:val="P68B1DB1-Normal37"/>
        <w:spacing w:before="100" w:beforeAutospacing="1" w:after="100" w:afterAutospacing="1" w:line="240" w:lineRule="auto"/>
        <w:rPr>
          <w:rFonts w:ascii="Times New Roman" w:eastAsia="Times New Roman" w:hAnsi="Times New Roman" w:cs="Times New Roman"/>
          <w:sz w:val="24"/>
        </w:rPr>
      </w:pPr>
      <w:r w:rsidRPr="00A46A34">
        <w:rPr>
          <w:noProof/>
        </w:rPr>
        <w:drawing>
          <wp:inline distT="0" distB="0" distL="0" distR="0" wp14:anchorId="794214A4" wp14:editId="771ED30F">
            <wp:extent cx="7283450" cy="5149246"/>
            <wp:effectExtent l="0" t="0" r="0" b="0"/>
            <wp:docPr id="1263174762" name="Picture 3" descr="A map of a larg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4762" name="Picture 3" descr="A map of a large area  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287654" cy="5152218"/>
                    </a:xfrm>
                    <a:prstGeom prst="rect">
                      <a:avLst/>
                    </a:prstGeom>
                    <a:noFill/>
                    <a:ln>
                      <a:noFill/>
                    </a:ln>
                  </pic:spPr>
                </pic:pic>
              </a:graphicData>
            </a:graphic>
          </wp:inline>
        </w:drawing>
      </w:r>
    </w:p>
    <w:p w14:paraId="20EFE39B" w14:textId="77777777" w:rsidR="00BD0605" w:rsidRPr="00A46A34" w:rsidRDefault="00BD0605" w:rsidP="00BD0605">
      <w:pPr>
        <w:widowControl w:val="0"/>
        <w:shd w:val="clear" w:color="auto" w:fill="FAE2D5"/>
        <w:spacing w:after="0" w:line="1" w:lineRule="exact"/>
        <w:rPr>
          <w:rFonts w:ascii="Arial Unicode MS" w:eastAsia="Arial Unicode MS" w:hAnsi="Arial Unicode MS" w:cs="Arial Unicode MS"/>
          <w:color w:val="000000"/>
          <w:sz w:val="24"/>
        </w:rPr>
      </w:pPr>
    </w:p>
    <w:p w14:paraId="2DFB7FD6" w14:textId="77777777" w:rsidR="00BD0605" w:rsidRPr="00A46A34" w:rsidRDefault="00BD0605" w:rsidP="00BD0605">
      <w:pPr>
        <w:widowControl w:val="0"/>
        <w:shd w:val="clear" w:color="auto" w:fill="FAE2D5"/>
        <w:spacing w:after="0" w:line="1" w:lineRule="exact"/>
        <w:rPr>
          <w:rFonts w:ascii="Arial Unicode MS" w:eastAsia="Arial Unicode MS" w:hAnsi="Arial Unicode MS" w:cs="Arial Unicode MS"/>
          <w:color w:val="000000"/>
          <w:sz w:val="24"/>
        </w:rPr>
      </w:pPr>
    </w:p>
    <w:p w14:paraId="2463F602" w14:textId="77777777" w:rsidR="00BD0605" w:rsidRPr="00124885" w:rsidRDefault="00BD0605" w:rsidP="00BD0605">
      <w:pPr>
        <w:pStyle w:val="P68B1DB1-Normal37"/>
        <w:spacing w:after="0" w:line="240" w:lineRule="auto"/>
        <w:rPr>
          <w:lang w:val="es-ES"/>
        </w:rPr>
      </w:pPr>
      <w:r w:rsidRPr="00124885">
        <w:rPr>
          <w:lang w:val="es-ES"/>
        </w:rPr>
        <w:t xml:space="preserve">Figura 4. Región transfronteriza prioritaria para la conservación 4: Kopetdag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471B54B9" w14:textId="77777777" w:rsidTr="00337EFC">
        <w:trPr>
          <w:trHeight w:hRule="exact" w:val="437"/>
        </w:trPr>
        <w:tc>
          <w:tcPr>
            <w:tcW w:w="3379" w:type="dxa"/>
            <w:shd w:val="clear" w:color="auto" w:fill="FFFFFF" w:themeFill="background1"/>
            <w:vAlign w:val="center"/>
          </w:tcPr>
          <w:p w14:paraId="29E16639" w14:textId="77777777" w:rsidR="00BD0605" w:rsidRPr="00124885" w:rsidRDefault="00BD0605" w:rsidP="00337EFC">
            <w:pPr>
              <w:pStyle w:val="P68B1DB1-Normal41"/>
              <w:framePr w:w="3379" w:h="1157" w:wrap="none" w:vAnchor="page" w:hAnchor="page" w:x="9061" w:y="1708"/>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2EEE3850" w14:textId="77777777" w:rsidTr="00337EFC">
        <w:trPr>
          <w:trHeight w:hRule="exact" w:val="442"/>
        </w:trPr>
        <w:tc>
          <w:tcPr>
            <w:tcW w:w="3379" w:type="dxa"/>
            <w:shd w:val="clear" w:color="auto" w:fill="FFFFFF" w:themeFill="background1"/>
            <w:vAlign w:val="center"/>
          </w:tcPr>
          <w:p w14:paraId="7E8E2A00" w14:textId="77777777" w:rsidR="00BD0605" w:rsidRPr="00124885" w:rsidRDefault="00BD0605" w:rsidP="00337EFC">
            <w:pPr>
              <w:pStyle w:val="P68B1DB1-Normal41"/>
              <w:framePr w:w="3379" w:h="1157" w:wrap="none" w:vAnchor="page" w:hAnchor="page" w:x="9061" w:y="1708"/>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22473202" w14:textId="77777777" w:rsidTr="00337EFC">
        <w:trPr>
          <w:trHeight w:hRule="exact" w:val="278"/>
        </w:trPr>
        <w:tc>
          <w:tcPr>
            <w:tcW w:w="3379" w:type="dxa"/>
            <w:shd w:val="clear" w:color="auto" w:fill="FFFFFF" w:themeFill="background1"/>
            <w:vAlign w:val="center"/>
          </w:tcPr>
          <w:p w14:paraId="03F327B6" w14:textId="77777777" w:rsidR="00BD0605" w:rsidRPr="00124885" w:rsidRDefault="00BD0605" w:rsidP="00337EFC">
            <w:pPr>
              <w:pStyle w:val="P68B1DB1-Normal41"/>
              <w:framePr w:w="3379" w:h="1157" w:wrap="none" w:vAnchor="page" w:hAnchor="page" w:x="9061" w:y="1708"/>
              <w:widowControl w:val="0"/>
              <w:spacing w:after="0" w:line="240" w:lineRule="auto"/>
              <w:rPr>
                <w:rFonts w:eastAsia="Arial" w:cs="Arial"/>
                <w:i/>
                <w:color w:val="476338"/>
                <w:lang w:val="es-ES"/>
              </w:rPr>
            </w:pPr>
            <w:r w:rsidRPr="00124885">
              <w:rPr>
                <w:lang w:val="es-ES"/>
              </w:rPr>
              <w:t>Estados del área de distribución de la CAMI</w:t>
            </w:r>
          </w:p>
        </w:tc>
      </w:tr>
    </w:tbl>
    <w:p w14:paraId="205635BE" w14:textId="77777777" w:rsidR="00BD0605" w:rsidRPr="00124885" w:rsidRDefault="00BD0605" w:rsidP="00BD0605">
      <w:pPr>
        <w:pStyle w:val="P68B1DB1-Normal61"/>
        <w:framePr w:wrap="none" w:vAnchor="page" w:hAnchor="page" w:x="11206" w:y="8761"/>
        <w:widowControl w:val="0"/>
        <w:shd w:val="clear" w:color="auto" w:fill="FFFFFF" w:themeFill="background1"/>
        <w:spacing w:after="0" w:line="240" w:lineRule="auto"/>
        <w:rPr>
          <w:lang w:val="es-ES"/>
        </w:rPr>
      </w:pPr>
      <w:r w:rsidRPr="00124885">
        <w:rPr>
          <w:lang w:val="es-ES"/>
        </w:rPr>
        <w:t>40 km</w:t>
      </w:r>
    </w:p>
    <w:p w14:paraId="26588AA6" w14:textId="77777777" w:rsidR="00BD0605" w:rsidRPr="00124885" w:rsidRDefault="00BD0605" w:rsidP="00BD0605">
      <w:pPr>
        <w:pStyle w:val="P68B1DB1-Normal64"/>
        <w:framePr w:wrap="none" w:vAnchor="page" w:hAnchor="page" w:x="8727" w:y="1379"/>
        <w:widowControl w:val="0"/>
        <w:shd w:val="clear" w:color="auto" w:fill="FFFFFF"/>
        <w:spacing w:after="0" w:line="240" w:lineRule="auto"/>
        <w:outlineLvl w:val="0"/>
        <w:rPr>
          <w:sz w:val="20"/>
          <w:lang w:val="es-ES"/>
        </w:rPr>
      </w:pPr>
      <w:r w:rsidRPr="00124885">
        <w:rPr>
          <w:lang w:val="es-ES"/>
        </w:rPr>
        <w:t>Leyenda</w:t>
      </w:r>
    </w:p>
    <w:p w14:paraId="2DCBC6DE" w14:textId="77777777" w:rsidR="00BD0605" w:rsidRPr="00124885" w:rsidRDefault="00BD0605" w:rsidP="00BD0605">
      <w:pPr>
        <w:pStyle w:val="P68B1DB1-Normal67"/>
        <w:framePr w:w="1561" w:h="181" w:hRule="exact" w:wrap="none" w:vAnchor="page" w:hAnchor="page" w:x="4901" w:y="4125"/>
        <w:widowControl w:val="0"/>
        <w:shd w:val="clear" w:color="auto" w:fill="D9F2D0"/>
        <w:spacing w:after="0" w:line="240" w:lineRule="auto"/>
        <w:rPr>
          <w:lang w:val="es-ES"/>
        </w:rPr>
      </w:pPr>
      <w:r w:rsidRPr="00124885">
        <w:rPr>
          <w:shd w:val="clear" w:color="auto" w:fill="FBE4D5" w:themeFill="accent2" w:themeFillTint="33"/>
          <w:lang w:val="es-ES"/>
        </w:rPr>
        <w:t>Koytendag y</w:t>
      </w:r>
      <w:r w:rsidRPr="00124885">
        <w:rPr>
          <w:lang w:val="es-ES"/>
        </w:rPr>
        <w:t xml:space="preserve"> Kugitang</w:t>
      </w:r>
    </w:p>
    <w:p w14:paraId="7D98EDD7" w14:textId="77777777" w:rsidR="00BD0605" w:rsidRPr="00124885" w:rsidRDefault="00BD0605" w:rsidP="00BD0605">
      <w:pPr>
        <w:pStyle w:val="P68B1DB1-Normal66"/>
        <w:framePr w:wrap="none" w:vAnchor="page" w:hAnchor="page" w:x="8474" w:y="4984"/>
        <w:widowControl w:val="0"/>
        <w:shd w:val="clear" w:color="auto" w:fill="D9F2D0"/>
        <w:spacing w:after="0" w:line="240" w:lineRule="auto"/>
        <w:rPr>
          <w:i/>
          <w:color w:val="476338"/>
          <w:lang w:val="es-ES"/>
        </w:rPr>
      </w:pPr>
      <w:r w:rsidRPr="00124885">
        <w:rPr>
          <w:lang w:val="es-ES"/>
        </w:rPr>
        <w:t>UZBEKISTÁN</w:t>
      </w:r>
    </w:p>
    <w:p w14:paraId="6EE93DF9" w14:textId="77777777" w:rsidR="00BD0605" w:rsidRPr="00A46A34" w:rsidRDefault="00BD0605" w:rsidP="00BD0605">
      <w:pPr>
        <w:pStyle w:val="P68B1DB1-Normal66"/>
        <w:framePr w:wrap="none" w:vAnchor="page" w:hAnchor="page" w:x="2594" w:y="4611"/>
        <w:widowControl w:val="0"/>
        <w:shd w:val="clear" w:color="auto" w:fill="FBE4D5" w:themeFill="accent2" w:themeFillTint="33"/>
        <w:spacing w:after="0" w:line="240" w:lineRule="auto"/>
        <w:rPr>
          <w:i/>
          <w:color w:val="476338"/>
        </w:rPr>
      </w:pPr>
      <w:r w:rsidRPr="00A46A34">
        <w:t>TURKMENISTÁN</w:t>
      </w:r>
    </w:p>
    <w:p w14:paraId="04FB76D1" w14:textId="77777777" w:rsidR="00BD0605" w:rsidRPr="00A46A34" w:rsidRDefault="00BD0605" w:rsidP="00BD0605">
      <w:pPr>
        <w:pStyle w:val="P68B1DB1-Normal37"/>
        <w:spacing w:before="100" w:beforeAutospacing="1" w:after="100" w:afterAutospacing="1" w:line="240" w:lineRule="auto"/>
        <w:rPr>
          <w:rFonts w:ascii="Arial Unicode MS" w:eastAsia="Arial Unicode MS" w:hAnsi="Arial Unicode MS" w:cs="Arial Unicode MS"/>
          <w:color w:val="000000"/>
          <w:sz w:val="14"/>
        </w:rPr>
      </w:pPr>
      <w:r w:rsidRPr="00A46A34">
        <w:rPr>
          <w:noProof/>
        </w:rPr>
        <w:drawing>
          <wp:inline distT="0" distB="0" distL="0" distR="0" wp14:anchorId="7493CD79" wp14:editId="653E91DE">
            <wp:extent cx="7305675" cy="5164959"/>
            <wp:effectExtent l="0" t="0" r="0" b="0"/>
            <wp:docPr id="1338350557" name="Picture 4" descr="A map of a mountain rang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50557" name="Picture 4" descr="A map of a mountain range  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321288" cy="5175997"/>
                    </a:xfrm>
                    <a:prstGeom prst="rect">
                      <a:avLst/>
                    </a:prstGeom>
                    <a:noFill/>
                    <a:ln>
                      <a:noFill/>
                    </a:ln>
                  </pic:spPr>
                </pic:pic>
              </a:graphicData>
            </a:graphic>
          </wp:inline>
        </w:drawing>
      </w:r>
    </w:p>
    <w:p w14:paraId="3E09DF0E" w14:textId="77777777" w:rsidR="00BD0605" w:rsidRPr="00124885" w:rsidRDefault="00BD0605" w:rsidP="00BD0605">
      <w:pPr>
        <w:pStyle w:val="P68B1DB1-Normal66"/>
        <w:framePr w:wrap="none" w:vAnchor="page" w:hAnchor="page" w:x="5090" w:y="8828"/>
        <w:widowControl w:val="0"/>
        <w:shd w:val="clear" w:color="auto" w:fill="D9F2D0"/>
        <w:spacing w:after="0" w:line="240" w:lineRule="auto"/>
        <w:rPr>
          <w:i/>
          <w:color w:val="476338"/>
          <w:lang w:val="es-ES"/>
        </w:rPr>
      </w:pPr>
      <w:r w:rsidRPr="00124885">
        <w:rPr>
          <w:lang w:val="es-ES"/>
        </w:rPr>
        <w:t>AFGANISTÁN</w:t>
      </w:r>
    </w:p>
    <w:p w14:paraId="1BBEFF98" w14:textId="77777777" w:rsidR="00BD0605" w:rsidRPr="00124885" w:rsidRDefault="00BD0605" w:rsidP="00BD0605">
      <w:pPr>
        <w:widowControl w:val="0"/>
        <w:shd w:val="clear" w:color="auto" w:fill="D9F2D0"/>
        <w:spacing w:after="0" w:line="1" w:lineRule="exact"/>
        <w:rPr>
          <w:rFonts w:ascii="Arial Unicode MS" w:eastAsia="Arial Unicode MS" w:hAnsi="Arial Unicode MS" w:cs="Arial Unicode MS"/>
          <w:color w:val="000000"/>
          <w:sz w:val="14"/>
          <w:lang w:val="es-ES"/>
        </w:rPr>
      </w:pPr>
    </w:p>
    <w:p w14:paraId="09602617" w14:textId="77777777" w:rsidR="00BD0605" w:rsidRPr="00124885" w:rsidRDefault="00BD0605" w:rsidP="00BD0605">
      <w:pPr>
        <w:pStyle w:val="P68B1DB1-Normal37"/>
        <w:spacing w:before="100" w:beforeAutospacing="1" w:after="100" w:afterAutospacing="1" w:line="240" w:lineRule="auto"/>
        <w:rPr>
          <w:lang w:val="es-ES"/>
        </w:rPr>
      </w:pPr>
      <w:r w:rsidRPr="00124885">
        <w:rPr>
          <w:lang w:val="es-ES"/>
        </w:rPr>
        <w:t xml:space="preserve">Figura 5. Región transfronteriza prioritaria para la conservación 5: Koytendag y Kugitang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08D49B64" w14:textId="77777777" w:rsidTr="00337EFC">
        <w:trPr>
          <w:trHeight w:hRule="exact" w:val="437"/>
        </w:trPr>
        <w:tc>
          <w:tcPr>
            <w:tcW w:w="3379" w:type="dxa"/>
            <w:shd w:val="clear" w:color="auto" w:fill="FFFFFF" w:themeFill="background1"/>
            <w:vAlign w:val="center"/>
          </w:tcPr>
          <w:p w14:paraId="48A1F8DA" w14:textId="77777777" w:rsidR="00BD0605" w:rsidRPr="00124885" w:rsidRDefault="00BD0605" w:rsidP="00337EFC">
            <w:pPr>
              <w:pStyle w:val="P68B1DB1-Normal41"/>
              <w:framePr w:w="3379" w:h="1157" w:wrap="none" w:vAnchor="page" w:hAnchor="page" w:x="9091" w:y="8041"/>
              <w:widowControl w:val="0"/>
              <w:spacing w:after="0" w:line="262" w:lineRule="auto"/>
              <w:rPr>
                <w:rFonts w:eastAsia="Arial" w:cs="Arial"/>
                <w:i/>
                <w:color w:val="476338"/>
                <w:lang w:val="es-ES"/>
              </w:rPr>
            </w:pPr>
            <w:bookmarkStart w:id="13" w:name="_Hlk214386025"/>
            <w:r w:rsidRPr="00124885">
              <w:rPr>
                <w:lang w:val="es-ES"/>
              </w:rPr>
              <w:lastRenderedPageBreak/>
              <w:t>Regiones transfronterizas prioritarias para la conservación del Programa de Trabajo de la CAMI 2026-2032</w:t>
            </w:r>
          </w:p>
        </w:tc>
      </w:tr>
      <w:tr w:rsidR="00BD0605" w:rsidRPr="00124885" w14:paraId="195D6459" w14:textId="77777777" w:rsidTr="00337EFC">
        <w:trPr>
          <w:trHeight w:hRule="exact" w:val="442"/>
        </w:trPr>
        <w:tc>
          <w:tcPr>
            <w:tcW w:w="3379" w:type="dxa"/>
            <w:shd w:val="clear" w:color="auto" w:fill="FFFFFF" w:themeFill="background1"/>
            <w:vAlign w:val="center"/>
          </w:tcPr>
          <w:p w14:paraId="5F59F6C9" w14:textId="77777777" w:rsidR="00BD0605" w:rsidRPr="00124885" w:rsidRDefault="00BD0605" w:rsidP="00337EFC">
            <w:pPr>
              <w:pStyle w:val="P68B1DB1-Normal41"/>
              <w:framePr w:w="3379" w:h="1157" w:wrap="none" w:vAnchor="page" w:hAnchor="page" w:x="9091" w:y="804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4CE49FED" w14:textId="77777777" w:rsidTr="00337EFC">
        <w:trPr>
          <w:trHeight w:hRule="exact" w:val="278"/>
        </w:trPr>
        <w:tc>
          <w:tcPr>
            <w:tcW w:w="3379" w:type="dxa"/>
            <w:shd w:val="clear" w:color="auto" w:fill="FFFFFF" w:themeFill="background1"/>
            <w:vAlign w:val="center"/>
          </w:tcPr>
          <w:p w14:paraId="2EDF7051" w14:textId="77777777" w:rsidR="00BD0605" w:rsidRPr="00124885" w:rsidRDefault="00BD0605" w:rsidP="00337EFC">
            <w:pPr>
              <w:pStyle w:val="P68B1DB1-Normal41"/>
              <w:framePr w:w="3379" w:h="1157" w:wrap="none" w:vAnchor="page" w:hAnchor="page" w:x="9091" w:y="8041"/>
              <w:widowControl w:val="0"/>
              <w:spacing w:after="0" w:line="240" w:lineRule="auto"/>
              <w:rPr>
                <w:rFonts w:eastAsia="Arial" w:cs="Arial"/>
                <w:i/>
                <w:color w:val="476338"/>
                <w:lang w:val="es-ES"/>
              </w:rPr>
            </w:pPr>
            <w:r w:rsidRPr="00124885">
              <w:rPr>
                <w:lang w:val="es-ES"/>
              </w:rPr>
              <w:t>Estados del área de distribución de la CAMI</w:t>
            </w:r>
          </w:p>
        </w:tc>
      </w:tr>
    </w:tbl>
    <w:bookmarkEnd w:id="13"/>
    <w:p w14:paraId="79D83264" w14:textId="77777777" w:rsidR="00BD0605" w:rsidRPr="00A46A34" w:rsidRDefault="00BD0605" w:rsidP="00BD0605">
      <w:pPr>
        <w:pStyle w:val="P68B1DB1-Normal61"/>
        <w:framePr w:wrap="none" w:vAnchor="page" w:hAnchor="page" w:x="7605" w:y="8714"/>
        <w:widowControl w:val="0"/>
        <w:shd w:val="clear" w:color="auto" w:fill="FFFFFF" w:themeFill="background1"/>
        <w:spacing w:after="0" w:line="240" w:lineRule="auto"/>
      </w:pPr>
      <w:r w:rsidRPr="00A46A34">
        <w:t>150 km</w:t>
      </w:r>
    </w:p>
    <w:p w14:paraId="76122AB9" w14:textId="77777777" w:rsidR="00BD0605" w:rsidRPr="00A46A34" w:rsidRDefault="00BD0605" w:rsidP="00BD0605">
      <w:pPr>
        <w:pStyle w:val="P68B1DB1-Normal64"/>
        <w:framePr w:wrap="none" w:vAnchor="page" w:hAnchor="page" w:x="8735" w:y="7812"/>
        <w:widowControl w:val="0"/>
        <w:shd w:val="clear" w:color="auto" w:fill="FFFFFF"/>
        <w:spacing w:after="0" w:line="240" w:lineRule="auto"/>
        <w:outlineLvl w:val="0"/>
        <w:rPr>
          <w:sz w:val="20"/>
        </w:rPr>
      </w:pPr>
      <w:r w:rsidRPr="00A46A34">
        <w:t>Leyenda</w:t>
      </w:r>
    </w:p>
    <w:p w14:paraId="31FDF9E9" w14:textId="77777777" w:rsidR="00BD0605" w:rsidRPr="00A46A34" w:rsidRDefault="00BD0605" w:rsidP="00BD0605">
      <w:pPr>
        <w:pStyle w:val="P68B1DB1-Normal66"/>
        <w:framePr w:w="1016" w:wrap="none" w:vAnchor="page" w:hAnchor="page" w:x="6010" w:y="3700"/>
        <w:widowControl w:val="0"/>
        <w:shd w:val="clear" w:color="auto" w:fill="D9F2D0"/>
        <w:spacing w:after="0" w:line="240" w:lineRule="auto"/>
        <w:rPr>
          <w:i/>
          <w:color w:val="476338"/>
        </w:rPr>
      </w:pPr>
      <w:r w:rsidRPr="00A46A34">
        <w:t>KAZAJISTÁN</w:t>
      </w:r>
    </w:p>
    <w:p w14:paraId="77693F7A" w14:textId="77777777" w:rsidR="00BD0605" w:rsidRPr="00A46A34" w:rsidRDefault="00BD0605" w:rsidP="00BD0605">
      <w:pPr>
        <w:pStyle w:val="P68B1DB1-Normal66"/>
        <w:framePr w:wrap="none" w:vAnchor="page" w:hAnchor="page" w:x="9718" w:y="6973"/>
        <w:widowControl w:val="0"/>
        <w:shd w:val="clear" w:color="auto" w:fill="D9F2D0"/>
        <w:spacing w:after="0" w:line="240" w:lineRule="auto"/>
        <w:rPr>
          <w:i/>
          <w:color w:val="476338"/>
        </w:rPr>
      </w:pPr>
      <w:r w:rsidRPr="00A46A34">
        <w:t>KIRGUISTÁN</w:t>
      </w:r>
    </w:p>
    <w:p w14:paraId="1BB51160" w14:textId="77777777" w:rsidR="00BD0605" w:rsidRPr="00A46A34" w:rsidRDefault="00BD0605" w:rsidP="00BD0605">
      <w:pPr>
        <w:pStyle w:val="P68B1DB1-Normal66"/>
        <w:framePr w:wrap="none" w:vAnchor="page" w:hAnchor="page" w:x="3760" w:y="7647"/>
        <w:widowControl w:val="0"/>
        <w:shd w:val="clear" w:color="auto" w:fill="D9F2D0"/>
        <w:spacing w:after="0" w:line="240" w:lineRule="auto"/>
        <w:rPr>
          <w:i/>
          <w:color w:val="476338"/>
        </w:rPr>
      </w:pPr>
      <w:r w:rsidRPr="00A46A34">
        <w:t>UZBEKISTÁN</w:t>
      </w:r>
    </w:p>
    <w:p w14:paraId="0C6852A4" w14:textId="77777777" w:rsidR="00BD0605" w:rsidRPr="00A46A34" w:rsidRDefault="00BD0605" w:rsidP="00BD0605">
      <w:pPr>
        <w:pStyle w:val="P68B1DB1-Normal68"/>
        <w:spacing w:before="100" w:beforeAutospacing="1" w:after="100" w:afterAutospacing="1" w:line="240" w:lineRule="auto"/>
      </w:pPr>
      <w:r w:rsidRPr="00A46A34">
        <w:rPr>
          <w:noProof/>
        </w:rPr>
        <w:drawing>
          <wp:inline distT="0" distB="0" distL="0" distR="0" wp14:anchorId="2C6ED5AE" wp14:editId="33083A7F">
            <wp:extent cx="7316640" cy="5172710"/>
            <wp:effectExtent l="0" t="0" r="0" b="8890"/>
            <wp:docPr id="1047341500" name="Picture 5" descr="A map of the north and the nort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1500" name="Picture 5" descr="A map of the north and the north  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322862" cy="5177109"/>
                    </a:xfrm>
                    <a:prstGeom prst="rect">
                      <a:avLst/>
                    </a:prstGeom>
                    <a:noFill/>
                    <a:ln>
                      <a:noFill/>
                    </a:ln>
                  </pic:spPr>
                </pic:pic>
              </a:graphicData>
            </a:graphic>
          </wp:inline>
        </w:drawing>
      </w:r>
    </w:p>
    <w:p w14:paraId="19370AFD"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6FAD423B" w14:textId="77777777" w:rsidR="00BD0605" w:rsidRPr="00124885" w:rsidRDefault="00BD0605" w:rsidP="00BD0605">
      <w:pPr>
        <w:pStyle w:val="P68B1DB1-Normal67"/>
        <w:framePr w:wrap="none" w:vAnchor="page" w:hAnchor="page" w:x="6088" w:y="4485"/>
        <w:widowControl w:val="0"/>
        <w:shd w:val="clear" w:color="auto" w:fill="D9F2D0"/>
        <w:spacing w:after="0" w:line="240" w:lineRule="auto"/>
        <w:rPr>
          <w:lang w:val="es-ES"/>
        </w:rPr>
      </w:pPr>
      <w:r w:rsidRPr="00124885">
        <w:rPr>
          <w:shd w:val="clear" w:color="auto" w:fill="FBE4D5" w:themeFill="accent2" w:themeFillTint="33"/>
          <w:lang w:val="es-ES"/>
        </w:rPr>
        <w:t>Tian Shan occidental</w:t>
      </w:r>
    </w:p>
    <w:p w14:paraId="64D2C5B8" w14:textId="77777777" w:rsidR="00BD0605" w:rsidRPr="00124885" w:rsidRDefault="00BD0605" w:rsidP="00BD0605">
      <w:pPr>
        <w:widowControl w:val="0"/>
        <w:spacing w:after="0" w:line="240" w:lineRule="auto"/>
        <w:rPr>
          <w:rFonts w:ascii="Arial Unicode MS" w:eastAsia="Arial Unicode MS" w:hAnsi="Arial Unicode MS" w:cs="Arial Unicode MS"/>
          <w:color w:val="000000"/>
          <w:sz w:val="2"/>
          <w:lang w:val="es-ES"/>
        </w:rPr>
      </w:pPr>
    </w:p>
    <w:p w14:paraId="04F82074" w14:textId="77777777" w:rsidR="00BD0605" w:rsidRPr="00124885" w:rsidRDefault="00BD0605" w:rsidP="00BD0605">
      <w:pPr>
        <w:pStyle w:val="P68B1DB1-Normal37"/>
        <w:spacing w:after="0" w:line="240" w:lineRule="auto"/>
        <w:rPr>
          <w:lang w:val="es-ES"/>
        </w:rPr>
      </w:pPr>
      <w:r w:rsidRPr="00124885">
        <w:rPr>
          <w:lang w:val="es-ES"/>
        </w:rPr>
        <w:t xml:space="preserve">Figura 6. Región transfronteriza prioritaria para la conservación 6: Tian Shan occidental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6305DB8B" w14:textId="77777777" w:rsidTr="00337EFC">
        <w:trPr>
          <w:trHeight w:hRule="exact" w:val="437"/>
        </w:trPr>
        <w:tc>
          <w:tcPr>
            <w:tcW w:w="3379" w:type="dxa"/>
            <w:shd w:val="clear" w:color="auto" w:fill="FFFFFF" w:themeFill="background1"/>
            <w:vAlign w:val="center"/>
          </w:tcPr>
          <w:p w14:paraId="3E01B83D" w14:textId="77777777" w:rsidR="00BD0605" w:rsidRPr="00124885" w:rsidRDefault="00BD0605" w:rsidP="00337EFC">
            <w:pPr>
              <w:pStyle w:val="P68B1DB1-Normal41"/>
              <w:framePr w:w="3379" w:h="1157" w:wrap="none" w:vAnchor="page" w:hAnchor="page" w:x="9091" w:y="8146"/>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6EC22EC8" w14:textId="77777777" w:rsidTr="00337EFC">
        <w:trPr>
          <w:trHeight w:hRule="exact" w:val="442"/>
        </w:trPr>
        <w:tc>
          <w:tcPr>
            <w:tcW w:w="3379" w:type="dxa"/>
            <w:shd w:val="clear" w:color="auto" w:fill="FFFFFF" w:themeFill="background1"/>
            <w:vAlign w:val="center"/>
          </w:tcPr>
          <w:p w14:paraId="72C44619" w14:textId="77777777" w:rsidR="00BD0605" w:rsidRPr="00124885" w:rsidRDefault="00BD0605" w:rsidP="00337EFC">
            <w:pPr>
              <w:pStyle w:val="P68B1DB1-Normal41"/>
              <w:framePr w:w="3379" w:h="1157" w:wrap="none" w:vAnchor="page" w:hAnchor="page" w:x="9091" w:y="8146"/>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7BB325F2" w14:textId="77777777" w:rsidTr="00337EFC">
        <w:trPr>
          <w:trHeight w:hRule="exact" w:val="278"/>
        </w:trPr>
        <w:tc>
          <w:tcPr>
            <w:tcW w:w="3379" w:type="dxa"/>
            <w:shd w:val="clear" w:color="auto" w:fill="FFFFFF" w:themeFill="background1"/>
            <w:vAlign w:val="center"/>
          </w:tcPr>
          <w:p w14:paraId="2A8998AE" w14:textId="77777777" w:rsidR="00BD0605" w:rsidRPr="00124885" w:rsidRDefault="00BD0605" w:rsidP="00337EFC">
            <w:pPr>
              <w:pStyle w:val="P68B1DB1-Normal41"/>
              <w:framePr w:w="3379" w:h="1157" w:wrap="none" w:vAnchor="page" w:hAnchor="page" w:x="9091" w:y="8146"/>
              <w:widowControl w:val="0"/>
              <w:spacing w:after="0" w:line="240" w:lineRule="auto"/>
              <w:rPr>
                <w:rFonts w:eastAsia="Arial" w:cs="Arial"/>
                <w:i/>
                <w:color w:val="476338"/>
                <w:lang w:val="es-ES"/>
              </w:rPr>
            </w:pPr>
            <w:r w:rsidRPr="00124885">
              <w:rPr>
                <w:lang w:val="es-ES"/>
              </w:rPr>
              <w:t>Estados del área de distribución de la CAMI</w:t>
            </w:r>
          </w:p>
        </w:tc>
      </w:tr>
    </w:tbl>
    <w:p w14:paraId="22C3B3D8" w14:textId="77777777" w:rsidR="00BD0605" w:rsidRPr="00A46A34" w:rsidRDefault="00BD0605" w:rsidP="00BD0605">
      <w:pPr>
        <w:pStyle w:val="P68B1DB1-Normal61"/>
        <w:framePr w:wrap="none" w:vAnchor="page" w:hAnchor="page" w:x="7666" w:y="8761"/>
        <w:widowControl w:val="0"/>
        <w:shd w:val="clear" w:color="auto" w:fill="FFFFFF" w:themeFill="background1"/>
        <w:spacing w:after="0" w:line="240" w:lineRule="auto"/>
      </w:pPr>
      <w:r w:rsidRPr="00A46A34">
        <w:t>150 km</w:t>
      </w:r>
    </w:p>
    <w:p w14:paraId="48D733EB" w14:textId="77777777" w:rsidR="00BD0605" w:rsidRPr="00A46A34" w:rsidRDefault="00BD0605" w:rsidP="00BD0605">
      <w:pPr>
        <w:pStyle w:val="P68B1DB1-Normal64"/>
        <w:framePr w:w="1088" w:wrap="none" w:vAnchor="page" w:hAnchor="page" w:x="8713" w:y="7792"/>
        <w:widowControl w:val="0"/>
        <w:shd w:val="clear" w:color="auto" w:fill="FFFFFF"/>
        <w:spacing w:after="0" w:line="240" w:lineRule="auto"/>
        <w:outlineLvl w:val="0"/>
        <w:rPr>
          <w:sz w:val="20"/>
        </w:rPr>
      </w:pPr>
      <w:r w:rsidRPr="00A46A34">
        <w:t>Leyenda</w:t>
      </w:r>
    </w:p>
    <w:p w14:paraId="02EF9F08" w14:textId="77777777" w:rsidR="00BD0605" w:rsidRPr="00A46A34" w:rsidRDefault="00BD0605" w:rsidP="00BD0605">
      <w:pPr>
        <w:pStyle w:val="P68B1DB1-Normal66"/>
        <w:framePr w:wrap="none" w:vAnchor="page" w:hAnchor="page" w:x="3931" w:y="2756"/>
        <w:widowControl w:val="0"/>
        <w:shd w:val="clear" w:color="auto" w:fill="D9F2D0"/>
        <w:spacing w:after="0" w:line="240" w:lineRule="auto"/>
        <w:rPr>
          <w:i/>
          <w:color w:val="476338"/>
        </w:rPr>
      </w:pPr>
      <w:r w:rsidRPr="00A46A34">
        <w:t>KAZAJISTÁN</w:t>
      </w:r>
    </w:p>
    <w:p w14:paraId="3DB4B585" w14:textId="77777777" w:rsidR="00BD0605" w:rsidRPr="00A46A34" w:rsidRDefault="00BD0605" w:rsidP="00BD0605">
      <w:pPr>
        <w:pStyle w:val="P68B1DB1-Normal66"/>
        <w:framePr w:wrap="none" w:vAnchor="page" w:hAnchor="page" w:x="8450" w:y="5854"/>
        <w:widowControl w:val="0"/>
        <w:shd w:val="clear" w:color="auto" w:fill="D9F2D0"/>
        <w:spacing w:after="0" w:line="240" w:lineRule="auto"/>
        <w:rPr>
          <w:i/>
          <w:color w:val="476338"/>
          <w:sz w:val="13"/>
        </w:rPr>
      </w:pPr>
      <w:r w:rsidRPr="00A46A34">
        <w:t>CHINA</w:t>
      </w:r>
    </w:p>
    <w:p w14:paraId="58A49153" w14:textId="77777777" w:rsidR="00BD0605" w:rsidRPr="00A46A34" w:rsidRDefault="00BD0605" w:rsidP="00BD0605">
      <w:pPr>
        <w:pStyle w:val="P68B1DB1-Normal66"/>
        <w:framePr w:wrap="none" w:vAnchor="page" w:hAnchor="page" w:x="3036" w:y="5729"/>
        <w:widowControl w:val="0"/>
        <w:shd w:val="clear" w:color="auto" w:fill="D9F2D0"/>
        <w:spacing w:after="0" w:line="240" w:lineRule="auto"/>
        <w:rPr>
          <w:i/>
          <w:color w:val="476338"/>
          <w:sz w:val="13"/>
        </w:rPr>
      </w:pPr>
      <w:r w:rsidRPr="00A46A34">
        <w:t>KIRGUISTÁN</w:t>
      </w:r>
    </w:p>
    <w:p w14:paraId="3C67FE1C" w14:textId="77777777" w:rsidR="00BD0605" w:rsidRPr="00A46A34" w:rsidRDefault="00BD0605" w:rsidP="00BD0605">
      <w:pPr>
        <w:pStyle w:val="P68B1DB1-Normal68"/>
        <w:spacing w:before="100" w:beforeAutospacing="1" w:after="0" w:line="240" w:lineRule="auto"/>
      </w:pPr>
      <w:r w:rsidRPr="00A46A34">
        <w:rPr>
          <w:noProof/>
        </w:rPr>
        <w:drawing>
          <wp:inline distT="0" distB="0" distL="0" distR="0" wp14:anchorId="5DB8DC26" wp14:editId="17E2789F">
            <wp:extent cx="7343585" cy="5191760"/>
            <wp:effectExtent l="0" t="0" r="0" b="8890"/>
            <wp:docPr id="1950716104" name="Picture 6" descr="A map of th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16104" name="Picture 6" descr="A map of the area  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352584" cy="5198122"/>
                    </a:xfrm>
                    <a:prstGeom prst="rect">
                      <a:avLst/>
                    </a:prstGeom>
                    <a:noFill/>
                    <a:ln>
                      <a:noFill/>
                    </a:ln>
                  </pic:spPr>
                </pic:pic>
              </a:graphicData>
            </a:graphic>
          </wp:inline>
        </w:drawing>
      </w:r>
    </w:p>
    <w:p w14:paraId="7C8C53A8" w14:textId="77777777" w:rsidR="00BD0605" w:rsidRPr="00A46A34" w:rsidRDefault="00BD0605" w:rsidP="00BD0605">
      <w:pPr>
        <w:widowControl w:val="0"/>
        <w:spacing w:after="0" w:line="240" w:lineRule="auto"/>
        <w:rPr>
          <w:rFonts w:asciiTheme="minorBidi" w:eastAsia="Arial Unicode MS" w:hAnsiTheme="minorBidi"/>
          <w:color w:val="000000"/>
          <w:sz w:val="2"/>
        </w:rPr>
      </w:pPr>
    </w:p>
    <w:p w14:paraId="2E724BEB" w14:textId="77777777" w:rsidR="00BD0605" w:rsidRPr="00124885" w:rsidRDefault="00BD0605" w:rsidP="00BD0605">
      <w:pPr>
        <w:pStyle w:val="P68B1DB1-Normal67"/>
        <w:framePr w:wrap="none" w:vAnchor="page" w:hAnchor="page" w:x="3026" w:y="4961"/>
        <w:widowControl w:val="0"/>
        <w:shd w:val="clear" w:color="auto" w:fill="D9F2D0"/>
        <w:spacing w:after="0" w:line="240" w:lineRule="auto"/>
        <w:ind w:left="1460"/>
        <w:rPr>
          <w:lang w:val="es-ES"/>
        </w:rPr>
      </w:pPr>
      <w:r w:rsidRPr="00006DF4">
        <w:rPr>
          <w:lang w:val="es-ES"/>
        </w:rPr>
        <w:t xml:space="preserve"> </w:t>
      </w:r>
      <w:r w:rsidRPr="00124885">
        <w:rPr>
          <w:shd w:val="clear" w:color="auto" w:fill="FBE4D5" w:themeFill="accent2" w:themeFillTint="33"/>
          <w:lang w:val="es-ES"/>
        </w:rPr>
        <w:t>Tian Shan</w:t>
      </w:r>
      <w:r w:rsidRPr="00124885">
        <w:rPr>
          <w:lang w:val="es-ES"/>
        </w:rPr>
        <w:t xml:space="preserve"> septentrional e interior</w:t>
      </w:r>
    </w:p>
    <w:p w14:paraId="71D741D2" w14:textId="77777777" w:rsidR="00BD0605" w:rsidRPr="00124885" w:rsidRDefault="00BD0605" w:rsidP="00BD0605">
      <w:pPr>
        <w:widowControl w:val="0"/>
        <w:spacing w:after="0" w:line="1" w:lineRule="exact"/>
        <w:rPr>
          <w:rFonts w:ascii="Arial Unicode MS" w:eastAsia="Arial Unicode MS" w:hAnsi="Arial Unicode MS" w:cs="Arial Unicode MS"/>
          <w:color w:val="000000"/>
          <w:sz w:val="24"/>
          <w:lang w:val="es-ES"/>
        </w:rPr>
      </w:pPr>
    </w:p>
    <w:p w14:paraId="6A05121E" w14:textId="77777777" w:rsidR="00BD0605" w:rsidRPr="00124885" w:rsidRDefault="00BD0605" w:rsidP="00BD0605">
      <w:pPr>
        <w:pStyle w:val="P68B1DB1-Normal69"/>
        <w:spacing w:before="100" w:beforeAutospacing="1" w:after="100" w:afterAutospacing="1" w:line="240" w:lineRule="auto"/>
        <w:rPr>
          <w:lang w:val="es-ES"/>
        </w:rPr>
      </w:pPr>
      <w:r w:rsidRPr="00124885">
        <w:rPr>
          <w:lang w:val="es-ES"/>
        </w:rPr>
        <w:t xml:space="preserve">Figura 7. Región transfronteriza prioritaria para la conservación 7: Tian Shan septentrional e interior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71579576" w14:textId="77777777" w:rsidTr="00337EFC">
        <w:trPr>
          <w:trHeight w:hRule="exact" w:val="437"/>
        </w:trPr>
        <w:tc>
          <w:tcPr>
            <w:tcW w:w="3379" w:type="dxa"/>
            <w:shd w:val="clear" w:color="auto" w:fill="FFFFFF" w:themeFill="background1"/>
            <w:vAlign w:val="center"/>
          </w:tcPr>
          <w:p w14:paraId="5F94FA6A" w14:textId="77777777" w:rsidR="00BD0605" w:rsidRPr="00124885" w:rsidRDefault="00BD0605" w:rsidP="00337EFC">
            <w:pPr>
              <w:pStyle w:val="P68B1DB1-Normal41"/>
              <w:framePr w:w="3379" w:h="1157" w:wrap="none" w:vAnchor="page" w:hAnchor="page" w:x="9151" w:y="8216"/>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55335171" w14:textId="77777777" w:rsidTr="00337EFC">
        <w:trPr>
          <w:trHeight w:hRule="exact" w:val="442"/>
        </w:trPr>
        <w:tc>
          <w:tcPr>
            <w:tcW w:w="3379" w:type="dxa"/>
            <w:shd w:val="clear" w:color="auto" w:fill="FFFFFF" w:themeFill="background1"/>
            <w:vAlign w:val="center"/>
          </w:tcPr>
          <w:p w14:paraId="480DD1B8" w14:textId="77777777" w:rsidR="00BD0605" w:rsidRPr="00124885" w:rsidRDefault="00BD0605" w:rsidP="00337EFC">
            <w:pPr>
              <w:pStyle w:val="P68B1DB1-Normal41"/>
              <w:framePr w:w="3379" w:h="1157" w:wrap="none" w:vAnchor="page" w:hAnchor="page" w:x="9151" w:y="8216"/>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16ABAA4E" w14:textId="77777777" w:rsidTr="00337EFC">
        <w:trPr>
          <w:trHeight w:hRule="exact" w:val="278"/>
        </w:trPr>
        <w:tc>
          <w:tcPr>
            <w:tcW w:w="3379" w:type="dxa"/>
            <w:shd w:val="clear" w:color="auto" w:fill="FFFFFF" w:themeFill="background1"/>
            <w:vAlign w:val="center"/>
          </w:tcPr>
          <w:p w14:paraId="2CC82E79" w14:textId="77777777" w:rsidR="00BD0605" w:rsidRPr="00124885" w:rsidRDefault="00BD0605" w:rsidP="00337EFC">
            <w:pPr>
              <w:pStyle w:val="P68B1DB1-Normal41"/>
              <w:framePr w:w="3379" w:h="1157" w:wrap="none" w:vAnchor="page" w:hAnchor="page" w:x="9151" w:y="8216"/>
              <w:widowControl w:val="0"/>
              <w:spacing w:after="0" w:line="240" w:lineRule="auto"/>
              <w:rPr>
                <w:rFonts w:eastAsia="Arial" w:cs="Arial"/>
                <w:i/>
                <w:color w:val="476338"/>
                <w:lang w:val="es-ES"/>
              </w:rPr>
            </w:pPr>
            <w:r w:rsidRPr="00124885">
              <w:rPr>
                <w:lang w:val="es-ES"/>
              </w:rPr>
              <w:t>Estados del área de distribución de la CAMI</w:t>
            </w:r>
          </w:p>
        </w:tc>
      </w:tr>
    </w:tbl>
    <w:p w14:paraId="52B13DB7" w14:textId="77777777" w:rsidR="00BD0605" w:rsidRPr="00124885" w:rsidRDefault="00BD0605" w:rsidP="00BD0605">
      <w:pPr>
        <w:pStyle w:val="P68B1DB1-Normal61"/>
        <w:framePr w:wrap="none" w:vAnchor="page" w:hAnchor="page" w:x="7470" w:y="8827"/>
        <w:widowControl w:val="0"/>
        <w:shd w:val="clear" w:color="auto" w:fill="FFFFFF" w:themeFill="background1"/>
        <w:spacing w:after="0" w:line="240" w:lineRule="auto"/>
        <w:rPr>
          <w:lang w:val="es-ES"/>
        </w:rPr>
      </w:pPr>
      <w:r w:rsidRPr="00124885">
        <w:rPr>
          <w:lang w:val="es-ES"/>
        </w:rPr>
        <w:t>150 km</w:t>
      </w:r>
    </w:p>
    <w:p w14:paraId="749964FA" w14:textId="77777777" w:rsidR="00BD0605" w:rsidRPr="00124885" w:rsidRDefault="00BD0605" w:rsidP="00BD0605">
      <w:pPr>
        <w:pStyle w:val="P68B1DB1-Normal64"/>
        <w:framePr w:w="2196" w:wrap="none" w:vAnchor="page" w:hAnchor="page" w:x="8797" w:y="7885"/>
        <w:widowControl w:val="0"/>
        <w:shd w:val="clear" w:color="auto" w:fill="FFFFFF"/>
        <w:spacing w:after="0" w:line="240" w:lineRule="auto"/>
        <w:outlineLvl w:val="0"/>
        <w:rPr>
          <w:sz w:val="20"/>
          <w:lang w:val="es-ES"/>
        </w:rPr>
      </w:pPr>
      <w:bookmarkStart w:id="14" w:name="_Hlk214386424"/>
      <w:r w:rsidRPr="00124885">
        <w:rPr>
          <w:lang w:val="es-ES"/>
        </w:rPr>
        <w:t>Leyenda</w:t>
      </w:r>
    </w:p>
    <w:bookmarkEnd w:id="14"/>
    <w:p w14:paraId="3BC3C04F" w14:textId="77777777" w:rsidR="00BD0605" w:rsidRPr="00124885" w:rsidRDefault="00BD0605" w:rsidP="00BD0605">
      <w:pPr>
        <w:pStyle w:val="P68B1DB1-Normal66"/>
        <w:framePr w:wrap="none" w:vAnchor="page" w:hAnchor="page" w:x="9467" w:y="4403"/>
        <w:widowControl w:val="0"/>
        <w:shd w:val="clear" w:color="auto" w:fill="D9F2D0"/>
        <w:spacing w:after="0" w:line="240" w:lineRule="auto"/>
        <w:rPr>
          <w:i/>
          <w:color w:val="476338"/>
          <w:lang w:val="es-ES"/>
        </w:rPr>
      </w:pPr>
      <w:r w:rsidRPr="00124885">
        <w:rPr>
          <w:lang w:val="es-ES"/>
        </w:rPr>
        <w:t>CHINA</w:t>
      </w:r>
    </w:p>
    <w:p w14:paraId="5FB56958" w14:textId="77777777" w:rsidR="00BD0605" w:rsidRPr="00124885" w:rsidRDefault="00BD0605" w:rsidP="00BD0605">
      <w:pPr>
        <w:pStyle w:val="P68B1DB1-Normal66"/>
        <w:framePr w:w="1110" w:wrap="none" w:vAnchor="page" w:hAnchor="page" w:x="2747" w:y="1297"/>
        <w:widowControl w:val="0"/>
        <w:shd w:val="clear" w:color="auto" w:fill="D9F2D0"/>
        <w:spacing w:after="0" w:line="240" w:lineRule="auto"/>
        <w:rPr>
          <w:i/>
          <w:color w:val="476338"/>
          <w:lang w:val="es-ES"/>
        </w:rPr>
      </w:pPr>
      <w:r w:rsidRPr="00124885">
        <w:rPr>
          <w:lang w:val="es-ES"/>
        </w:rPr>
        <w:t>KIRGUISTÁN</w:t>
      </w:r>
    </w:p>
    <w:p w14:paraId="4D973C38" w14:textId="77777777" w:rsidR="00BD0605" w:rsidRPr="00124885" w:rsidRDefault="00BD0605" w:rsidP="00BD0605">
      <w:pPr>
        <w:pStyle w:val="P68B1DB1-Normal67"/>
        <w:framePr w:wrap="none" w:vAnchor="page" w:hAnchor="page" w:x="3213" w:y="5284"/>
        <w:widowControl w:val="0"/>
        <w:shd w:val="clear" w:color="auto" w:fill="FBE4D5" w:themeFill="accent2" w:themeFillTint="33"/>
        <w:spacing w:after="0" w:line="240" w:lineRule="auto"/>
        <w:rPr>
          <w:lang w:val="es-ES"/>
        </w:rPr>
      </w:pPr>
      <w:r w:rsidRPr="00124885">
        <w:rPr>
          <w:lang w:val="es-ES"/>
        </w:rPr>
        <w:t>Pamir-Hindukush-Karakoram</w:t>
      </w:r>
    </w:p>
    <w:p w14:paraId="3DEE15B9" w14:textId="77777777" w:rsidR="00BD0605" w:rsidRPr="00A46A34" w:rsidRDefault="00BD0605" w:rsidP="00BD0605">
      <w:pPr>
        <w:pStyle w:val="P68B1DB1-Normal66"/>
        <w:framePr w:w="1099" w:wrap="none" w:vAnchor="page" w:hAnchor="page" w:x="1783" w:y="5585"/>
        <w:widowControl w:val="0"/>
        <w:shd w:val="clear" w:color="auto" w:fill="D9F2D0"/>
        <w:spacing w:after="0" w:line="240" w:lineRule="auto"/>
        <w:rPr>
          <w:i/>
          <w:color w:val="476338"/>
        </w:rPr>
      </w:pPr>
      <w:r w:rsidRPr="00A46A34">
        <w:t>AFGANISTÁN</w:t>
      </w:r>
    </w:p>
    <w:p w14:paraId="71C42AD4" w14:textId="77777777" w:rsidR="00BD0605" w:rsidRPr="00A46A34" w:rsidRDefault="00BD0605" w:rsidP="00BD0605">
      <w:pPr>
        <w:pStyle w:val="P68B1DB1-Normal66"/>
        <w:framePr w:wrap="none" w:vAnchor="page" w:hAnchor="page" w:x="7698" w:y="8465"/>
        <w:widowControl w:val="0"/>
        <w:shd w:val="clear" w:color="auto" w:fill="D9F2D0"/>
        <w:spacing w:after="0" w:line="240" w:lineRule="auto"/>
        <w:rPr>
          <w:i/>
          <w:color w:val="476338"/>
        </w:rPr>
      </w:pPr>
      <w:r w:rsidRPr="00A46A34">
        <w:t>INDIA</w:t>
      </w:r>
    </w:p>
    <w:p w14:paraId="0DABF1F1" w14:textId="77777777" w:rsidR="00BD0605" w:rsidRPr="00A46A34" w:rsidRDefault="00BD0605" w:rsidP="00BD0605">
      <w:pPr>
        <w:pStyle w:val="P68B1DB1-Normal70"/>
        <w:framePr w:wrap="none" w:vAnchor="page" w:hAnchor="page" w:x="6223" w:y="7543"/>
        <w:widowControl w:val="0"/>
        <w:shd w:val="clear" w:color="auto" w:fill="FBE4D5" w:themeFill="accent2" w:themeFillTint="33"/>
        <w:spacing w:after="0" w:line="240" w:lineRule="auto"/>
      </w:pPr>
      <w:r w:rsidRPr="00A46A34">
        <w:t>Jammu y Cachemira</w:t>
      </w:r>
    </w:p>
    <w:p w14:paraId="186D65D2" w14:textId="77777777" w:rsidR="00BD0605" w:rsidRPr="00A46A34" w:rsidRDefault="00BD0605" w:rsidP="00BD0605">
      <w:pPr>
        <w:pStyle w:val="P68B1DB1-Normal68"/>
        <w:spacing w:before="100" w:beforeAutospacing="1" w:after="100" w:afterAutospacing="1" w:line="240" w:lineRule="auto"/>
      </w:pPr>
      <w:r w:rsidRPr="00A46A34">
        <w:rPr>
          <w:noProof/>
        </w:rPr>
        <w:drawing>
          <wp:inline distT="0" distB="0" distL="0" distR="0" wp14:anchorId="663A24EE" wp14:editId="5FA7AF00">
            <wp:extent cx="7397476" cy="5229860"/>
            <wp:effectExtent l="0" t="0" r="0" b="8890"/>
            <wp:docPr id="941932035" name="Picture 7" descr="A map of the region of the republic of belaru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2035" name="Picture 7" descr="A map of the region of the republic of belarus  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409760" cy="5238544"/>
                    </a:xfrm>
                    <a:prstGeom prst="rect">
                      <a:avLst/>
                    </a:prstGeom>
                    <a:noFill/>
                    <a:ln>
                      <a:noFill/>
                    </a:ln>
                  </pic:spPr>
                </pic:pic>
              </a:graphicData>
            </a:graphic>
          </wp:inline>
        </w:drawing>
      </w:r>
    </w:p>
    <w:p w14:paraId="37E7F6C4"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58F28FFF" w14:textId="77777777" w:rsidR="00BD0605" w:rsidRPr="00124885" w:rsidRDefault="00BD0605" w:rsidP="00BD0605">
      <w:pPr>
        <w:pStyle w:val="P68B1DB1-Normal66"/>
        <w:framePr w:wrap="none" w:vAnchor="page" w:hAnchor="page" w:x="3112" w:y="2975"/>
        <w:widowControl w:val="0"/>
        <w:shd w:val="clear" w:color="auto" w:fill="D9F2D0"/>
        <w:spacing w:after="0" w:line="240" w:lineRule="auto"/>
        <w:rPr>
          <w:i/>
          <w:color w:val="476338"/>
          <w:lang w:val="es-ES"/>
        </w:rPr>
      </w:pPr>
      <w:r w:rsidRPr="00124885">
        <w:rPr>
          <w:lang w:val="es-ES"/>
        </w:rPr>
        <w:t>TAYIKISTÁN</w:t>
      </w:r>
    </w:p>
    <w:p w14:paraId="6C8B1ED2" w14:textId="77777777" w:rsidR="00BD0605" w:rsidRPr="00124885" w:rsidRDefault="00BD0605" w:rsidP="00BD0605">
      <w:pPr>
        <w:widowControl w:val="0"/>
        <w:spacing w:after="0" w:line="240" w:lineRule="auto"/>
        <w:rPr>
          <w:rFonts w:ascii="Arial Unicode MS" w:eastAsia="Arial Unicode MS" w:hAnsi="Arial Unicode MS" w:cs="Arial Unicode MS"/>
          <w:color w:val="000000"/>
          <w:sz w:val="2"/>
          <w:lang w:val="es-ES"/>
        </w:rPr>
      </w:pPr>
    </w:p>
    <w:p w14:paraId="302A61CA" w14:textId="77777777" w:rsidR="00BD0605" w:rsidRPr="00124885" w:rsidRDefault="00BD0605" w:rsidP="00BD0605">
      <w:pPr>
        <w:pStyle w:val="P68B1DB1-Normal37"/>
        <w:spacing w:after="0" w:line="240" w:lineRule="auto"/>
        <w:rPr>
          <w:lang w:val="es-ES"/>
        </w:rPr>
      </w:pPr>
      <w:r w:rsidRPr="00124885">
        <w:rPr>
          <w:lang w:val="es-ES"/>
        </w:rPr>
        <w:t xml:space="preserve">Figura 8. Región transfronteriza prioritaria para la conservación 8: Pamir-Hindukush-Karakoram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58FAD6DD" w14:textId="77777777" w:rsidTr="00337EFC">
        <w:trPr>
          <w:trHeight w:hRule="exact" w:val="437"/>
        </w:trPr>
        <w:tc>
          <w:tcPr>
            <w:tcW w:w="3379" w:type="dxa"/>
            <w:shd w:val="clear" w:color="auto" w:fill="FFFFFF" w:themeFill="background1"/>
            <w:vAlign w:val="center"/>
          </w:tcPr>
          <w:p w14:paraId="64F653D4" w14:textId="77777777" w:rsidR="00BD0605" w:rsidRPr="00124885" w:rsidRDefault="00BD0605" w:rsidP="00337EFC">
            <w:pPr>
              <w:pStyle w:val="P68B1DB1-Normal41"/>
              <w:framePr w:w="3379" w:h="1157" w:wrap="none" w:vAnchor="page" w:hAnchor="page" w:x="9256" w:y="822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04A17A02" w14:textId="77777777" w:rsidTr="00337EFC">
        <w:trPr>
          <w:trHeight w:hRule="exact" w:val="442"/>
        </w:trPr>
        <w:tc>
          <w:tcPr>
            <w:tcW w:w="3379" w:type="dxa"/>
            <w:shd w:val="clear" w:color="auto" w:fill="FFFFFF" w:themeFill="background1"/>
            <w:vAlign w:val="center"/>
          </w:tcPr>
          <w:p w14:paraId="2A11B6E0" w14:textId="77777777" w:rsidR="00BD0605" w:rsidRPr="00124885" w:rsidRDefault="00BD0605" w:rsidP="00337EFC">
            <w:pPr>
              <w:pStyle w:val="P68B1DB1-Normal41"/>
              <w:framePr w:w="3379" w:h="1157" w:wrap="none" w:vAnchor="page" w:hAnchor="page" w:x="9256" w:y="822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3C29EC41" w14:textId="77777777" w:rsidTr="00337EFC">
        <w:trPr>
          <w:trHeight w:hRule="exact" w:val="278"/>
        </w:trPr>
        <w:tc>
          <w:tcPr>
            <w:tcW w:w="3379" w:type="dxa"/>
            <w:shd w:val="clear" w:color="auto" w:fill="FFFFFF" w:themeFill="background1"/>
            <w:vAlign w:val="center"/>
          </w:tcPr>
          <w:p w14:paraId="41D24EE8" w14:textId="77777777" w:rsidR="00BD0605" w:rsidRPr="00124885" w:rsidRDefault="00BD0605" w:rsidP="00337EFC">
            <w:pPr>
              <w:pStyle w:val="P68B1DB1-Normal41"/>
              <w:framePr w:w="3379" w:h="1157" w:wrap="none" w:vAnchor="page" w:hAnchor="page" w:x="9256" w:y="8221"/>
              <w:widowControl w:val="0"/>
              <w:spacing w:after="0" w:line="240" w:lineRule="auto"/>
              <w:rPr>
                <w:rFonts w:eastAsia="Arial" w:cs="Arial"/>
                <w:i/>
                <w:color w:val="476338"/>
                <w:lang w:val="es-ES"/>
              </w:rPr>
            </w:pPr>
            <w:r w:rsidRPr="00124885">
              <w:rPr>
                <w:lang w:val="es-ES"/>
              </w:rPr>
              <w:t>Estados del área de distribución de la CAMI</w:t>
            </w:r>
          </w:p>
        </w:tc>
      </w:tr>
    </w:tbl>
    <w:p w14:paraId="2F594884" w14:textId="77777777" w:rsidR="00BD0605" w:rsidRPr="00124885" w:rsidRDefault="00BD0605" w:rsidP="00BD0605">
      <w:pPr>
        <w:pStyle w:val="P68B1DB1-Normal61"/>
        <w:framePr w:wrap="none" w:vAnchor="page" w:hAnchor="page" w:x="8071" w:y="8866"/>
        <w:widowControl w:val="0"/>
        <w:shd w:val="clear" w:color="auto" w:fill="FFFFFF" w:themeFill="background1"/>
        <w:spacing w:after="0" w:line="240" w:lineRule="auto"/>
        <w:rPr>
          <w:lang w:val="es-ES"/>
        </w:rPr>
      </w:pPr>
      <w:bookmarkStart w:id="15" w:name="_Hlk214386162"/>
      <w:r w:rsidRPr="00124885">
        <w:rPr>
          <w:lang w:val="es-ES"/>
        </w:rPr>
        <w:t>150 km</w:t>
      </w:r>
    </w:p>
    <w:bookmarkEnd w:id="15"/>
    <w:p w14:paraId="0F3FADB3" w14:textId="77777777" w:rsidR="00BD0605" w:rsidRPr="00124885" w:rsidRDefault="00BD0605" w:rsidP="00BD0605">
      <w:pPr>
        <w:pStyle w:val="P68B1DB1-Normal64"/>
        <w:framePr w:w="2196" w:wrap="none" w:vAnchor="page" w:hAnchor="page" w:x="8858" w:y="7874"/>
        <w:widowControl w:val="0"/>
        <w:shd w:val="clear" w:color="auto" w:fill="FFFFFF"/>
        <w:spacing w:after="0" w:line="240" w:lineRule="auto"/>
        <w:outlineLvl w:val="0"/>
        <w:rPr>
          <w:sz w:val="20"/>
          <w:lang w:val="es-ES"/>
        </w:rPr>
      </w:pPr>
      <w:r w:rsidRPr="00124885">
        <w:rPr>
          <w:lang w:val="es-ES"/>
        </w:rPr>
        <w:t>Leyenda</w:t>
      </w:r>
    </w:p>
    <w:p w14:paraId="18F752EB" w14:textId="77777777" w:rsidR="00BD0605" w:rsidRPr="00124885" w:rsidRDefault="00BD0605" w:rsidP="00BD0605">
      <w:pPr>
        <w:pStyle w:val="P68B1DB1-Normal66"/>
        <w:framePr w:wrap="none" w:vAnchor="page" w:hAnchor="page" w:x="5013" w:y="2187"/>
        <w:widowControl w:val="0"/>
        <w:shd w:val="clear" w:color="auto" w:fill="D9F2D0"/>
        <w:spacing w:after="0" w:line="240" w:lineRule="auto"/>
        <w:rPr>
          <w:i/>
          <w:color w:val="476338"/>
          <w:lang w:val="es-ES"/>
        </w:rPr>
      </w:pPr>
      <w:r w:rsidRPr="00124885">
        <w:rPr>
          <w:lang w:val="es-ES"/>
        </w:rPr>
        <w:t>FEDERACIÓN DE RUSIA</w:t>
      </w:r>
    </w:p>
    <w:p w14:paraId="6334BF43" w14:textId="77777777" w:rsidR="00BD0605" w:rsidRPr="00124885" w:rsidRDefault="00BD0605" w:rsidP="00BD0605">
      <w:pPr>
        <w:pStyle w:val="P68B1DB1-Normal67"/>
        <w:framePr w:w="391" w:wrap="none" w:vAnchor="page" w:hAnchor="page" w:x="5936" w:y="4383"/>
        <w:widowControl w:val="0"/>
        <w:shd w:val="clear" w:color="auto" w:fill="FBE4D5" w:themeFill="accent2" w:themeFillTint="33"/>
        <w:spacing w:after="0" w:line="240" w:lineRule="auto"/>
        <w:rPr>
          <w:lang w:val="es-ES"/>
        </w:rPr>
      </w:pPr>
      <w:r w:rsidRPr="00124885">
        <w:rPr>
          <w:lang w:val="es-ES"/>
        </w:rPr>
        <w:t>Altái</w:t>
      </w:r>
    </w:p>
    <w:p w14:paraId="799A4886" w14:textId="77777777" w:rsidR="00BD0605" w:rsidRPr="00A46A34" w:rsidRDefault="00BD0605" w:rsidP="00BD0605">
      <w:pPr>
        <w:pStyle w:val="P68B1DB1-Normal66"/>
        <w:framePr w:wrap="none" w:vAnchor="page" w:hAnchor="page" w:x="9011" w:y="5502"/>
        <w:widowControl w:val="0"/>
        <w:shd w:val="clear" w:color="auto" w:fill="D9F2D0"/>
        <w:spacing w:after="0" w:line="240" w:lineRule="auto"/>
        <w:rPr>
          <w:i/>
          <w:color w:val="476338"/>
        </w:rPr>
      </w:pPr>
      <w:r w:rsidRPr="00A46A34">
        <w:t>MONGOLIA</w:t>
      </w:r>
    </w:p>
    <w:p w14:paraId="2EDD3F0E" w14:textId="77777777" w:rsidR="00BD0605" w:rsidRPr="00A46A34" w:rsidRDefault="00BD0605" w:rsidP="00BD0605">
      <w:pPr>
        <w:pStyle w:val="P68B1DB1-Normal66"/>
        <w:framePr w:wrap="none" w:vAnchor="page" w:hAnchor="page" w:x="1461" w:y="5078"/>
        <w:widowControl w:val="0"/>
        <w:shd w:val="clear" w:color="auto" w:fill="D9F2D0"/>
        <w:spacing w:after="0" w:line="240" w:lineRule="auto"/>
        <w:rPr>
          <w:i/>
          <w:color w:val="476338"/>
        </w:rPr>
      </w:pPr>
      <w:r w:rsidRPr="00A46A34">
        <w:t>KAZAJISTÁN</w:t>
      </w:r>
    </w:p>
    <w:p w14:paraId="78C8D805" w14:textId="77777777" w:rsidR="00BD0605" w:rsidRPr="00A46A34" w:rsidRDefault="00BD0605" w:rsidP="00BD0605">
      <w:pPr>
        <w:pStyle w:val="P68B1DB1-Normal66"/>
        <w:framePr w:wrap="none" w:vAnchor="page" w:hAnchor="page" w:x="4072" w:y="7450"/>
        <w:widowControl w:val="0"/>
        <w:shd w:val="clear" w:color="auto" w:fill="D9F2D0"/>
        <w:spacing w:after="0" w:line="240" w:lineRule="auto"/>
        <w:rPr>
          <w:i/>
          <w:color w:val="476338"/>
        </w:rPr>
      </w:pPr>
      <w:r w:rsidRPr="00A46A34">
        <w:t>CHINA</w:t>
      </w:r>
    </w:p>
    <w:p w14:paraId="4C143326" w14:textId="77777777" w:rsidR="00BD0605" w:rsidRPr="00A46A34" w:rsidRDefault="00BD0605" w:rsidP="00BD0605">
      <w:pPr>
        <w:pStyle w:val="P68B1DB1-Normal68"/>
        <w:spacing w:before="100" w:beforeAutospacing="1" w:after="0" w:line="240" w:lineRule="auto"/>
      </w:pPr>
      <w:r w:rsidRPr="00A46A34">
        <w:rPr>
          <w:noProof/>
        </w:rPr>
        <w:drawing>
          <wp:inline distT="0" distB="0" distL="0" distR="0" wp14:anchorId="3EF18C76" wp14:editId="53A64F33">
            <wp:extent cx="7451368" cy="5267960"/>
            <wp:effectExtent l="0" t="0" r="0" b="8890"/>
            <wp:docPr id="488598355" name="Picture 8" descr="A map of a large area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98355" name="Picture 8" descr="A map of a large area  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454801" cy="5270387"/>
                    </a:xfrm>
                    <a:prstGeom prst="rect">
                      <a:avLst/>
                    </a:prstGeom>
                    <a:noFill/>
                    <a:ln>
                      <a:noFill/>
                    </a:ln>
                  </pic:spPr>
                </pic:pic>
              </a:graphicData>
            </a:graphic>
          </wp:inline>
        </w:drawing>
      </w:r>
    </w:p>
    <w:p w14:paraId="3DFB120B"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63F016A5"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0CA1B24E" w14:textId="77777777" w:rsidR="00BD0605" w:rsidRPr="00124885" w:rsidRDefault="00BD0605" w:rsidP="00BD0605">
      <w:pPr>
        <w:pStyle w:val="P68B1DB1-Normal69"/>
        <w:spacing w:before="100" w:beforeAutospacing="1" w:after="100" w:afterAutospacing="1" w:line="240" w:lineRule="auto"/>
        <w:rPr>
          <w:lang w:val="es-ES"/>
        </w:rPr>
      </w:pPr>
      <w:r w:rsidRPr="00124885">
        <w:rPr>
          <w:lang w:val="es-ES"/>
        </w:rPr>
        <w:t xml:space="preserve">Figura 9. Región transfronteriza prioritaria para la conservación 9: Altái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28E82F74" w14:textId="77777777" w:rsidTr="00337EFC">
        <w:trPr>
          <w:trHeight w:hRule="exact" w:val="437"/>
        </w:trPr>
        <w:tc>
          <w:tcPr>
            <w:tcW w:w="3379" w:type="dxa"/>
            <w:shd w:val="clear" w:color="auto" w:fill="FFFFFF" w:themeFill="background1"/>
            <w:vAlign w:val="center"/>
          </w:tcPr>
          <w:p w14:paraId="3241FF34" w14:textId="77777777" w:rsidR="00BD0605" w:rsidRPr="00124885" w:rsidRDefault="00BD0605" w:rsidP="00337EFC">
            <w:pPr>
              <w:pStyle w:val="P68B1DB1-Normal41"/>
              <w:framePr w:w="3379" w:h="1157" w:wrap="none" w:vAnchor="page" w:hAnchor="page" w:x="9258" w:y="1715"/>
              <w:widowControl w:val="0"/>
              <w:spacing w:after="0" w:line="262" w:lineRule="auto"/>
              <w:rPr>
                <w:rFonts w:eastAsia="Arial" w:cs="Arial"/>
                <w:i/>
                <w:color w:val="476338"/>
                <w:lang w:val="es-ES"/>
              </w:rPr>
            </w:pPr>
            <w:bookmarkStart w:id="16" w:name="_Hlk214386050"/>
            <w:r w:rsidRPr="00124885">
              <w:rPr>
                <w:lang w:val="es-ES"/>
              </w:rPr>
              <w:lastRenderedPageBreak/>
              <w:t>Regiones transfronterizas prioritarias para la conservación del Programa de Trabajo de la CAMI 2026-2032</w:t>
            </w:r>
          </w:p>
        </w:tc>
      </w:tr>
      <w:tr w:rsidR="00BD0605" w:rsidRPr="00124885" w14:paraId="0B90E920" w14:textId="77777777" w:rsidTr="00337EFC">
        <w:trPr>
          <w:trHeight w:hRule="exact" w:val="442"/>
        </w:trPr>
        <w:tc>
          <w:tcPr>
            <w:tcW w:w="3379" w:type="dxa"/>
            <w:shd w:val="clear" w:color="auto" w:fill="FFFFFF" w:themeFill="background1"/>
            <w:vAlign w:val="center"/>
          </w:tcPr>
          <w:p w14:paraId="6E714C81" w14:textId="77777777" w:rsidR="00BD0605" w:rsidRPr="00124885" w:rsidRDefault="00BD0605" w:rsidP="00337EFC">
            <w:pPr>
              <w:pStyle w:val="P68B1DB1-Normal41"/>
              <w:framePr w:w="3379" w:h="1157" w:wrap="none" w:vAnchor="page" w:hAnchor="page" w:x="9258" w:y="1715"/>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742567AE" w14:textId="77777777" w:rsidTr="00337EFC">
        <w:trPr>
          <w:trHeight w:hRule="exact" w:val="278"/>
        </w:trPr>
        <w:tc>
          <w:tcPr>
            <w:tcW w:w="3379" w:type="dxa"/>
            <w:shd w:val="clear" w:color="auto" w:fill="FFFFFF" w:themeFill="background1"/>
            <w:vAlign w:val="center"/>
          </w:tcPr>
          <w:p w14:paraId="514C38A1" w14:textId="77777777" w:rsidR="00BD0605" w:rsidRPr="00124885" w:rsidRDefault="00BD0605" w:rsidP="00337EFC">
            <w:pPr>
              <w:pStyle w:val="P68B1DB1-Normal41"/>
              <w:framePr w:w="3379" w:h="1157" w:wrap="none" w:vAnchor="page" w:hAnchor="page" w:x="9258" w:y="1715"/>
              <w:widowControl w:val="0"/>
              <w:spacing w:after="0" w:line="240" w:lineRule="auto"/>
              <w:rPr>
                <w:rFonts w:eastAsia="Arial" w:cs="Arial"/>
                <w:i/>
                <w:color w:val="476338"/>
                <w:lang w:val="es-ES"/>
              </w:rPr>
            </w:pPr>
            <w:r w:rsidRPr="00124885">
              <w:rPr>
                <w:lang w:val="es-ES"/>
              </w:rPr>
              <w:t>Estados del área de distribución de la CAMI</w:t>
            </w:r>
          </w:p>
        </w:tc>
      </w:tr>
    </w:tbl>
    <w:bookmarkEnd w:id="16"/>
    <w:p w14:paraId="5A076D54" w14:textId="77777777" w:rsidR="00BD0605" w:rsidRPr="00124885" w:rsidRDefault="00BD0605" w:rsidP="00BD0605">
      <w:pPr>
        <w:pStyle w:val="P68B1DB1-Normal64"/>
        <w:framePr w:w="2196" w:wrap="none" w:vAnchor="page" w:hAnchor="page" w:x="8890" w:y="1482"/>
        <w:widowControl w:val="0"/>
        <w:shd w:val="clear" w:color="auto" w:fill="FFFFFF"/>
        <w:spacing w:after="0" w:line="240" w:lineRule="auto"/>
        <w:outlineLvl w:val="0"/>
        <w:rPr>
          <w:sz w:val="20"/>
          <w:lang w:val="es-ES"/>
        </w:rPr>
      </w:pPr>
      <w:r w:rsidRPr="00124885">
        <w:rPr>
          <w:lang w:val="es-ES"/>
        </w:rPr>
        <w:t>Leyenda</w:t>
      </w:r>
    </w:p>
    <w:p w14:paraId="69FA17BD" w14:textId="77777777" w:rsidR="00BD0605" w:rsidRPr="00124885" w:rsidRDefault="00BD0605" w:rsidP="00BD0605">
      <w:pPr>
        <w:pStyle w:val="P68B1DB1-Normal67"/>
        <w:framePr w:wrap="none" w:vAnchor="page" w:hAnchor="page" w:x="2881" w:y="8776"/>
        <w:widowControl w:val="0"/>
        <w:shd w:val="clear" w:color="auto" w:fill="FAE2D5"/>
        <w:spacing w:after="0" w:line="240" w:lineRule="auto"/>
        <w:rPr>
          <w:lang w:val="es-ES"/>
        </w:rPr>
      </w:pPr>
      <w:r w:rsidRPr="00124885">
        <w:rPr>
          <w:lang w:val="es-ES"/>
        </w:rPr>
        <w:t>Gobi</w:t>
      </w:r>
    </w:p>
    <w:p w14:paraId="3A6DA0E7" w14:textId="77777777" w:rsidR="00BD0605" w:rsidRPr="00124885" w:rsidRDefault="00BD0605" w:rsidP="00BD0605">
      <w:pPr>
        <w:pStyle w:val="P68B1DB1-Normal66"/>
        <w:framePr w:wrap="none" w:vAnchor="page" w:hAnchor="page" w:x="8237" w:y="5730"/>
        <w:widowControl w:val="0"/>
        <w:shd w:val="clear" w:color="auto" w:fill="FAE2D5"/>
        <w:spacing w:after="0" w:line="240" w:lineRule="auto"/>
        <w:rPr>
          <w:rFonts w:ascii="Arial Unicode MS" w:eastAsia="Arial Unicode MS" w:hAnsi="Arial Unicode MS" w:cs="Arial Unicode MS"/>
          <w:lang w:val="es-ES"/>
        </w:rPr>
      </w:pPr>
      <w:r w:rsidRPr="00124885">
        <w:rPr>
          <w:lang w:val="es-ES"/>
        </w:rPr>
        <w:t>CHINA</w:t>
      </w:r>
    </w:p>
    <w:p w14:paraId="1AC27F55" w14:textId="77777777" w:rsidR="00BD0605" w:rsidRPr="00124885" w:rsidRDefault="00BD0605" w:rsidP="00BD0605">
      <w:pPr>
        <w:pStyle w:val="P68B1DB1-Normal66"/>
        <w:framePr w:wrap="none" w:vAnchor="page" w:hAnchor="page" w:x="3928" w:y="2383"/>
        <w:widowControl w:val="0"/>
        <w:shd w:val="clear" w:color="auto" w:fill="FAE2D5"/>
        <w:spacing w:after="0" w:line="240" w:lineRule="auto"/>
        <w:rPr>
          <w:i/>
          <w:color w:val="476338"/>
          <w:lang w:val="es-ES"/>
        </w:rPr>
      </w:pPr>
      <w:r w:rsidRPr="00124885">
        <w:rPr>
          <w:lang w:val="es-ES"/>
        </w:rPr>
        <w:t>FEDERACIÓN DE RUSIA</w:t>
      </w:r>
    </w:p>
    <w:p w14:paraId="329BA94F" w14:textId="77777777" w:rsidR="00BD0605" w:rsidRPr="00A46A34" w:rsidRDefault="00BD0605" w:rsidP="00BD0605">
      <w:pPr>
        <w:pStyle w:val="P68B1DB1-Normal67"/>
        <w:framePr w:wrap="none" w:vAnchor="page" w:hAnchor="page" w:x="5678" w:y="5409"/>
        <w:widowControl w:val="0"/>
        <w:shd w:val="clear" w:color="auto" w:fill="FAE2D5"/>
        <w:spacing w:after="0" w:line="240" w:lineRule="auto"/>
      </w:pPr>
      <w:r w:rsidRPr="00A46A34">
        <w:t>Estepa dauriana</w:t>
      </w:r>
    </w:p>
    <w:p w14:paraId="18BB15D7" w14:textId="77777777" w:rsidR="00BD0605" w:rsidRPr="00A46A34" w:rsidRDefault="00BD0605" w:rsidP="00BD0605">
      <w:pPr>
        <w:pStyle w:val="P68B1DB1-Normal66"/>
        <w:framePr w:wrap="none" w:vAnchor="page" w:hAnchor="page" w:x="3617" w:y="6258"/>
        <w:widowControl w:val="0"/>
        <w:shd w:val="clear" w:color="auto" w:fill="FAE2D5"/>
        <w:spacing w:after="0" w:line="240" w:lineRule="auto"/>
        <w:rPr>
          <w:i/>
          <w:color w:val="476338"/>
        </w:rPr>
      </w:pPr>
      <w:r w:rsidRPr="00A46A34">
        <w:t>MONGOLIA</w:t>
      </w:r>
    </w:p>
    <w:p w14:paraId="5C41A049" w14:textId="77777777" w:rsidR="00BD0605" w:rsidRPr="00A46A34" w:rsidRDefault="00BD0605" w:rsidP="00BD0605">
      <w:pPr>
        <w:pStyle w:val="P68B1DB1-Normal37"/>
        <w:spacing w:before="100" w:beforeAutospacing="1" w:after="100" w:afterAutospacing="1" w:line="240" w:lineRule="auto"/>
        <w:rPr>
          <w:rFonts w:ascii="Times New Roman" w:eastAsia="Times New Roman" w:hAnsi="Times New Roman" w:cs="Times New Roman"/>
          <w:sz w:val="24"/>
        </w:rPr>
      </w:pPr>
      <w:r w:rsidRPr="00A46A34">
        <w:rPr>
          <w:noProof/>
        </w:rPr>
        <w:drawing>
          <wp:inline distT="0" distB="0" distL="0" distR="0" wp14:anchorId="2E394A8B" wp14:editId="66ED895D">
            <wp:extent cx="7503827" cy="5309622"/>
            <wp:effectExtent l="0" t="0" r="1905" b="5715"/>
            <wp:docPr id="1444360194" name="Picture 3" descr="A map of a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60194" name="Picture 3" descr="A map of a forest  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511520" cy="5315065"/>
                    </a:xfrm>
                    <a:prstGeom prst="rect">
                      <a:avLst/>
                    </a:prstGeom>
                    <a:noFill/>
                    <a:ln>
                      <a:noFill/>
                    </a:ln>
                  </pic:spPr>
                </pic:pic>
              </a:graphicData>
            </a:graphic>
          </wp:inline>
        </w:drawing>
      </w:r>
    </w:p>
    <w:p w14:paraId="5CAEFFC9"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4097B81B"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177EC7D7" w14:textId="77777777" w:rsidR="00BD0605" w:rsidRPr="00124885" w:rsidRDefault="00BD0605" w:rsidP="00BD0605">
      <w:pPr>
        <w:pStyle w:val="P68B1DB1-Normal37"/>
        <w:spacing w:after="0" w:line="240" w:lineRule="auto"/>
        <w:rPr>
          <w:lang w:val="es-ES"/>
        </w:rPr>
      </w:pPr>
      <w:r w:rsidRPr="00124885">
        <w:rPr>
          <w:lang w:val="es-ES"/>
        </w:rPr>
        <w:t>Figura 10. Región transfronteriza prioritaria para la conservación 10: Estepa dauriana</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2C9D4357" w14:textId="77777777" w:rsidTr="00337EFC">
        <w:trPr>
          <w:trHeight w:hRule="exact" w:val="437"/>
        </w:trPr>
        <w:tc>
          <w:tcPr>
            <w:tcW w:w="3379" w:type="dxa"/>
            <w:shd w:val="clear" w:color="auto" w:fill="FFFFFF" w:themeFill="background1"/>
            <w:vAlign w:val="center"/>
          </w:tcPr>
          <w:p w14:paraId="75C54963" w14:textId="77777777" w:rsidR="00BD0605" w:rsidRPr="00124885" w:rsidRDefault="00BD0605" w:rsidP="00337EFC">
            <w:pPr>
              <w:pStyle w:val="P68B1DB1-Normal41"/>
              <w:framePr w:w="3379" w:h="1157" w:wrap="none" w:vAnchor="page" w:hAnchor="page" w:x="9196" w:y="177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6A503746" w14:textId="77777777" w:rsidTr="00337EFC">
        <w:trPr>
          <w:trHeight w:hRule="exact" w:val="442"/>
        </w:trPr>
        <w:tc>
          <w:tcPr>
            <w:tcW w:w="3379" w:type="dxa"/>
            <w:shd w:val="clear" w:color="auto" w:fill="FFFFFF" w:themeFill="background1"/>
            <w:vAlign w:val="center"/>
          </w:tcPr>
          <w:p w14:paraId="282D3B7F" w14:textId="77777777" w:rsidR="00BD0605" w:rsidRPr="00124885" w:rsidRDefault="00BD0605" w:rsidP="00337EFC">
            <w:pPr>
              <w:pStyle w:val="P68B1DB1-Normal41"/>
              <w:framePr w:w="3379" w:h="1157" w:wrap="none" w:vAnchor="page" w:hAnchor="page" w:x="9196" w:y="177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26DAD2AB" w14:textId="77777777" w:rsidTr="00337EFC">
        <w:trPr>
          <w:trHeight w:hRule="exact" w:val="278"/>
        </w:trPr>
        <w:tc>
          <w:tcPr>
            <w:tcW w:w="3379" w:type="dxa"/>
            <w:shd w:val="clear" w:color="auto" w:fill="FFFFFF" w:themeFill="background1"/>
            <w:vAlign w:val="center"/>
          </w:tcPr>
          <w:p w14:paraId="226564DA" w14:textId="77777777" w:rsidR="00BD0605" w:rsidRPr="00124885" w:rsidRDefault="00BD0605" w:rsidP="00337EFC">
            <w:pPr>
              <w:pStyle w:val="P68B1DB1-Normal41"/>
              <w:framePr w:w="3379" w:h="1157" w:wrap="none" w:vAnchor="page" w:hAnchor="page" w:x="9196" w:y="1771"/>
              <w:widowControl w:val="0"/>
              <w:spacing w:after="0" w:line="240" w:lineRule="auto"/>
              <w:rPr>
                <w:rFonts w:eastAsia="Arial" w:cs="Arial"/>
                <w:i/>
                <w:color w:val="476338"/>
                <w:lang w:val="es-ES"/>
              </w:rPr>
            </w:pPr>
            <w:r w:rsidRPr="00124885">
              <w:rPr>
                <w:lang w:val="es-ES"/>
              </w:rPr>
              <w:t>Estados del área de distribución de la CAMI</w:t>
            </w:r>
          </w:p>
        </w:tc>
      </w:tr>
    </w:tbl>
    <w:p w14:paraId="33D0AAEF" w14:textId="77777777" w:rsidR="00BD0605" w:rsidRPr="00A46A34" w:rsidRDefault="00BD0605" w:rsidP="00BD0605">
      <w:pPr>
        <w:pStyle w:val="P68B1DB1-Normal64"/>
        <w:framePr w:w="2196" w:wrap="none" w:vAnchor="page" w:hAnchor="page" w:x="8848" w:y="1399"/>
        <w:widowControl w:val="0"/>
        <w:shd w:val="clear" w:color="auto" w:fill="FFFFFF"/>
        <w:spacing w:after="0" w:line="240" w:lineRule="auto"/>
        <w:outlineLvl w:val="0"/>
        <w:rPr>
          <w:sz w:val="20"/>
        </w:rPr>
      </w:pPr>
      <w:bookmarkStart w:id="17" w:name="_Hlk214386443"/>
      <w:r w:rsidRPr="00A46A34">
        <w:t>Leyenda</w:t>
      </w:r>
    </w:p>
    <w:bookmarkEnd w:id="17"/>
    <w:p w14:paraId="673A713B" w14:textId="77777777" w:rsidR="00BD0605" w:rsidRPr="00A46A34" w:rsidRDefault="00BD0605" w:rsidP="00BD0605">
      <w:pPr>
        <w:pStyle w:val="P68B1DB1-Normal67"/>
        <w:framePr w:wrap="none" w:vAnchor="page" w:hAnchor="page" w:x="7190" w:y="6144"/>
        <w:widowControl w:val="0"/>
        <w:shd w:val="clear" w:color="auto" w:fill="FBE4D5" w:themeFill="accent2" w:themeFillTint="33"/>
        <w:spacing w:after="0" w:line="240" w:lineRule="auto"/>
        <w:rPr>
          <w:sz w:val="13"/>
        </w:rPr>
      </w:pPr>
      <w:r w:rsidRPr="00A46A34">
        <w:t>Gobi</w:t>
      </w:r>
    </w:p>
    <w:p w14:paraId="4816DF8A" w14:textId="77777777" w:rsidR="00BD0605" w:rsidRPr="00A46A34" w:rsidRDefault="00BD0605" w:rsidP="00BD0605">
      <w:pPr>
        <w:pStyle w:val="P68B1DB1-Normal67"/>
        <w:framePr w:wrap="none" w:vAnchor="page" w:hAnchor="page" w:x="11684" w:y="3077"/>
        <w:widowControl w:val="0"/>
        <w:shd w:val="clear" w:color="auto" w:fill="E2EFD9" w:themeFill="accent6" w:themeFillTint="33"/>
        <w:spacing w:after="0" w:line="240" w:lineRule="auto"/>
        <w:rPr>
          <w:sz w:val="13"/>
        </w:rPr>
      </w:pPr>
      <w:r w:rsidRPr="00A46A34">
        <w:t>Estepa dauriana</w:t>
      </w:r>
    </w:p>
    <w:p w14:paraId="308A9BAF" w14:textId="77777777" w:rsidR="00BD0605" w:rsidRPr="00A46A34" w:rsidRDefault="00BD0605" w:rsidP="00BD0605">
      <w:pPr>
        <w:pStyle w:val="P68B1DB1-Normal66"/>
        <w:framePr w:wrap="none" w:vAnchor="page" w:hAnchor="page" w:x="5864" w:y="7439"/>
        <w:widowControl w:val="0"/>
        <w:shd w:val="clear" w:color="auto" w:fill="FBE4D5" w:themeFill="accent2" w:themeFillTint="33"/>
        <w:spacing w:after="0" w:line="240" w:lineRule="auto"/>
        <w:rPr>
          <w:i/>
          <w:color w:val="476338"/>
          <w:sz w:val="13"/>
        </w:rPr>
      </w:pPr>
      <w:r w:rsidRPr="00A46A34">
        <w:t>CHINA</w:t>
      </w:r>
    </w:p>
    <w:p w14:paraId="5083474A" w14:textId="77777777" w:rsidR="00BD0605" w:rsidRPr="00A46A34" w:rsidRDefault="00BD0605" w:rsidP="00BD0605">
      <w:pPr>
        <w:pStyle w:val="P68B1DB1-Normal67"/>
        <w:framePr w:wrap="none" w:vAnchor="page" w:hAnchor="page" w:x="2400" w:y="2751"/>
        <w:widowControl w:val="0"/>
        <w:shd w:val="clear" w:color="auto" w:fill="FBE4D5" w:themeFill="accent2" w:themeFillTint="33"/>
        <w:spacing w:after="0" w:line="240" w:lineRule="auto"/>
        <w:rPr>
          <w:sz w:val="13"/>
        </w:rPr>
      </w:pPr>
      <w:r w:rsidRPr="00A46A34">
        <w:t>Altái</w:t>
      </w:r>
    </w:p>
    <w:p w14:paraId="5752BCFF" w14:textId="77777777" w:rsidR="00BD0605" w:rsidRPr="00A46A34" w:rsidRDefault="00BD0605" w:rsidP="00BD0605">
      <w:pPr>
        <w:pStyle w:val="P68B1DB1-Normal68"/>
        <w:spacing w:before="100" w:beforeAutospacing="1" w:after="100" w:afterAutospacing="1" w:line="240" w:lineRule="auto"/>
      </w:pPr>
      <w:r w:rsidRPr="00A46A34">
        <w:rPr>
          <w:noProof/>
        </w:rPr>
        <w:drawing>
          <wp:inline distT="0" distB="0" distL="0" distR="0" wp14:anchorId="41BBB0F1" wp14:editId="587FE690">
            <wp:extent cx="7415440" cy="5242560"/>
            <wp:effectExtent l="0" t="0" r="0" b="0"/>
            <wp:docPr id="1327102913" name="Picture 10" descr="A map of the area of the nort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02913" name="Picture 10" descr="A map of the area of the north  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421346" cy="5246736"/>
                    </a:xfrm>
                    <a:prstGeom prst="rect">
                      <a:avLst/>
                    </a:prstGeom>
                    <a:noFill/>
                    <a:ln>
                      <a:noFill/>
                    </a:ln>
                  </pic:spPr>
                </pic:pic>
              </a:graphicData>
            </a:graphic>
          </wp:inline>
        </w:drawing>
      </w:r>
    </w:p>
    <w:p w14:paraId="1C2957AF" w14:textId="77777777" w:rsidR="00BD0605" w:rsidRPr="00A46A34" w:rsidRDefault="00BD0605" w:rsidP="00BD0605">
      <w:pPr>
        <w:widowControl w:val="0"/>
        <w:spacing w:after="0" w:line="1" w:lineRule="exact"/>
        <w:rPr>
          <w:rFonts w:ascii="Arial Unicode MS" w:eastAsia="Arial Unicode MS" w:hAnsi="Arial Unicode MS" w:cs="Arial Unicode MS"/>
          <w:color w:val="000000"/>
          <w:sz w:val="24"/>
        </w:rPr>
      </w:pPr>
    </w:p>
    <w:p w14:paraId="79158E44" w14:textId="77777777" w:rsidR="00BD0605" w:rsidRPr="00124885" w:rsidRDefault="00BD0605" w:rsidP="00BD0605">
      <w:pPr>
        <w:pStyle w:val="P68B1DB1-Normal66"/>
        <w:framePr w:wrap="none" w:vAnchor="page" w:hAnchor="page" w:x="7183" w:y="4259"/>
        <w:widowControl w:val="0"/>
        <w:shd w:val="clear" w:color="auto" w:fill="E2EFD9" w:themeFill="accent6" w:themeFillTint="33"/>
        <w:spacing w:after="0" w:line="240" w:lineRule="auto"/>
        <w:rPr>
          <w:i/>
          <w:color w:val="476338"/>
          <w:lang w:val="es-ES"/>
        </w:rPr>
      </w:pPr>
      <w:r w:rsidRPr="00124885">
        <w:rPr>
          <w:lang w:val="es-ES"/>
        </w:rPr>
        <w:t>MONGOLIA</w:t>
      </w:r>
    </w:p>
    <w:p w14:paraId="4AFFC1A9" w14:textId="77777777" w:rsidR="00BD0605" w:rsidRPr="00124885" w:rsidRDefault="00BD0605" w:rsidP="00BD0605">
      <w:pPr>
        <w:widowControl w:val="0"/>
        <w:spacing w:after="0" w:line="1" w:lineRule="exact"/>
        <w:rPr>
          <w:rFonts w:ascii="Arial Unicode MS" w:eastAsia="Arial Unicode MS" w:hAnsi="Arial Unicode MS" w:cs="Arial Unicode MS"/>
          <w:color w:val="000000"/>
          <w:sz w:val="24"/>
          <w:lang w:val="es-ES"/>
        </w:rPr>
      </w:pPr>
    </w:p>
    <w:p w14:paraId="50B54D15" w14:textId="77777777" w:rsidR="00BD0605" w:rsidRPr="00124885" w:rsidRDefault="00BD0605" w:rsidP="00BD0605">
      <w:pPr>
        <w:pStyle w:val="P68B1DB1-Normal37"/>
        <w:spacing w:after="0" w:line="240" w:lineRule="auto"/>
        <w:rPr>
          <w:lang w:val="es-ES"/>
        </w:rPr>
      </w:pPr>
      <w:r w:rsidRPr="00124885">
        <w:rPr>
          <w:lang w:val="es-ES"/>
        </w:rPr>
        <w:t>Figura 11. Región transfronteriza prioritaria para la conservación 11: Gobi</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7931D9D3" w14:textId="77777777" w:rsidTr="00337EFC">
        <w:trPr>
          <w:trHeight w:hRule="exact" w:val="437"/>
        </w:trPr>
        <w:tc>
          <w:tcPr>
            <w:tcW w:w="3379" w:type="dxa"/>
            <w:shd w:val="clear" w:color="auto" w:fill="FFFFFF" w:themeFill="background1"/>
            <w:vAlign w:val="center"/>
          </w:tcPr>
          <w:p w14:paraId="565AEC8E" w14:textId="77777777" w:rsidR="00BD0605" w:rsidRPr="00124885" w:rsidRDefault="00BD0605" w:rsidP="00337EFC">
            <w:pPr>
              <w:pStyle w:val="P68B1DB1-Normal41"/>
              <w:framePr w:w="3379" w:h="1157" w:wrap="none" w:vAnchor="page" w:hAnchor="page" w:x="9190" w:y="173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769405DA" w14:textId="77777777" w:rsidTr="00337EFC">
        <w:trPr>
          <w:trHeight w:hRule="exact" w:val="442"/>
        </w:trPr>
        <w:tc>
          <w:tcPr>
            <w:tcW w:w="3379" w:type="dxa"/>
            <w:shd w:val="clear" w:color="auto" w:fill="FFFFFF" w:themeFill="background1"/>
            <w:vAlign w:val="center"/>
          </w:tcPr>
          <w:p w14:paraId="087E767B" w14:textId="77777777" w:rsidR="00BD0605" w:rsidRPr="00124885" w:rsidRDefault="00BD0605" w:rsidP="00337EFC">
            <w:pPr>
              <w:pStyle w:val="P68B1DB1-Normal41"/>
              <w:framePr w:w="3379" w:h="1157" w:wrap="none" w:vAnchor="page" w:hAnchor="page" w:x="9190" w:y="173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5CA561E7" w14:textId="77777777" w:rsidTr="00337EFC">
        <w:trPr>
          <w:trHeight w:hRule="exact" w:val="278"/>
        </w:trPr>
        <w:tc>
          <w:tcPr>
            <w:tcW w:w="3379" w:type="dxa"/>
            <w:shd w:val="clear" w:color="auto" w:fill="FFFFFF" w:themeFill="background1"/>
            <w:vAlign w:val="center"/>
          </w:tcPr>
          <w:p w14:paraId="27B16CBD" w14:textId="77777777" w:rsidR="00BD0605" w:rsidRPr="00124885" w:rsidRDefault="00BD0605" w:rsidP="00337EFC">
            <w:pPr>
              <w:pStyle w:val="P68B1DB1-Normal41"/>
              <w:framePr w:w="3379" w:h="1157" w:wrap="none" w:vAnchor="page" w:hAnchor="page" w:x="9190" w:y="1731"/>
              <w:widowControl w:val="0"/>
              <w:spacing w:after="0" w:line="240" w:lineRule="auto"/>
              <w:rPr>
                <w:rFonts w:eastAsia="Arial" w:cs="Arial"/>
                <w:i/>
                <w:color w:val="476338"/>
                <w:lang w:val="es-ES"/>
              </w:rPr>
            </w:pPr>
            <w:r w:rsidRPr="00124885">
              <w:rPr>
                <w:lang w:val="es-ES"/>
              </w:rPr>
              <w:t>Estados del área de distribución de la CAMI</w:t>
            </w:r>
          </w:p>
        </w:tc>
      </w:tr>
    </w:tbl>
    <w:p w14:paraId="4FA9D38D" w14:textId="77777777" w:rsidR="00BD0605" w:rsidRPr="00124885" w:rsidRDefault="00BD0605" w:rsidP="00BD0605">
      <w:pPr>
        <w:pStyle w:val="P68B1DB1-Normal64"/>
        <w:framePr w:w="2196" w:wrap="none" w:vAnchor="page" w:hAnchor="page" w:x="8796" w:y="1430"/>
        <w:widowControl w:val="0"/>
        <w:shd w:val="clear" w:color="auto" w:fill="FFFFFF"/>
        <w:spacing w:after="0" w:line="240" w:lineRule="auto"/>
        <w:outlineLvl w:val="0"/>
        <w:rPr>
          <w:sz w:val="20"/>
          <w:lang w:val="es-ES"/>
        </w:rPr>
      </w:pPr>
      <w:r w:rsidRPr="00124885">
        <w:rPr>
          <w:lang w:val="es-ES"/>
        </w:rPr>
        <w:t>Leyenda</w:t>
      </w:r>
    </w:p>
    <w:p w14:paraId="4125B2FF" w14:textId="77777777" w:rsidR="00BD0605" w:rsidRPr="00124885" w:rsidRDefault="00BD0605" w:rsidP="00BD0605">
      <w:pPr>
        <w:pStyle w:val="P68B1DB1-Normal66"/>
        <w:framePr w:wrap="none" w:vAnchor="page" w:hAnchor="page" w:x="3471" w:y="3617"/>
        <w:widowControl w:val="0"/>
        <w:shd w:val="clear" w:color="auto" w:fill="FAE2D5"/>
        <w:spacing w:after="0" w:line="240" w:lineRule="auto"/>
        <w:rPr>
          <w:i/>
          <w:color w:val="476338"/>
          <w:lang w:val="es-ES"/>
        </w:rPr>
      </w:pPr>
      <w:r w:rsidRPr="00124885">
        <w:rPr>
          <w:lang w:val="es-ES"/>
        </w:rPr>
        <w:t>INDIA</w:t>
      </w:r>
    </w:p>
    <w:p w14:paraId="5E50B441" w14:textId="77777777" w:rsidR="00BD0605" w:rsidRPr="00124885" w:rsidRDefault="00BD0605" w:rsidP="00BD0605">
      <w:pPr>
        <w:pStyle w:val="P68B1DB1-Normal70"/>
        <w:framePr w:wrap="none" w:vAnchor="page" w:hAnchor="page" w:x="2291" w:y="1752"/>
        <w:widowControl w:val="0"/>
        <w:shd w:val="clear" w:color="auto" w:fill="E2EFD9" w:themeFill="accent6" w:themeFillTint="33"/>
        <w:spacing w:after="0" w:line="240" w:lineRule="auto"/>
        <w:rPr>
          <w:lang w:val="es-ES"/>
        </w:rPr>
      </w:pPr>
      <w:r w:rsidRPr="00124885">
        <w:rPr>
          <w:lang w:val="es-ES"/>
        </w:rPr>
        <w:t>Jammu y Cachemira</w:t>
      </w:r>
    </w:p>
    <w:p w14:paraId="592016BA" w14:textId="77777777" w:rsidR="00BD0605" w:rsidRPr="00124885" w:rsidRDefault="00BD0605" w:rsidP="00BD0605">
      <w:pPr>
        <w:pStyle w:val="P68B1DB1-Normal66"/>
        <w:framePr w:wrap="none" w:vAnchor="page" w:hAnchor="page" w:x="9034" w:y="3668"/>
        <w:widowControl w:val="0"/>
        <w:shd w:val="clear" w:color="auto" w:fill="E2EFD9" w:themeFill="accent6" w:themeFillTint="33"/>
        <w:spacing w:after="0" w:line="240" w:lineRule="auto"/>
        <w:rPr>
          <w:i/>
          <w:color w:val="476338"/>
          <w:lang w:val="es-ES"/>
        </w:rPr>
      </w:pPr>
      <w:r w:rsidRPr="00124885">
        <w:rPr>
          <w:lang w:val="es-ES"/>
        </w:rPr>
        <w:t>CHINA</w:t>
      </w:r>
    </w:p>
    <w:p w14:paraId="3F14B3BD" w14:textId="77777777" w:rsidR="00BD0605" w:rsidRPr="00A46A34" w:rsidRDefault="00BD0605" w:rsidP="00BD0605">
      <w:pPr>
        <w:pStyle w:val="P68B1DB1-Normal67"/>
        <w:framePr w:wrap="none" w:vAnchor="page" w:hAnchor="page" w:x="5513" w:y="5253"/>
        <w:widowControl w:val="0"/>
        <w:shd w:val="clear" w:color="auto" w:fill="FAE2D5"/>
        <w:spacing w:after="0" w:line="240" w:lineRule="auto"/>
      </w:pPr>
      <w:r w:rsidRPr="00A46A34">
        <w:t>Himalaya occidental</w:t>
      </w:r>
    </w:p>
    <w:p w14:paraId="18402F28" w14:textId="77777777" w:rsidR="00BD0605" w:rsidRPr="00A46A34" w:rsidRDefault="00BD0605" w:rsidP="00BD0605">
      <w:pPr>
        <w:pStyle w:val="P68B1DB1-Normal66"/>
        <w:framePr w:wrap="none" w:vAnchor="page" w:hAnchor="page" w:x="9004" w:y="7492"/>
        <w:widowControl w:val="0"/>
        <w:shd w:val="clear" w:color="auto" w:fill="FAE2D5"/>
        <w:spacing w:after="0" w:line="240" w:lineRule="auto"/>
        <w:rPr>
          <w:i/>
          <w:color w:val="476338"/>
        </w:rPr>
      </w:pPr>
      <w:r w:rsidRPr="00A46A34">
        <w:t>NEPAL</w:t>
      </w:r>
    </w:p>
    <w:p w14:paraId="715DCEAC" w14:textId="77777777" w:rsidR="00BD0605" w:rsidRPr="00A46A34" w:rsidRDefault="00BD0605" w:rsidP="00BD0605">
      <w:pPr>
        <w:pStyle w:val="P68B1DB1-Normal38"/>
        <w:spacing w:before="100" w:beforeAutospacing="1" w:after="0" w:line="240" w:lineRule="auto"/>
        <w:rPr>
          <w:rFonts w:ascii="Times New Roman" w:eastAsia="Times New Roman" w:hAnsi="Times New Roman" w:cs="Times New Roman"/>
          <w:sz w:val="24"/>
        </w:rPr>
      </w:pPr>
      <w:r w:rsidRPr="00A46A34">
        <w:rPr>
          <w:noProof/>
        </w:rPr>
        <w:drawing>
          <wp:inline distT="0" distB="0" distL="0" distR="0" wp14:anchorId="3DBD1A6C" wp14:editId="1AAB8198">
            <wp:extent cx="7424422" cy="5248910"/>
            <wp:effectExtent l="0" t="0" r="5080" b="8890"/>
            <wp:docPr id="1533067394" name="Picture 11" descr="A map of the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67394" name="Picture 11" descr="A map of the forest  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31936" cy="5254222"/>
                    </a:xfrm>
                    <a:prstGeom prst="rect">
                      <a:avLst/>
                    </a:prstGeom>
                    <a:noFill/>
                    <a:ln>
                      <a:noFill/>
                    </a:ln>
                  </pic:spPr>
                </pic:pic>
              </a:graphicData>
            </a:graphic>
          </wp:inline>
        </w:drawing>
      </w:r>
    </w:p>
    <w:p w14:paraId="36CE7EB7"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2AE0116B"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7108EEAA" w14:textId="77777777" w:rsidR="00BD0605" w:rsidRPr="00124885" w:rsidRDefault="00BD0605" w:rsidP="00BD0605">
      <w:pPr>
        <w:pStyle w:val="P68B1DB1-Normal69"/>
        <w:spacing w:before="100" w:beforeAutospacing="1" w:after="100" w:afterAutospacing="1" w:line="240" w:lineRule="auto"/>
        <w:rPr>
          <w:lang w:val="es-ES"/>
        </w:rPr>
      </w:pPr>
      <w:r w:rsidRPr="00124885">
        <w:rPr>
          <w:lang w:val="es-ES"/>
        </w:rPr>
        <w:t xml:space="preserve">Figura 12. Región transfronteriza prioritaria para la conservación 12: Himalaya occidental </w:t>
      </w:r>
      <w:r w:rsidRPr="00124885">
        <w:rPr>
          <w:lang w:val="es-ES"/>
        </w:rPr>
        <w:br w:type="page"/>
      </w:r>
    </w:p>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3379"/>
      </w:tblGrid>
      <w:tr w:rsidR="00BD0605" w:rsidRPr="00124885" w14:paraId="1608D711" w14:textId="77777777" w:rsidTr="00337EFC">
        <w:trPr>
          <w:trHeight w:hRule="exact" w:val="437"/>
        </w:trPr>
        <w:tc>
          <w:tcPr>
            <w:tcW w:w="3379" w:type="dxa"/>
            <w:shd w:val="clear" w:color="auto" w:fill="FFFFFF" w:themeFill="background1"/>
            <w:vAlign w:val="center"/>
          </w:tcPr>
          <w:p w14:paraId="7EB8E3D1" w14:textId="77777777" w:rsidR="00BD0605" w:rsidRPr="00124885" w:rsidRDefault="00BD0605" w:rsidP="00337EFC">
            <w:pPr>
              <w:pStyle w:val="P68B1DB1-Normal41"/>
              <w:framePr w:w="3379" w:h="1157" w:wrap="none" w:vAnchor="page" w:hAnchor="page" w:x="9292" w:y="1721"/>
              <w:widowControl w:val="0"/>
              <w:spacing w:after="0" w:line="262" w:lineRule="auto"/>
              <w:rPr>
                <w:rFonts w:eastAsia="Arial" w:cs="Arial"/>
                <w:i/>
                <w:color w:val="476338"/>
                <w:lang w:val="es-ES"/>
              </w:rPr>
            </w:pPr>
            <w:r w:rsidRPr="00124885">
              <w:rPr>
                <w:lang w:val="es-ES"/>
              </w:rPr>
              <w:lastRenderedPageBreak/>
              <w:t>Regiones transfronterizas prioritarias para la conservación del Programa de Trabajo de la CAMI 2026-2032</w:t>
            </w:r>
          </w:p>
        </w:tc>
      </w:tr>
      <w:tr w:rsidR="00BD0605" w:rsidRPr="00124885" w14:paraId="7302A451" w14:textId="77777777" w:rsidTr="00337EFC">
        <w:trPr>
          <w:trHeight w:hRule="exact" w:val="442"/>
        </w:trPr>
        <w:tc>
          <w:tcPr>
            <w:tcW w:w="3379" w:type="dxa"/>
            <w:shd w:val="clear" w:color="auto" w:fill="FFFFFF" w:themeFill="background1"/>
            <w:vAlign w:val="center"/>
          </w:tcPr>
          <w:p w14:paraId="6C2F70AE" w14:textId="77777777" w:rsidR="00BD0605" w:rsidRPr="00124885" w:rsidRDefault="00BD0605" w:rsidP="00337EFC">
            <w:pPr>
              <w:pStyle w:val="P68B1DB1-Normal41"/>
              <w:framePr w:w="3379" w:h="1157" w:wrap="none" w:vAnchor="page" w:hAnchor="page" w:x="9292" w:y="1721"/>
              <w:widowControl w:val="0"/>
              <w:spacing w:after="0" w:line="257" w:lineRule="auto"/>
              <w:rPr>
                <w:rFonts w:eastAsia="Arial" w:cs="Arial"/>
                <w:i/>
                <w:color w:val="476338"/>
                <w:lang w:val="es-ES"/>
              </w:rPr>
            </w:pPr>
            <w:r w:rsidRPr="00124885">
              <w:rPr>
                <w:lang w:val="es-ES"/>
              </w:rPr>
              <w:t>Zona de interés del Programa de Trabajo de la CAMI</w:t>
            </w:r>
          </w:p>
        </w:tc>
      </w:tr>
      <w:tr w:rsidR="00BD0605" w:rsidRPr="00124885" w14:paraId="4735948D" w14:textId="77777777" w:rsidTr="00337EFC">
        <w:trPr>
          <w:trHeight w:hRule="exact" w:val="278"/>
        </w:trPr>
        <w:tc>
          <w:tcPr>
            <w:tcW w:w="3379" w:type="dxa"/>
            <w:shd w:val="clear" w:color="auto" w:fill="FFFFFF" w:themeFill="background1"/>
            <w:vAlign w:val="center"/>
          </w:tcPr>
          <w:p w14:paraId="4766A0DA" w14:textId="77777777" w:rsidR="00BD0605" w:rsidRPr="00124885" w:rsidRDefault="00BD0605" w:rsidP="00337EFC">
            <w:pPr>
              <w:pStyle w:val="P68B1DB1-Normal41"/>
              <w:framePr w:w="3379" w:h="1157" w:wrap="none" w:vAnchor="page" w:hAnchor="page" w:x="9292" w:y="1721"/>
              <w:widowControl w:val="0"/>
              <w:spacing w:after="0" w:line="240" w:lineRule="auto"/>
              <w:rPr>
                <w:rFonts w:eastAsia="Arial" w:cs="Arial"/>
                <w:i/>
                <w:color w:val="476338"/>
                <w:lang w:val="es-ES"/>
              </w:rPr>
            </w:pPr>
            <w:r w:rsidRPr="00124885">
              <w:rPr>
                <w:lang w:val="es-ES"/>
              </w:rPr>
              <w:t>Estados del área de distribución de la CAMI</w:t>
            </w:r>
          </w:p>
        </w:tc>
      </w:tr>
    </w:tbl>
    <w:p w14:paraId="6D90B864" w14:textId="77777777" w:rsidR="00BD0605" w:rsidRPr="00124885" w:rsidRDefault="00BD0605" w:rsidP="00BD0605">
      <w:pPr>
        <w:pStyle w:val="P68B1DB1-Normal64"/>
        <w:framePr w:w="2196" w:wrap="none" w:vAnchor="page" w:hAnchor="page" w:x="8879" w:y="1378"/>
        <w:widowControl w:val="0"/>
        <w:shd w:val="clear" w:color="auto" w:fill="FFFFFF"/>
        <w:spacing w:after="0" w:line="240" w:lineRule="auto"/>
        <w:outlineLvl w:val="0"/>
        <w:rPr>
          <w:sz w:val="20"/>
          <w:lang w:val="es-ES"/>
        </w:rPr>
      </w:pPr>
      <w:r w:rsidRPr="00124885">
        <w:rPr>
          <w:lang w:val="es-ES"/>
        </w:rPr>
        <w:t>Leyenda</w:t>
      </w:r>
    </w:p>
    <w:p w14:paraId="63FEC5FE" w14:textId="77777777" w:rsidR="00BD0605" w:rsidRPr="00124885" w:rsidRDefault="00BD0605" w:rsidP="00BD0605">
      <w:pPr>
        <w:pStyle w:val="P68B1DB1-Normal67"/>
        <w:framePr w:wrap="none" w:vAnchor="page" w:hAnchor="page" w:x="7125" w:y="5989"/>
        <w:widowControl w:val="0"/>
        <w:shd w:val="clear" w:color="auto" w:fill="FBE4D5" w:themeFill="accent2" w:themeFillTint="33"/>
        <w:spacing w:after="0" w:line="240" w:lineRule="auto"/>
        <w:rPr>
          <w:lang w:val="es-ES"/>
        </w:rPr>
      </w:pPr>
      <w:r w:rsidRPr="00124885">
        <w:rPr>
          <w:lang w:val="es-ES"/>
        </w:rPr>
        <w:t>Himalaya oriental</w:t>
      </w:r>
    </w:p>
    <w:p w14:paraId="3FFE903E" w14:textId="77777777" w:rsidR="00BD0605" w:rsidRPr="00124885" w:rsidRDefault="00BD0605" w:rsidP="00BD0605">
      <w:pPr>
        <w:pStyle w:val="P68B1DB1-Normal66"/>
        <w:framePr w:wrap="none" w:vAnchor="page" w:hAnchor="page" w:x="5824" w:y="7874"/>
        <w:widowControl w:val="0"/>
        <w:shd w:val="clear" w:color="auto" w:fill="D9F2D0"/>
        <w:spacing w:after="0" w:line="240" w:lineRule="auto"/>
        <w:rPr>
          <w:i/>
          <w:color w:val="476338"/>
          <w:lang w:val="es-ES"/>
        </w:rPr>
      </w:pPr>
      <w:r w:rsidRPr="00124885">
        <w:rPr>
          <w:lang w:val="es-ES"/>
        </w:rPr>
        <w:t>INDIA</w:t>
      </w:r>
    </w:p>
    <w:p w14:paraId="23F074BD" w14:textId="77777777" w:rsidR="00BD0605" w:rsidRPr="00124885" w:rsidRDefault="00BD0605" w:rsidP="00BD0605">
      <w:pPr>
        <w:pStyle w:val="P68B1DB1-Normal66"/>
        <w:framePr w:wrap="none" w:vAnchor="page" w:hAnchor="page" w:x="9122" w:y="6850"/>
        <w:widowControl w:val="0"/>
        <w:shd w:val="clear" w:color="auto" w:fill="D9F2D0"/>
        <w:spacing w:after="0" w:line="240" w:lineRule="auto"/>
        <w:rPr>
          <w:i/>
          <w:color w:val="476338"/>
          <w:lang w:val="es-ES"/>
        </w:rPr>
      </w:pPr>
      <w:r w:rsidRPr="00124885">
        <w:rPr>
          <w:lang w:val="es-ES"/>
        </w:rPr>
        <w:t>BHUTÁN</w:t>
      </w:r>
    </w:p>
    <w:p w14:paraId="5ABB44CF" w14:textId="77777777" w:rsidR="00BD0605" w:rsidRPr="00124885" w:rsidRDefault="00BD0605" w:rsidP="00BD0605">
      <w:pPr>
        <w:pStyle w:val="P68B1DB1-Normal66"/>
        <w:framePr w:wrap="none" w:vAnchor="page" w:hAnchor="page" w:x="2469" w:y="7502"/>
        <w:widowControl w:val="0"/>
        <w:shd w:val="clear" w:color="auto" w:fill="D9F2D0"/>
        <w:spacing w:after="0" w:line="240" w:lineRule="auto"/>
        <w:rPr>
          <w:i/>
          <w:color w:val="476338"/>
          <w:lang w:val="es-ES"/>
        </w:rPr>
      </w:pPr>
      <w:r w:rsidRPr="00124885">
        <w:rPr>
          <w:lang w:val="es-ES"/>
        </w:rPr>
        <w:t>NEPAL</w:t>
      </w:r>
    </w:p>
    <w:p w14:paraId="5D4BA458" w14:textId="77777777" w:rsidR="00BD0605" w:rsidRPr="00A46A34" w:rsidRDefault="00BD0605" w:rsidP="00BD0605">
      <w:pPr>
        <w:pStyle w:val="P68B1DB1-Normal72"/>
        <w:spacing w:before="100" w:beforeAutospacing="1" w:after="0" w:line="240" w:lineRule="auto"/>
        <w:rPr>
          <w:rFonts w:eastAsia="Aptos"/>
        </w:rPr>
      </w:pPr>
      <w:r w:rsidRPr="00A46A34">
        <w:rPr>
          <w:noProof/>
        </w:rPr>
        <w:drawing>
          <wp:inline distT="0" distB="0" distL="0" distR="0" wp14:anchorId="40976E53" wp14:editId="0C703248">
            <wp:extent cx="7514241" cy="5312410"/>
            <wp:effectExtent l="0" t="0" r="0" b="2540"/>
            <wp:docPr id="2008431067" name="Picture 12" descr="A map of a fores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31067" name="Picture 12" descr="A map of a forest  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519057" cy="5315815"/>
                    </a:xfrm>
                    <a:prstGeom prst="rect">
                      <a:avLst/>
                    </a:prstGeom>
                    <a:noFill/>
                    <a:ln>
                      <a:noFill/>
                    </a:ln>
                  </pic:spPr>
                </pic:pic>
              </a:graphicData>
            </a:graphic>
          </wp:inline>
        </w:drawing>
      </w:r>
    </w:p>
    <w:p w14:paraId="39ECBA6E" w14:textId="77777777" w:rsidR="00BD0605" w:rsidRPr="00A46A34" w:rsidRDefault="00BD0605" w:rsidP="00BD0605">
      <w:pPr>
        <w:widowControl w:val="0"/>
        <w:spacing w:after="0" w:line="240" w:lineRule="auto"/>
        <w:rPr>
          <w:rFonts w:ascii="Arial Unicode MS" w:eastAsia="Arial Unicode MS" w:hAnsi="Arial Unicode MS" w:cs="Arial Unicode MS"/>
          <w:color w:val="000000"/>
          <w:sz w:val="2"/>
        </w:rPr>
      </w:pPr>
    </w:p>
    <w:p w14:paraId="49B8EE78" w14:textId="77777777" w:rsidR="00BD0605" w:rsidRPr="00124885" w:rsidRDefault="00BD0605" w:rsidP="00BD0605">
      <w:pPr>
        <w:pStyle w:val="P68B1DB1-Normal66"/>
        <w:framePr w:wrap="none" w:vAnchor="page" w:hAnchor="page" w:x="6741" w:y="3366"/>
        <w:widowControl w:val="0"/>
        <w:shd w:val="clear" w:color="auto" w:fill="D9F2D0"/>
        <w:spacing w:after="0" w:line="240" w:lineRule="auto"/>
        <w:rPr>
          <w:i/>
          <w:color w:val="476338"/>
          <w:lang w:val="es-ES"/>
        </w:rPr>
      </w:pPr>
      <w:r w:rsidRPr="00124885">
        <w:rPr>
          <w:lang w:val="es-ES"/>
        </w:rPr>
        <w:t>CHINA</w:t>
      </w:r>
    </w:p>
    <w:p w14:paraId="56A149A2" w14:textId="77777777" w:rsidR="00BD0605" w:rsidRPr="00124885" w:rsidRDefault="00BD0605" w:rsidP="00BD0605">
      <w:pPr>
        <w:widowControl w:val="0"/>
        <w:spacing w:after="0" w:line="240" w:lineRule="auto"/>
        <w:rPr>
          <w:rFonts w:ascii="Arial Unicode MS" w:eastAsia="Arial Unicode MS" w:hAnsi="Arial Unicode MS" w:cs="Arial Unicode MS"/>
          <w:color w:val="000000"/>
          <w:sz w:val="2"/>
          <w:lang w:val="es-ES"/>
        </w:rPr>
      </w:pPr>
    </w:p>
    <w:p w14:paraId="0492B61B" w14:textId="77777777" w:rsidR="00BD0605" w:rsidRPr="00124885" w:rsidRDefault="00BD0605" w:rsidP="00BD0605">
      <w:pPr>
        <w:pStyle w:val="P68B1DB1-Normal4"/>
        <w:spacing w:before="100" w:beforeAutospacing="1" w:after="100" w:afterAutospacing="1" w:line="240" w:lineRule="auto"/>
        <w:rPr>
          <w:rFonts w:eastAsia="Aptos"/>
          <w:lang w:val="es-ES"/>
        </w:rPr>
        <w:sectPr w:rsidR="00BD0605" w:rsidRPr="00124885" w:rsidSect="00BD0605">
          <w:headerReference w:type="even" r:id="rId96"/>
          <w:headerReference w:type="default" r:id="rId97"/>
          <w:headerReference w:type="first" r:id="rId98"/>
          <w:type w:val="continuous"/>
          <w:pgSz w:w="16838" w:h="11906" w:orient="landscape" w:code="9"/>
          <w:pgMar w:top="1138" w:right="1138" w:bottom="1138" w:left="1138" w:header="720" w:footer="720" w:gutter="0"/>
          <w:cols w:space="720"/>
          <w:titlePg/>
          <w:docGrid w:linePitch="360"/>
        </w:sectPr>
      </w:pPr>
      <w:r w:rsidRPr="00124885">
        <w:rPr>
          <w:lang w:val="es-ES"/>
        </w:rPr>
        <w:t>Figura 13. Región transfronteriza prioritaria para la conservación 13: Himalaya oriental</w:t>
      </w:r>
    </w:p>
    <w:p w14:paraId="0B60CCA7" w14:textId="77777777" w:rsidR="00BD0605" w:rsidRPr="00124885" w:rsidRDefault="00BD0605" w:rsidP="00BD0605">
      <w:pPr>
        <w:pStyle w:val="P68B1DB1-Normal73"/>
        <w:spacing w:after="0" w:line="240" w:lineRule="auto"/>
        <w:jc w:val="right"/>
        <w:rPr>
          <w:lang w:val="es-ES"/>
        </w:rPr>
      </w:pPr>
      <w:r w:rsidRPr="00124885">
        <w:rPr>
          <w:lang w:val="es-ES"/>
        </w:rPr>
        <w:lastRenderedPageBreak/>
        <w:t>Anexo 2</w:t>
      </w:r>
    </w:p>
    <w:p w14:paraId="1B97E7E7" w14:textId="77777777" w:rsidR="00BD0605" w:rsidRPr="00124885" w:rsidRDefault="00BD0605" w:rsidP="00BD0605">
      <w:pPr>
        <w:spacing w:after="0" w:line="240" w:lineRule="auto"/>
        <w:rPr>
          <w:rFonts w:cs="Arial"/>
          <w:lang w:val="es-ES"/>
        </w:rPr>
      </w:pPr>
    </w:p>
    <w:p w14:paraId="2DA85C77" w14:textId="77777777" w:rsidR="00BD0605" w:rsidRPr="00124885" w:rsidRDefault="00BD0605" w:rsidP="00BD0605">
      <w:pPr>
        <w:spacing w:after="0" w:line="240" w:lineRule="auto"/>
        <w:rPr>
          <w:rFonts w:cs="Arial"/>
          <w:lang w:val="es-ES"/>
        </w:rPr>
      </w:pPr>
    </w:p>
    <w:p w14:paraId="2EF00903" w14:textId="77777777" w:rsidR="00BD0605" w:rsidRPr="00124885" w:rsidRDefault="00BD0605" w:rsidP="00BD0605">
      <w:pPr>
        <w:pStyle w:val="P68B1DB1-Normal73"/>
        <w:pBdr>
          <w:top w:val="single" w:sz="6" w:space="0" w:color="FFFFFF"/>
          <w:left w:val="single" w:sz="6" w:space="0" w:color="FFFFFF"/>
          <w:bottom w:val="single" w:sz="6" w:space="0" w:color="FFFFFF"/>
          <w:right w:val="single" w:sz="6" w:space="0" w:color="FFFFFF"/>
        </w:pBdr>
        <w:spacing w:after="0" w:line="240" w:lineRule="auto"/>
        <w:jc w:val="center"/>
        <w:outlineLvl w:val="1"/>
        <w:rPr>
          <w:lang w:val="es-ES"/>
        </w:rPr>
      </w:pPr>
      <w:r w:rsidRPr="00124885">
        <w:rPr>
          <w:lang w:val="es-ES"/>
        </w:rPr>
        <w:t xml:space="preserve">Iniciativa para los Mamíferos de Asia Central </w:t>
      </w:r>
    </w:p>
    <w:p w14:paraId="49969261" w14:textId="77777777" w:rsidR="00BD0605" w:rsidRPr="00124885" w:rsidRDefault="00BD0605" w:rsidP="00BD0605">
      <w:pPr>
        <w:spacing w:after="0" w:line="240" w:lineRule="auto"/>
        <w:jc w:val="both"/>
        <w:rPr>
          <w:rFonts w:cs="Arial"/>
          <w:i/>
          <w:lang w:val="es-ES"/>
        </w:rPr>
      </w:pPr>
    </w:p>
    <w:p w14:paraId="307A685C" w14:textId="77777777" w:rsidR="00BD0605" w:rsidRPr="00124885" w:rsidRDefault="00BD0605" w:rsidP="00BD0605">
      <w:pPr>
        <w:spacing w:after="0" w:line="240" w:lineRule="auto"/>
        <w:jc w:val="both"/>
        <w:rPr>
          <w:rFonts w:cs="Arial"/>
          <w:i/>
          <w:lang w:val="es-ES"/>
        </w:rPr>
      </w:pPr>
    </w:p>
    <w:p w14:paraId="63025215" w14:textId="77777777" w:rsidR="00BD0605" w:rsidRPr="00124885" w:rsidRDefault="00BD0605" w:rsidP="00BD0605">
      <w:pPr>
        <w:pStyle w:val="P68B1DB1-Normal74"/>
        <w:spacing w:after="0" w:line="240" w:lineRule="auto"/>
        <w:jc w:val="both"/>
        <w:rPr>
          <w:lang w:val="es-ES"/>
        </w:rPr>
      </w:pPr>
      <w:r w:rsidRPr="00124885">
        <w:rPr>
          <w:lang w:val="es-ES"/>
        </w:rPr>
        <w:t xml:space="preserve">A la atentción de las Partes </w:t>
      </w:r>
    </w:p>
    <w:p w14:paraId="6B13E676" w14:textId="77777777" w:rsidR="00BD0605" w:rsidRPr="00124885" w:rsidRDefault="00BD0605" w:rsidP="00BD0605">
      <w:pPr>
        <w:spacing w:after="0" w:line="240" w:lineRule="auto"/>
        <w:jc w:val="both"/>
        <w:rPr>
          <w:rFonts w:cs="Arial"/>
          <w:lang w:val="es-ES"/>
        </w:rPr>
      </w:pPr>
    </w:p>
    <w:p w14:paraId="757D4037" w14:textId="77777777" w:rsidR="00BD0605" w:rsidRPr="00A46A34" w:rsidRDefault="00BD0605" w:rsidP="00BD0605">
      <w:pPr>
        <w:pStyle w:val="P68B1DB1-Normal4"/>
        <w:spacing w:after="0" w:line="240" w:lineRule="auto"/>
        <w:ind w:left="851" w:hanging="851"/>
        <w:jc w:val="both"/>
      </w:pPr>
      <w:r w:rsidRPr="00A46A34">
        <w:t>15.AA</w:t>
      </w:r>
      <w:r w:rsidRPr="00A46A34">
        <w:tab/>
        <w:t>Se solicita a las Partes que:</w:t>
      </w:r>
    </w:p>
    <w:p w14:paraId="611567DA" w14:textId="77777777" w:rsidR="00BD0605" w:rsidRPr="00A46A34" w:rsidRDefault="00BD0605" w:rsidP="00BD0605">
      <w:pPr>
        <w:spacing w:after="0" w:line="240" w:lineRule="auto"/>
        <w:ind w:left="720" w:hanging="720"/>
        <w:jc w:val="both"/>
        <w:rPr>
          <w:rFonts w:cs="Arial"/>
        </w:rPr>
      </w:pPr>
    </w:p>
    <w:p w14:paraId="0D3E095D" w14:textId="77777777" w:rsidR="00BD0605" w:rsidRPr="00124885" w:rsidRDefault="00BD0605" w:rsidP="00BD0605">
      <w:pPr>
        <w:pStyle w:val="P68B1DB1-Normal4"/>
        <w:widowControl w:val="0"/>
        <w:numPr>
          <w:ilvl w:val="0"/>
          <w:numId w:val="28"/>
        </w:numPr>
        <w:autoSpaceDE w:val="0"/>
        <w:autoSpaceDN w:val="0"/>
        <w:adjustRightInd w:val="0"/>
        <w:spacing w:after="0" w:line="240" w:lineRule="auto"/>
        <w:ind w:left="1418" w:hanging="567"/>
        <w:jc w:val="both"/>
        <w:rPr>
          <w:lang w:val="es-ES"/>
        </w:rPr>
      </w:pPr>
      <w:r w:rsidRPr="00124885">
        <w:rPr>
          <w:lang w:val="es-ES"/>
        </w:rPr>
        <w:t xml:space="preserve">celebren, cuando sea necesario, acuerdos transfronterizos para reforzar la conservación de regiones transfronterizas prioritarias para la conservación (RTPC) específicas, tal y como se identifica en el Programa de Trabajo de la CAMI 2026-2032; </w:t>
      </w:r>
    </w:p>
    <w:p w14:paraId="1FF9EF3B"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525B77FC" w14:textId="77777777" w:rsidR="00BD0605" w:rsidRPr="00124885" w:rsidRDefault="00BD0605" w:rsidP="00BD0605">
      <w:pPr>
        <w:pStyle w:val="P68B1DB1-Normal4"/>
        <w:widowControl w:val="0"/>
        <w:numPr>
          <w:ilvl w:val="0"/>
          <w:numId w:val="28"/>
        </w:numPr>
        <w:autoSpaceDE w:val="0"/>
        <w:autoSpaceDN w:val="0"/>
        <w:adjustRightInd w:val="0"/>
        <w:spacing w:after="0" w:line="240" w:lineRule="auto"/>
        <w:ind w:left="1418" w:hanging="567"/>
        <w:jc w:val="both"/>
        <w:rPr>
          <w:lang w:val="es-ES"/>
        </w:rPr>
      </w:pPr>
      <w:r w:rsidRPr="00124885">
        <w:rPr>
          <w:lang w:val="es-ES"/>
        </w:rPr>
        <w:t>designen Puntos Focales Gubernamentales para RTPC específicas; y</w:t>
      </w:r>
    </w:p>
    <w:p w14:paraId="1A16D850"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79753FC3" w14:textId="77777777" w:rsidR="00BD0605" w:rsidRPr="00124885" w:rsidRDefault="00BD0605" w:rsidP="00BD0605">
      <w:pPr>
        <w:pStyle w:val="P68B1DB1-Normal4"/>
        <w:widowControl w:val="0"/>
        <w:numPr>
          <w:ilvl w:val="0"/>
          <w:numId w:val="28"/>
        </w:numPr>
        <w:autoSpaceDE w:val="0"/>
        <w:autoSpaceDN w:val="0"/>
        <w:adjustRightInd w:val="0"/>
        <w:spacing w:after="0" w:line="240" w:lineRule="auto"/>
        <w:ind w:left="1418" w:hanging="567"/>
        <w:jc w:val="both"/>
        <w:rPr>
          <w:lang w:val="es-ES"/>
        </w:rPr>
      </w:pPr>
      <w:r w:rsidRPr="00124885">
        <w:rPr>
          <w:lang w:val="es-ES"/>
        </w:rPr>
        <w:t>desarrollen propuestas de financiación conjunta y mecanismos económicos innovadores para avanzar en la cooperación transfronteriza en materia de RTPC y otras actividades para la implementación del Programa de Trabajo de la CAMI 2026-2032, con el apoyo y la mediación de la Secretaría de la CMS, cuando sea necesario.</w:t>
      </w:r>
    </w:p>
    <w:p w14:paraId="221C1FB7" w14:textId="77777777" w:rsidR="00BD0605" w:rsidRPr="00124885" w:rsidRDefault="00BD0605" w:rsidP="00BD0605">
      <w:pPr>
        <w:widowControl w:val="0"/>
        <w:autoSpaceDE w:val="0"/>
        <w:autoSpaceDN w:val="0"/>
        <w:adjustRightInd w:val="0"/>
        <w:spacing w:after="0" w:line="240" w:lineRule="auto"/>
        <w:jc w:val="both"/>
        <w:rPr>
          <w:rFonts w:cs="Arial"/>
          <w:lang w:val="es-ES"/>
        </w:rPr>
      </w:pPr>
    </w:p>
    <w:p w14:paraId="2BF97D55" w14:textId="77777777" w:rsidR="00BD0605" w:rsidRPr="00124885" w:rsidRDefault="00BD0605" w:rsidP="00BD0605">
      <w:pPr>
        <w:pStyle w:val="P68B1DB1-Normal74"/>
        <w:spacing w:after="0" w:line="240" w:lineRule="auto"/>
        <w:jc w:val="both"/>
        <w:rPr>
          <w:lang w:val="es-ES"/>
        </w:rPr>
      </w:pPr>
      <w:r w:rsidRPr="00124885">
        <w:rPr>
          <w:lang w:val="es-ES"/>
        </w:rPr>
        <w:t>A la atención de las Partes, las organizaciones intergubernamentales y las ONG</w:t>
      </w:r>
    </w:p>
    <w:p w14:paraId="1D49F528" w14:textId="77777777" w:rsidR="00BD0605" w:rsidRPr="00124885" w:rsidRDefault="00BD0605" w:rsidP="00BD0605">
      <w:pPr>
        <w:spacing w:after="0" w:line="240" w:lineRule="auto"/>
        <w:jc w:val="both"/>
        <w:rPr>
          <w:rFonts w:cs="Arial"/>
          <w:lang w:val="es-ES"/>
        </w:rPr>
      </w:pPr>
    </w:p>
    <w:p w14:paraId="394EB9C0" w14:textId="77777777" w:rsidR="00BD0605" w:rsidRPr="00124885" w:rsidRDefault="00BD0605" w:rsidP="00BD0605">
      <w:pPr>
        <w:pStyle w:val="P68B1DB1-Normal4"/>
        <w:widowControl w:val="0"/>
        <w:autoSpaceDE w:val="0"/>
        <w:autoSpaceDN w:val="0"/>
        <w:adjustRightInd w:val="0"/>
        <w:spacing w:after="0" w:line="240" w:lineRule="auto"/>
        <w:ind w:left="851" w:hanging="851"/>
        <w:jc w:val="both"/>
        <w:rPr>
          <w:lang w:val="es-ES"/>
        </w:rPr>
      </w:pPr>
      <w:r w:rsidRPr="00124885">
        <w:rPr>
          <w:lang w:val="es-ES"/>
        </w:rPr>
        <w:t>15.BB</w:t>
      </w:r>
      <w:r w:rsidRPr="00124885">
        <w:rPr>
          <w:lang w:val="es-ES"/>
        </w:rPr>
        <w:tab/>
        <w:t>Se alienta a las Partes, a las organizaciones intergubernamentales y a las ONG a que presten apoyo político, económico y técnico en la implementación del Programa de Trabajo de la CAMI 2026-2032 y en las actividades previstas en la Decisión 15.AA a) y c), 15 DD y 15 EE.</w:t>
      </w:r>
    </w:p>
    <w:p w14:paraId="1C38D9C3" w14:textId="77777777" w:rsidR="00BD0605" w:rsidRPr="00124885" w:rsidRDefault="00BD0605" w:rsidP="00BD0605">
      <w:pPr>
        <w:spacing w:after="0" w:line="240" w:lineRule="auto"/>
        <w:jc w:val="both"/>
        <w:rPr>
          <w:rFonts w:cs="Arial"/>
          <w:b/>
          <w:i/>
          <w:lang w:val="es-ES"/>
        </w:rPr>
      </w:pPr>
    </w:p>
    <w:p w14:paraId="4C06CD9A" w14:textId="77777777" w:rsidR="00BD0605" w:rsidRPr="00124885" w:rsidRDefault="00BD0605" w:rsidP="00BD0605">
      <w:pPr>
        <w:pStyle w:val="P68B1DB1-Normal74"/>
        <w:spacing w:after="0" w:line="240" w:lineRule="auto"/>
        <w:jc w:val="both"/>
        <w:rPr>
          <w:lang w:val="es-ES"/>
        </w:rPr>
      </w:pPr>
      <w:r w:rsidRPr="00124885">
        <w:rPr>
          <w:lang w:val="es-ES"/>
        </w:rPr>
        <w:t>A la atención del Comité Permanente</w:t>
      </w:r>
    </w:p>
    <w:p w14:paraId="3C0A7CE4" w14:textId="77777777" w:rsidR="00BD0605" w:rsidRPr="00124885" w:rsidRDefault="00BD0605" w:rsidP="00BD0605">
      <w:pPr>
        <w:spacing w:after="0" w:line="240" w:lineRule="auto"/>
        <w:jc w:val="both"/>
        <w:rPr>
          <w:rFonts w:cs="Arial"/>
          <w:lang w:val="es-ES"/>
        </w:rPr>
      </w:pPr>
    </w:p>
    <w:p w14:paraId="7965F889" w14:textId="77777777" w:rsidR="00BD0605" w:rsidRPr="00124885" w:rsidRDefault="00BD0605" w:rsidP="00BD0605">
      <w:pPr>
        <w:pStyle w:val="P68B1DB1-Normal4"/>
        <w:widowControl w:val="0"/>
        <w:autoSpaceDE w:val="0"/>
        <w:autoSpaceDN w:val="0"/>
        <w:adjustRightInd w:val="0"/>
        <w:spacing w:after="0" w:line="240" w:lineRule="auto"/>
        <w:ind w:left="851" w:hanging="851"/>
        <w:jc w:val="both"/>
        <w:rPr>
          <w:lang w:val="es-ES"/>
        </w:rPr>
      </w:pPr>
      <w:r w:rsidRPr="00124885">
        <w:rPr>
          <w:lang w:val="es-ES"/>
        </w:rPr>
        <w:t xml:space="preserve">15.CC </w:t>
      </w:r>
      <w:r w:rsidRPr="00124885">
        <w:rPr>
          <w:lang w:val="es-ES"/>
        </w:rPr>
        <w:tab/>
      </w:r>
      <w:bookmarkStart w:id="18" w:name="_Hlk211260825"/>
      <w:r w:rsidRPr="00124885">
        <w:rPr>
          <w:lang w:val="es-ES"/>
        </w:rPr>
        <w:t xml:space="preserve">Se solicita al Comité Permanente que revise y apruebe, si es necesario, los cambios propuestos por las Partes durante el </w:t>
      </w:r>
      <w:r w:rsidRPr="00124885">
        <w:rPr>
          <w:color w:val="000000" w:themeColor="text1"/>
          <w:lang w:val="es-ES"/>
        </w:rPr>
        <w:t>período entre sesiones del Programa de Trabajo de la CAMI 2026-2032 para reflejar la inclusión de nuevas especies por parte de la COP15 de la CMS.</w:t>
      </w:r>
    </w:p>
    <w:bookmarkEnd w:id="18"/>
    <w:p w14:paraId="57FCAB6F" w14:textId="77777777" w:rsidR="00BD0605" w:rsidRPr="00124885" w:rsidRDefault="00BD0605" w:rsidP="00BD0605">
      <w:pPr>
        <w:spacing w:after="0" w:line="240" w:lineRule="auto"/>
        <w:jc w:val="both"/>
        <w:rPr>
          <w:rFonts w:cs="Arial"/>
          <w:lang w:val="es-ES"/>
        </w:rPr>
      </w:pPr>
    </w:p>
    <w:p w14:paraId="1349B158" w14:textId="77777777" w:rsidR="00BD0605" w:rsidRPr="00124885" w:rsidRDefault="00BD0605" w:rsidP="00BD0605">
      <w:pPr>
        <w:pStyle w:val="P68B1DB1-Normal74"/>
        <w:spacing w:after="0" w:line="240" w:lineRule="auto"/>
        <w:jc w:val="both"/>
        <w:rPr>
          <w:lang w:val="es-ES"/>
        </w:rPr>
      </w:pPr>
      <w:r w:rsidRPr="00124885">
        <w:rPr>
          <w:lang w:val="es-ES"/>
        </w:rPr>
        <w:t>A la atención de la Secretaría</w:t>
      </w:r>
    </w:p>
    <w:p w14:paraId="0D2545A7" w14:textId="77777777" w:rsidR="00BD0605" w:rsidRPr="00124885" w:rsidRDefault="00BD0605" w:rsidP="00BD0605">
      <w:pPr>
        <w:spacing w:after="0" w:line="240" w:lineRule="auto"/>
        <w:jc w:val="both"/>
        <w:rPr>
          <w:rFonts w:cs="Arial"/>
          <w:lang w:val="es-ES"/>
        </w:rPr>
      </w:pPr>
    </w:p>
    <w:p w14:paraId="69EDD27C" w14:textId="77777777" w:rsidR="00BD0605" w:rsidRPr="00A46A34" w:rsidRDefault="00BD0605" w:rsidP="00BD0605">
      <w:pPr>
        <w:pStyle w:val="P68B1DB1-Normal4"/>
        <w:spacing w:after="0" w:line="240" w:lineRule="auto"/>
        <w:ind w:left="851" w:hanging="851"/>
        <w:jc w:val="both"/>
      </w:pPr>
      <w:r w:rsidRPr="00A46A34">
        <w:t>15.DD</w:t>
      </w:r>
      <w:r w:rsidRPr="00A46A34">
        <w:tab/>
        <w:t>La Secretaría deberá:</w:t>
      </w:r>
    </w:p>
    <w:p w14:paraId="63B0CF70" w14:textId="77777777" w:rsidR="00BD0605" w:rsidRPr="00A46A34" w:rsidRDefault="00BD0605" w:rsidP="00BD0605">
      <w:pPr>
        <w:widowControl w:val="0"/>
        <w:autoSpaceDE w:val="0"/>
        <w:autoSpaceDN w:val="0"/>
        <w:adjustRightInd w:val="0"/>
        <w:spacing w:after="0" w:line="240" w:lineRule="auto"/>
        <w:ind w:left="1418"/>
        <w:jc w:val="both"/>
        <w:rPr>
          <w:rFonts w:cs="Arial"/>
        </w:rPr>
      </w:pPr>
    </w:p>
    <w:p w14:paraId="1112E736"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 xml:space="preserve">de acuerdo con los procedimientos y términos de referencia acordados, facilitar el nombramiento de Puntos Focales Gubernamentales para cada RTPC del Programa de Trabajo de la CAMI 2026–2032, organizaciones de apoyo técnico que cubran </w:t>
      </w:r>
      <w:r w:rsidRPr="00124885">
        <w:rPr>
          <w:color w:val="000000" w:themeColor="text1"/>
          <w:lang w:val="es-ES"/>
        </w:rPr>
        <w:t>todas</w:t>
      </w:r>
      <w:r w:rsidRPr="00124885">
        <w:rPr>
          <w:lang w:val="es-ES"/>
        </w:rPr>
        <w:t xml:space="preserve"> las RTPC y Puntos Focales de Especies (PFE) de la CAMI;</w:t>
      </w:r>
    </w:p>
    <w:p w14:paraId="1D3CCF32"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40E57D11"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 xml:space="preserve">identificar las sinergias entre la CAMI y la Iniciativa de la Ruta Migratoria de Asia Central, la Iniciativa Regional de Ramsar para Asia Central, el Programa Mundial para la Protección del Leopardo de las Nieves y los Ecosistemas, la </w:t>
      </w:r>
      <w:r w:rsidRPr="00124885">
        <w:rPr>
          <w:color w:val="000000" w:themeColor="text1"/>
          <w:lang w:val="es-ES"/>
        </w:rPr>
        <w:t>Alianza Internacional</w:t>
      </w:r>
      <w:r w:rsidRPr="00124885">
        <w:rPr>
          <w:lang w:val="es-ES"/>
        </w:rPr>
        <w:t xml:space="preserve"> para los Grandes Felinos y otras plataformas regionales relevantes</w:t>
      </w:r>
      <w:r w:rsidRPr="00124885">
        <w:rPr>
          <w:color w:val="000000" w:themeColor="text1"/>
          <w:lang w:val="es-ES"/>
        </w:rPr>
        <w:t xml:space="preserve"> </w:t>
      </w:r>
      <w:r w:rsidRPr="00124885">
        <w:rPr>
          <w:lang w:val="es-ES"/>
        </w:rPr>
        <w:t>para mejorar los objetivos conjuntos de conservación, ahorrar costos y reducir la huella de carbono al organizar reuniones;</w:t>
      </w:r>
    </w:p>
    <w:p w14:paraId="3EFBCF17" w14:textId="34CDD60E" w:rsidR="00FF25EC" w:rsidRDefault="00FF25EC" w:rsidP="00BD0605">
      <w:pPr>
        <w:widowControl w:val="0"/>
        <w:autoSpaceDE w:val="0"/>
        <w:autoSpaceDN w:val="0"/>
        <w:adjustRightInd w:val="0"/>
        <w:spacing w:after="0" w:line="240" w:lineRule="auto"/>
        <w:ind w:left="1418" w:hanging="567"/>
        <w:jc w:val="both"/>
        <w:rPr>
          <w:rFonts w:cs="Arial"/>
          <w:lang w:val="es-ES"/>
        </w:rPr>
      </w:pPr>
      <w:r>
        <w:rPr>
          <w:rFonts w:cs="Arial"/>
          <w:lang w:val="es-ES"/>
        </w:rPr>
        <w:br w:type="page"/>
      </w:r>
    </w:p>
    <w:p w14:paraId="5D447DFF"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lastRenderedPageBreak/>
        <w:t>organizar una reunión en línea entre los representantes del sector pertinentes de Mongolia para debatir la mitigación del impacto de los ferrocarriles planificados/existentes en las especies migratorias;</w:t>
      </w:r>
    </w:p>
    <w:p w14:paraId="1E6BB6E2"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en cooperación con el Grupo de Trabajo sobre Energía de la CMS, organizará una reunión en línea para facilitar el debate sobre las medidas de mitigación para las infraestructuras de energía eólica y solar en la meseta de Ustyurt;</w:t>
      </w:r>
    </w:p>
    <w:p w14:paraId="2553C456"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199FCE9E"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 xml:space="preserve">si las Partes lo solicitan, celebrar otras reuniones en línea para facilitar el debate de los problemas relacionados con las barreras a la migración e identificar soluciones que involucren a desarrolladores y planificadores de infraestructuras, la Alianza Mundial sobre Conectividad Ecológica de la CMS, los </w:t>
      </w:r>
      <w:r w:rsidRPr="00124885">
        <w:rPr>
          <w:color w:val="000000" w:themeColor="text1"/>
          <w:lang w:val="es-ES"/>
        </w:rPr>
        <w:t>PFE</w:t>
      </w:r>
      <w:r w:rsidRPr="00124885">
        <w:rPr>
          <w:lang w:val="es-ES"/>
        </w:rPr>
        <w:t xml:space="preserve"> de la CAMI y los </w:t>
      </w:r>
      <w:r w:rsidRPr="00124885">
        <w:rPr>
          <w:color w:val="000000" w:themeColor="text1"/>
          <w:lang w:val="es-ES"/>
        </w:rPr>
        <w:t>PFN</w:t>
      </w:r>
      <w:r w:rsidRPr="00124885">
        <w:rPr>
          <w:lang w:val="es-ES"/>
        </w:rPr>
        <w:t xml:space="preserve"> de los Estados del área de distribución de la CAMI; y</w:t>
      </w:r>
    </w:p>
    <w:p w14:paraId="22C63FCB" w14:textId="77777777" w:rsidR="00BD0605" w:rsidRPr="00124885" w:rsidRDefault="00BD0605" w:rsidP="00BD0605">
      <w:pPr>
        <w:widowControl w:val="0"/>
        <w:autoSpaceDE w:val="0"/>
        <w:autoSpaceDN w:val="0"/>
        <w:adjustRightInd w:val="0"/>
        <w:spacing w:after="0" w:line="240" w:lineRule="auto"/>
        <w:ind w:left="1418" w:hanging="567"/>
        <w:jc w:val="both"/>
        <w:rPr>
          <w:rFonts w:cs="Arial"/>
          <w:lang w:val="es-ES"/>
        </w:rPr>
      </w:pPr>
    </w:p>
    <w:p w14:paraId="2A8A11A9" w14:textId="77777777" w:rsidR="00BD0605" w:rsidRPr="00124885" w:rsidRDefault="00BD0605" w:rsidP="00BD0605">
      <w:pPr>
        <w:pStyle w:val="P68B1DB1-Normal4"/>
        <w:widowControl w:val="0"/>
        <w:numPr>
          <w:ilvl w:val="0"/>
          <w:numId w:val="29"/>
        </w:numPr>
        <w:autoSpaceDE w:val="0"/>
        <w:autoSpaceDN w:val="0"/>
        <w:adjustRightInd w:val="0"/>
        <w:spacing w:after="0" w:line="240" w:lineRule="auto"/>
        <w:ind w:left="1418" w:hanging="567"/>
        <w:jc w:val="both"/>
        <w:rPr>
          <w:lang w:val="es-ES"/>
        </w:rPr>
      </w:pPr>
      <w:r w:rsidRPr="00124885">
        <w:rPr>
          <w:lang w:val="es-ES"/>
        </w:rPr>
        <w:t>informar a la Conferencia de las Partes en su 16.ª Reunión sobre los avances en la implementación de esta Decisión.</w:t>
      </w:r>
    </w:p>
    <w:p w14:paraId="0DD43BBE" w14:textId="77777777" w:rsidR="00BD0605" w:rsidRPr="00124885" w:rsidRDefault="00BD0605" w:rsidP="00BD0605">
      <w:pPr>
        <w:spacing w:after="0" w:line="240" w:lineRule="auto"/>
        <w:jc w:val="both"/>
        <w:rPr>
          <w:rFonts w:cs="Arial"/>
          <w:lang w:val="es-ES"/>
        </w:rPr>
      </w:pPr>
    </w:p>
    <w:p w14:paraId="2204961B" w14:textId="77777777" w:rsidR="00BD0605" w:rsidRPr="00124885" w:rsidRDefault="00BD0605" w:rsidP="00BD0605">
      <w:pPr>
        <w:pStyle w:val="P68B1DB1-Normal74"/>
        <w:spacing w:after="0" w:line="240" w:lineRule="auto"/>
        <w:jc w:val="both"/>
        <w:rPr>
          <w:lang w:val="es-ES"/>
        </w:rPr>
      </w:pPr>
      <w:r w:rsidRPr="00124885">
        <w:rPr>
          <w:lang w:val="es-ES"/>
        </w:rPr>
        <w:t>A la atención de la Secretaría</w:t>
      </w:r>
    </w:p>
    <w:p w14:paraId="24FF587C" w14:textId="77777777" w:rsidR="00BD0605" w:rsidRPr="00124885" w:rsidRDefault="00BD0605" w:rsidP="00BD0605">
      <w:pPr>
        <w:spacing w:after="0" w:line="240" w:lineRule="auto"/>
        <w:jc w:val="both"/>
        <w:rPr>
          <w:rFonts w:cs="Arial"/>
          <w:lang w:val="es-ES"/>
        </w:rPr>
      </w:pPr>
    </w:p>
    <w:p w14:paraId="72F25C3E" w14:textId="77777777" w:rsidR="00BD0605" w:rsidRPr="00124885" w:rsidRDefault="00BD0605" w:rsidP="00BD0605">
      <w:pPr>
        <w:pStyle w:val="P68B1DB1-Normal4"/>
        <w:spacing w:after="0" w:line="240" w:lineRule="auto"/>
        <w:ind w:left="851" w:hanging="851"/>
        <w:jc w:val="both"/>
        <w:rPr>
          <w:lang w:val="es-ES"/>
        </w:rPr>
      </w:pPr>
      <w:r w:rsidRPr="00124885">
        <w:rPr>
          <w:lang w:val="es-ES"/>
        </w:rPr>
        <w:t>15.EE</w:t>
      </w:r>
      <w:r w:rsidRPr="00124885">
        <w:rPr>
          <w:lang w:val="es-ES"/>
        </w:rPr>
        <w:tab/>
        <w:t>La Secretaría, en función de la disponibilidad de recursos externos, deberá:</w:t>
      </w:r>
    </w:p>
    <w:p w14:paraId="56C9B680"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136B2FA2"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elaborar y difundir un folleto y un vídeo promocional (para diferentes públicos) de cara a concienciar y mejorar la comprensión de la importancia de la región para la conservación de las especies migratorias y el papel de la CAMI y la Iniciativa de la Ruta Migratoria de Asia Central;</w:t>
      </w:r>
    </w:p>
    <w:p w14:paraId="120F193E"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68482C9F"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organizar un taller para desarrollar las capacidades y aumentar la concienciación de los responsables de la toma de decisiones y las comunidades locales respecto a la aplicación de las «Directrices de la SSC de la UICN sobre conflictos y coexistencia entre humanos y vida silvestre» y las recomendaciones del informe de la CMS </w:t>
      </w:r>
      <w:r w:rsidRPr="00124885">
        <w:rPr>
          <w:i/>
          <w:lang w:val="es-ES"/>
        </w:rPr>
        <w:t>«Potencial para la gestión comunitaria de la vida silvestre en Asia Central»</w:t>
      </w:r>
      <w:r w:rsidRPr="00124885">
        <w:rPr>
          <w:lang w:val="es-ES"/>
        </w:rPr>
        <w:t>, así como en relación con las recomendaciones del Grupo de Trabajo del Consejo Científico de la CMS sobre Pastoreo y las especies incluidas en la lista de la CMS;</w:t>
      </w:r>
    </w:p>
    <w:p w14:paraId="33E4CC72"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6B83EE7A"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en cooperación con el Grupo de Trabajo sobre Energía de la CMS, organizar un taller para desarrollar las capacidades de los responsables de la toma de decisiones y las partes interesadas pertinentes y para elaborar orientaciones con el fin de reducir los impactos de las infraestructuras lineales sobre las especies de la CAMI y las especies aviares incluidas en la lista de la CMS; </w:t>
      </w:r>
    </w:p>
    <w:p w14:paraId="3F60BFF2"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7DB08A0A"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organizar talleres para fortalecer la cooperación transfronteriza en RTPC específicas; </w:t>
      </w:r>
    </w:p>
    <w:p w14:paraId="78ACADBF"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13926C01"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 xml:space="preserve">respaldar la labor del Gobierno de Uzbekistán para llevar a cabo un </w:t>
      </w:r>
      <w:r w:rsidRPr="00124885">
        <w:rPr>
          <w:color w:val="000000" w:themeColor="text1"/>
          <w:lang w:val="es-ES"/>
        </w:rPr>
        <w:t xml:space="preserve">estudio integral de viabilidad sobre la reintroducción del guepardo utilizando guepardos y una base de presas de oríenes apropiados que evalúe, entre otras cosas, la restauración de la base de presas, la idoneidad de los hábitats y la extensión del espacio disponible para los guepardos, </w:t>
      </w:r>
      <w:r w:rsidRPr="00124885">
        <w:rPr>
          <w:lang w:val="es-ES"/>
        </w:rPr>
        <w:t xml:space="preserve">proporcionando desarrollo de capacidades y apoyo a los trabajos de recaudación de fondos; </w:t>
      </w:r>
    </w:p>
    <w:p w14:paraId="73462054"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645318AB"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t>celebrar una reunión de mitad de período en 2028 o 2029 para evaluar la implementación del Programa de Trabajo de la CAMI 2026-2032,</w:t>
      </w:r>
      <w:r w:rsidRPr="00124885">
        <w:rPr>
          <w:color w:val="000000" w:themeColor="text1"/>
          <w:lang w:val="es-ES"/>
        </w:rPr>
        <w:t xml:space="preserve"> identificar </w:t>
      </w:r>
      <w:r w:rsidRPr="00124885">
        <w:rPr>
          <w:lang w:val="es-ES"/>
        </w:rPr>
        <w:t xml:space="preserve">los éxitos y abordar los desafíos; y </w:t>
      </w:r>
    </w:p>
    <w:p w14:paraId="62E65686" w14:textId="77777777" w:rsidR="00BD0605" w:rsidRPr="00124885" w:rsidRDefault="00BD0605" w:rsidP="00BD0605">
      <w:pPr>
        <w:widowControl w:val="0"/>
        <w:autoSpaceDE w:val="0"/>
        <w:autoSpaceDN w:val="0"/>
        <w:adjustRightInd w:val="0"/>
        <w:spacing w:after="0" w:line="240" w:lineRule="auto"/>
        <w:ind w:left="1418"/>
        <w:jc w:val="both"/>
        <w:rPr>
          <w:rFonts w:cs="Arial"/>
          <w:lang w:val="es-ES"/>
        </w:rPr>
      </w:pPr>
    </w:p>
    <w:p w14:paraId="39923CEE" w14:textId="77777777" w:rsidR="00BD0605" w:rsidRPr="00124885" w:rsidRDefault="00BD0605" w:rsidP="00BD0605">
      <w:pPr>
        <w:pStyle w:val="P68B1DB1-Normal4"/>
        <w:widowControl w:val="0"/>
        <w:numPr>
          <w:ilvl w:val="0"/>
          <w:numId w:val="23"/>
        </w:numPr>
        <w:autoSpaceDE w:val="0"/>
        <w:autoSpaceDN w:val="0"/>
        <w:adjustRightInd w:val="0"/>
        <w:spacing w:after="0" w:line="240" w:lineRule="auto"/>
        <w:ind w:left="1418" w:hanging="567"/>
        <w:jc w:val="both"/>
        <w:rPr>
          <w:lang w:val="es-ES"/>
        </w:rPr>
      </w:pPr>
      <w:r w:rsidRPr="00124885">
        <w:rPr>
          <w:lang w:val="es-ES"/>
        </w:rPr>
        <w:lastRenderedPageBreak/>
        <w:t>informar a la Conferencia de las Partes en su 16.ª Reunión sobre los avances en la implementación de esta Decisión.</w:t>
      </w:r>
    </w:p>
    <w:p w14:paraId="0849DDC5" w14:textId="52C4FC7B" w:rsidR="00B83682" w:rsidRPr="00BD0605" w:rsidRDefault="00B83682" w:rsidP="00BD0605">
      <w:pPr>
        <w:spacing w:after="0" w:line="240" w:lineRule="auto"/>
        <w:jc w:val="right"/>
        <w:rPr>
          <w:rFonts w:cs="Arial"/>
          <w:lang w:val="es-ES"/>
        </w:rPr>
      </w:pPr>
    </w:p>
    <w:sectPr w:rsidR="00B83682" w:rsidRPr="00BD0605" w:rsidSect="00D93C48">
      <w:headerReference w:type="default" r:id="rId99"/>
      <w:headerReference w:type="first" r:id="rId100"/>
      <w:footerReference w:type="first" r:id="rId101"/>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21712C" w14:textId="77777777" w:rsidR="007B6C0F" w:rsidRDefault="007B6C0F" w:rsidP="00002A97">
      <w:pPr>
        <w:spacing w:after="0" w:line="240" w:lineRule="auto"/>
      </w:pPr>
      <w:r>
        <w:separator/>
      </w:r>
    </w:p>
  </w:endnote>
  <w:endnote w:type="continuationSeparator" w:id="0">
    <w:p w14:paraId="0737F93B" w14:textId="77777777" w:rsidR="007B6C0F" w:rsidRDefault="007B6C0F" w:rsidP="00002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5858933"/>
      <w:docPartObj>
        <w:docPartGallery w:val="Page Numbers (Bottom of Page)"/>
        <w:docPartUnique/>
      </w:docPartObj>
    </w:sdtPr>
    <w:sdtEndPr>
      <w:rPr>
        <w:noProof/>
        <w:sz w:val="18"/>
        <w:szCs w:val="18"/>
      </w:rPr>
    </w:sdtEndPr>
    <w:sdtContent>
      <w:p w14:paraId="602E550D" w14:textId="4A028FE9" w:rsidR="000F4BDA" w:rsidRPr="000F4BDA" w:rsidRDefault="000F4BDA">
        <w:pPr>
          <w:pStyle w:val="Footer"/>
          <w:jc w:val="center"/>
          <w:rPr>
            <w:sz w:val="18"/>
            <w:szCs w:val="18"/>
          </w:rPr>
        </w:pPr>
        <w:r w:rsidRPr="000F4BDA">
          <w:rPr>
            <w:sz w:val="18"/>
            <w:szCs w:val="18"/>
          </w:rPr>
          <w:fldChar w:fldCharType="begin"/>
        </w:r>
        <w:r w:rsidRPr="000F4BDA">
          <w:rPr>
            <w:sz w:val="18"/>
            <w:szCs w:val="18"/>
          </w:rPr>
          <w:instrText xml:space="preserve"> PAGE   \* MERGEFORMAT </w:instrText>
        </w:r>
        <w:r w:rsidRPr="000F4BDA">
          <w:rPr>
            <w:sz w:val="18"/>
            <w:szCs w:val="18"/>
          </w:rPr>
          <w:fldChar w:fldCharType="separate"/>
        </w:r>
        <w:r w:rsidRPr="000F4BDA">
          <w:rPr>
            <w:noProof/>
            <w:sz w:val="18"/>
            <w:szCs w:val="18"/>
          </w:rPr>
          <w:t>2</w:t>
        </w:r>
        <w:r w:rsidRPr="000F4BDA">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702069"/>
      <w:docPartObj>
        <w:docPartGallery w:val="Page Numbers (Bottom of Page)"/>
        <w:docPartUnique/>
      </w:docPartObj>
    </w:sdtPr>
    <w:sdtEndPr>
      <w:rPr>
        <w:noProof/>
        <w:sz w:val="18"/>
        <w:szCs w:val="18"/>
      </w:rPr>
    </w:sdtEndPr>
    <w:sdtContent>
      <w:p w14:paraId="301D92B9" w14:textId="0535CE5A" w:rsidR="000F4BDA" w:rsidRPr="000F4BDA" w:rsidRDefault="000F4BDA">
        <w:pPr>
          <w:pStyle w:val="Footer"/>
          <w:jc w:val="center"/>
          <w:rPr>
            <w:sz w:val="18"/>
            <w:szCs w:val="18"/>
          </w:rPr>
        </w:pPr>
        <w:r w:rsidRPr="000F4BDA">
          <w:rPr>
            <w:sz w:val="18"/>
            <w:szCs w:val="18"/>
          </w:rPr>
          <w:fldChar w:fldCharType="begin"/>
        </w:r>
        <w:r w:rsidRPr="000F4BDA">
          <w:rPr>
            <w:sz w:val="18"/>
            <w:szCs w:val="18"/>
          </w:rPr>
          <w:instrText xml:space="preserve"> PAGE   \* MERGEFORMAT </w:instrText>
        </w:r>
        <w:r w:rsidRPr="000F4BDA">
          <w:rPr>
            <w:sz w:val="18"/>
            <w:szCs w:val="18"/>
          </w:rPr>
          <w:fldChar w:fldCharType="separate"/>
        </w:r>
        <w:r w:rsidRPr="000F4BDA">
          <w:rPr>
            <w:noProof/>
            <w:sz w:val="18"/>
            <w:szCs w:val="18"/>
          </w:rPr>
          <w:t>2</w:t>
        </w:r>
        <w:r w:rsidRPr="000F4BDA">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1958C" w14:textId="7BF7CE9C" w:rsidR="00D70275" w:rsidRPr="00D70275" w:rsidRDefault="00D70275">
    <w:pPr>
      <w:pStyle w:val="Footer"/>
      <w:jc w:val="cen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043604337"/>
      <w:docPartObj>
        <w:docPartGallery w:val="Page Numbers (Bottom of Page)"/>
        <w:docPartUnique/>
      </w:docPartObj>
    </w:sdtPr>
    <w:sdtEndPr>
      <w:rPr>
        <w:noProof/>
      </w:rPr>
    </w:sdtEndPr>
    <w:sdtContent>
      <w:p w14:paraId="077FF56C" w14:textId="2DBABC3D" w:rsidR="00006DF4" w:rsidRPr="00006DF4" w:rsidRDefault="00006DF4" w:rsidP="00006DF4">
        <w:pPr>
          <w:pStyle w:val="Footer"/>
          <w:jc w:val="center"/>
          <w:rPr>
            <w:sz w:val="18"/>
            <w:szCs w:val="18"/>
          </w:rPr>
        </w:pPr>
        <w:r w:rsidRPr="00006DF4">
          <w:rPr>
            <w:sz w:val="18"/>
            <w:szCs w:val="18"/>
          </w:rPr>
          <w:fldChar w:fldCharType="begin"/>
        </w:r>
        <w:r w:rsidRPr="00006DF4">
          <w:rPr>
            <w:sz w:val="18"/>
            <w:szCs w:val="18"/>
          </w:rPr>
          <w:instrText xml:space="preserve"> PAGE   \* MERGEFORMAT </w:instrText>
        </w:r>
        <w:r w:rsidRPr="00006DF4">
          <w:rPr>
            <w:sz w:val="18"/>
            <w:szCs w:val="18"/>
          </w:rPr>
          <w:fldChar w:fldCharType="separate"/>
        </w:r>
        <w:r w:rsidRPr="00006DF4">
          <w:rPr>
            <w:noProof/>
            <w:sz w:val="18"/>
            <w:szCs w:val="18"/>
          </w:rPr>
          <w:t>2</w:t>
        </w:r>
        <w:r w:rsidRPr="00006DF4">
          <w:rPr>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5272250"/>
      <w:docPartObj>
        <w:docPartGallery w:val="Page Numbers (Bottom of Page)"/>
        <w:docPartUnique/>
      </w:docPartObj>
    </w:sdtPr>
    <w:sdtEndPr>
      <w:rPr>
        <w:noProof/>
        <w:sz w:val="18"/>
        <w:szCs w:val="18"/>
      </w:rPr>
    </w:sdtEndPr>
    <w:sdtContent>
      <w:p w14:paraId="37927952" w14:textId="23564DDF" w:rsidR="00142C42" w:rsidRPr="00142C42" w:rsidRDefault="00142C42">
        <w:pPr>
          <w:pStyle w:val="Footer"/>
          <w:jc w:val="center"/>
          <w:rPr>
            <w:sz w:val="18"/>
            <w:szCs w:val="18"/>
          </w:rPr>
        </w:pPr>
        <w:r w:rsidRPr="00142C42">
          <w:rPr>
            <w:sz w:val="18"/>
            <w:szCs w:val="18"/>
          </w:rPr>
          <w:fldChar w:fldCharType="begin"/>
        </w:r>
        <w:r w:rsidRPr="00142C42">
          <w:rPr>
            <w:sz w:val="18"/>
            <w:szCs w:val="18"/>
          </w:rPr>
          <w:instrText xml:space="preserve"> PAGE   \* MERGEFORMAT </w:instrText>
        </w:r>
        <w:r w:rsidRPr="00142C42">
          <w:rPr>
            <w:sz w:val="18"/>
            <w:szCs w:val="18"/>
          </w:rPr>
          <w:fldChar w:fldCharType="separate"/>
        </w:r>
        <w:r w:rsidRPr="00142C42">
          <w:rPr>
            <w:noProof/>
            <w:sz w:val="18"/>
            <w:szCs w:val="18"/>
          </w:rPr>
          <w:t>2</w:t>
        </w:r>
        <w:r w:rsidRPr="00142C42">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3C993D" w14:textId="77777777" w:rsidR="007B6C0F" w:rsidRDefault="007B6C0F" w:rsidP="00002A97">
      <w:pPr>
        <w:spacing w:after="0" w:line="240" w:lineRule="auto"/>
      </w:pPr>
      <w:r>
        <w:separator/>
      </w:r>
    </w:p>
  </w:footnote>
  <w:footnote w:type="continuationSeparator" w:id="0">
    <w:p w14:paraId="3F4BF36E" w14:textId="77777777" w:rsidR="007B6C0F" w:rsidRDefault="007B6C0F" w:rsidP="00002A97">
      <w:pPr>
        <w:spacing w:after="0" w:line="240" w:lineRule="auto"/>
      </w:pPr>
      <w:r>
        <w:continuationSeparator/>
      </w:r>
    </w:p>
  </w:footnote>
  <w:footnote w:id="1">
    <w:p w14:paraId="46E5F06E" w14:textId="77777777" w:rsidR="00BD2B43" w:rsidRPr="00124885" w:rsidRDefault="00BD2B43" w:rsidP="00BD2B43">
      <w:pPr>
        <w:pStyle w:val="FootnoteText"/>
        <w:rPr>
          <w:sz w:val="16"/>
          <w:lang w:val="es-ES"/>
        </w:rPr>
      </w:pPr>
      <w:r w:rsidRPr="00A46A34">
        <w:rPr>
          <w:rStyle w:val="FootnoteReference"/>
          <w:sz w:val="16"/>
        </w:rPr>
        <w:footnoteRef/>
      </w:r>
      <w:r w:rsidRPr="00124885">
        <w:rPr>
          <w:sz w:val="16"/>
          <w:lang w:val="es-ES"/>
        </w:rPr>
        <w:t xml:space="preserve"> El título </w:t>
      </w:r>
      <w:r w:rsidRPr="00124885">
        <w:rPr>
          <w:rFonts w:eastAsia="Times New Roman" w:cs="Arial"/>
          <w:i/>
          <w:color w:val="000000"/>
          <w:kern w:val="2"/>
          <w:sz w:val="16"/>
          <w:lang w:val="es-ES"/>
        </w:rPr>
        <w:t xml:space="preserve">«Potencial para la gestión comunitaria de la vida silvestre de las especies de la CAMI» </w:t>
      </w:r>
      <w:r w:rsidRPr="00124885">
        <w:rPr>
          <w:sz w:val="16"/>
          <w:lang w:val="es-ES"/>
        </w:rPr>
        <w:t>se ha cambiado</w:t>
      </w:r>
      <w:r w:rsidRPr="00124885">
        <w:rPr>
          <w:rFonts w:eastAsia="Times New Roman" w:cs="Arial"/>
          <w:color w:val="000000"/>
          <w:kern w:val="2"/>
          <w:sz w:val="16"/>
          <w:lang w:val="es-ES"/>
        </w:rPr>
        <w:t xml:space="preserve"> para hacerlo más accesible a un público más amplio.</w:t>
      </w:r>
    </w:p>
  </w:footnote>
  <w:footnote w:id="2">
    <w:p w14:paraId="7E45905D" w14:textId="77777777" w:rsidR="00BD2B43" w:rsidRPr="00124885" w:rsidRDefault="00BD2B43" w:rsidP="00BD2B43">
      <w:pPr>
        <w:pStyle w:val="FootnoteText"/>
        <w:rPr>
          <w:sz w:val="16"/>
          <w:lang w:val="es-ES"/>
        </w:rPr>
      </w:pPr>
      <w:r w:rsidRPr="00A46A34">
        <w:rPr>
          <w:rStyle w:val="FootnoteReference"/>
          <w:sz w:val="16"/>
        </w:rPr>
        <w:footnoteRef/>
      </w:r>
      <w:r w:rsidRPr="00124885">
        <w:rPr>
          <w:sz w:val="16"/>
          <w:lang w:val="es-ES"/>
        </w:rPr>
        <w:t xml:space="preserve"> La 3.ª Reunión de los Estados del Área de Distribución de la CAMI cambió el título «Programa de Trabajos de la CAMI» a «Programa de Trabajo de la CAMI» (PdT de la CAMI).</w:t>
      </w:r>
    </w:p>
  </w:footnote>
  <w:footnote w:id="3">
    <w:p w14:paraId="2DA66C17" w14:textId="77777777" w:rsidR="0050347E" w:rsidRPr="00124885" w:rsidRDefault="0050347E" w:rsidP="0050347E">
      <w:pPr>
        <w:pStyle w:val="FootnoteText"/>
        <w:rPr>
          <w:rFonts w:cs="Arial"/>
          <w:sz w:val="16"/>
          <w:lang w:val="es-ES"/>
        </w:rPr>
      </w:pPr>
      <w:r w:rsidRPr="00A46A34">
        <w:rPr>
          <w:rStyle w:val="FootnoteReference"/>
          <w:rFonts w:cs="Arial"/>
          <w:sz w:val="16"/>
        </w:rPr>
        <w:footnoteRef/>
      </w:r>
      <w:r w:rsidRPr="00124885">
        <w:rPr>
          <w:rFonts w:cs="Arial"/>
          <w:sz w:val="16"/>
          <w:lang w:val="es-ES"/>
        </w:rPr>
        <w:t xml:space="preserve"> Prioridad para la implementación en un plazo de 6 años: Alta (alta importancia y urgencia para resolver los problemas de conservación que afectan a los animales y sus hábitats en un plazo de entre 1 y 2 años); Media (necesaria para la estabilización de las cifras de población en un plazo de entre 3 y 5 años); Baja (contribuirá al éxito de la conservación, pero no se necesita con urgencia). </w:t>
      </w:r>
    </w:p>
  </w:footnote>
  <w:footnote w:id="4">
    <w:p w14:paraId="648D7E74" w14:textId="77777777" w:rsidR="0050347E" w:rsidRPr="00124885" w:rsidRDefault="0050347E" w:rsidP="0050347E">
      <w:pPr>
        <w:pStyle w:val="FootnoteText"/>
        <w:rPr>
          <w:rFonts w:cs="Arial"/>
          <w:sz w:val="16"/>
          <w:lang w:val="es-ES"/>
        </w:rPr>
      </w:pPr>
      <w:r w:rsidRPr="00A46A34">
        <w:rPr>
          <w:rStyle w:val="FootnoteReference"/>
          <w:rFonts w:cs="Arial"/>
          <w:sz w:val="16"/>
        </w:rPr>
        <w:footnoteRef/>
      </w:r>
      <w:r w:rsidRPr="00124885">
        <w:rPr>
          <w:rFonts w:cs="Arial"/>
          <w:sz w:val="16"/>
          <w:lang w:val="es-ES"/>
        </w:rPr>
        <w:t xml:space="preserve"> Cuando </w:t>
      </w:r>
      <w:r w:rsidRPr="00124885">
        <w:rPr>
          <w:rFonts w:cs="Arial"/>
          <w:color w:val="000000" w:themeColor="text1"/>
          <w:sz w:val="16"/>
          <w:lang w:val="es-ES"/>
        </w:rPr>
        <w:t>se indica la responsabilidad</w:t>
      </w:r>
      <w:r w:rsidRPr="00124885">
        <w:rPr>
          <w:rFonts w:cs="Arial"/>
          <w:sz w:val="16"/>
          <w:lang w:val="es-ES"/>
        </w:rPr>
        <w:t xml:space="preserve"> de la CITES, solo se refiere a las especies incluidas en la CITES.</w:t>
      </w:r>
    </w:p>
  </w:footnote>
  <w:footnote w:id="5">
    <w:p w14:paraId="233908A6" w14:textId="77777777" w:rsidR="0050347E" w:rsidRPr="00124885" w:rsidRDefault="0050347E" w:rsidP="0050347E">
      <w:pPr>
        <w:pStyle w:val="FootnoteText"/>
        <w:rPr>
          <w:lang w:val="es-ES"/>
        </w:rPr>
      </w:pPr>
      <w:r w:rsidRPr="00A46A34">
        <w:rPr>
          <w:rStyle w:val="FootnoteReference"/>
          <w:rFonts w:cs="Arial"/>
          <w:sz w:val="16"/>
        </w:rPr>
        <w:footnoteRef/>
      </w:r>
      <w:r w:rsidRPr="00124885">
        <w:rPr>
          <w:rFonts w:cs="Arial"/>
          <w:sz w:val="16"/>
          <w:lang w:val="es-ES"/>
        </w:rPr>
        <w:t xml:space="preserve"> Los instrumentos mencionados al comienzo de cada sección se han desarrollado dentro de la CAMI y complementan el Programa de Trabajo de la CAMI.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C902E" w14:textId="63946237" w:rsidR="00D70275" w:rsidRPr="00002A97" w:rsidRDefault="00D70275" w:rsidP="00002A97">
    <w:pPr>
      <w:pStyle w:val="Header"/>
      <w:pBdr>
        <w:bottom w:val="single" w:sz="4" w:space="1" w:color="auto"/>
      </w:pBdr>
      <w:rPr>
        <w:i/>
        <w:sz w:val="18"/>
        <w:szCs w:val="18"/>
      </w:rPr>
    </w:pPr>
    <w:bookmarkStart w:id="1" w:name="_Hlk124847022"/>
    <w:bookmarkStart w:id="2" w:name="_Hlk124847023"/>
    <w:bookmarkStart w:id="3" w:name="_Hlk124847024"/>
    <w:bookmarkStart w:id="4" w:name="_Hlk124847025"/>
    <w:bookmarkStart w:id="5" w:name="_Hlk124847026"/>
    <w:bookmarkStart w:id="6" w:name="_Hlk124847027"/>
    <w:bookmarkStart w:id="7" w:name="_Hlk124847217"/>
    <w:bookmarkStart w:id="8" w:name="_Hlk124847218"/>
    <w:r w:rsidRPr="00002A97">
      <w:rPr>
        <w:rFonts w:eastAsia="Times New Roman" w:cs="Arial"/>
        <w:i/>
        <w:sz w:val="18"/>
        <w:szCs w:val="18"/>
        <w:lang w:val="fr-FR" w:eastAsia="es-ES"/>
      </w:rPr>
      <w:t>UNEP/CMS/COP1</w:t>
    </w:r>
    <w:r w:rsidR="00C22155">
      <w:rPr>
        <w:rFonts w:eastAsia="Times New Roman" w:cs="Arial"/>
        <w:i/>
        <w:sz w:val="18"/>
        <w:szCs w:val="18"/>
        <w:lang w:val="fr-FR" w:eastAsia="es-ES"/>
      </w:rPr>
      <w:t>5</w:t>
    </w:r>
    <w:r w:rsidRPr="00002A97">
      <w:rPr>
        <w:rFonts w:eastAsia="Times New Roman" w:cs="Arial"/>
        <w:i/>
        <w:sz w:val="18"/>
        <w:szCs w:val="18"/>
        <w:lang w:val="fr-FR" w:eastAsia="es-ES"/>
      </w:rPr>
      <w:t>/Doc.</w:t>
    </w:r>
    <w:bookmarkEnd w:id="1"/>
    <w:bookmarkEnd w:id="2"/>
    <w:bookmarkEnd w:id="3"/>
    <w:bookmarkEnd w:id="4"/>
    <w:bookmarkEnd w:id="5"/>
    <w:bookmarkEnd w:id="6"/>
    <w:bookmarkEnd w:id="7"/>
    <w:bookmarkEnd w:id="8"/>
    <w:r w:rsidR="00E7094C">
      <w:rPr>
        <w:rFonts w:eastAsia="Times New Roman" w:cs="Arial"/>
        <w:i/>
        <w:sz w:val="18"/>
        <w:szCs w:val="18"/>
        <w:lang w:val="fr-FR" w:eastAsia="es-ES"/>
      </w:rPr>
      <w:t>27.3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DCA8B" w14:textId="77777777" w:rsidR="00BD0605" w:rsidRPr="00A46A34" w:rsidRDefault="00BD0605">
    <w:pPr>
      <w:pStyle w:val="P68B1DB1-Header77"/>
      <w:pBdr>
        <w:bottom w:val="single" w:sz="4" w:space="1" w:color="auto"/>
      </w:pBdr>
    </w:pPr>
    <w:r w:rsidRPr="00A46A34">
      <w:t>UNEP/CMS/COP15/Doc.27.3/Annex1</w:t>
    </w:r>
  </w:p>
  <w:p w14:paraId="0BCFE747" w14:textId="77777777" w:rsidR="00BD0605" w:rsidRPr="00A46A34" w:rsidRDefault="00BD060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03251" w14:textId="77777777" w:rsidR="00BD0605" w:rsidRPr="00A46A34" w:rsidRDefault="00BD0605">
    <w:pPr>
      <w:pStyle w:val="P68B1DB1-Header76"/>
      <w:pBdr>
        <w:bottom w:val="single" w:sz="4" w:space="1" w:color="auto"/>
      </w:pBdr>
      <w:jc w:val="right"/>
    </w:pPr>
    <w:r w:rsidRPr="00A46A34">
      <w:t>UNEP/CMS/COP15/Doc.27.3/Annex1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738B4" w14:textId="77777777" w:rsidR="00BD0605" w:rsidRPr="00A46A34" w:rsidRDefault="00BD0605">
    <w:pPr>
      <w:pStyle w:val="P68B1DB1-Header76"/>
      <w:pBdr>
        <w:bottom w:val="single" w:sz="4" w:space="1" w:color="auto"/>
      </w:pBdr>
      <w:jc w:val="right"/>
    </w:pPr>
    <w:r w:rsidRPr="00A46A34">
      <w:t>UNEP/CMS/COP15/Doc.27.3/Annex1</w:t>
    </w:r>
  </w:p>
  <w:p w14:paraId="0E8703E5" w14:textId="77777777" w:rsidR="00BD0605" w:rsidRPr="00A46A34" w:rsidRDefault="00BD0605">
    <w:pPr>
      <w:pStyle w:val="Header"/>
    </w:pPr>
  </w:p>
  <w:p w14:paraId="6CAD2C00" w14:textId="77777777" w:rsidR="00BD0605" w:rsidRPr="00A46A34" w:rsidRDefault="00BD060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FB49B" w14:textId="45C21482" w:rsidR="00142C42" w:rsidRPr="00DD0B5E" w:rsidRDefault="00142C42" w:rsidP="000F4BDA">
    <w:pPr>
      <w:pStyle w:val="Header"/>
      <w:pBdr>
        <w:bottom w:val="single" w:sz="4" w:space="1" w:color="auto"/>
      </w:pBdr>
      <w:jc w:val="right"/>
      <w:rPr>
        <w:i/>
        <w:sz w:val="18"/>
        <w:szCs w:val="18"/>
      </w:rPr>
    </w:pPr>
    <w:r w:rsidRPr="00DD0B5E">
      <w:rPr>
        <w:rFonts w:eastAsia="Times New Roman" w:cs="Arial"/>
        <w:i/>
        <w:sz w:val="18"/>
        <w:szCs w:val="18"/>
        <w:lang w:eastAsia="es-ES"/>
      </w:rPr>
      <w:t>UNEP/CMS/COP15/Doc.27.3/Anex</w:t>
    </w:r>
    <w:r>
      <w:rPr>
        <w:rFonts w:eastAsia="Times New Roman" w:cs="Arial"/>
        <w:i/>
        <w:sz w:val="18"/>
        <w:szCs w:val="18"/>
        <w:lang w:eastAsia="es-ES"/>
      </w:rPr>
      <w:t>o 2</w:t>
    </w:r>
  </w:p>
  <w:p w14:paraId="0E706C63" w14:textId="77777777" w:rsidR="00142C42" w:rsidRDefault="00142C4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D651A" w14:textId="0286E3D3" w:rsidR="00142C42" w:rsidRPr="009F1FDE" w:rsidRDefault="00142C42" w:rsidP="005B2881">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27.3</w:t>
    </w:r>
    <w:r w:rsidRPr="009F1FDE">
      <w:rPr>
        <w:rFonts w:cs="Arial"/>
        <w:i/>
        <w:sz w:val="18"/>
        <w:szCs w:val="18"/>
      </w:rPr>
      <w:t>/Anex</w:t>
    </w:r>
    <w:r>
      <w:rPr>
        <w:rFonts w:cs="Arial"/>
        <w:i/>
        <w:sz w:val="18"/>
        <w:szCs w:val="18"/>
      </w:rPr>
      <w:t>o 2</w:t>
    </w:r>
  </w:p>
  <w:p w14:paraId="3DFC7DEC" w14:textId="77777777" w:rsidR="00142C42" w:rsidRPr="006F22B0" w:rsidRDefault="00142C42" w:rsidP="006F22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B8442" w14:textId="68EEA9BC" w:rsidR="000F4BDA" w:rsidRPr="00002A97" w:rsidRDefault="000F4BDA" w:rsidP="000F4BDA">
    <w:pPr>
      <w:pStyle w:val="Header"/>
      <w:pBdr>
        <w:bottom w:val="single" w:sz="4" w:space="1" w:color="auto"/>
      </w:pBdr>
      <w:jc w:val="right"/>
      <w:rPr>
        <w:i/>
        <w:sz w:val="18"/>
        <w:szCs w:val="18"/>
      </w:rPr>
    </w:pPr>
    <w:r w:rsidRPr="00002A97">
      <w:rPr>
        <w:rFonts w:eastAsia="Times New Roman" w:cs="Arial"/>
        <w:i/>
        <w:sz w:val="18"/>
        <w:szCs w:val="18"/>
        <w:lang w:val="fr-FR" w:eastAsia="es-ES"/>
      </w:rPr>
      <w:t>UNEP/CMS/COP1</w:t>
    </w:r>
    <w:r w:rsidR="00C22155">
      <w:rPr>
        <w:rFonts w:eastAsia="Times New Roman" w:cs="Arial"/>
        <w:i/>
        <w:sz w:val="18"/>
        <w:szCs w:val="18"/>
        <w:lang w:val="fr-FR" w:eastAsia="es-ES"/>
      </w:rPr>
      <w:t>5</w:t>
    </w:r>
    <w:r w:rsidRPr="00002A97">
      <w:rPr>
        <w:rFonts w:eastAsia="Times New Roman" w:cs="Arial"/>
        <w:i/>
        <w:sz w:val="18"/>
        <w:szCs w:val="18"/>
        <w:lang w:val="fr-FR" w:eastAsia="es-ES"/>
      </w:rPr>
      <w:t>/</w:t>
    </w:r>
    <w:r w:rsidR="007B53CC">
      <w:rPr>
        <w:rFonts w:eastAsia="Times New Roman" w:cs="Arial"/>
        <w:i/>
        <w:sz w:val="18"/>
        <w:szCs w:val="18"/>
        <w:lang w:val="fr-FR" w:eastAsia="es-ES"/>
      </w:rPr>
      <w:t>Doc</w:t>
    </w:r>
    <w:r w:rsidR="00430A25">
      <w:rPr>
        <w:rFonts w:eastAsia="Times New Roman" w:cs="Arial"/>
        <w:i/>
        <w:sz w:val="18"/>
        <w:szCs w:val="18"/>
        <w:lang w:val="fr-FR" w:eastAsia="es-ES"/>
      </w:rPr>
      <w:t>.</w:t>
    </w:r>
    <w:r w:rsidR="00EA682A">
      <w:rPr>
        <w:rFonts w:eastAsia="Times New Roman" w:cs="Arial"/>
        <w:i/>
        <w:sz w:val="18"/>
        <w:szCs w:val="18"/>
        <w:lang w:val="fr-FR" w:eastAsia="es-ES"/>
      </w:rPr>
      <w:t>27.3</w:t>
    </w:r>
  </w:p>
  <w:p w14:paraId="1543D16E" w14:textId="77777777" w:rsidR="000F4BDA" w:rsidRDefault="000F4B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9BB20" w14:textId="2192B564" w:rsidR="006F22B0" w:rsidRPr="00002A97" w:rsidRDefault="00457C8A" w:rsidP="006F22B0">
    <w:pPr>
      <w:widowControl w:val="0"/>
      <w:tabs>
        <w:tab w:val="center" w:pos="4153"/>
        <w:tab w:val="right" w:pos="8306"/>
      </w:tabs>
      <w:suppressAutoHyphens/>
      <w:autoSpaceDE w:val="0"/>
      <w:autoSpaceDN w:val="0"/>
      <w:spacing w:after="0" w:line="240" w:lineRule="auto"/>
      <w:jc w:val="right"/>
      <w:textAlignment w:val="baseline"/>
      <w:rPr>
        <w:rFonts w:eastAsia="Times New Roman" w:cs="Times New Roman"/>
        <w:sz w:val="18"/>
        <w:szCs w:val="20"/>
        <w:lang w:val="es-ES" w:eastAsia="es-ES"/>
      </w:rPr>
    </w:pPr>
    <w:r>
      <w:rPr>
        <w:rFonts w:eastAsia="Times New Roman" w:cs="Times New Roman"/>
        <w:noProof/>
        <w:sz w:val="18"/>
        <w:szCs w:val="20"/>
        <w:lang w:val="es-ES" w:eastAsia="es-ES"/>
      </w:rPr>
      <w:drawing>
        <wp:anchor distT="0" distB="0" distL="114300" distR="114300" simplePos="0" relativeHeight="251658242" behindDoc="1" locked="0" layoutInCell="1" allowOverlap="1" wp14:anchorId="0CFECFDF" wp14:editId="557917C4">
          <wp:simplePos x="0" y="0"/>
          <wp:positionH relativeFrom="column">
            <wp:posOffset>-11430</wp:posOffset>
          </wp:positionH>
          <wp:positionV relativeFrom="paragraph">
            <wp:posOffset>-257175</wp:posOffset>
          </wp:positionV>
          <wp:extent cx="731520" cy="731520"/>
          <wp:effectExtent l="0" t="0" r="0" b="0"/>
          <wp:wrapTight wrapText="bothSides">
            <wp:wrapPolygon edited="0">
              <wp:start x="0" y="0"/>
              <wp:lineTo x="0" y="20813"/>
              <wp:lineTo x="20813" y="20813"/>
              <wp:lineTo x="2081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pic:spPr>
              </pic:pic>
            </a:graphicData>
          </a:graphic>
          <wp14:sizeRelH relativeFrom="margin">
            <wp14:pctWidth>0</wp14:pctWidth>
          </wp14:sizeRelH>
          <wp14:sizeRelV relativeFrom="margin">
            <wp14:pctHeight>0</wp14:pctHeight>
          </wp14:sizeRelV>
        </wp:anchor>
      </w:drawing>
    </w:r>
    <w:r w:rsidR="006F22B0" w:rsidRPr="00002A97">
      <w:rPr>
        <w:rFonts w:eastAsia="Times New Roman" w:cs="Times New Roman"/>
        <w:noProof/>
        <w:sz w:val="18"/>
        <w:szCs w:val="20"/>
        <w:lang w:val="es-ES" w:eastAsia="es-ES"/>
      </w:rPr>
      <w:drawing>
        <wp:anchor distT="0" distB="0" distL="114300" distR="114300" simplePos="0" relativeHeight="251658241" behindDoc="0" locked="0" layoutInCell="1" allowOverlap="1" wp14:anchorId="5BB0F591" wp14:editId="7CD9231B">
          <wp:simplePos x="0" y="0"/>
          <wp:positionH relativeFrom="column">
            <wp:posOffset>5609587</wp:posOffset>
          </wp:positionH>
          <wp:positionV relativeFrom="paragraph">
            <wp:posOffset>78108</wp:posOffset>
          </wp:positionV>
          <wp:extent cx="619121" cy="288922"/>
          <wp:effectExtent l="0" t="0" r="0" b="0"/>
          <wp:wrapTight wrapText="bothSides">
            <wp:wrapPolygon edited="0">
              <wp:start x="0" y="0"/>
              <wp:lineTo x="0" y="19939"/>
              <wp:lineTo x="20603" y="19939"/>
              <wp:lineTo x="20603" y="0"/>
              <wp:lineTo x="0" y="0"/>
            </wp:wrapPolygon>
          </wp:wrapTight>
          <wp:docPr id="10"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a:stretch>
                    <a:fillRect/>
                  </a:stretch>
                </pic:blipFill>
                <pic:spPr>
                  <a:xfrm>
                    <a:off x="0" y="0"/>
                    <a:ext cx="619121" cy="288922"/>
                  </a:xfrm>
                  <a:prstGeom prst="rect">
                    <a:avLst/>
                  </a:prstGeom>
                  <a:noFill/>
                  <a:ln>
                    <a:noFill/>
                    <a:prstDash/>
                  </a:ln>
                </pic:spPr>
              </pic:pic>
            </a:graphicData>
          </a:graphic>
        </wp:anchor>
      </w:drawing>
    </w:r>
    <w:r w:rsidR="006F22B0" w:rsidRPr="00002A97">
      <w:rPr>
        <w:rFonts w:eastAsia="Times New Roman" w:cs="Times New Roman"/>
        <w:noProof/>
        <w:sz w:val="18"/>
        <w:szCs w:val="20"/>
      </w:rPr>
      <w:drawing>
        <wp:anchor distT="0" distB="0" distL="114300" distR="114300" simplePos="0" relativeHeight="251658240" behindDoc="0" locked="0" layoutInCell="1" allowOverlap="1" wp14:anchorId="09063D46" wp14:editId="6FDC4C4C">
          <wp:simplePos x="0" y="0"/>
          <wp:positionH relativeFrom="column">
            <wp:posOffset>716276</wp:posOffset>
          </wp:positionH>
          <wp:positionV relativeFrom="paragraph">
            <wp:posOffset>-75566</wp:posOffset>
          </wp:positionV>
          <wp:extent cx="431167" cy="441326"/>
          <wp:effectExtent l="0" t="0" r="6983" b="0"/>
          <wp:wrapTight wrapText="bothSides">
            <wp:wrapPolygon edited="0">
              <wp:start x="0" y="0"/>
              <wp:lineTo x="0" y="20512"/>
              <wp:lineTo x="20995" y="20512"/>
              <wp:lineTo x="20995" y="0"/>
              <wp:lineTo x="0" y="0"/>
            </wp:wrapPolygon>
          </wp:wrapTight>
          <wp:docPr id="1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rcRect l="2780" t="-1236" r="60236" b="48836"/>
                  <a:stretch>
                    <a:fillRect/>
                  </a:stretch>
                </pic:blipFill>
                <pic:spPr>
                  <a:xfrm>
                    <a:off x="0" y="0"/>
                    <a:ext cx="431167" cy="441326"/>
                  </a:xfrm>
                  <a:prstGeom prst="rect">
                    <a:avLst/>
                  </a:prstGeom>
                  <a:noFill/>
                  <a:ln>
                    <a:noFill/>
                    <a:prstDash/>
                  </a:ln>
                </pic:spPr>
              </pic:pic>
            </a:graphicData>
          </a:graphic>
        </wp:anchor>
      </w:drawing>
    </w:r>
  </w:p>
  <w:p w14:paraId="50FCC012" w14:textId="77777777" w:rsidR="00B40E07" w:rsidRPr="006F22B0" w:rsidRDefault="00B40E07" w:rsidP="006F22B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939C9" w14:textId="7CC25307" w:rsidR="00DD0B5E" w:rsidRPr="00002A97" w:rsidRDefault="00DD0B5E" w:rsidP="00002A97">
    <w:pPr>
      <w:pStyle w:val="Header"/>
      <w:pBdr>
        <w:bottom w:val="single" w:sz="4" w:space="1" w:color="auto"/>
      </w:pBdr>
      <w:rPr>
        <w:i/>
        <w:sz w:val="18"/>
        <w:szCs w:val="18"/>
      </w:rPr>
    </w:pPr>
    <w:r w:rsidRPr="00002A97">
      <w:rPr>
        <w:rFonts w:eastAsia="Times New Roman" w:cs="Arial"/>
        <w:i/>
        <w:sz w:val="18"/>
        <w:szCs w:val="18"/>
        <w:lang w:val="fr-FR" w:eastAsia="es-ES"/>
      </w:rPr>
      <w:t>UNEP/CMS/COP1</w:t>
    </w:r>
    <w:r>
      <w:rPr>
        <w:rFonts w:eastAsia="Times New Roman" w:cs="Arial"/>
        <w:i/>
        <w:sz w:val="18"/>
        <w:szCs w:val="18"/>
        <w:lang w:val="fr-FR" w:eastAsia="es-ES"/>
      </w:rPr>
      <w:t>5</w:t>
    </w:r>
    <w:r w:rsidRPr="00002A97">
      <w:rPr>
        <w:rFonts w:eastAsia="Times New Roman" w:cs="Arial"/>
        <w:i/>
        <w:sz w:val="18"/>
        <w:szCs w:val="18"/>
        <w:lang w:val="fr-FR" w:eastAsia="es-ES"/>
      </w:rPr>
      <w:t>/Doc.</w:t>
    </w:r>
    <w:r>
      <w:rPr>
        <w:rFonts w:eastAsia="Times New Roman" w:cs="Arial"/>
        <w:i/>
        <w:sz w:val="18"/>
        <w:szCs w:val="18"/>
        <w:lang w:val="fr-FR" w:eastAsia="es-ES"/>
      </w:rPr>
      <w:t>27.3/Anexo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766AD" w14:textId="781873B2" w:rsidR="00DD0B5E" w:rsidRPr="00DD0B5E" w:rsidRDefault="00DD0B5E" w:rsidP="000F4BDA">
    <w:pPr>
      <w:pStyle w:val="Header"/>
      <w:pBdr>
        <w:bottom w:val="single" w:sz="4" w:space="1" w:color="auto"/>
      </w:pBdr>
      <w:jc w:val="right"/>
      <w:rPr>
        <w:i/>
        <w:sz w:val="18"/>
        <w:szCs w:val="18"/>
      </w:rPr>
    </w:pPr>
    <w:r w:rsidRPr="00DD0B5E">
      <w:rPr>
        <w:rFonts w:eastAsia="Times New Roman" w:cs="Arial"/>
        <w:i/>
        <w:sz w:val="18"/>
        <w:szCs w:val="18"/>
        <w:lang w:eastAsia="es-ES"/>
      </w:rPr>
      <w:t>UNEP/CMS/COP15/Doc.27.3/Anex</w:t>
    </w:r>
    <w:r>
      <w:rPr>
        <w:rFonts w:eastAsia="Times New Roman" w:cs="Arial"/>
        <w:i/>
        <w:sz w:val="18"/>
        <w:szCs w:val="18"/>
        <w:lang w:eastAsia="es-ES"/>
      </w:rPr>
      <w:t>o 1</w:t>
    </w:r>
  </w:p>
  <w:p w14:paraId="1C4AB658" w14:textId="77777777" w:rsidR="00DD0B5E" w:rsidRDefault="00DD0B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66E66" w14:textId="5874B104" w:rsidR="005B2881" w:rsidRPr="009F1FDE" w:rsidRDefault="005B2881" w:rsidP="00006DF4">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w:t>
    </w:r>
    <w:r w:rsidR="00EA682A">
      <w:rPr>
        <w:rFonts w:cs="Arial"/>
        <w:i/>
        <w:sz w:val="18"/>
        <w:szCs w:val="18"/>
      </w:rPr>
      <w:t>7.3</w:t>
    </w:r>
    <w:r w:rsidRPr="009F1FDE">
      <w:rPr>
        <w:rFonts w:cs="Arial"/>
        <w:i/>
        <w:sz w:val="18"/>
        <w:szCs w:val="18"/>
      </w:rPr>
      <w:t>/Anex</w:t>
    </w:r>
    <w:r>
      <w:rPr>
        <w:rFonts w:cs="Arial"/>
        <w:i/>
        <w:sz w:val="18"/>
        <w:szCs w:val="18"/>
      </w:rPr>
      <w:t>o 1</w:t>
    </w:r>
  </w:p>
  <w:p w14:paraId="0BB97457" w14:textId="77777777" w:rsidR="005E59F8" w:rsidRPr="006F22B0" w:rsidRDefault="005E59F8" w:rsidP="006F22B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B9D69" w14:textId="77777777" w:rsidR="00006DF4" w:rsidRPr="009F1FDE" w:rsidRDefault="00006DF4" w:rsidP="00006DF4">
    <w:pPr>
      <w:pStyle w:val="Header"/>
      <w:pBdr>
        <w:bottom w:val="single" w:sz="4" w:space="1" w:color="auto"/>
      </w:pBdr>
      <w:ind w:right="-501"/>
      <w:rPr>
        <w:rFonts w:cs="Arial"/>
        <w:i/>
        <w:sz w:val="18"/>
        <w:szCs w:val="18"/>
      </w:rPr>
    </w:pPr>
    <w:r w:rsidRPr="009F1FDE">
      <w:rPr>
        <w:rFonts w:cs="Arial"/>
        <w:i/>
        <w:sz w:val="18"/>
        <w:szCs w:val="18"/>
      </w:rPr>
      <w:t>UNEP/CMS/COP15/Doc.</w:t>
    </w:r>
    <w:r>
      <w:rPr>
        <w:rFonts w:cs="Arial"/>
        <w:i/>
        <w:sz w:val="18"/>
        <w:szCs w:val="18"/>
      </w:rPr>
      <w:t>27.3</w:t>
    </w:r>
    <w:r w:rsidRPr="009F1FDE">
      <w:rPr>
        <w:rFonts w:cs="Arial"/>
        <w:i/>
        <w:sz w:val="18"/>
        <w:szCs w:val="18"/>
      </w:rPr>
      <w:t>/Anex</w:t>
    </w:r>
    <w:r>
      <w:rPr>
        <w:rFonts w:cs="Arial"/>
        <w:i/>
        <w:sz w:val="18"/>
        <w:szCs w:val="18"/>
      </w:rPr>
      <w:t>o 1</w:t>
    </w:r>
  </w:p>
  <w:p w14:paraId="23C2703B" w14:textId="77777777" w:rsidR="00006DF4" w:rsidRPr="006F22B0" w:rsidRDefault="00006DF4" w:rsidP="006F22B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D5A90" w14:textId="77777777" w:rsidR="00006DF4" w:rsidRPr="009F1FDE" w:rsidRDefault="00006DF4" w:rsidP="00006DF4">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27.3</w:t>
    </w:r>
    <w:r w:rsidRPr="009F1FDE">
      <w:rPr>
        <w:rFonts w:cs="Arial"/>
        <w:i/>
        <w:sz w:val="18"/>
        <w:szCs w:val="18"/>
      </w:rPr>
      <w:t>/Anex</w:t>
    </w:r>
    <w:r>
      <w:rPr>
        <w:rFonts w:cs="Arial"/>
        <w:i/>
        <w:sz w:val="18"/>
        <w:szCs w:val="18"/>
      </w:rPr>
      <w:t>o 1</w:t>
    </w:r>
  </w:p>
  <w:p w14:paraId="72083665" w14:textId="77777777" w:rsidR="00006DF4" w:rsidRPr="006F22B0" w:rsidRDefault="00006DF4" w:rsidP="006F22B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5BC9D" w14:textId="77777777" w:rsidR="00BD0605" w:rsidRPr="00A46A34" w:rsidRDefault="00BD0605">
    <w:pPr>
      <w:pStyle w:val="P68B1DB1-Header76"/>
      <w:pBdr>
        <w:bottom w:val="single" w:sz="4" w:space="1" w:color="auto"/>
      </w:pBdr>
      <w:jc w:val="right"/>
    </w:pPr>
    <w:r w:rsidRPr="00A46A34">
      <w:t>UNEP/CMS/COP15/Doc.27.3/Annex1</w:t>
    </w:r>
  </w:p>
  <w:p w14:paraId="59619F50" w14:textId="77777777" w:rsidR="00BD0605" w:rsidRPr="00A46A34" w:rsidRDefault="00BD06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22C440C8"/>
    <w:lvl w:ilvl="0">
      <w:start w:val="1"/>
      <w:numFmt w:val="decimal"/>
      <w:lvlText w:val="%1."/>
      <w:lvlJc w:val="left"/>
      <w:pPr>
        <w:tabs>
          <w:tab w:val="num" w:pos="-360"/>
        </w:tabs>
        <w:ind w:left="360" w:hanging="360"/>
      </w:pPr>
      <w:rPr>
        <w:i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 w15:restartNumberingAfterBreak="0">
    <w:nsid w:val="019A219D"/>
    <w:multiLevelType w:val="hybridMultilevel"/>
    <w:tmpl w:val="E5F45FE6"/>
    <w:lvl w:ilvl="0" w:tplc="5614D898">
      <w:start w:val="10"/>
      <w:numFmt w:val="decimal"/>
      <w:lvlText w:val="%1"/>
      <w:lvlJc w:val="left"/>
      <w:pPr>
        <w:ind w:left="720" w:hanging="360"/>
      </w:pPr>
      <w:rPr>
        <w:rFonts w:hint="default"/>
        <w:i/>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02506409"/>
    <w:multiLevelType w:val="hybridMultilevel"/>
    <w:tmpl w:val="9078CAB6"/>
    <w:lvl w:ilvl="0" w:tplc="3D6816F8">
      <w:start w:val="1"/>
      <w:numFmt w:val="decimal"/>
      <w:pStyle w:val="Firstnumbering1"/>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AF22C7"/>
    <w:multiLevelType w:val="hybridMultilevel"/>
    <w:tmpl w:val="80DAB9C6"/>
    <w:lvl w:ilvl="0" w:tplc="87DEB022">
      <w:start w:val="1"/>
      <w:numFmt w:val="lowerLetter"/>
      <w:pStyle w:val="Second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9519E6"/>
    <w:multiLevelType w:val="hybridMultilevel"/>
    <w:tmpl w:val="7EB208A2"/>
    <w:lvl w:ilvl="0" w:tplc="94C6FA4C">
      <w:start w:val="1"/>
      <w:numFmt w:val="lowerLetter"/>
      <w:lvlText w:val="%1)"/>
      <w:lvlJc w:val="left"/>
      <w:pPr>
        <w:ind w:left="1211" w:hanging="360"/>
      </w:pPr>
      <w:rPr>
        <w:rFonts w:ascii="Arial" w:hAnsi="Arial" w:hint="default"/>
        <w:b w:val="0"/>
        <w:bCs w:val="0"/>
        <w:i/>
        <w:iCs/>
        <w:color w:val="auto"/>
        <w:sz w:val="20"/>
        <w:szCs w:val="2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04061C7F"/>
    <w:multiLevelType w:val="hybridMultilevel"/>
    <w:tmpl w:val="00BA1968"/>
    <w:lvl w:ilvl="0" w:tplc="EE1E7ABA">
      <w:start w:val="1"/>
      <w:numFmt w:val="lowerRoman"/>
      <w:pStyle w:val="Thirdnumberingi"/>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80F21"/>
    <w:multiLevelType w:val="hybridMultilevel"/>
    <w:tmpl w:val="0D20EA36"/>
    <w:lvl w:ilvl="0" w:tplc="08090017">
      <w:start w:val="1"/>
      <w:numFmt w:val="lowerLetter"/>
      <w:lvlText w:val="%1)"/>
      <w:lvlJc w:val="left"/>
      <w:pPr>
        <w:ind w:left="1154" w:hanging="360"/>
      </w:pPr>
    </w:lvl>
    <w:lvl w:ilvl="1" w:tplc="08090019">
      <w:start w:val="1"/>
      <w:numFmt w:val="lowerLetter"/>
      <w:lvlText w:val="%2."/>
      <w:lvlJc w:val="left"/>
      <w:pPr>
        <w:ind w:left="1874" w:hanging="360"/>
      </w:pPr>
    </w:lvl>
    <w:lvl w:ilvl="2" w:tplc="0809001B">
      <w:start w:val="1"/>
      <w:numFmt w:val="lowerRoman"/>
      <w:lvlText w:val="%3."/>
      <w:lvlJc w:val="right"/>
      <w:pPr>
        <w:ind w:left="2594" w:hanging="180"/>
      </w:pPr>
    </w:lvl>
    <w:lvl w:ilvl="3" w:tplc="0809000F">
      <w:start w:val="1"/>
      <w:numFmt w:val="decimal"/>
      <w:lvlText w:val="%4."/>
      <w:lvlJc w:val="left"/>
      <w:pPr>
        <w:ind w:left="3314" w:hanging="360"/>
      </w:pPr>
    </w:lvl>
    <w:lvl w:ilvl="4" w:tplc="08090019">
      <w:start w:val="1"/>
      <w:numFmt w:val="lowerLetter"/>
      <w:lvlText w:val="%5."/>
      <w:lvlJc w:val="left"/>
      <w:pPr>
        <w:ind w:left="4034" w:hanging="360"/>
      </w:pPr>
    </w:lvl>
    <w:lvl w:ilvl="5" w:tplc="0809001B">
      <w:start w:val="1"/>
      <w:numFmt w:val="lowerRoman"/>
      <w:lvlText w:val="%6."/>
      <w:lvlJc w:val="right"/>
      <w:pPr>
        <w:ind w:left="4754" w:hanging="180"/>
      </w:pPr>
    </w:lvl>
    <w:lvl w:ilvl="6" w:tplc="0809000F">
      <w:start w:val="1"/>
      <w:numFmt w:val="decimal"/>
      <w:lvlText w:val="%7."/>
      <w:lvlJc w:val="left"/>
      <w:pPr>
        <w:ind w:left="5474" w:hanging="360"/>
      </w:pPr>
    </w:lvl>
    <w:lvl w:ilvl="7" w:tplc="08090019">
      <w:start w:val="1"/>
      <w:numFmt w:val="lowerLetter"/>
      <w:lvlText w:val="%8."/>
      <w:lvlJc w:val="left"/>
      <w:pPr>
        <w:ind w:left="6194" w:hanging="360"/>
      </w:pPr>
    </w:lvl>
    <w:lvl w:ilvl="8" w:tplc="0809001B">
      <w:start w:val="1"/>
      <w:numFmt w:val="lowerRoman"/>
      <w:lvlText w:val="%9."/>
      <w:lvlJc w:val="right"/>
      <w:pPr>
        <w:ind w:left="6914" w:hanging="180"/>
      </w:pPr>
    </w:lvl>
  </w:abstractNum>
  <w:abstractNum w:abstractNumId="7" w15:restartNumberingAfterBreak="0">
    <w:nsid w:val="0B492958"/>
    <w:multiLevelType w:val="hybridMultilevel"/>
    <w:tmpl w:val="8516340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E9777F2"/>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11662405"/>
    <w:multiLevelType w:val="multilevel"/>
    <w:tmpl w:val="2B84C6C4"/>
    <w:styleLink w:val="CurrentList1"/>
    <w:lvl w:ilvl="0">
      <w:start w:val="1"/>
      <w:numFmt w:val="decimal"/>
      <w:lvlText w:val="%1."/>
      <w:lvlJc w:val="left"/>
      <w:pPr>
        <w:ind w:left="1571"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0" w15:restartNumberingAfterBreak="0">
    <w:nsid w:val="116C0C92"/>
    <w:multiLevelType w:val="hybridMultilevel"/>
    <w:tmpl w:val="74F0902E"/>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1" w15:restartNumberingAfterBreak="0">
    <w:nsid w:val="1497136E"/>
    <w:multiLevelType w:val="hybridMultilevel"/>
    <w:tmpl w:val="DF88FDA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7FAAE62"/>
    <w:multiLevelType w:val="hybridMultilevel"/>
    <w:tmpl w:val="E4F2BC02"/>
    <w:lvl w:ilvl="0" w:tplc="145C6AB8">
      <w:start w:val="1"/>
      <w:numFmt w:val="decimal"/>
      <w:lvlText w:val="%1."/>
      <w:lvlJc w:val="left"/>
      <w:pPr>
        <w:ind w:left="720" w:hanging="360"/>
      </w:pPr>
    </w:lvl>
    <w:lvl w:ilvl="1" w:tplc="7AB86EEA">
      <w:start w:val="1"/>
      <w:numFmt w:val="lowerLetter"/>
      <w:lvlText w:val="%2."/>
      <w:lvlJc w:val="left"/>
      <w:pPr>
        <w:ind w:left="1440" w:hanging="360"/>
      </w:pPr>
    </w:lvl>
    <w:lvl w:ilvl="2" w:tplc="9DF66DE4">
      <w:start w:val="1"/>
      <w:numFmt w:val="lowerRoman"/>
      <w:lvlText w:val="%3."/>
      <w:lvlJc w:val="right"/>
      <w:pPr>
        <w:ind w:left="2160" w:hanging="180"/>
      </w:pPr>
    </w:lvl>
    <w:lvl w:ilvl="3" w:tplc="62D05FCA">
      <w:start w:val="1"/>
      <w:numFmt w:val="decimal"/>
      <w:lvlText w:val="%4."/>
      <w:lvlJc w:val="left"/>
      <w:pPr>
        <w:ind w:left="2880" w:hanging="360"/>
      </w:pPr>
    </w:lvl>
    <w:lvl w:ilvl="4" w:tplc="67D6007A">
      <w:start w:val="1"/>
      <w:numFmt w:val="lowerLetter"/>
      <w:lvlText w:val="%5."/>
      <w:lvlJc w:val="left"/>
      <w:pPr>
        <w:ind w:left="3600" w:hanging="360"/>
      </w:pPr>
    </w:lvl>
    <w:lvl w:ilvl="5" w:tplc="83C237FA">
      <w:start w:val="1"/>
      <w:numFmt w:val="lowerRoman"/>
      <w:lvlText w:val="%6."/>
      <w:lvlJc w:val="right"/>
      <w:pPr>
        <w:ind w:left="4320" w:hanging="180"/>
      </w:pPr>
    </w:lvl>
    <w:lvl w:ilvl="6" w:tplc="E2F2F9FC">
      <w:start w:val="1"/>
      <w:numFmt w:val="decimal"/>
      <w:lvlText w:val="%7."/>
      <w:lvlJc w:val="left"/>
      <w:pPr>
        <w:ind w:left="5040" w:hanging="360"/>
      </w:pPr>
    </w:lvl>
    <w:lvl w:ilvl="7" w:tplc="C8BC6BDC">
      <w:start w:val="1"/>
      <w:numFmt w:val="lowerLetter"/>
      <w:lvlText w:val="%8."/>
      <w:lvlJc w:val="left"/>
      <w:pPr>
        <w:ind w:left="5760" w:hanging="360"/>
      </w:pPr>
    </w:lvl>
    <w:lvl w:ilvl="8" w:tplc="30FA6A98">
      <w:start w:val="1"/>
      <w:numFmt w:val="lowerRoman"/>
      <w:lvlText w:val="%9."/>
      <w:lvlJc w:val="right"/>
      <w:pPr>
        <w:ind w:left="6480" w:hanging="180"/>
      </w:pPr>
    </w:lvl>
  </w:abstractNum>
  <w:abstractNum w:abstractNumId="13" w15:restartNumberingAfterBreak="0">
    <w:nsid w:val="18A656B9"/>
    <w:multiLevelType w:val="hybridMultilevel"/>
    <w:tmpl w:val="7452062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4" w15:restartNumberingAfterBreak="0">
    <w:nsid w:val="1F732BF7"/>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15" w15:restartNumberingAfterBreak="0">
    <w:nsid w:val="23011AE4"/>
    <w:multiLevelType w:val="hybridMultilevel"/>
    <w:tmpl w:val="63EA72C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6"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15:restartNumberingAfterBreak="0">
    <w:nsid w:val="2426759F"/>
    <w:multiLevelType w:val="hybridMultilevel"/>
    <w:tmpl w:val="534CF7DA"/>
    <w:lvl w:ilvl="0" w:tplc="08090017">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18" w15:restartNumberingAfterBreak="0">
    <w:nsid w:val="3098D11A"/>
    <w:multiLevelType w:val="hybridMultilevel"/>
    <w:tmpl w:val="FFFFFFFF"/>
    <w:lvl w:ilvl="0" w:tplc="432C7366">
      <w:start w:val="1"/>
      <w:numFmt w:val="bullet"/>
      <w:lvlText w:val=""/>
      <w:lvlJc w:val="left"/>
      <w:pPr>
        <w:ind w:left="720" w:hanging="360"/>
      </w:pPr>
      <w:rPr>
        <w:rFonts w:ascii="Symbol" w:hAnsi="Symbol" w:hint="default"/>
      </w:rPr>
    </w:lvl>
    <w:lvl w:ilvl="1" w:tplc="7D6AA768">
      <w:start w:val="1"/>
      <w:numFmt w:val="bullet"/>
      <w:lvlText w:val="o"/>
      <w:lvlJc w:val="left"/>
      <w:pPr>
        <w:ind w:left="1440" w:hanging="360"/>
      </w:pPr>
      <w:rPr>
        <w:rFonts w:ascii="Courier New" w:hAnsi="Courier New" w:hint="default"/>
      </w:rPr>
    </w:lvl>
    <w:lvl w:ilvl="2" w:tplc="BDAA9E4C">
      <w:start w:val="1"/>
      <w:numFmt w:val="bullet"/>
      <w:lvlText w:val=""/>
      <w:lvlJc w:val="left"/>
      <w:pPr>
        <w:ind w:left="2160" w:hanging="360"/>
      </w:pPr>
      <w:rPr>
        <w:rFonts w:ascii="Wingdings" w:hAnsi="Wingdings" w:hint="default"/>
      </w:rPr>
    </w:lvl>
    <w:lvl w:ilvl="3" w:tplc="6BBEB742">
      <w:start w:val="1"/>
      <w:numFmt w:val="bullet"/>
      <w:lvlText w:val=""/>
      <w:lvlJc w:val="left"/>
      <w:pPr>
        <w:ind w:left="2880" w:hanging="360"/>
      </w:pPr>
      <w:rPr>
        <w:rFonts w:ascii="Symbol" w:hAnsi="Symbol" w:hint="default"/>
      </w:rPr>
    </w:lvl>
    <w:lvl w:ilvl="4" w:tplc="F4E82BAC">
      <w:start w:val="1"/>
      <w:numFmt w:val="bullet"/>
      <w:lvlText w:val="o"/>
      <w:lvlJc w:val="left"/>
      <w:pPr>
        <w:ind w:left="3600" w:hanging="360"/>
      </w:pPr>
      <w:rPr>
        <w:rFonts w:ascii="Courier New" w:hAnsi="Courier New" w:hint="default"/>
      </w:rPr>
    </w:lvl>
    <w:lvl w:ilvl="5" w:tplc="D53023FC">
      <w:start w:val="1"/>
      <w:numFmt w:val="bullet"/>
      <w:lvlText w:val=""/>
      <w:lvlJc w:val="left"/>
      <w:pPr>
        <w:ind w:left="4320" w:hanging="360"/>
      </w:pPr>
      <w:rPr>
        <w:rFonts w:ascii="Wingdings" w:hAnsi="Wingdings" w:hint="default"/>
      </w:rPr>
    </w:lvl>
    <w:lvl w:ilvl="6" w:tplc="ED6CD260">
      <w:start w:val="1"/>
      <w:numFmt w:val="bullet"/>
      <w:lvlText w:val=""/>
      <w:lvlJc w:val="left"/>
      <w:pPr>
        <w:ind w:left="5040" w:hanging="360"/>
      </w:pPr>
      <w:rPr>
        <w:rFonts w:ascii="Symbol" w:hAnsi="Symbol" w:hint="default"/>
      </w:rPr>
    </w:lvl>
    <w:lvl w:ilvl="7" w:tplc="2C38D478">
      <w:start w:val="1"/>
      <w:numFmt w:val="bullet"/>
      <w:lvlText w:val="o"/>
      <w:lvlJc w:val="left"/>
      <w:pPr>
        <w:ind w:left="5760" w:hanging="360"/>
      </w:pPr>
      <w:rPr>
        <w:rFonts w:ascii="Courier New" w:hAnsi="Courier New" w:hint="default"/>
      </w:rPr>
    </w:lvl>
    <w:lvl w:ilvl="8" w:tplc="A9A49E20">
      <w:start w:val="1"/>
      <w:numFmt w:val="bullet"/>
      <w:lvlText w:val=""/>
      <w:lvlJc w:val="left"/>
      <w:pPr>
        <w:ind w:left="6480" w:hanging="360"/>
      </w:pPr>
      <w:rPr>
        <w:rFonts w:ascii="Wingdings" w:hAnsi="Wingdings" w:hint="default"/>
      </w:rPr>
    </w:lvl>
  </w:abstractNum>
  <w:abstractNum w:abstractNumId="19" w15:restartNumberingAfterBreak="0">
    <w:nsid w:val="33E93792"/>
    <w:multiLevelType w:val="hybridMultilevel"/>
    <w:tmpl w:val="9538FAB2"/>
    <w:lvl w:ilvl="0" w:tplc="9C921C7E">
      <w:start w:val="10"/>
      <w:numFmt w:val="decimal"/>
      <w:lvlText w:val="%1"/>
      <w:lvlJc w:val="left"/>
      <w:pPr>
        <w:ind w:left="450" w:hanging="360"/>
      </w:pPr>
      <w:rPr>
        <w:rFonts w:hint="default"/>
        <w:i/>
      </w:rPr>
    </w:lvl>
    <w:lvl w:ilvl="1" w:tplc="10000019" w:tentative="1">
      <w:start w:val="1"/>
      <w:numFmt w:val="lowerLetter"/>
      <w:lvlText w:val="%2."/>
      <w:lvlJc w:val="left"/>
      <w:pPr>
        <w:ind w:left="1170" w:hanging="360"/>
      </w:pPr>
    </w:lvl>
    <w:lvl w:ilvl="2" w:tplc="1000001B" w:tentative="1">
      <w:start w:val="1"/>
      <w:numFmt w:val="lowerRoman"/>
      <w:lvlText w:val="%3."/>
      <w:lvlJc w:val="right"/>
      <w:pPr>
        <w:ind w:left="1890" w:hanging="180"/>
      </w:pPr>
    </w:lvl>
    <w:lvl w:ilvl="3" w:tplc="1000000F" w:tentative="1">
      <w:start w:val="1"/>
      <w:numFmt w:val="decimal"/>
      <w:lvlText w:val="%4."/>
      <w:lvlJc w:val="left"/>
      <w:pPr>
        <w:ind w:left="2610" w:hanging="360"/>
      </w:pPr>
    </w:lvl>
    <w:lvl w:ilvl="4" w:tplc="10000019" w:tentative="1">
      <w:start w:val="1"/>
      <w:numFmt w:val="lowerLetter"/>
      <w:lvlText w:val="%5."/>
      <w:lvlJc w:val="left"/>
      <w:pPr>
        <w:ind w:left="3330" w:hanging="360"/>
      </w:pPr>
    </w:lvl>
    <w:lvl w:ilvl="5" w:tplc="1000001B" w:tentative="1">
      <w:start w:val="1"/>
      <w:numFmt w:val="lowerRoman"/>
      <w:lvlText w:val="%6."/>
      <w:lvlJc w:val="right"/>
      <w:pPr>
        <w:ind w:left="4050" w:hanging="180"/>
      </w:pPr>
    </w:lvl>
    <w:lvl w:ilvl="6" w:tplc="1000000F" w:tentative="1">
      <w:start w:val="1"/>
      <w:numFmt w:val="decimal"/>
      <w:lvlText w:val="%7."/>
      <w:lvlJc w:val="left"/>
      <w:pPr>
        <w:ind w:left="4770" w:hanging="360"/>
      </w:pPr>
    </w:lvl>
    <w:lvl w:ilvl="7" w:tplc="10000019" w:tentative="1">
      <w:start w:val="1"/>
      <w:numFmt w:val="lowerLetter"/>
      <w:lvlText w:val="%8."/>
      <w:lvlJc w:val="left"/>
      <w:pPr>
        <w:ind w:left="5490" w:hanging="360"/>
      </w:pPr>
    </w:lvl>
    <w:lvl w:ilvl="8" w:tplc="1000001B" w:tentative="1">
      <w:start w:val="1"/>
      <w:numFmt w:val="lowerRoman"/>
      <w:lvlText w:val="%9."/>
      <w:lvlJc w:val="right"/>
      <w:pPr>
        <w:ind w:left="6210" w:hanging="180"/>
      </w:pPr>
    </w:lvl>
  </w:abstractNum>
  <w:abstractNum w:abstractNumId="20" w15:restartNumberingAfterBreak="0">
    <w:nsid w:val="3E200771"/>
    <w:multiLevelType w:val="hybridMultilevel"/>
    <w:tmpl w:val="D97261F6"/>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3F031309"/>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3F450543"/>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23" w15:restartNumberingAfterBreak="0">
    <w:nsid w:val="3F8D37DB"/>
    <w:multiLevelType w:val="hybridMultilevel"/>
    <w:tmpl w:val="DE4239FE"/>
    <w:lvl w:ilvl="0" w:tplc="10000017">
      <w:start w:val="1"/>
      <w:numFmt w:val="lowerLetter"/>
      <w:lvlText w:val="%1)"/>
      <w:lvlJc w:val="left"/>
      <w:pPr>
        <w:ind w:left="360" w:hanging="360"/>
      </w:pPr>
      <w:rPr>
        <w:rFonts w:hint="default"/>
        <w:color w:val="auto"/>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24" w15:restartNumberingAfterBreak="0">
    <w:nsid w:val="417274C1"/>
    <w:multiLevelType w:val="hybridMultilevel"/>
    <w:tmpl w:val="D2606A1A"/>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5" w15:restartNumberingAfterBreak="0">
    <w:nsid w:val="4190058D"/>
    <w:multiLevelType w:val="hybridMultilevel"/>
    <w:tmpl w:val="397497B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6" w15:restartNumberingAfterBreak="0">
    <w:nsid w:val="46A033AC"/>
    <w:multiLevelType w:val="hybridMultilevel"/>
    <w:tmpl w:val="FFFFFFFF"/>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4D9D4FA4"/>
    <w:multiLevelType w:val="hybridMultilevel"/>
    <w:tmpl w:val="CDE69C9E"/>
    <w:lvl w:ilvl="0" w:tplc="D0E21E14">
      <w:start w:val="1"/>
      <w:numFmt w:val="upperLetter"/>
      <w:pStyle w:val="Fourth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E9B4C2"/>
    <w:multiLevelType w:val="hybridMultilevel"/>
    <w:tmpl w:val="FFFFFFFF"/>
    <w:lvl w:ilvl="0" w:tplc="626EA7F2">
      <w:start w:val="1"/>
      <w:numFmt w:val="decimal"/>
      <w:lvlText w:val="%1."/>
      <w:lvlJc w:val="left"/>
      <w:pPr>
        <w:ind w:left="720" w:hanging="360"/>
      </w:pPr>
    </w:lvl>
    <w:lvl w:ilvl="1" w:tplc="773468B8">
      <w:start w:val="1"/>
      <w:numFmt w:val="lowerLetter"/>
      <w:lvlText w:val="%2."/>
      <w:lvlJc w:val="left"/>
      <w:pPr>
        <w:ind w:left="1440" w:hanging="360"/>
      </w:pPr>
    </w:lvl>
    <w:lvl w:ilvl="2" w:tplc="DE7E346A">
      <w:start w:val="1"/>
      <w:numFmt w:val="lowerRoman"/>
      <w:lvlText w:val="%3."/>
      <w:lvlJc w:val="right"/>
      <w:pPr>
        <w:ind w:left="2160" w:hanging="180"/>
      </w:pPr>
    </w:lvl>
    <w:lvl w:ilvl="3" w:tplc="16D40C04">
      <w:start w:val="1"/>
      <w:numFmt w:val="decimal"/>
      <w:lvlText w:val="%4."/>
      <w:lvlJc w:val="left"/>
      <w:pPr>
        <w:ind w:left="2880" w:hanging="360"/>
      </w:pPr>
    </w:lvl>
    <w:lvl w:ilvl="4" w:tplc="7812AD6E">
      <w:start w:val="1"/>
      <w:numFmt w:val="lowerLetter"/>
      <w:lvlText w:val="%5."/>
      <w:lvlJc w:val="left"/>
      <w:pPr>
        <w:ind w:left="3600" w:hanging="360"/>
      </w:pPr>
    </w:lvl>
    <w:lvl w:ilvl="5" w:tplc="E7AAE960">
      <w:start w:val="1"/>
      <w:numFmt w:val="lowerRoman"/>
      <w:lvlText w:val="%6."/>
      <w:lvlJc w:val="right"/>
      <w:pPr>
        <w:ind w:left="4320" w:hanging="180"/>
      </w:pPr>
    </w:lvl>
    <w:lvl w:ilvl="6" w:tplc="A762F950">
      <w:start w:val="1"/>
      <w:numFmt w:val="decimal"/>
      <w:lvlText w:val="%7."/>
      <w:lvlJc w:val="left"/>
      <w:pPr>
        <w:ind w:left="5040" w:hanging="360"/>
      </w:pPr>
    </w:lvl>
    <w:lvl w:ilvl="7" w:tplc="254AF546">
      <w:start w:val="1"/>
      <w:numFmt w:val="lowerLetter"/>
      <w:lvlText w:val="%8."/>
      <w:lvlJc w:val="left"/>
      <w:pPr>
        <w:ind w:left="5760" w:hanging="360"/>
      </w:pPr>
    </w:lvl>
    <w:lvl w:ilvl="8" w:tplc="240C4EE0">
      <w:start w:val="1"/>
      <w:numFmt w:val="lowerRoman"/>
      <w:lvlText w:val="%9."/>
      <w:lvlJc w:val="right"/>
      <w:pPr>
        <w:ind w:left="6480" w:hanging="180"/>
      </w:pPr>
    </w:lvl>
  </w:abstractNum>
  <w:abstractNum w:abstractNumId="29" w15:restartNumberingAfterBreak="0">
    <w:nsid w:val="51A62060"/>
    <w:multiLevelType w:val="hybridMultilevel"/>
    <w:tmpl w:val="E45C30C4"/>
    <w:lvl w:ilvl="0" w:tplc="5046ED82">
      <w:start w:val="1"/>
      <w:numFmt w:val="lowerRoman"/>
      <w:pStyle w:val="Thirdnumberingi0"/>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30" w15:restartNumberingAfterBreak="0">
    <w:nsid w:val="532F87FF"/>
    <w:multiLevelType w:val="hybridMultilevel"/>
    <w:tmpl w:val="0A8A9D66"/>
    <w:lvl w:ilvl="0" w:tplc="BF1C4BCE">
      <w:start w:val="1"/>
      <w:numFmt w:val="decimal"/>
      <w:lvlText w:val="%1."/>
      <w:lvlJc w:val="left"/>
      <w:pPr>
        <w:ind w:left="720" w:hanging="360"/>
      </w:pPr>
      <w:rPr>
        <w:i w:val="0"/>
        <w:iCs/>
      </w:rPr>
    </w:lvl>
    <w:lvl w:ilvl="1" w:tplc="6812F4E2">
      <w:start w:val="1"/>
      <w:numFmt w:val="lowerLetter"/>
      <w:lvlText w:val="%2."/>
      <w:lvlJc w:val="left"/>
      <w:pPr>
        <w:ind w:left="1440" w:hanging="360"/>
      </w:pPr>
    </w:lvl>
    <w:lvl w:ilvl="2" w:tplc="01C8BCBE">
      <w:start w:val="1"/>
      <w:numFmt w:val="lowerRoman"/>
      <w:lvlText w:val="%3."/>
      <w:lvlJc w:val="right"/>
      <w:pPr>
        <w:ind w:left="2160" w:hanging="180"/>
      </w:pPr>
    </w:lvl>
    <w:lvl w:ilvl="3" w:tplc="44EC91A4">
      <w:start w:val="1"/>
      <w:numFmt w:val="decimal"/>
      <w:lvlText w:val="%4."/>
      <w:lvlJc w:val="left"/>
      <w:pPr>
        <w:ind w:left="2880" w:hanging="360"/>
      </w:pPr>
    </w:lvl>
    <w:lvl w:ilvl="4" w:tplc="B9767A74">
      <w:start w:val="1"/>
      <w:numFmt w:val="lowerLetter"/>
      <w:lvlText w:val="%5."/>
      <w:lvlJc w:val="left"/>
      <w:pPr>
        <w:ind w:left="3600" w:hanging="360"/>
      </w:pPr>
    </w:lvl>
    <w:lvl w:ilvl="5" w:tplc="5472FA34">
      <w:start w:val="1"/>
      <w:numFmt w:val="lowerRoman"/>
      <w:lvlText w:val="%6."/>
      <w:lvlJc w:val="right"/>
      <w:pPr>
        <w:ind w:left="4320" w:hanging="180"/>
      </w:pPr>
    </w:lvl>
    <w:lvl w:ilvl="6" w:tplc="6A4AF506">
      <w:start w:val="1"/>
      <w:numFmt w:val="decimal"/>
      <w:lvlText w:val="%7."/>
      <w:lvlJc w:val="left"/>
      <w:pPr>
        <w:ind w:left="5040" w:hanging="360"/>
      </w:pPr>
    </w:lvl>
    <w:lvl w:ilvl="7" w:tplc="874E4654">
      <w:start w:val="1"/>
      <w:numFmt w:val="lowerLetter"/>
      <w:lvlText w:val="%8."/>
      <w:lvlJc w:val="left"/>
      <w:pPr>
        <w:ind w:left="5760" w:hanging="360"/>
      </w:pPr>
    </w:lvl>
    <w:lvl w:ilvl="8" w:tplc="68526814">
      <w:start w:val="1"/>
      <w:numFmt w:val="lowerRoman"/>
      <w:lvlText w:val="%9."/>
      <w:lvlJc w:val="right"/>
      <w:pPr>
        <w:ind w:left="6480" w:hanging="180"/>
      </w:pPr>
    </w:lvl>
  </w:abstractNum>
  <w:abstractNum w:abstractNumId="31" w15:restartNumberingAfterBreak="0">
    <w:nsid w:val="54731902"/>
    <w:multiLevelType w:val="hybridMultilevel"/>
    <w:tmpl w:val="7B8C3460"/>
    <w:lvl w:ilvl="0" w:tplc="29C48AE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47C66B8"/>
    <w:multiLevelType w:val="hybridMultilevel"/>
    <w:tmpl w:val="3514A81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547D06CC"/>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34" w15:restartNumberingAfterBreak="0">
    <w:nsid w:val="550B452A"/>
    <w:multiLevelType w:val="hybridMultilevel"/>
    <w:tmpl w:val="47E200B6"/>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5" w15:restartNumberingAfterBreak="0">
    <w:nsid w:val="58AF0383"/>
    <w:multiLevelType w:val="hybridMultilevel"/>
    <w:tmpl w:val="435E03FC"/>
    <w:lvl w:ilvl="0" w:tplc="10000017">
      <w:start w:val="1"/>
      <w:numFmt w:val="lowerLetter"/>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36" w15:restartNumberingAfterBreak="0">
    <w:nsid w:val="5B9819B7"/>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37" w15:restartNumberingAfterBreak="0">
    <w:nsid w:val="687C2D8D"/>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8" w15:restartNumberingAfterBreak="0">
    <w:nsid w:val="690373EE"/>
    <w:multiLevelType w:val="multilevel"/>
    <w:tmpl w:val="B8B46BAA"/>
    <w:lvl w:ilvl="0">
      <w:start w:val="1"/>
      <w:numFmt w:val="decimal"/>
      <w:pStyle w:val="Heading1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9A23F83"/>
    <w:multiLevelType w:val="hybridMultilevel"/>
    <w:tmpl w:val="99F83AA6"/>
    <w:lvl w:ilvl="0" w:tplc="709C9E3E">
      <w:start w:val="1"/>
      <w:numFmt w:val="decimal"/>
      <w:lvlText w:val="%1."/>
      <w:lvlJc w:val="left"/>
      <w:pPr>
        <w:ind w:left="360" w:hanging="360"/>
      </w:pPr>
      <w:rPr>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 w15:restartNumberingAfterBreak="0">
    <w:nsid w:val="6A50ADF1"/>
    <w:multiLevelType w:val="hybridMultilevel"/>
    <w:tmpl w:val="FFFFFFFF"/>
    <w:lvl w:ilvl="0" w:tplc="8AC2BC94">
      <w:start w:val="1"/>
      <w:numFmt w:val="bullet"/>
      <w:lvlText w:val=""/>
      <w:lvlJc w:val="left"/>
      <w:pPr>
        <w:ind w:left="720" w:hanging="360"/>
      </w:pPr>
      <w:rPr>
        <w:rFonts w:ascii="Symbol" w:hAnsi="Symbol" w:hint="default"/>
      </w:rPr>
    </w:lvl>
    <w:lvl w:ilvl="1" w:tplc="02E676DC">
      <w:start w:val="1"/>
      <w:numFmt w:val="bullet"/>
      <w:lvlText w:val="o"/>
      <w:lvlJc w:val="left"/>
      <w:pPr>
        <w:ind w:left="1440" w:hanging="360"/>
      </w:pPr>
      <w:rPr>
        <w:rFonts w:ascii="Courier New" w:hAnsi="Courier New" w:hint="default"/>
      </w:rPr>
    </w:lvl>
    <w:lvl w:ilvl="2" w:tplc="33BAF768">
      <w:start w:val="1"/>
      <w:numFmt w:val="bullet"/>
      <w:lvlText w:val=""/>
      <w:lvlJc w:val="left"/>
      <w:pPr>
        <w:ind w:left="2160" w:hanging="360"/>
      </w:pPr>
      <w:rPr>
        <w:rFonts w:ascii="Wingdings" w:hAnsi="Wingdings" w:hint="default"/>
      </w:rPr>
    </w:lvl>
    <w:lvl w:ilvl="3" w:tplc="D250D01E">
      <w:start w:val="1"/>
      <w:numFmt w:val="bullet"/>
      <w:lvlText w:val=""/>
      <w:lvlJc w:val="left"/>
      <w:pPr>
        <w:ind w:left="2880" w:hanging="360"/>
      </w:pPr>
      <w:rPr>
        <w:rFonts w:ascii="Symbol" w:hAnsi="Symbol" w:hint="default"/>
      </w:rPr>
    </w:lvl>
    <w:lvl w:ilvl="4" w:tplc="A5D4511A">
      <w:start w:val="1"/>
      <w:numFmt w:val="bullet"/>
      <w:lvlText w:val="o"/>
      <w:lvlJc w:val="left"/>
      <w:pPr>
        <w:ind w:left="3600" w:hanging="360"/>
      </w:pPr>
      <w:rPr>
        <w:rFonts w:ascii="Courier New" w:hAnsi="Courier New" w:hint="default"/>
      </w:rPr>
    </w:lvl>
    <w:lvl w:ilvl="5" w:tplc="AD62FD82">
      <w:start w:val="1"/>
      <w:numFmt w:val="bullet"/>
      <w:lvlText w:val=""/>
      <w:lvlJc w:val="left"/>
      <w:pPr>
        <w:ind w:left="4320" w:hanging="360"/>
      </w:pPr>
      <w:rPr>
        <w:rFonts w:ascii="Wingdings" w:hAnsi="Wingdings" w:hint="default"/>
      </w:rPr>
    </w:lvl>
    <w:lvl w:ilvl="6" w:tplc="E794C982">
      <w:start w:val="1"/>
      <w:numFmt w:val="bullet"/>
      <w:lvlText w:val=""/>
      <w:lvlJc w:val="left"/>
      <w:pPr>
        <w:ind w:left="5040" w:hanging="360"/>
      </w:pPr>
      <w:rPr>
        <w:rFonts w:ascii="Symbol" w:hAnsi="Symbol" w:hint="default"/>
      </w:rPr>
    </w:lvl>
    <w:lvl w:ilvl="7" w:tplc="F69AF434">
      <w:start w:val="1"/>
      <w:numFmt w:val="bullet"/>
      <w:lvlText w:val="o"/>
      <w:lvlJc w:val="left"/>
      <w:pPr>
        <w:ind w:left="5760" w:hanging="360"/>
      </w:pPr>
      <w:rPr>
        <w:rFonts w:ascii="Courier New" w:hAnsi="Courier New" w:hint="default"/>
      </w:rPr>
    </w:lvl>
    <w:lvl w:ilvl="8" w:tplc="FC26D5BE">
      <w:start w:val="1"/>
      <w:numFmt w:val="bullet"/>
      <w:lvlText w:val=""/>
      <w:lvlJc w:val="left"/>
      <w:pPr>
        <w:ind w:left="6480" w:hanging="360"/>
      </w:pPr>
      <w:rPr>
        <w:rFonts w:ascii="Wingdings" w:hAnsi="Wingdings" w:hint="default"/>
      </w:rPr>
    </w:lvl>
  </w:abstractNum>
  <w:abstractNum w:abstractNumId="41" w15:restartNumberingAfterBreak="0">
    <w:nsid w:val="6AAF7842"/>
    <w:multiLevelType w:val="hybridMultilevel"/>
    <w:tmpl w:val="C1323E3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 w15:restartNumberingAfterBreak="0">
    <w:nsid w:val="6CDC1507"/>
    <w:multiLevelType w:val="hybridMultilevel"/>
    <w:tmpl w:val="07325E5A"/>
    <w:lvl w:ilvl="0" w:tplc="FB404E30">
      <w:numFmt w:val="bullet"/>
      <w:lvlText w:val="-"/>
      <w:lvlJc w:val="left"/>
      <w:pPr>
        <w:ind w:left="360" w:hanging="360"/>
      </w:pPr>
      <w:rPr>
        <w:rFonts w:ascii="Arial" w:eastAsiaTheme="minorHAnsi" w:hAnsi="Arial" w:cs="Aria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43" w15:restartNumberingAfterBreak="0">
    <w:nsid w:val="6E3E1B07"/>
    <w:multiLevelType w:val="hybridMultilevel"/>
    <w:tmpl w:val="FE48A8E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4"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08F7B24"/>
    <w:multiLevelType w:val="hybridMultilevel"/>
    <w:tmpl w:val="807EED4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46" w15:restartNumberingAfterBreak="0">
    <w:nsid w:val="755057A0"/>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47" w15:restartNumberingAfterBreak="0">
    <w:nsid w:val="7714055A"/>
    <w:multiLevelType w:val="hybridMultilevel"/>
    <w:tmpl w:val="55984040"/>
    <w:lvl w:ilvl="0" w:tplc="2000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9D30C6D"/>
    <w:multiLevelType w:val="hybridMultilevel"/>
    <w:tmpl w:val="169836B4"/>
    <w:lvl w:ilvl="0" w:tplc="F72030A2">
      <w:start w:val="1"/>
      <w:numFmt w:val="bullet"/>
      <w:lvlText w:val=""/>
      <w:lvlJc w:val="left"/>
      <w:pPr>
        <w:ind w:left="1080" w:hanging="360"/>
      </w:pPr>
      <w:rPr>
        <w:rFonts w:ascii="Symbol" w:hAnsi="Symbol" w:hint="default"/>
      </w:rPr>
    </w:lvl>
    <w:lvl w:ilvl="1" w:tplc="0DAAACC8">
      <w:start w:val="1"/>
      <w:numFmt w:val="bullet"/>
      <w:lvlText w:val="o"/>
      <w:lvlJc w:val="left"/>
      <w:pPr>
        <w:ind w:left="1800" w:hanging="360"/>
      </w:pPr>
      <w:rPr>
        <w:rFonts w:ascii="Courier New" w:hAnsi="Courier New" w:hint="default"/>
      </w:rPr>
    </w:lvl>
    <w:lvl w:ilvl="2" w:tplc="11C031E2">
      <w:start w:val="1"/>
      <w:numFmt w:val="bullet"/>
      <w:lvlText w:val=""/>
      <w:lvlJc w:val="left"/>
      <w:pPr>
        <w:ind w:left="2520" w:hanging="360"/>
      </w:pPr>
      <w:rPr>
        <w:rFonts w:ascii="Wingdings" w:hAnsi="Wingdings" w:hint="default"/>
      </w:rPr>
    </w:lvl>
    <w:lvl w:ilvl="3" w:tplc="FD147388">
      <w:start w:val="1"/>
      <w:numFmt w:val="bullet"/>
      <w:lvlText w:val=""/>
      <w:lvlJc w:val="left"/>
      <w:pPr>
        <w:ind w:left="3240" w:hanging="360"/>
      </w:pPr>
      <w:rPr>
        <w:rFonts w:ascii="Symbol" w:hAnsi="Symbol" w:hint="default"/>
      </w:rPr>
    </w:lvl>
    <w:lvl w:ilvl="4" w:tplc="9F620512">
      <w:start w:val="1"/>
      <w:numFmt w:val="bullet"/>
      <w:lvlText w:val="o"/>
      <w:lvlJc w:val="left"/>
      <w:pPr>
        <w:ind w:left="3960" w:hanging="360"/>
      </w:pPr>
      <w:rPr>
        <w:rFonts w:ascii="Courier New" w:hAnsi="Courier New" w:hint="default"/>
      </w:rPr>
    </w:lvl>
    <w:lvl w:ilvl="5" w:tplc="FC5E3B88">
      <w:start w:val="1"/>
      <w:numFmt w:val="bullet"/>
      <w:lvlText w:val=""/>
      <w:lvlJc w:val="left"/>
      <w:pPr>
        <w:ind w:left="4680" w:hanging="360"/>
      </w:pPr>
      <w:rPr>
        <w:rFonts w:ascii="Wingdings" w:hAnsi="Wingdings" w:hint="default"/>
      </w:rPr>
    </w:lvl>
    <w:lvl w:ilvl="6" w:tplc="25767734">
      <w:start w:val="1"/>
      <w:numFmt w:val="bullet"/>
      <w:lvlText w:val=""/>
      <w:lvlJc w:val="left"/>
      <w:pPr>
        <w:ind w:left="5400" w:hanging="360"/>
      </w:pPr>
      <w:rPr>
        <w:rFonts w:ascii="Symbol" w:hAnsi="Symbol" w:hint="default"/>
      </w:rPr>
    </w:lvl>
    <w:lvl w:ilvl="7" w:tplc="602E4A92">
      <w:start w:val="1"/>
      <w:numFmt w:val="bullet"/>
      <w:lvlText w:val="o"/>
      <w:lvlJc w:val="left"/>
      <w:pPr>
        <w:ind w:left="6120" w:hanging="360"/>
      </w:pPr>
      <w:rPr>
        <w:rFonts w:ascii="Courier New" w:hAnsi="Courier New" w:hint="default"/>
      </w:rPr>
    </w:lvl>
    <w:lvl w:ilvl="8" w:tplc="33500658">
      <w:start w:val="1"/>
      <w:numFmt w:val="bullet"/>
      <w:lvlText w:val=""/>
      <w:lvlJc w:val="left"/>
      <w:pPr>
        <w:ind w:left="6840" w:hanging="360"/>
      </w:pPr>
      <w:rPr>
        <w:rFonts w:ascii="Wingdings" w:hAnsi="Wingdings" w:hint="default"/>
      </w:rPr>
    </w:lvl>
  </w:abstractNum>
  <w:num w:numId="1" w16cid:durableId="1414625602">
    <w:abstractNumId w:val="2"/>
  </w:num>
  <w:num w:numId="2" w16cid:durableId="598490445">
    <w:abstractNumId w:val="3"/>
  </w:num>
  <w:num w:numId="3" w16cid:durableId="1481076609">
    <w:abstractNumId w:val="5"/>
  </w:num>
  <w:num w:numId="4" w16cid:durableId="2146239410">
    <w:abstractNumId w:val="27"/>
  </w:num>
  <w:num w:numId="5" w16cid:durableId="1741906446">
    <w:abstractNumId w:val="44"/>
  </w:num>
  <w:num w:numId="6" w16cid:durableId="94747079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309595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3410967">
    <w:abstractNumId w:val="36"/>
  </w:num>
  <w:num w:numId="9" w16cid:durableId="1266963226">
    <w:abstractNumId w:val="46"/>
  </w:num>
  <w:num w:numId="10" w16cid:durableId="1854612426">
    <w:abstractNumId w:val="14"/>
  </w:num>
  <w:num w:numId="11" w16cid:durableId="37441104">
    <w:abstractNumId w:val="30"/>
  </w:num>
  <w:num w:numId="12" w16cid:durableId="224148252">
    <w:abstractNumId w:val="11"/>
  </w:num>
  <w:num w:numId="13" w16cid:durableId="2137864983">
    <w:abstractNumId w:val="47"/>
  </w:num>
  <w:num w:numId="14" w16cid:durableId="308674728">
    <w:abstractNumId w:val="29"/>
  </w:num>
  <w:num w:numId="15" w16cid:durableId="1542128487">
    <w:abstractNumId w:val="38"/>
  </w:num>
  <w:num w:numId="16" w16cid:durableId="333992978">
    <w:abstractNumId w:val="9"/>
  </w:num>
  <w:num w:numId="17" w16cid:durableId="875122299">
    <w:abstractNumId w:val="28"/>
  </w:num>
  <w:num w:numId="18" w16cid:durableId="314333116">
    <w:abstractNumId w:val="35"/>
  </w:num>
  <w:num w:numId="19" w16cid:durableId="125634843">
    <w:abstractNumId w:val="23"/>
  </w:num>
  <w:num w:numId="20" w16cid:durableId="367687424">
    <w:abstractNumId w:val="10"/>
  </w:num>
  <w:num w:numId="21" w16cid:durableId="2074309330">
    <w:abstractNumId w:val="24"/>
  </w:num>
  <w:num w:numId="22" w16cid:durableId="1762869098">
    <w:abstractNumId w:val="13"/>
  </w:num>
  <w:num w:numId="23" w16cid:durableId="837378859">
    <w:abstractNumId w:val="37"/>
  </w:num>
  <w:num w:numId="24" w16cid:durableId="933978935">
    <w:abstractNumId w:val="48"/>
  </w:num>
  <w:num w:numId="25" w16cid:durableId="1142234635">
    <w:abstractNumId w:val="12"/>
  </w:num>
  <w:num w:numId="26" w16cid:durableId="285430702">
    <w:abstractNumId w:val="18"/>
  </w:num>
  <w:num w:numId="27" w16cid:durableId="1250120507">
    <w:abstractNumId w:val="40"/>
  </w:num>
  <w:num w:numId="28" w16cid:durableId="31613586">
    <w:abstractNumId w:val="33"/>
  </w:num>
  <w:num w:numId="29" w16cid:durableId="1973175602">
    <w:abstractNumId w:val="45"/>
  </w:num>
  <w:num w:numId="30" w16cid:durableId="1472594910">
    <w:abstractNumId w:val="7"/>
  </w:num>
  <w:num w:numId="31" w16cid:durableId="12051431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637339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153988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434457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305728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655795158">
    <w:abstractNumId w:val="42"/>
  </w:num>
  <w:num w:numId="37" w16cid:durableId="1192916975">
    <w:abstractNumId w:val="4"/>
  </w:num>
  <w:num w:numId="38" w16cid:durableId="34087298">
    <w:abstractNumId w:val="0"/>
  </w:num>
  <w:num w:numId="39" w16cid:durableId="1855998742">
    <w:abstractNumId w:val="25"/>
  </w:num>
  <w:num w:numId="40" w16cid:durableId="735593141">
    <w:abstractNumId w:val="43"/>
  </w:num>
  <w:num w:numId="41" w16cid:durableId="1257250401">
    <w:abstractNumId w:val="6"/>
  </w:num>
  <w:num w:numId="42" w16cid:durableId="34236719">
    <w:abstractNumId w:val="21"/>
  </w:num>
  <w:num w:numId="43" w16cid:durableId="1141656493">
    <w:abstractNumId w:val="8"/>
  </w:num>
  <w:num w:numId="44" w16cid:durableId="1518614782">
    <w:abstractNumId w:val="15"/>
  </w:num>
  <w:num w:numId="45" w16cid:durableId="508906912">
    <w:abstractNumId w:val="34"/>
  </w:num>
  <w:num w:numId="46" w16cid:durableId="174153982">
    <w:abstractNumId w:val="22"/>
  </w:num>
  <w:num w:numId="47" w16cid:durableId="78597619">
    <w:abstractNumId w:val="1"/>
  </w:num>
  <w:num w:numId="48" w16cid:durableId="694500644">
    <w:abstractNumId w:val="19"/>
  </w:num>
  <w:num w:numId="49" w16cid:durableId="129326324">
    <w:abstractNumId w:val="26"/>
  </w:num>
  <w:num w:numId="50" w16cid:durableId="2090033180">
    <w:abstractNumId w:val="3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A97"/>
    <w:rsid w:val="0000188F"/>
    <w:rsid w:val="00002A97"/>
    <w:rsid w:val="00006DF4"/>
    <w:rsid w:val="00021B06"/>
    <w:rsid w:val="00040F1E"/>
    <w:rsid w:val="00041E02"/>
    <w:rsid w:val="00043B82"/>
    <w:rsid w:val="0004402E"/>
    <w:rsid w:val="0005071F"/>
    <w:rsid w:val="000526A8"/>
    <w:rsid w:val="00073CEC"/>
    <w:rsid w:val="000C4F0A"/>
    <w:rsid w:val="000E192F"/>
    <w:rsid w:val="000F4BDA"/>
    <w:rsid w:val="001047F1"/>
    <w:rsid w:val="00127CCF"/>
    <w:rsid w:val="00142C42"/>
    <w:rsid w:val="00154A11"/>
    <w:rsid w:val="00166CB7"/>
    <w:rsid w:val="001722A0"/>
    <w:rsid w:val="00192411"/>
    <w:rsid w:val="001E6CDF"/>
    <w:rsid w:val="001F578A"/>
    <w:rsid w:val="00202275"/>
    <w:rsid w:val="00212E42"/>
    <w:rsid w:val="00232984"/>
    <w:rsid w:val="0024152C"/>
    <w:rsid w:val="00256158"/>
    <w:rsid w:val="002616DE"/>
    <w:rsid w:val="00267CFE"/>
    <w:rsid w:val="0027307C"/>
    <w:rsid w:val="00273E04"/>
    <w:rsid w:val="0028075A"/>
    <w:rsid w:val="00281561"/>
    <w:rsid w:val="00297AD8"/>
    <w:rsid w:val="002A2A63"/>
    <w:rsid w:val="002A40B8"/>
    <w:rsid w:val="002A5ABE"/>
    <w:rsid w:val="002D5F2A"/>
    <w:rsid w:val="002E2652"/>
    <w:rsid w:val="002E43D6"/>
    <w:rsid w:val="002F3C98"/>
    <w:rsid w:val="002F43C9"/>
    <w:rsid w:val="002F7EC2"/>
    <w:rsid w:val="003133A7"/>
    <w:rsid w:val="00323406"/>
    <w:rsid w:val="00325A02"/>
    <w:rsid w:val="00333C5D"/>
    <w:rsid w:val="003342E7"/>
    <w:rsid w:val="00335B79"/>
    <w:rsid w:val="003365AE"/>
    <w:rsid w:val="00344526"/>
    <w:rsid w:val="0035245D"/>
    <w:rsid w:val="0035282A"/>
    <w:rsid w:val="00385028"/>
    <w:rsid w:val="003871D8"/>
    <w:rsid w:val="003872DF"/>
    <w:rsid w:val="00396571"/>
    <w:rsid w:val="003B1ADD"/>
    <w:rsid w:val="003E1D61"/>
    <w:rsid w:val="003E6A02"/>
    <w:rsid w:val="003F65FD"/>
    <w:rsid w:val="004070C5"/>
    <w:rsid w:val="00410A51"/>
    <w:rsid w:val="004125C8"/>
    <w:rsid w:val="00430A25"/>
    <w:rsid w:val="00457C8A"/>
    <w:rsid w:val="00487EE1"/>
    <w:rsid w:val="004C7808"/>
    <w:rsid w:val="004D1301"/>
    <w:rsid w:val="004D3225"/>
    <w:rsid w:val="0050347E"/>
    <w:rsid w:val="00504203"/>
    <w:rsid w:val="00504504"/>
    <w:rsid w:val="00515163"/>
    <w:rsid w:val="00521A28"/>
    <w:rsid w:val="00527934"/>
    <w:rsid w:val="00531B97"/>
    <w:rsid w:val="005330F7"/>
    <w:rsid w:val="005613F6"/>
    <w:rsid w:val="00563598"/>
    <w:rsid w:val="00572967"/>
    <w:rsid w:val="00591364"/>
    <w:rsid w:val="0059243E"/>
    <w:rsid w:val="0059420F"/>
    <w:rsid w:val="005B2881"/>
    <w:rsid w:val="005C39FC"/>
    <w:rsid w:val="005E59F8"/>
    <w:rsid w:val="005F76C2"/>
    <w:rsid w:val="006114FC"/>
    <w:rsid w:val="006474E3"/>
    <w:rsid w:val="0067062A"/>
    <w:rsid w:val="00684E93"/>
    <w:rsid w:val="006C08D5"/>
    <w:rsid w:val="006C2EF5"/>
    <w:rsid w:val="006F22B0"/>
    <w:rsid w:val="006F2A8A"/>
    <w:rsid w:val="007002EE"/>
    <w:rsid w:val="00701364"/>
    <w:rsid w:val="007037C0"/>
    <w:rsid w:val="00733EC6"/>
    <w:rsid w:val="007376E6"/>
    <w:rsid w:val="0074569F"/>
    <w:rsid w:val="00790422"/>
    <w:rsid w:val="0079237D"/>
    <w:rsid w:val="0079260D"/>
    <w:rsid w:val="007B53CC"/>
    <w:rsid w:val="007B6C0F"/>
    <w:rsid w:val="007B7A3F"/>
    <w:rsid w:val="007C212E"/>
    <w:rsid w:val="007E5A82"/>
    <w:rsid w:val="00800CB3"/>
    <w:rsid w:val="00810C64"/>
    <w:rsid w:val="00844C43"/>
    <w:rsid w:val="00880445"/>
    <w:rsid w:val="008875F1"/>
    <w:rsid w:val="008A3DB6"/>
    <w:rsid w:val="008D0847"/>
    <w:rsid w:val="008D686F"/>
    <w:rsid w:val="008E0350"/>
    <w:rsid w:val="008E07C9"/>
    <w:rsid w:val="008E61C2"/>
    <w:rsid w:val="00900197"/>
    <w:rsid w:val="009059D0"/>
    <w:rsid w:val="009068F8"/>
    <w:rsid w:val="009249CE"/>
    <w:rsid w:val="009346AA"/>
    <w:rsid w:val="00935ACE"/>
    <w:rsid w:val="00943D15"/>
    <w:rsid w:val="00947B3A"/>
    <w:rsid w:val="00983ED5"/>
    <w:rsid w:val="009A69BA"/>
    <w:rsid w:val="009C73AD"/>
    <w:rsid w:val="009D2295"/>
    <w:rsid w:val="00A64297"/>
    <w:rsid w:val="00A7587F"/>
    <w:rsid w:val="00A84791"/>
    <w:rsid w:val="00A96EB9"/>
    <w:rsid w:val="00AB433D"/>
    <w:rsid w:val="00AB6CB3"/>
    <w:rsid w:val="00AC09AE"/>
    <w:rsid w:val="00B0512D"/>
    <w:rsid w:val="00B104EC"/>
    <w:rsid w:val="00B25345"/>
    <w:rsid w:val="00B40E07"/>
    <w:rsid w:val="00B43867"/>
    <w:rsid w:val="00B43A5F"/>
    <w:rsid w:val="00B44C73"/>
    <w:rsid w:val="00B56158"/>
    <w:rsid w:val="00B56ED7"/>
    <w:rsid w:val="00B6296B"/>
    <w:rsid w:val="00B83682"/>
    <w:rsid w:val="00B9162C"/>
    <w:rsid w:val="00BA2F55"/>
    <w:rsid w:val="00BB223F"/>
    <w:rsid w:val="00BC5707"/>
    <w:rsid w:val="00BD0605"/>
    <w:rsid w:val="00BD2B43"/>
    <w:rsid w:val="00BD57F3"/>
    <w:rsid w:val="00BE6C85"/>
    <w:rsid w:val="00BE7E24"/>
    <w:rsid w:val="00BF642C"/>
    <w:rsid w:val="00BF7838"/>
    <w:rsid w:val="00C22155"/>
    <w:rsid w:val="00C41DAD"/>
    <w:rsid w:val="00C56D8F"/>
    <w:rsid w:val="00C664E8"/>
    <w:rsid w:val="00CC77D0"/>
    <w:rsid w:val="00CF660D"/>
    <w:rsid w:val="00D37777"/>
    <w:rsid w:val="00D57CEB"/>
    <w:rsid w:val="00D618C9"/>
    <w:rsid w:val="00D70275"/>
    <w:rsid w:val="00D76A9A"/>
    <w:rsid w:val="00D83C47"/>
    <w:rsid w:val="00D84650"/>
    <w:rsid w:val="00D93C48"/>
    <w:rsid w:val="00DB3E9C"/>
    <w:rsid w:val="00DC12D6"/>
    <w:rsid w:val="00DC4B8D"/>
    <w:rsid w:val="00DD0B5E"/>
    <w:rsid w:val="00DD431B"/>
    <w:rsid w:val="00DE0F3A"/>
    <w:rsid w:val="00DF4716"/>
    <w:rsid w:val="00E06499"/>
    <w:rsid w:val="00E20625"/>
    <w:rsid w:val="00E218EF"/>
    <w:rsid w:val="00E4162E"/>
    <w:rsid w:val="00E607BD"/>
    <w:rsid w:val="00E7094C"/>
    <w:rsid w:val="00E77A9F"/>
    <w:rsid w:val="00E81B4A"/>
    <w:rsid w:val="00EA682A"/>
    <w:rsid w:val="00EA70C8"/>
    <w:rsid w:val="00ED48DB"/>
    <w:rsid w:val="00EF1D13"/>
    <w:rsid w:val="00EF6910"/>
    <w:rsid w:val="00F020E1"/>
    <w:rsid w:val="00F11AB5"/>
    <w:rsid w:val="00F147ED"/>
    <w:rsid w:val="00F1721D"/>
    <w:rsid w:val="00F2425C"/>
    <w:rsid w:val="00F716F1"/>
    <w:rsid w:val="00F84436"/>
    <w:rsid w:val="00F973DB"/>
    <w:rsid w:val="00FD1AE4"/>
    <w:rsid w:val="00FD4256"/>
    <w:rsid w:val="00FF25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E5060B"/>
  <w15:chartTrackingRefBased/>
  <w15:docId w15:val="{554D8A05-47C1-401C-B5DD-52B374874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6ED7"/>
    <w:pPr>
      <w:keepNext/>
      <w:keepLines/>
      <w:spacing w:before="240" w:after="0"/>
      <w:outlineLvl w:val="0"/>
    </w:pPr>
    <w:rPr>
      <w:rFonts w:ascii="Aptos Display" w:eastAsia="Yu Gothic Light" w:hAnsi="Aptos Display" w:cs="Times New Roman"/>
      <w:color w:val="0F4761"/>
      <w:sz w:val="40"/>
      <w:szCs w:val="40"/>
    </w:rPr>
  </w:style>
  <w:style w:type="paragraph" w:styleId="Heading2">
    <w:name w:val="heading 2"/>
    <w:basedOn w:val="Normal"/>
    <w:next w:val="Normal"/>
    <w:link w:val="Heading2Char"/>
    <w:uiPriority w:val="9"/>
    <w:semiHidden/>
    <w:unhideWhenUsed/>
    <w:qFormat/>
    <w:rsid w:val="00B56ED7"/>
    <w:pPr>
      <w:keepNext/>
      <w:keepLines/>
      <w:spacing w:before="40" w:after="0"/>
      <w:outlineLvl w:val="1"/>
    </w:pPr>
    <w:rPr>
      <w:rFonts w:ascii="Aptos Display" w:eastAsia="Yu Gothic Light" w:hAnsi="Aptos Display" w:cs="Times New Roman"/>
      <w:color w:val="0F4761"/>
      <w:sz w:val="32"/>
      <w:szCs w:val="32"/>
    </w:rPr>
  </w:style>
  <w:style w:type="paragraph" w:styleId="Heading3">
    <w:name w:val="heading 3"/>
    <w:basedOn w:val="Normal"/>
    <w:next w:val="Normal"/>
    <w:link w:val="Heading3Char"/>
    <w:uiPriority w:val="9"/>
    <w:semiHidden/>
    <w:unhideWhenUsed/>
    <w:qFormat/>
    <w:rsid w:val="00B56ED7"/>
    <w:pPr>
      <w:keepNext/>
      <w:keepLines/>
      <w:spacing w:before="40" w:after="0"/>
      <w:outlineLvl w:val="2"/>
    </w:pPr>
    <w:rPr>
      <w:rFonts w:eastAsia="Yu Gothic Light" w:cs="Times New Roman"/>
      <w:color w:val="0F4761"/>
      <w:sz w:val="28"/>
      <w:szCs w:val="28"/>
    </w:rPr>
  </w:style>
  <w:style w:type="paragraph" w:styleId="Heading4">
    <w:name w:val="heading 4"/>
    <w:basedOn w:val="Normal"/>
    <w:next w:val="Normal"/>
    <w:link w:val="Heading4Char"/>
    <w:uiPriority w:val="9"/>
    <w:semiHidden/>
    <w:unhideWhenUsed/>
    <w:qFormat/>
    <w:rsid w:val="00B56ED7"/>
    <w:pPr>
      <w:keepNext/>
      <w:keepLines/>
      <w:spacing w:before="40" w:after="0"/>
      <w:outlineLvl w:val="3"/>
    </w:pPr>
    <w:rPr>
      <w:rFonts w:eastAsia="Yu Gothic Light" w:cs="Times New Roman"/>
      <w:i/>
      <w:iCs/>
      <w:color w:val="0F4761"/>
    </w:rPr>
  </w:style>
  <w:style w:type="paragraph" w:styleId="Heading5">
    <w:name w:val="heading 5"/>
    <w:basedOn w:val="Normal"/>
    <w:next w:val="Normal"/>
    <w:link w:val="Heading5Char"/>
    <w:uiPriority w:val="9"/>
    <w:semiHidden/>
    <w:unhideWhenUsed/>
    <w:qFormat/>
    <w:rsid w:val="00B56ED7"/>
    <w:pPr>
      <w:keepNext/>
      <w:keepLines/>
      <w:spacing w:before="40" w:after="0"/>
      <w:outlineLvl w:val="4"/>
    </w:pPr>
    <w:rPr>
      <w:rFonts w:eastAsia="Yu Gothic Light" w:cs="Times New Roman"/>
      <w:color w:val="0F4761"/>
    </w:rPr>
  </w:style>
  <w:style w:type="paragraph" w:styleId="Heading6">
    <w:name w:val="heading 6"/>
    <w:basedOn w:val="Normal"/>
    <w:next w:val="Normal"/>
    <w:link w:val="Heading6Char"/>
    <w:uiPriority w:val="9"/>
    <w:semiHidden/>
    <w:unhideWhenUsed/>
    <w:qFormat/>
    <w:rsid w:val="00B56ED7"/>
    <w:pPr>
      <w:keepNext/>
      <w:keepLines/>
      <w:spacing w:before="40" w:after="0"/>
      <w:outlineLvl w:val="5"/>
    </w:pPr>
    <w:rPr>
      <w:rFonts w:eastAsia="Yu Gothic Light" w:cs="Times New Roman"/>
      <w:i/>
      <w:iCs/>
      <w:color w:val="595959"/>
    </w:rPr>
  </w:style>
  <w:style w:type="paragraph" w:styleId="Heading7">
    <w:name w:val="heading 7"/>
    <w:basedOn w:val="Normal"/>
    <w:next w:val="Normal"/>
    <w:link w:val="Heading7Char"/>
    <w:uiPriority w:val="9"/>
    <w:semiHidden/>
    <w:unhideWhenUsed/>
    <w:qFormat/>
    <w:rsid w:val="00B56ED7"/>
    <w:pPr>
      <w:keepNext/>
      <w:keepLines/>
      <w:spacing w:before="40" w:after="0"/>
      <w:outlineLvl w:val="6"/>
    </w:pPr>
    <w:rPr>
      <w:rFonts w:eastAsia="Yu Gothic Light" w:cs="Times New Roman"/>
      <w:color w:val="595959"/>
    </w:rPr>
  </w:style>
  <w:style w:type="paragraph" w:styleId="Heading8">
    <w:name w:val="heading 8"/>
    <w:basedOn w:val="Normal"/>
    <w:next w:val="Normal"/>
    <w:link w:val="Heading8Char"/>
    <w:uiPriority w:val="9"/>
    <w:semiHidden/>
    <w:unhideWhenUsed/>
    <w:qFormat/>
    <w:rsid w:val="00B56ED7"/>
    <w:pPr>
      <w:keepNext/>
      <w:keepLines/>
      <w:spacing w:before="40" w:after="0"/>
      <w:outlineLvl w:val="7"/>
    </w:pPr>
    <w:rPr>
      <w:rFonts w:eastAsia="Yu Gothic Light" w:cs="Times New Roman"/>
      <w:i/>
      <w:iCs/>
      <w:color w:val="272727"/>
    </w:rPr>
  </w:style>
  <w:style w:type="paragraph" w:styleId="Heading9">
    <w:name w:val="heading 9"/>
    <w:basedOn w:val="Normal"/>
    <w:next w:val="Normal"/>
    <w:link w:val="Heading9Char"/>
    <w:uiPriority w:val="9"/>
    <w:semiHidden/>
    <w:unhideWhenUsed/>
    <w:qFormat/>
    <w:rsid w:val="00B56ED7"/>
    <w:pPr>
      <w:keepNext/>
      <w:keepLines/>
      <w:spacing w:before="40" w:after="0"/>
      <w:outlineLvl w:val="8"/>
    </w:pPr>
    <w:rPr>
      <w:rFonts w:eastAsia="Yu Gothic Light"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2A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2A97"/>
  </w:style>
  <w:style w:type="paragraph" w:styleId="Footer">
    <w:name w:val="footer"/>
    <w:basedOn w:val="Normal"/>
    <w:link w:val="FooterChar"/>
    <w:uiPriority w:val="99"/>
    <w:unhideWhenUsed/>
    <w:rsid w:val="00002A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2A97"/>
  </w:style>
  <w:style w:type="paragraph" w:styleId="BalloonText">
    <w:name w:val="Balloon Text"/>
    <w:basedOn w:val="Normal"/>
    <w:link w:val="BalloonTextChar"/>
    <w:uiPriority w:val="99"/>
    <w:semiHidden/>
    <w:unhideWhenUsed/>
    <w:rsid w:val="00E81B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1B4A"/>
    <w:rPr>
      <w:rFonts w:ascii="Segoe UI" w:hAnsi="Segoe UI" w:cs="Segoe UI"/>
      <w:sz w:val="18"/>
      <w:szCs w:val="18"/>
    </w:rPr>
  </w:style>
  <w:style w:type="paragraph" w:customStyle="1" w:styleId="Title1">
    <w:name w:val="Title1"/>
    <w:basedOn w:val="Normal"/>
    <w:link w:val="TITLEChar"/>
    <w:qFormat/>
    <w:rsid w:val="00F147ED"/>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jc w:val="center"/>
      <w:textAlignment w:val="baseline"/>
      <w:outlineLvl w:val="1"/>
    </w:pPr>
    <w:rPr>
      <w:rFonts w:eastAsia="Times New Roman" w:cs="Arial"/>
      <w:b/>
      <w:bCs/>
      <w:caps/>
      <w:sz w:val="24"/>
      <w:szCs w:val="24"/>
      <w:lang w:val="es-ES" w:eastAsia="es-ES"/>
    </w:rPr>
  </w:style>
  <w:style w:type="paragraph" w:styleId="ListParagraph">
    <w:name w:val="List Paragraph"/>
    <w:basedOn w:val="Normal"/>
    <w:link w:val="ListParagraphChar"/>
    <w:uiPriority w:val="34"/>
    <w:qFormat/>
    <w:rsid w:val="00F147ED"/>
    <w:pPr>
      <w:ind w:left="720"/>
      <w:contextualSpacing/>
    </w:pPr>
  </w:style>
  <w:style w:type="character" w:customStyle="1" w:styleId="TITLEChar">
    <w:name w:val="TITLE Char"/>
    <w:basedOn w:val="DefaultParagraphFont"/>
    <w:link w:val="Title1"/>
    <w:rsid w:val="00F147ED"/>
    <w:rPr>
      <w:rFonts w:eastAsia="Times New Roman" w:cs="Arial"/>
      <w:b/>
      <w:bCs/>
      <w:caps/>
      <w:sz w:val="24"/>
      <w:szCs w:val="24"/>
      <w:lang w:val="es-ES" w:eastAsia="es-ES"/>
    </w:rPr>
  </w:style>
  <w:style w:type="paragraph" w:customStyle="1" w:styleId="Firstnumbering1">
    <w:name w:val="First numbering 1."/>
    <w:basedOn w:val="ListParagraph"/>
    <w:link w:val="Firstnumbering1Char"/>
    <w:qFormat/>
    <w:rsid w:val="000E192F"/>
    <w:pPr>
      <w:widowControl w:val="0"/>
      <w:numPr>
        <w:numId w:val="1"/>
      </w:numPr>
      <w:suppressAutoHyphens/>
      <w:autoSpaceDE w:val="0"/>
      <w:autoSpaceDN w:val="0"/>
      <w:spacing w:after="0" w:line="240" w:lineRule="auto"/>
      <w:ind w:left="567" w:hanging="567"/>
      <w:jc w:val="both"/>
      <w:textAlignment w:val="baseline"/>
    </w:pPr>
    <w:rPr>
      <w:rFonts w:eastAsia="Times New Roman" w:cs="Arial"/>
      <w:lang w:val="es-ES" w:eastAsia="es-ES"/>
    </w:rPr>
  </w:style>
  <w:style w:type="paragraph" w:customStyle="1" w:styleId="Secondnumberinga">
    <w:name w:val="Second numbering a)."/>
    <w:basedOn w:val="ListParagraph"/>
    <w:link w:val="SecondnumberingaChar"/>
    <w:qFormat/>
    <w:rsid w:val="000E192F"/>
    <w:pPr>
      <w:numPr>
        <w:numId w:val="2"/>
      </w:numPr>
      <w:spacing w:after="0" w:line="240" w:lineRule="auto"/>
      <w:ind w:left="1134" w:hanging="283"/>
      <w:jc w:val="both"/>
    </w:pPr>
    <w:rPr>
      <w:lang w:val="es-ES"/>
    </w:rPr>
  </w:style>
  <w:style w:type="character" w:customStyle="1" w:styleId="ListParagraphChar">
    <w:name w:val="List Paragraph Char"/>
    <w:basedOn w:val="DefaultParagraphFont"/>
    <w:link w:val="ListParagraph"/>
    <w:uiPriority w:val="34"/>
    <w:rsid w:val="00F147ED"/>
  </w:style>
  <w:style w:type="character" w:customStyle="1" w:styleId="Firstnumbering1Char">
    <w:name w:val="First numbering 1. Char"/>
    <w:basedOn w:val="ListParagraphChar"/>
    <w:link w:val="Firstnumbering1"/>
    <w:rsid w:val="000E192F"/>
    <w:rPr>
      <w:rFonts w:eastAsia="Times New Roman" w:cs="Arial"/>
      <w:lang w:val="es-ES" w:eastAsia="es-ES"/>
    </w:rPr>
  </w:style>
  <w:style w:type="character" w:customStyle="1" w:styleId="SecondnumberingaChar">
    <w:name w:val="Second numbering a). Char"/>
    <w:basedOn w:val="ListParagraphChar"/>
    <w:link w:val="Secondnumberinga"/>
    <w:rsid w:val="000E192F"/>
    <w:rPr>
      <w:lang w:val="es-ES"/>
    </w:rPr>
  </w:style>
  <w:style w:type="paragraph" w:customStyle="1" w:styleId="Thirdnumberingi">
    <w:name w:val="Third numbering i)."/>
    <w:basedOn w:val="ListParagraph"/>
    <w:link w:val="ThirdnumberingiChar"/>
    <w:qFormat/>
    <w:rsid w:val="00943D15"/>
    <w:pPr>
      <w:numPr>
        <w:numId w:val="3"/>
      </w:numPr>
      <w:spacing w:after="0" w:line="240" w:lineRule="auto"/>
      <w:ind w:left="1560" w:hanging="284"/>
    </w:pPr>
    <w:rPr>
      <w:lang w:val="es-ES"/>
    </w:rPr>
  </w:style>
  <w:style w:type="paragraph" w:customStyle="1" w:styleId="FourthnumberingA">
    <w:name w:val="Fourth numbering A."/>
    <w:basedOn w:val="ListParagraph"/>
    <w:link w:val="FourthnumberingAChar"/>
    <w:qFormat/>
    <w:rsid w:val="00943D15"/>
    <w:pPr>
      <w:numPr>
        <w:numId w:val="4"/>
      </w:numPr>
      <w:spacing w:after="0" w:line="240" w:lineRule="auto"/>
      <w:ind w:left="1985" w:hanging="284"/>
    </w:pPr>
    <w:rPr>
      <w:lang w:val="es-ES"/>
    </w:rPr>
  </w:style>
  <w:style w:type="character" w:customStyle="1" w:styleId="ThirdnumberingiChar">
    <w:name w:val="Third numbering i). Char"/>
    <w:basedOn w:val="ListParagraphChar"/>
    <w:link w:val="Thirdnumberingi"/>
    <w:rsid w:val="00943D15"/>
    <w:rPr>
      <w:lang w:val="es-ES"/>
    </w:rPr>
  </w:style>
  <w:style w:type="character" w:customStyle="1" w:styleId="FourthnumberingAChar">
    <w:name w:val="Fourth numbering A. Char"/>
    <w:basedOn w:val="ListParagraphChar"/>
    <w:link w:val="FourthnumberingA"/>
    <w:rsid w:val="00943D15"/>
    <w:rPr>
      <w:lang w:val="es-ES"/>
    </w:rPr>
  </w:style>
  <w:style w:type="character" w:styleId="Hyperlink">
    <w:name w:val="Hyperlink"/>
    <w:basedOn w:val="DefaultParagraphFont"/>
    <w:uiPriority w:val="99"/>
    <w:unhideWhenUsed/>
    <w:rsid w:val="00AC09AE"/>
    <w:rPr>
      <w:color w:val="0563C1" w:themeColor="hyperlink"/>
      <w:u w:val="single"/>
    </w:rPr>
  </w:style>
  <w:style w:type="character" w:styleId="FootnoteReference">
    <w:name w:val="footnote reference"/>
    <w:uiPriority w:val="99"/>
    <w:semiHidden/>
    <w:rsid w:val="00810C64"/>
    <w:rPr>
      <w:rFonts w:cs="Times New Roman"/>
    </w:rPr>
  </w:style>
  <w:style w:type="paragraph" w:customStyle="1" w:styleId="Firstnumbering">
    <w:name w:val="First numbering"/>
    <w:basedOn w:val="ListParagraph"/>
    <w:link w:val="FirstnumberingChar"/>
    <w:qFormat/>
    <w:rsid w:val="009A69BA"/>
    <w:pPr>
      <w:numPr>
        <w:numId w:val="5"/>
      </w:numPr>
      <w:spacing w:after="0" w:line="240" w:lineRule="auto"/>
      <w:ind w:left="567" w:hanging="567"/>
      <w:contextualSpacing w:val="0"/>
    </w:pPr>
    <w:rPr>
      <w:lang w:val="en-GB"/>
    </w:rPr>
  </w:style>
  <w:style w:type="paragraph" w:customStyle="1" w:styleId="Secondnumbering">
    <w:name w:val="Second numbering"/>
    <w:basedOn w:val="Firstnumbering"/>
    <w:link w:val="SecondnumberingChar"/>
    <w:qFormat/>
    <w:rsid w:val="009A69BA"/>
    <w:pPr>
      <w:numPr>
        <w:numId w:val="7"/>
      </w:numPr>
    </w:pPr>
  </w:style>
  <w:style w:type="character" w:customStyle="1" w:styleId="FirstnumberingChar">
    <w:name w:val="First numbering Char"/>
    <w:basedOn w:val="ListParagraphChar"/>
    <w:link w:val="Firstnumbering"/>
    <w:rsid w:val="009A69BA"/>
    <w:rPr>
      <w:lang w:val="en-GB"/>
    </w:rPr>
  </w:style>
  <w:style w:type="character" w:customStyle="1" w:styleId="SecondnumberingChar">
    <w:name w:val="Second numbering Char"/>
    <w:basedOn w:val="FirstnumberingChar"/>
    <w:link w:val="Secondnumbering"/>
    <w:rsid w:val="009A69BA"/>
    <w:rPr>
      <w:lang w:val="en-GB"/>
    </w:rPr>
  </w:style>
  <w:style w:type="paragraph" w:styleId="FootnoteText">
    <w:name w:val="footnote text"/>
    <w:basedOn w:val="Normal"/>
    <w:link w:val="FootnoteTextChar"/>
    <w:uiPriority w:val="99"/>
    <w:unhideWhenUsed/>
    <w:rsid w:val="009A69BA"/>
    <w:pPr>
      <w:spacing w:after="0" w:line="240" w:lineRule="auto"/>
    </w:pPr>
    <w:rPr>
      <w:sz w:val="20"/>
      <w:szCs w:val="20"/>
    </w:rPr>
  </w:style>
  <w:style w:type="character" w:customStyle="1" w:styleId="FootnoteTextChar">
    <w:name w:val="Footnote Text Char"/>
    <w:basedOn w:val="DefaultParagraphFont"/>
    <w:link w:val="FootnoteText"/>
    <w:uiPriority w:val="99"/>
    <w:rsid w:val="009A69BA"/>
    <w:rPr>
      <w:sz w:val="20"/>
      <w:szCs w:val="20"/>
    </w:rPr>
  </w:style>
  <w:style w:type="table" w:customStyle="1" w:styleId="TableGrid2">
    <w:name w:val="Table Grid2"/>
    <w:basedOn w:val="TableNormal"/>
    <w:next w:val="TableGrid"/>
    <w:uiPriority w:val="39"/>
    <w:rsid w:val="00935A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35A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9068F8"/>
    <w:pPr>
      <w:spacing w:after="0" w:line="240" w:lineRule="auto"/>
    </w:pPr>
    <w:rPr>
      <w:rFonts w:ascii="Aptos" w:hAnsi="Aptos"/>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6ED7"/>
    <w:rPr>
      <w:rFonts w:ascii="Aptos Display" w:eastAsia="Yu Gothic Light" w:hAnsi="Aptos Display" w:cs="Times New Roman"/>
      <w:color w:val="0F4761"/>
      <w:sz w:val="40"/>
      <w:szCs w:val="40"/>
    </w:rPr>
  </w:style>
  <w:style w:type="character" w:customStyle="1" w:styleId="Heading2Char">
    <w:name w:val="Heading 2 Char"/>
    <w:basedOn w:val="DefaultParagraphFont"/>
    <w:link w:val="Heading2"/>
    <w:uiPriority w:val="9"/>
    <w:rsid w:val="00B56ED7"/>
    <w:rPr>
      <w:rFonts w:ascii="Aptos Display" w:eastAsia="Yu Gothic Light" w:hAnsi="Aptos Display" w:cs="Times New Roman"/>
      <w:color w:val="0F4761"/>
      <w:sz w:val="32"/>
      <w:szCs w:val="32"/>
    </w:rPr>
  </w:style>
  <w:style w:type="character" w:customStyle="1" w:styleId="Heading3Char">
    <w:name w:val="Heading 3 Char"/>
    <w:basedOn w:val="DefaultParagraphFont"/>
    <w:link w:val="Heading3"/>
    <w:uiPriority w:val="9"/>
    <w:semiHidden/>
    <w:rsid w:val="00B56ED7"/>
    <w:rPr>
      <w:rFonts w:eastAsia="Yu Gothic Light" w:cs="Times New Roman"/>
      <w:color w:val="0F4761"/>
      <w:sz w:val="28"/>
      <w:szCs w:val="28"/>
    </w:rPr>
  </w:style>
  <w:style w:type="character" w:customStyle="1" w:styleId="Heading4Char">
    <w:name w:val="Heading 4 Char"/>
    <w:basedOn w:val="DefaultParagraphFont"/>
    <w:link w:val="Heading4"/>
    <w:uiPriority w:val="9"/>
    <w:rsid w:val="00B56ED7"/>
    <w:rPr>
      <w:rFonts w:eastAsia="Yu Gothic Light" w:cs="Times New Roman"/>
      <w:i/>
      <w:iCs/>
      <w:color w:val="0F4761"/>
    </w:rPr>
  </w:style>
  <w:style w:type="character" w:customStyle="1" w:styleId="Heading5Char">
    <w:name w:val="Heading 5 Char"/>
    <w:basedOn w:val="DefaultParagraphFont"/>
    <w:link w:val="Heading5"/>
    <w:uiPriority w:val="9"/>
    <w:rsid w:val="00B56ED7"/>
    <w:rPr>
      <w:rFonts w:eastAsia="Yu Gothic Light" w:cs="Times New Roman"/>
      <w:color w:val="0F4761"/>
    </w:rPr>
  </w:style>
  <w:style w:type="character" w:customStyle="1" w:styleId="Heading6Char">
    <w:name w:val="Heading 6 Char"/>
    <w:basedOn w:val="DefaultParagraphFont"/>
    <w:link w:val="Heading6"/>
    <w:uiPriority w:val="9"/>
    <w:semiHidden/>
    <w:rsid w:val="00B56ED7"/>
    <w:rPr>
      <w:rFonts w:eastAsia="Yu Gothic Light" w:cs="Times New Roman"/>
      <w:i/>
      <w:iCs/>
      <w:color w:val="595959"/>
    </w:rPr>
  </w:style>
  <w:style w:type="character" w:customStyle="1" w:styleId="Heading7Char">
    <w:name w:val="Heading 7 Char"/>
    <w:basedOn w:val="DefaultParagraphFont"/>
    <w:link w:val="Heading7"/>
    <w:uiPriority w:val="9"/>
    <w:semiHidden/>
    <w:rsid w:val="00B56ED7"/>
    <w:rPr>
      <w:rFonts w:eastAsia="Yu Gothic Light" w:cs="Times New Roman"/>
      <w:color w:val="595959"/>
    </w:rPr>
  </w:style>
  <w:style w:type="character" w:customStyle="1" w:styleId="Heading8Char">
    <w:name w:val="Heading 8 Char"/>
    <w:basedOn w:val="DefaultParagraphFont"/>
    <w:link w:val="Heading8"/>
    <w:uiPriority w:val="9"/>
    <w:semiHidden/>
    <w:rsid w:val="00B56ED7"/>
    <w:rPr>
      <w:rFonts w:eastAsia="Yu Gothic Light" w:cs="Times New Roman"/>
      <w:i/>
      <w:iCs/>
      <w:color w:val="272727"/>
    </w:rPr>
  </w:style>
  <w:style w:type="character" w:customStyle="1" w:styleId="Heading9Char">
    <w:name w:val="Heading 9 Char"/>
    <w:basedOn w:val="DefaultParagraphFont"/>
    <w:link w:val="Heading9"/>
    <w:uiPriority w:val="9"/>
    <w:semiHidden/>
    <w:rsid w:val="00B56ED7"/>
    <w:rPr>
      <w:rFonts w:eastAsia="Yu Gothic Light" w:cs="Times New Roman"/>
      <w:color w:val="272727"/>
    </w:rPr>
  </w:style>
  <w:style w:type="paragraph" w:customStyle="1" w:styleId="Thirdnumberingi0">
    <w:name w:val="Third numbering i)"/>
    <w:basedOn w:val="Secondnumbering"/>
    <w:link w:val="ThirdnumberingiChar0"/>
    <w:qFormat/>
    <w:rsid w:val="00B56ED7"/>
    <w:pPr>
      <w:numPr>
        <w:numId w:val="14"/>
      </w:numPr>
      <w:ind w:left="1701" w:hanging="283"/>
    </w:pPr>
  </w:style>
  <w:style w:type="character" w:customStyle="1" w:styleId="ThirdnumberingiChar0">
    <w:name w:val="Third numbering i) Char"/>
    <w:basedOn w:val="SecondnumberingChar"/>
    <w:link w:val="Thirdnumberingi0"/>
    <w:rsid w:val="00B56ED7"/>
    <w:rPr>
      <w:lang w:val="en-GB"/>
    </w:rPr>
  </w:style>
  <w:style w:type="paragraph" w:styleId="Revision">
    <w:name w:val="Revision"/>
    <w:hidden/>
    <w:uiPriority w:val="99"/>
    <w:semiHidden/>
    <w:rsid w:val="00B56ED7"/>
    <w:pPr>
      <w:spacing w:after="0" w:line="240" w:lineRule="auto"/>
    </w:pPr>
    <w:rPr>
      <w:lang w:val="en-GB"/>
    </w:rPr>
  </w:style>
  <w:style w:type="paragraph" w:styleId="EndnoteText">
    <w:name w:val="endnote text"/>
    <w:basedOn w:val="Normal"/>
    <w:link w:val="EndnoteTextChar"/>
    <w:uiPriority w:val="99"/>
    <w:semiHidden/>
    <w:unhideWhenUsed/>
    <w:rsid w:val="00B56ED7"/>
    <w:pPr>
      <w:spacing w:after="0" w:line="240" w:lineRule="auto"/>
    </w:pPr>
    <w:rPr>
      <w:sz w:val="20"/>
      <w:szCs w:val="20"/>
      <w:lang w:val="en-GB"/>
    </w:rPr>
  </w:style>
  <w:style w:type="character" w:customStyle="1" w:styleId="EndnoteTextChar">
    <w:name w:val="Endnote Text Char"/>
    <w:basedOn w:val="DefaultParagraphFont"/>
    <w:link w:val="EndnoteText"/>
    <w:uiPriority w:val="99"/>
    <w:semiHidden/>
    <w:rsid w:val="00B56ED7"/>
    <w:rPr>
      <w:sz w:val="20"/>
      <w:szCs w:val="20"/>
      <w:lang w:val="en-GB"/>
    </w:rPr>
  </w:style>
  <w:style w:type="character" w:styleId="EndnoteReference">
    <w:name w:val="endnote reference"/>
    <w:basedOn w:val="DefaultParagraphFont"/>
    <w:uiPriority w:val="99"/>
    <w:semiHidden/>
    <w:unhideWhenUsed/>
    <w:rsid w:val="00B56ED7"/>
    <w:rPr>
      <w:vertAlign w:val="superscript"/>
    </w:rPr>
  </w:style>
  <w:style w:type="character" w:styleId="CommentReference">
    <w:name w:val="annotation reference"/>
    <w:basedOn w:val="DefaultParagraphFont"/>
    <w:uiPriority w:val="99"/>
    <w:semiHidden/>
    <w:unhideWhenUsed/>
    <w:rsid w:val="00B56ED7"/>
    <w:rPr>
      <w:sz w:val="16"/>
      <w:szCs w:val="16"/>
    </w:rPr>
  </w:style>
  <w:style w:type="paragraph" w:styleId="CommentText">
    <w:name w:val="annotation text"/>
    <w:basedOn w:val="Normal"/>
    <w:link w:val="CommentTextChar"/>
    <w:uiPriority w:val="99"/>
    <w:unhideWhenUsed/>
    <w:rsid w:val="00B56ED7"/>
    <w:pPr>
      <w:spacing w:line="240" w:lineRule="auto"/>
    </w:pPr>
    <w:rPr>
      <w:sz w:val="20"/>
      <w:szCs w:val="20"/>
      <w:lang w:val="en-GB"/>
    </w:rPr>
  </w:style>
  <w:style w:type="character" w:customStyle="1" w:styleId="CommentTextChar">
    <w:name w:val="Comment Text Char"/>
    <w:basedOn w:val="DefaultParagraphFont"/>
    <w:link w:val="CommentText"/>
    <w:uiPriority w:val="99"/>
    <w:rsid w:val="00B56ED7"/>
    <w:rPr>
      <w:sz w:val="20"/>
      <w:szCs w:val="20"/>
      <w:lang w:val="en-GB"/>
    </w:rPr>
  </w:style>
  <w:style w:type="paragraph" w:styleId="CommentSubject">
    <w:name w:val="annotation subject"/>
    <w:basedOn w:val="CommentText"/>
    <w:next w:val="CommentText"/>
    <w:link w:val="CommentSubjectChar"/>
    <w:uiPriority w:val="99"/>
    <w:semiHidden/>
    <w:unhideWhenUsed/>
    <w:rsid w:val="00B56ED7"/>
    <w:rPr>
      <w:b/>
      <w:bCs/>
    </w:rPr>
  </w:style>
  <w:style w:type="character" w:customStyle="1" w:styleId="CommentSubjectChar">
    <w:name w:val="Comment Subject Char"/>
    <w:basedOn w:val="CommentTextChar"/>
    <w:link w:val="CommentSubject"/>
    <w:uiPriority w:val="99"/>
    <w:semiHidden/>
    <w:rsid w:val="00B56ED7"/>
    <w:rPr>
      <w:b/>
      <w:bCs/>
      <w:sz w:val="20"/>
      <w:szCs w:val="20"/>
      <w:lang w:val="en-GB"/>
    </w:rPr>
  </w:style>
  <w:style w:type="character" w:styleId="Mention">
    <w:name w:val="Mention"/>
    <w:basedOn w:val="DefaultParagraphFont"/>
    <w:uiPriority w:val="99"/>
    <w:unhideWhenUsed/>
    <w:rsid w:val="00B56ED7"/>
    <w:rPr>
      <w:color w:val="2B579A"/>
      <w:shd w:val="clear" w:color="auto" w:fill="E1DFDD"/>
    </w:rPr>
  </w:style>
  <w:style w:type="character" w:styleId="UnresolvedMention">
    <w:name w:val="Unresolved Mention"/>
    <w:basedOn w:val="DefaultParagraphFont"/>
    <w:uiPriority w:val="99"/>
    <w:semiHidden/>
    <w:unhideWhenUsed/>
    <w:rsid w:val="00B56ED7"/>
    <w:rPr>
      <w:color w:val="605E5C"/>
      <w:shd w:val="clear" w:color="auto" w:fill="E1DFDD"/>
    </w:rPr>
  </w:style>
  <w:style w:type="character" w:styleId="FollowedHyperlink">
    <w:name w:val="FollowedHyperlink"/>
    <w:basedOn w:val="DefaultParagraphFont"/>
    <w:uiPriority w:val="99"/>
    <w:semiHidden/>
    <w:unhideWhenUsed/>
    <w:rsid w:val="00B56ED7"/>
    <w:rPr>
      <w:color w:val="954F72" w:themeColor="followedHyperlink"/>
      <w:u w:val="single"/>
    </w:rPr>
  </w:style>
  <w:style w:type="character" w:styleId="Emphasis">
    <w:name w:val="Emphasis"/>
    <w:basedOn w:val="DefaultParagraphFont"/>
    <w:uiPriority w:val="20"/>
    <w:qFormat/>
    <w:rsid w:val="00B56ED7"/>
    <w:rPr>
      <w:i/>
      <w:iCs/>
    </w:rPr>
  </w:style>
  <w:style w:type="paragraph" w:customStyle="1" w:styleId="Heading11">
    <w:name w:val="Heading 11"/>
    <w:basedOn w:val="Normal"/>
    <w:next w:val="Normal"/>
    <w:uiPriority w:val="9"/>
    <w:qFormat/>
    <w:rsid w:val="00B56ED7"/>
    <w:pPr>
      <w:keepNext/>
      <w:keepLines/>
      <w:numPr>
        <w:numId w:val="15"/>
      </w:numPr>
      <w:spacing w:before="360" w:after="80" w:line="240" w:lineRule="auto"/>
      <w:ind w:left="0" w:firstLine="0"/>
      <w:outlineLvl w:val="0"/>
    </w:pPr>
    <w:rPr>
      <w:rFonts w:ascii="Aptos Display" w:eastAsia="Yu Gothic Light" w:hAnsi="Aptos Display" w:cs="Times New Roman"/>
      <w:color w:val="0F4761"/>
      <w:sz w:val="40"/>
      <w:szCs w:val="40"/>
    </w:rPr>
  </w:style>
  <w:style w:type="paragraph" w:customStyle="1" w:styleId="Heading21">
    <w:name w:val="Heading 21"/>
    <w:basedOn w:val="Normal"/>
    <w:next w:val="Normal"/>
    <w:uiPriority w:val="9"/>
    <w:unhideWhenUsed/>
    <w:qFormat/>
    <w:rsid w:val="00B56ED7"/>
    <w:pPr>
      <w:keepNext/>
      <w:keepLines/>
      <w:spacing w:before="160" w:after="80" w:line="240" w:lineRule="auto"/>
      <w:outlineLvl w:val="1"/>
    </w:pPr>
    <w:rPr>
      <w:rFonts w:ascii="Aptos Display" w:eastAsia="Yu Gothic Light" w:hAnsi="Aptos Display" w:cs="Times New Roman"/>
      <w:color w:val="0F4761"/>
      <w:sz w:val="32"/>
      <w:szCs w:val="32"/>
    </w:rPr>
  </w:style>
  <w:style w:type="paragraph" w:customStyle="1" w:styleId="Heading31">
    <w:name w:val="Heading 31"/>
    <w:basedOn w:val="Normal"/>
    <w:next w:val="Normal"/>
    <w:uiPriority w:val="9"/>
    <w:semiHidden/>
    <w:unhideWhenUsed/>
    <w:qFormat/>
    <w:rsid w:val="00B56ED7"/>
    <w:pPr>
      <w:keepNext/>
      <w:keepLines/>
      <w:spacing w:before="160" w:after="80" w:line="240" w:lineRule="auto"/>
      <w:outlineLvl w:val="2"/>
    </w:pPr>
    <w:rPr>
      <w:rFonts w:eastAsia="Yu Gothic Light" w:cs="Times New Roman"/>
      <w:color w:val="0F4761"/>
      <w:sz w:val="28"/>
      <w:szCs w:val="28"/>
    </w:rPr>
  </w:style>
  <w:style w:type="paragraph" w:customStyle="1" w:styleId="Heading41">
    <w:name w:val="Heading 41"/>
    <w:basedOn w:val="Normal"/>
    <w:next w:val="Normal"/>
    <w:uiPriority w:val="9"/>
    <w:unhideWhenUsed/>
    <w:qFormat/>
    <w:rsid w:val="00B56ED7"/>
    <w:pPr>
      <w:keepNext/>
      <w:keepLines/>
      <w:spacing w:before="80" w:after="40" w:line="240" w:lineRule="auto"/>
      <w:outlineLvl w:val="3"/>
    </w:pPr>
    <w:rPr>
      <w:rFonts w:eastAsia="Yu Gothic Light" w:cs="Times New Roman"/>
      <w:i/>
      <w:iCs/>
      <w:color w:val="0F4761"/>
    </w:rPr>
  </w:style>
  <w:style w:type="paragraph" w:customStyle="1" w:styleId="Heading51">
    <w:name w:val="Heading 51"/>
    <w:basedOn w:val="Normal"/>
    <w:next w:val="Normal"/>
    <w:uiPriority w:val="9"/>
    <w:unhideWhenUsed/>
    <w:qFormat/>
    <w:rsid w:val="00B56ED7"/>
    <w:pPr>
      <w:keepNext/>
      <w:keepLines/>
      <w:spacing w:before="80" w:after="40" w:line="240" w:lineRule="auto"/>
      <w:outlineLvl w:val="4"/>
    </w:pPr>
    <w:rPr>
      <w:rFonts w:eastAsia="Yu Gothic Light" w:cs="Times New Roman"/>
      <w:color w:val="0F4761"/>
    </w:rPr>
  </w:style>
  <w:style w:type="paragraph" w:customStyle="1" w:styleId="Heading61">
    <w:name w:val="Heading 61"/>
    <w:basedOn w:val="Normal"/>
    <w:next w:val="Normal"/>
    <w:uiPriority w:val="9"/>
    <w:semiHidden/>
    <w:unhideWhenUsed/>
    <w:qFormat/>
    <w:rsid w:val="00B56ED7"/>
    <w:pPr>
      <w:keepNext/>
      <w:keepLines/>
      <w:spacing w:before="40" w:after="0" w:line="240" w:lineRule="auto"/>
      <w:outlineLvl w:val="5"/>
    </w:pPr>
    <w:rPr>
      <w:rFonts w:eastAsia="Yu Gothic Light" w:cs="Times New Roman"/>
      <w:i/>
      <w:iCs/>
      <w:color w:val="595959"/>
    </w:rPr>
  </w:style>
  <w:style w:type="paragraph" w:customStyle="1" w:styleId="Heading71">
    <w:name w:val="Heading 71"/>
    <w:basedOn w:val="Normal"/>
    <w:next w:val="Normal"/>
    <w:uiPriority w:val="9"/>
    <w:semiHidden/>
    <w:unhideWhenUsed/>
    <w:qFormat/>
    <w:rsid w:val="00B56ED7"/>
    <w:pPr>
      <w:keepNext/>
      <w:keepLines/>
      <w:spacing w:before="40" w:after="0" w:line="240" w:lineRule="auto"/>
      <w:outlineLvl w:val="6"/>
    </w:pPr>
    <w:rPr>
      <w:rFonts w:eastAsia="Yu Gothic Light" w:cs="Times New Roman"/>
      <w:color w:val="595959"/>
    </w:rPr>
  </w:style>
  <w:style w:type="paragraph" w:customStyle="1" w:styleId="Heading81">
    <w:name w:val="Heading 81"/>
    <w:basedOn w:val="Normal"/>
    <w:next w:val="Normal"/>
    <w:uiPriority w:val="9"/>
    <w:semiHidden/>
    <w:unhideWhenUsed/>
    <w:qFormat/>
    <w:rsid w:val="00B56ED7"/>
    <w:pPr>
      <w:keepNext/>
      <w:keepLines/>
      <w:spacing w:after="0" w:line="240" w:lineRule="auto"/>
      <w:outlineLvl w:val="7"/>
    </w:pPr>
    <w:rPr>
      <w:rFonts w:eastAsia="Yu Gothic Light" w:cs="Times New Roman"/>
      <w:i/>
      <w:iCs/>
      <w:color w:val="272727"/>
    </w:rPr>
  </w:style>
  <w:style w:type="paragraph" w:customStyle="1" w:styleId="Heading91">
    <w:name w:val="Heading 91"/>
    <w:basedOn w:val="Normal"/>
    <w:next w:val="Normal"/>
    <w:uiPriority w:val="9"/>
    <w:semiHidden/>
    <w:unhideWhenUsed/>
    <w:qFormat/>
    <w:rsid w:val="00B56ED7"/>
    <w:pPr>
      <w:keepNext/>
      <w:keepLines/>
      <w:spacing w:after="0" w:line="240" w:lineRule="auto"/>
      <w:outlineLvl w:val="8"/>
    </w:pPr>
    <w:rPr>
      <w:rFonts w:eastAsia="Yu Gothic Light" w:cs="Times New Roman"/>
      <w:color w:val="272727"/>
    </w:rPr>
  </w:style>
  <w:style w:type="numbering" w:customStyle="1" w:styleId="NoList1">
    <w:name w:val="No List1"/>
    <w:next w:val="NoList"/>
    <w:uiPriority w:val="99"/>
    <w:semiHidden/>
    <w:unhideWhenUsed/>
    <w:rsid w:val="00B56ED7"/>
  </w:style>
  <w:style w:type="paragraph" w:customStyle="1" w:styleId="Title2">
    <w:name w:val="Title2"/>
    <w:basedOn w:val="Normal"/>
    <w:next w:val="Normal"/>
    <w:uiPriority w:val="10"/>
    <w:qFormat/>
    <w:rsid w:val="00B56ED7"/>
    <w:pPr>
      <w:spacing w:after="80" w:line="240" w:lineRule="auto"/>
      <w:contextualSpacing/>
    </w:pPr>
    <w:rPr>
      <w:rFonts w:ascii="Aptos Display" w:eastAsia="Yu Gothic Light" w:hAnsi="Aptos Display" w:cs="Times New Roman"/>
      <w:spacing w:val="-10"/>
      <w:kern w:val="28"/>
      <w:sz w:val="56"/>
      <w:szCs w:val="56"/>
    </w:rPr>
  </w:style>
  <w:style w:type="character" w:customStyle="1" w:styleId="TitleChar0">
    <w:name w:val="Title Char"/>
    <w:basedOn w:val="DefaultParagraphFont"/>
    <w:link w:val="Title"/>
    <w:uiPriority w:val="10"/>
    <w:rsid w:val="00B56ED7"/>
    <w:rPr>
      <w:rFonts w:ascii="Aptos Display" w:eastAsia="Yu Gothic Light" w:hAnsi="Aptos Display" w:cs="Times New Roman"/>
      <w:spacing w:val="-10"/>
      <w:kern w:val="28"/>
      <w:sz w:val="56"/>
      <w:szCs w:val="56"/>
    </w:rPr>
  </w:style>
  <w:style w:type="paragraph" w:customStyle="1" w:styleId="Subtitle1">
    <w:name w:val="Subtitle1"/>
    <w:basedOn w:val="Normal"/>
    <w:next w:val="Normal"/>
    <w:uiPriority w:val="11"/>
    <w:qFormat/>
    <w:rsid w:val="00B56ED7"/>
    <w:pPr>
      <w:numPr>
        <w:ilvl w:val="1"/>
      </w:numPr>
      <w:spacing w:after="0" w:line="240" w:lineRule="auto"/>
    </w:pPr>
    <w:rPr>
      <w:rFonts w:eastAsia="Yu Gothic Light" w:cs="Times New Roman"/>
      <w:color w:val="595959"/>
      <w:spacing w:val="15"/>
      <w:sz w:val="28"/>
      <w:szCs w:val="28"/>
    </w:rPr>
  </w:style>
  <w:style w:type="character" w:customStyle="1" w:styleId="SubtitleChar">
    <w:name w:val="Subtitle Char"/>
    <w:basedOn w:val="DefaultParagraphFont"/>
    <w:link w:val="Subtitle"/>
    <w:uiPriority w:val="11"/>
    <w:rsid w:val="00B56ED7"/>
    <w:rPr>
      <w:rFonts w:eastAsia="Yu Gothic Light" w:cs="Times New Roman"/>
      <w:color w:val="595959"/>
      <w:spacing w:val="15"/>
      <w:sz w:val="28"/>
      <w:szCs w:val="28"/>
    </w:rPr>
  </w:style>
  <w:style w:type="paragraph" w:customStyle="1" w:styleId="Quote1">
    <w:name w:val="Quote1"/>
    <w:basedOn w:val="Normal"/>
    <w:next w:val="Normal"/>
    <w:uiPriority w:val="29"/>
    <w:qFormat/>
    <w:rsid w:val="00B56ED7"/>
    <w:pPr>
      <w:spacing w:before="160" w:after="0" w:line="240" w:lineRule="auto"/>
      <w:jc w:val="center"/>
    </w:pPr>
    <w:rPr>
      <w:i/>
      <w:iCs/>
      <w:color w:val="404040"/>
    </w:rPr>
  </w:style>
  <w:style w:type="character" w:customStyle="1" w:styleId="QuoteChar">
    <w:name w:val="Quote Char"/>
    <w:basedOn w:val="DefaultParagraphFont"/>
    <w:link w:val="Quote"/>
    <w:uiPriority w:val="29"/>
    <w:rsid w:val="00B56ED7"/>
    <w:rPr>
      <w:i/>
      <w:iCs/>
      <w:color w:val="404040"/>
    </w:rPr>
  </w:style>
  <w:style w:type="character" w:customStyle="1" w:styleId="IntenseEmphasis1">
    <w:name w:val="Intense Emphasis1"/>
    <w:basedOn w:val="DefaultParagraphFont"/>
    <w:uiPriority w:val="21"/>
    <w:qFormat/>
    <w:rsid w:val="00B56ED7"/>
    <w:rPr>
      <w:i/>
      <w:iCs/>
      <w:color w:val="0F4761"/>
    </w:rPr>
  </w:style>
  <w:style w:type="paragraph" w:customStyle="1" w:styleId="IntenseQuote1">
    <w:name w:val="Intense Quote1"/>
    <w:basedOn w:val="Normal"/>
    <w:next w:val="Normal"/>
    <w:uiPriority w:val="30"/>
    <w:qFormat/>
    <w:rsid w:val="00B56ED7"/>
    <w:pPr>
      <w:pBdr>
        <w:top w:val="single" w:sz="4" w:space="10" w:color="0F4761"/>
        <w:bottom w:val="single" w:sz="4" w:space="10" w:color="0F4761"/>
      </w:pBdr>
      <w:spacing w:before="360" w:after="360" w:line="240" w:lineRule="auto"/>
      <w:ind w:left="864" w:right="864"/>
      <w:jc w:val="center"/>
    </w:pPr>
    <w:rPr>
      <w:i/>
      <w:iCs/>
      <w:color w:val="0F4761"/>
    </w:rPr>
  </w:style>
  <w:style w:type="character" w:customStyle="1" w:styleId="IntenseQuoteChar">
    <w:name w:val="Intense Quote Char"/>
    <w:basedOn w:val="DefaultParagraphFont"/>
    <w:link w:val="IntenseQuote"/>
    <w:uiPriority w:val="30"/>
    <w:rsid w:val="00B56ED7"/>
    <w:rPr>
      <w:i/>
      <w:iCs/>
      <w:color w:val="0F4761"/>
    </w:rPr>
  </w:style>
  <w:style w:type="character" w:customStyle="1" w:styleId="IntenseReference1">
    <w:name w:val="Intense Reference1"/>
    <w:basedOn w:val="DefaultParagraphFont"/>
    <w:uiPriority w:val="32"/>
    <w:qFormat/>
    <w:rsid w:val="00B56ED7"/>
    <w:rPr>
      <w:b/>
      <w:bCs/>
      <w:smallCaps/>
      <w:color w:val="0F4761"/>
      <w:spacing w:val="5"/>
    </w:rPr>
  </w:style>
  <w:style w:type="paragraph" w:styleId="BodyText3">
    <w:name w:val="Body Text 3"/>
    <w:basedOn w:val="Normal"/>
    <w:link w:val="BodyText3Char"/>
    <w:uiPriority w:val="99"/>
    <w:unhideWhenUsed/>
    <w:rsid w:val="00B56ED7"/>
    <w:pPr>
      <w:widowControl w:val="0"/>
      <w:spacing w:after="120" w:line="240" w:lineRule="auto"/>
    </w:pPr>
    <w:rPr>
      <w:rFonts w:ascii="Times New Roman" w:eastAsia="Times New Roman" w:hAnsi="Times New Roman" w:cs="Times New Roman"/>
      <w:snapToGrid w:val="0"/>
      <w:sz w:val="16"/>
      <w:szCs w:val="16"/>
      <w:lang w:val="en-GB"/>
    </w:rPr>
  </w:style>
  <w:style w:type="character" w:customStyle="1" w:styleId="BodyText3Char">
    <w:name w:val="Body Text 3 Char"/>
    <w:basedOn w:val="DefaultParagraphFont"/>
    <w:link w:val="BodyText3"/>
    <w:uiPriority w:val="99"/>
    <w:rsid w:val="00B56ED7"/>
    <w:rPr>
      <w:rFonts w:ascii="Times New Roman" w:eastAsia="Times New Roman" w:hAnsi="Times New Roman" w:cs="Times New Roman"/>
      <w:snapToGrid w:val="0"/>
      <w:sz w:val="16"/>
      <w:szCs w:val="16"/>
      <w:lang w:val="en-GB"/>
    </w:rPr>
  </w:style>
  <w:style w:type="paragraph" w:customStyle="1" w:styleId="1AutoList1">
    <w:name w:val="1AutoList1"/>
    <w:rsid w:val="00B56ED7"/>
    <w:pPr>
      <w:widowControl w:val="0"/>
      <w:tabs>
        <w:tab w:val="left" w:pos="720"/>
      </w:tabs>
      <w:autoSpaceDE w:val="0"/>
      <w:autoSpaceDN w:val="0"/>
      <w:adjustRightInd w:val="0"/>
      <w:spacing w:after="0" w:line="240" w:lineRule="auto"/>
      <w:ind w:left="720" w:hanging="720"/>
      <w:jc w:val="both"/>
    </w:pPr>
    <w:rPr>
      <w:rFonts w:ascii="Times New Roman" w:eastAsia="Times New Roman" w:hAnsi="Times New Roman" w:cs="Times New Roman"/>
      <w:sz w:val="20"/>
      <w:szCs w:val="24"/>
      <w:lang w:val="en-GB"/>
    </w:rPr>
  </w:style>
  <w:style w:type="character" w:styleId="Strong">
    <w:name w:val="Strong"/>
    <w:uiPriority w:val="22"/>
    <w:qFormat/>
    <w:rsid w:val="00B56ED7"/>
    <w:rPr>
      <w:b/>
      <w:bCs/>
    </w:rPr>
  </w:style>
  <w:style w:type="paragraph" w:styleId="BodyTextIndent3">
    <w:name w:val="Body Text Indent 3"/>
    <w:basedOn w:val="Normal"/>
    <w:link w:val="BodyTextIndent3Char"/>
    <w:rsid w:val="00B56ED7"/>
    <w:pPr>
      <w:widowControl w:val="0"/>
      <w:spacing w:after="0" w:line="240" w:lineRule="auto"/>
      <w:ind w:left="709" w:hanging="709"/>
      <w:jc w:val="both"/>
    </w:pPr>
    <w:rPr>
      <w:rFonts w:ascii="Times New Roman" w:eastAsia="Times New Roman" w:hAnsi="Times New Roman" w:cs="Times New Roman"/>
      <w:b/>
      <w:bCs/>
      <w:snapToGrid w:val="0"/>
      <w:szCs w:val="20"/>
      <w:lang w:val="en-GB"/>
    </w:rPr>
  </w:style>
  <w:style w:type="character" w:customStyle="1" w:styleId="BodyTextIndent3Char">
    <w:name w:val="Body Text Indent 3 Char"/>
    <w:basedOn w:val="DefaultParagraphFont"/>
    <w:link w:val="BodyTextIndent3"/>
    <w:rsid w:val="00B56ED7"/>
    <w:rPr>
      <w:rFonts w:ascii="Times New Roman" w:eastAsia="Times New Roman" w:hAnsi="Times New Roman" w:cs="Times New Roman"/>
      <w:b/>
      <w:bCs/>
      <w:snapToGrid w:val="0"/>
      <w:szCs w:val="20"/>
      <w:lang w:val="en-GB"/>
    </w:rPr>
  </w:style>
  <w:style w:type="paragraph" w:customStyle="1" w:styleId="Default">
    <w:name w:val="Default"/>
    <w:rsid w:val="00B56ED7"/>
    <w:pPr>
      <w:autoSpaceDE w:val="0"/>
      <w:autoSpaceDN w:val="0"/>
      <w:adjustRightInd w:val="0"/>
      <w:spacing w:after="0" w:line="240" w:lineRule="auto"/>
    </w:pPr>
    <w:rPr>
      <w:rFonts w:ascii="Garamond" w:hAnsi="Garamond" w:cs="Garamond"/>
      <w:color w:val="000000"/>
      <w:sz w:val="24"/>
      <w:szCs w:val="24"/>
      <w:lang w:val="en-GB"/>
    </w:rPr>
  </w:style>
  <w:style w:type="character" w:customStyle="1" w:styleId="field-content">
    <w:name w:val="field-content"/>
    <w:basedOn w:val="DefaultParagraphFont"/>
    <w:rsid w:val="00B56ED7"/>
  </w:style>
  <w:style w:type="character" w:customStyle="1" w:styleId="field">
    <w:name w:val="field"/>
    <w:basedOn w:val="DefaultParagraphFont"/>
    <w:rsid w:val="00B56ED7"/>
  </w:style>
  <w:style w:type="character" w:customStyle="1" w:styleId="markedcontent">
    <w:name w:val="markedcontent"/>
    <w:basedOn w:val="DefaultParagraphFont"/>
    <w:rsid w:val="00B56ED7"/>
  </w:style>
  <w:style w:type="character" w:customStyle="1" w:styleId="normaltextrun">
    <w:name w:val="normaltextrun"/>
    <w:basedOn w:val="DefaultParagraphFont"/>
    <w:rsid w:val="00B56ED7"/>
  </w:style>
  <w:style w:type="character" w:customStyle="1" w:styleId="eop">
    <w:name w:val="eop"/>
    <w:basedOn w:val="DefaultParagraphFont"/>
    <w:rsid w:val="00B56ED7"/>
  </w:style>
  <w:style w:type="numbering" w:customStyle="1" w:styleId="NoList11">
    <w:name w:val="No List11"/>
    <w:next w:val="NoList"/>
    <w:uiPriority w:val="99"/>
    <w:semiHidden/>
    <w:unhideWhenUsed/>
    <w:rsid w:val="00B56ED7"/>
  </w:style>
  <w:style w:type="paragraph" w:customStyle="1" w:styleId="nova-legacy-e-listitem">
    <w:name w:val="nova-legacy-e-list__item"/>
    <w:basedOn w:val="Normal"/>
    <w:rsid w:val="00B56ED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EndNoteBibliographyTitle">
    <w:name w:val="EndNote Bibliography Title"/>
    <w:basedOn w:val="Normal"/>
    <w:link w:val="EndNoteBibliographyTitleChar"/>
    <w:rsid w:val="00B56ED7"/>
    <w:pPr>
      <w:spacing w:after="0"/>
      <w:jc w:val="center"/>
    </w:pPr>
    <w:rPr>
      <w:rFonts w:ascii="Calibri" w:hAnsi="Calibri" w:cs="Calibri"/>
      <w:noProof/>
      <w:color w:val="000000"/>
    </w:rPr>
  </w:style>
  <w:style w:type="character" w:customStyle="1" w:styleId="EndNoteBibliographyTitleChar">
    <w:name w:val="EndNote Bibliography Title Char"/>
    <w:basedOn w:val="DefaultParagraphFont"/>
    <w:link w:val="EndNoteBibliographyTitle"/>
    <w:rsid w:val="00B56ED7"/>
    <w:rPr>
      <w:rFonts w:ascii="Calibri" w:hAnsi="Calibri" w:cs="Calibri"/>
      <w:noProof/>
      <w:color w:val="000000"/>
    </w:rPr>
  </w:style>
  <w:style w:type="paragraph" w:customStyle="1" w:styleId="EndNoteBibliography">
    <w:name w:val="EndNote Bibliography"/>
    <w:basedOn w:val="Normal"/>
    <w:link w:val="EndNoteBibliographyChar"/>
    <w:rsid w:val="00B56ED7"/>
    <w:pPr>
      <w:spacing w:line="240" w:lineRule="auto"/>
    </w:pPr>
    <w:rPr>
      <w:rFonts w:ascii="Calibri" w:hAnsi="Calibri" w:cs="Calibri"/>
      <w:noProof/>
      <w:color w:val="000000"/>
    </w:rPr>
  </w:style>
  <w:style w:type="character" w:customStyle="1" w:styleId="EndNoteBibliographyChar">
    <w:name w:val="EndNote Bibliography Char"/>
    <w:basedOn w:val="DefaultParagraphFont"/>
    <w:link w:val="EndNoteBibliography"/>
    <w:rsid w:val="00B56ED7"/>
    <w:rPr>
      <w:rFonts w:ascii="Calibri" w:hAnsi="Calibri" w:cs="Calibri"/>
      <w:noProof/>
      <w:color w:val="000000"/>
    </w:rPr>
  </w:style>
  <w:style w:type="paragraph" w:customStyle="1" w:styleId="msonormal0">
    <w:name w:val="msonormal"/>
    <w:basedOn w:val="Normal"/>
    <w:rsid w:val="00B56ED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font5">
    <w:name w:val="font5"/>
    <w:basedOn w:val="Normal"/>
    <w:rsid w:val="00B56ED7"/>
    <w:pPr>
      <w:spacing w:before="100" w:beforeAutospacing="1" w:after="100" w:afterAutospacing="1" w:line="240" w:lineRule="auto"/>
    </w:pPr>
    <w:rPr>
      <w:rFonts w:ascii="Calibri" w:eastAsia="Times New Roman" w:hAnsi="Calibri" w:cs="Calibri"/>
      <w:b/>
      <w:bCs/>
      <w:color w:val="000000"/>
      <w:sz w:val="20"/>
      <w:szCs w:val="20"/>
      <w:lang w:val="en-GB" w:eastAsia="en-GB"/>
    </w:rPr>
  </w:style>
  <w:style w:type="paragraph" w:customStyle="1" w:styleId="font6">
    <w:name w:val="font6"/>
    <w:basedOn w:val="Normal"/>
    <w:rsid w:val="00B56ED7"/>
    <w:pPr>
      <w:spacing w:before="100" w:beforeAutospacing="1" w:after="100" w:afterAutospacing="1" w:line="240" w:lineRule="auto"/>
    </w:pPr>
    <w:rPr>
      <w:rFonts w:ascii="Calibri" w:eastAsia="Times New Roman" w:hAnsi="Calibri" w:cs="Calibri"/>
      <w:color w:val="000000"/>
      <w:sz w:val="20"/>
      <w:szCs w:val="20"/>
      <w:lang w:val="en-GB" w:eastAsia="en-GB"/>
    </w:rPr>
  </w:style>
  <w:style w:type="paragraph" w:customStyle="1" w:styleId="font7">
    <w:name w:val="font7"/>
    <w:basedOn w:val="Normal"/>
    <w:rsid w:val="00B56ED7"/>
    <w:pPr>
      <w:spacing w:before="100" w:beforeAutospacing="1" w:after="100" w:afterAutospacing="1" w:line="240" w:lineRule="auto"/>
    </w:pPr>
    <w:rPr>
      <w:rFonts w:ascii="Calibri" w:eastAsia="Times New Roman" w:hAnsi="Calibri" w:cs="Calibri"/>
      <w:i/>
      <w:iCs/>
      <w:color w:val="000000"/>
      <w:sz w:val="20"/>
      <w:szCs w:val="20"/>
      <w:lang w:val="en-GB" w:eastAsia="en-GB"/>
    </w:rPr>
  </w:style>
  <w:style w:type="paragraph" w:customStyle="1" w:styleId="xl65">
    <w:name w:val="xl6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66">
    <w:name w:val="xl66"/>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GB" w:eastAsia="en-GB"/>
    </w:rPr>
  </w:style>
  <w:style w:type="paragraph" w:customStyle="1" w:styleId="xl67">
    <w:name w:val="xl67"/>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GB" w:eastAsia="en-GB"/>
    </w:rPr>
  </w:style>
  <w:style w:type="paragraph" w:customStyle="1" w:styleId="xl68">
    <w:name w:val="xl68"/>
    <w:basedOn w:val="Normal"/>
    <w:rsid w:val="00B56ED7"/>
    <w:pPr>
      <w:spacing w:before="100" w:beforeAutospacing="1" w:after="100" w:afterAutospacing="1" w:line="240" w:lineRule="auto"/>
      <w:textAlignment w:val="center"/>
    </w:pPr>
    <w:rPr>
      <w:rFonts w:ascii="Times New Roman" w:eastAsia="Times New Roman" w:hAnsi="Times New Roman" w:cs="Times New Roman"/>
      <w:sz w:val="24"/>
      <w:szCs w:val="24"/>
      <w:lang w:val="en-GB" w:eastAsia="en-GB"/>
    </w:rPr>
  </w:style>
  <w:style w:type="paragraph" w:customStyle="1" w:styleId="xl69">
    <w:name w:val="xl69"/>
    <w:basedOn w:val="Normal"/>
    <w:rsid w:val="00B56ED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70">
    <w:name w:val="xl70"/>
    <w:basedOn w:val="Normal"/>
    <w:rsid w:val="00B56ED7"/>
    <w:pP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1">
    <w:name w:val="xl71"/>
    <w:basedOn w:val="Normal"/>
    <w:rsid w:val="00B56ED7"/>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2">
    <w:name w:val="xl72"/>
    <w:basedOn w:val="Normal"/>
    <w:rsid w:val="00B56ED7"/>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3">
    <w:name w:val="xl73"/>
    <w:basedOn w:val="Normal"/>
    <w:rsid w:val="00B56ED7"/>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4">
    <w:name w:val="xl74"/>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5">
    <w:name w:val="xl7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76">
    <w:name w:val="xl76"/>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77">
    <w:name w:val="xl77"/>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78">
    <w:name w:val="xl78"/>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79">
    <w:name w:val="xl79"/>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0">
    <w:name w:val="xl80"/>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1">
    <w:name w:val="xl81"/>
    <w:basedOn w:val="Normal"/>
    <w:rsid w:val="00B56ED7"/>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82">
    <w:name w:val="xl82"/>
    <w:basedOn w:val="Normal"/>
    <w:rsid w:val="00B56ED7"/>
    <w:pPr>
      <w:pBdr>
        <w:top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83">
    <w:name w:val="xl83"/>
    <w:basedOn w:val="Normal"/>
    <w:rsid w:val="00B56ED7"/>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84">
    <w:name w:val="xl84"/>
    <w:basedOn w:val="Normal"/>
    <w:rsid w:val="00B56ED7"/>
    <w:pP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85">
    <w:name w:val="xl8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86">
    <w:name w:val="xl86"/>
    <w:basedOn w:val="Normal"/>
    <w:rsid w:val="00B56ED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7">
    <w:name w:val="xl87"/>
    <w:basedOn w:val="Normal"/>
    <w:rsid w:val="00B56ED7"/>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8">
    <w:name w:val="xl88"/>
    <w:basedOn w:val="Normal"/>
    <w:rsid w:val="00B56ED7"/>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89">
    <w:name w:val="xl89"/>
    <w:basedOn w:val="Normal"/>
    <w:rsid w:val="00B56ED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GB" w:eastAsia="en-GB"/>
    </w:rPr>
  </w:style>
  <w:style w:type="paragraph" w:customStyle="1" w:styleId="xl90">
    <w:name w:val="xl90"/>
    <w:basedOn w:val="Normal"/>
    <w:rsid w:val="00B56ED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GB" w:eastAsia="en-GB"/>
    </w:rPr>
  </w:style>
  <w:style w:type="paragraph" w:customStyle="1" w:styleId="xl91">
    <w:name w:val="xl91"/>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2">
    <w:name w:val="xl92"/>
    <w:basedOn w:val="Normal"/>
    <w:rsid w:val="00B56ED7"/>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3">
    <w:name w:val="xl93"/>
    <w:basedOn w:val="Normal"/>
    <w:rsid w:val="00B56ED7"/>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4">
    <w:name w:val="xl94"/>
    <w:basedOn w:val="Normal"/>
    <w:rsid w:val="00B56ED7"/>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5">
    <w:name w:val="xl95"/>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paragraph" w:customStyle="1" w:styleId="xl96">
    <w:name w:val="xl96"/>
    <w:basedOn w:val="Normal"/>
    <w:rsid w:val="00B56E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GB" w:eastAsia="en-GB"/>
    </w:rPr>
  </w:style>
  <w:style w:type="paragraph" w:customStyle="1" w:styleId="xl97">
    <w:name w:val="xl97"/>
    <w:basedOn w:val="Normal"/>
    <w:rsid w:val="00B56ED7"/>
    <w:pPr>
      <w:spacing w:before="100" w:beforeAutospacing="1" w:after="100" w:afterAutospacing="1" w:line="240" w:lineRule="auto"/>
      <w:textAlignment w:val="center"/>
    </w:pPr>
    <w:rPr>
      <w:rFonts w:ascii="Times New Roman" w:eastAsia="Times New Roman" w:hAnsi="Times New Roman" w:cs="Times New Roman"/>
      <w:b/>
      <w:bCs/>
      <w:sz w:val="20"/>
      <w:szCs w:val="20"/>
      <w:lang w:val="en-GB" w:eastAsia="en-GB"/>
    </w:rPr>
  </w:style>
  <w:style w:type="character" w:customStyle="1" w:styleId="Heading1Char1">
    <w:name w:val="Heading 1 Char1"/>
    <w:basedOn w:val="DefaultParagraphFont"/>
    <w:uiPriority w:val="9"/>
    <w:rsid w:val="00B56ED7"/>
    <w:rPr>
      <w:rFonts w:ascii="Aptos Display" w:eastAsia="Yu Gothic Light" w:hAnsi="Aptos Display" w:cs="Times New Roman"/>
      <w:color w:val="0F4761"/>
      <w:sz w:val="32"/>
      <w:szCs w:val="32"/>
    </w:rPr>
  </w:style>
  <w:style w:type="numbering" w:customStyle="1" w:styleId="CurrentList1">
    <w:name w:val="Current List1"/>
    <w:uiPriority w:val="99"/>
    <w:rsid w:val="00B56ED7"/>
    <w:pPr>
      <w:numPr>
        <w:numId w:val="16"/>
      </w:numPr>
    </w:pPr>
  </w:style>
  <w:style w:type="paragraph" w:customStyle="1" w:styleId="adeMinimalabsatz">
    <w:name w:val="ade_Minimalabsatz"/>
    <w:basedOn w:val="Normal"/>
    <w:semiHidden/>
    <w:qFormat/>
    <w:rsid w:val="00B56ED7"/>
    <w:pPr>
      <w:spacing w:after="0" w:line="240" w:lineRule="auto"/>
    </w:pPr>
    <w:rPr>
      <w:rFonts w:ascii="Aptos" w:hAnsi="Aptos"/>
      <w:color w:val="156082"/>
      <w:kern w:val="2"/>
      <w:sz w:val="2"/>
      <w:szCs w:val="20"/>
      <w:lang w:val="en-GB"/>
      <w14:ligatures w14:val="standardContextual"/>
    </w:rPr>
  </w:style>
  <w:style w:type="character" w:customStyle="1" w:styleId="cf01">
    <w:name w:val="cf01"/>
    <w:basedOn w:val="DefaultParagraphFont"/>
    <w:rsid w:val="00B56ED7"/>
    <w:rPr>
      <w:rFonts w:ascii="Segoe UI" w:hAnsi="Segoe UI" w:cs="Segoe UI" w:hint="default"/>
      <w:sz w:val="18"/>
      <w:szCs w:val="18"/>
    </w:rPr>
  </w:style>
  <w:style w:type="paragraph" w:styleId="NormalWeb">
    <w:name w:val="Normal (Web)"/>
    <w:basedOn w:val="Normal"/>
    <w:uiPriority w:val="99"/>
    <w:semiHidden/>
    <w:unhideWhenUsed/>
    <w:rsid w:val="00B56ED7"/>
    <w:pPr>
      <w:spacing w:after="0" w:line="240" w:lineRule="auto"/>
    </w:pPr>
    <w:rPr>
      <w:rFonts w:ascii="Times New Roman" w:hAnsi="Times New Roman" w:cs="Times New Roman"/>
      <w:sz w:val="24"/>
      <w:szCs w:val="24"/>
    </w:rPr>
  </w:style>
  <w:style w:type="character" w:customStyle="1" w:styleId="Heading1Char2">
    <w:name w:val="Heading 1 Char2"/>
    <w:basedOn w:val="DefaultParagraphFont"/>
    <w:uiPriority w:val="9"/>
    <w:rsid w:val="00B56ED7"/>
    <w:rPr>
      <w:rFonts w:asciiTheme="majorHAnsi" w:eastAsiaTheme="majorEastAsia" w:hAnsiTheme="majorHAnsi" w:cstheme="majorBidi"/>
      <w:color w:val="2F5496" w:themeColor="accent1" w:themeShade="BF"/>
      <w:sz w:val="32"/>
      <w:szCs w:val="32"/>
      <w:lang w:val="en-GB"/>
    </w:rPr>
  </w:style>
  <w:style w:type="character" w:customStyle="1" w:styleId="Heading2Char1">
    <w:name w:val="Heading 2 Char1"/>
    <w:basedOn w:val="DefaultParagraphFont"/>
    <w:uiPriority w:val="9"/>
    <w:semiHidden/>
    <w:rsid w:val="00B56ED7"/>
    <w:rPr>
      <w:rFonts w:asciiTheme="majorHAnsi" w:eastAsiaTheme="majorEastAsia" w:hAnsiTheme="majorHAnsi" w:cstheme="majorBidi"/>
      <w:color w:val="2F5496" w:themeColor="accent1" w:themeShade="BF"/>
      <w:sz w:val="26"/>
      <w:szCs w:val="26"/>
      <w:lang w:val="en-GB"/>
    </w:rPr>
  </w:style>
  <w:style w:type="character" w:customStyle="1" w:styleId="Heading3Char1">
    <w:name w:val="Heading 3 Char1"/>
    <w:basedOn w:val="DefaultParagraphFont"/>
    <w:uiPriority w:val="9"/>
    <w:semiHidden/>
    <w:rsid w:val="00B56ED7"/>
    <w:rPr>
      <w:rFonts w:asciiTheme="majorHAnsi" w:eastAsiaTheme="majorEastAsia" w:hAnsiTheme="majorHAnsi" w:cstheme="majorBidi"/>
      <w:color w:val="1F3763" w:themeColor="accent1" w:themeShade="7F"/>
      <w:sz w:val="24"/>
      <w:szCs w:val="24"/>
      <w:lang w:val="en-GB"/>
    </w:rPr>
  </w:style>
  <w:style w:type="character" w:customStyle="1" w:styleId="Heading4Char1">
    <w:name w:val="Heading 4 Char1"/>
    <w:basedOn w:val="DefaultParagraphFont"/>
    <w:uiPriority w:val="9"/>
    <w:semiHidden/>
    <w:rsid w:val="00B56ED7"/>
    <w:rPr>
      <w:rFonts w:asciiTheme="majorHAnsi" w:eastAsiaTheme="majorEastAsia" w:hAnsiTheme="majorHAnsi" w:cstheme="majorBidi"/>
      <w:i/>
      <w:iCs/>
      <w:color w:val="2F5496" w:themeColor="accent1" w:themeShade="BF"/>
      <w:lang w:val="en-GB"/>
    </w:rPr>
  </w:style>
  <w:style w:type="character" w:customStyle="1" w:styleId="Heading5Char1">
    <w:name w:val="Heading 5 Char1"/>
    <w:basedOn w:val="DefaultParagraphFont"/>
    <w:uiPriority w:val="9"/>
    <w:semiHidden/>
    <w:rsid w:val="00B56ED7"/>
    <w:rPr>
      <w:rFonts w:asciiTheme="majorHAnsi" w:eastAsiaTheme="majorEastAsia" w:hAnsiTheme="majorHAnsi" w:cstheme="majorBidi"/>
      <w:color w:val="2F5496" w:themeColor="accent1" w:themeShade="BF"/>
      <w:lang w:val="en-GB"/>
    </w:rPr>
  </w:style>
  <w:style w:type="character" w:customStyle="1" w:styleId="Heading6Char1">
    <w:name w:val="Heading 6 Char1"/>
    <w:basedOn w:val="DefaultParagraphFont"/>
    <w:uiPriority w:val="9"/>
    <w:semiHidden/>
    <w:rsid w:val="00B56ED7"/>
    <w:rPr>
      <w:rFonts w:asciiTheme="majorHAnsi" w:eastAsiaTheme="majorEastAsia" w:hAnsiTheme="majorHAnsi" w:cstheme="majorBidi"/>
      <w:color w:val="1F3763" w:themeColor="accent1" w:themeShade="7F"/>
      <w:lang w:val="en-GB"/>
    </w:rPr>
  </w:style>
  <w:style w:type="character" w:customStyle="1" w:styleId="Heading7Char1">
    <w:name w:val="Heading 7 Char1"/>
    <w:basedOn w:val="DefaultParagraphFont"/>
    <w:uiPriority w:val="9"/>
    <w:semiHidden/>
    <w:rsid w:val="00B56ED7"/>
    <w:rPr>
      <w:rFonts w:asciiTheme="majorHAnsi" w:eastAsiaTheme="majorEastAsia" w:hAnsiTheme="majorHAnsi" w:cstheme="majorBidi"/>
      <w:i/>
      <w:iCs/>
      <w:color w:val="1F3763" w:themeColor="accent1" w:themeShade="7F"/>
      <w:lang w:val="en-GB"/>
    </w:rPr>
  </w:style>
  <w:style w:type="character" w:customStyle="1" w:styleId="Heading8Char1">
    <w:name w:val="Heading 8 Char1"/>
    <w:basedOn w:val="DefaultParagraphFont"/>
    <w:uiPriority w:val="9"/>
    <w:semiHidden/>
    <w:rsid w:val="00B56ED7"/>
    <w:rPr>
      <w:rFonts w:asciiTheme="majorHAnsi" w:eastAsiaTheme="majorEastAsia" w:hAnsiTheme="majorHAnsi" w:cstheme="majorBidi"/>
      <w:color w:val="272727" w:themeColor="text1" w:themeTint="D8"/>
      <w:sz w:val="21"/>
      <w:szCs w:val="21"/>
      <w:lang w:val="en-GB"/>
    </w:rPr>
  </w:style>
  <w:style w:type="character" w:customStyle="1" w:styleId="Heading9Char1">
    <w:name w:val="Heading 9 Char1"/>
    <w:basedOn w:val="DefaultParagraphFont"/>
    <w:uiPriority w:val="9"/>
    <w:semiHidden/>
    <w:rsid w:val="00B56ED7"/>
    <w:rPr>
      <w:rFonts w:asciiTheme="majorHAnsi" w:eastAsiaTheme="majorEastAsia" w:hAnsiTheme="majorHAnsi" w:cstheme="majorBidi"/>
      <w:i/>
      <w:iCs/>
      <w:color w:val="272727" w:themeColor="text1" w:themeTint="D8"/>
      <w:sz w:val="21"/>
      <w:szCs w:val="21"/>
      <w:lang w:val="en-GB"/>
    </w:rPr>
  </w:style>
  <w:style w:type="paragraph" w:styleId="Title">
    <w:name w:val="Title"/>
    <w:basedOn w:val="Normal"/>
    <w:next w:val="Normal"/>
    <w:link w:val="TitleChar0"/>
    <w:uiPriority w:val="10"/>
    <w:qFormat/>
    <w:rsid w:val="00B56ED7"/>
    <w:pPr>
      <w:spacing w:after="0" w:line="240" w:lineRule="auto"/>
      <w:contextualSpacing/>
    </w:pPr>
    <w:rPr>
      <w:rFonts w:ascii="Aptos Display" w:eastAsia="Yu Gothic Light" w:hAnsi="Aptos Display" w:cs="Times New Roman"/>
      <w:spacing w:val="-10"/>
      <w:kern w:val="28"/>
      <w:sz w:val="56"/>
      <w:szCs w:val="56"/>
    </w:rPr>
  </w:style>
  <w:style w:type="character" w:customStyle="1" w:styleId="TitleChar1">
    <w:name w:val="Title Char1"/>
    <w:basedOn w:val="DefaultParagraphFont"/>
    <w:uiPriority w:val="10"/>
    <w:rsid w:val="00B56E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6ED7"/>
    <w:pPr>
      <w:numPr>
        <w:ilvl w:val="1"/>
      </w:numPr>
    </w:pPr>
    <w:rPr>
      <w:rFonts w:eastAsia="Yu Gothic Light" w:cs="Times New Roman"/>
      <w:color w:val="595959"/>
      <w:spacing w:val="15"/>
      <w:sz w:val="28"/>
      <w:szCs w:val="28"/>
    </w:rPr>
  </w:style>
  <w:style w:type="character" w:customStyle="1" w:styleId="SubtitleChar1">
    <w:name w:val="Subtitle Char1"/>
    <w:basedOn w:val="DefaultParagraphFont"/>
    <w:uiPriority w:val="11"/>
    <w:rsid w:val="00B56ED7"/>
    <w:rPr>
      <w:rFonts w:asciiTheme="minorHAnsi" w:eastAsiaTheme="minorEastAsia" w:hAnsiTheme="minorHAnsi"/>
      <w:color w:val="5A5A5A" w:themeColor="text1" w:themeTint="A5"/>
      <w:spacing w:val="15"/>
    </w:rPr>
  </w:style>
  <w:style w:type="paragraph" w:styleId="Quote">
    <w:name w:val="Quote"/>
    <w:basedOn w:val="Normal"/>
    <w:next w:val="Normal"/>
    <w:link w:val="QuoteChar"/>
    <w:uiPriority w:val="29"/>
    <w:qFormat/>
    <w:rsid w:val="00B56ED7"/>
    <w:pPr>
      <w:spacing w:before="200"/>
      <w:ind w:left="864" w:right="864"/>
      <w:jc w:val="center"/>
    </w:pPr>
    <w:rPr>
      <w:i/>
      <w:iCs/>
      <w:color w:val="404040"/>
    </w:rPr>
  </w:style>
  <w:style w:type="character" w:customStyle="1" w:styleId="QuoteChar1">
    <w:name w:val="Quote Char1"/>
    <w:basedOn w:val="DefaultParagraphFont"/>
    <w:uiPriority w:val="29"/>
    <w:rsid w:val="00B56ED7"/>
    <w:rPr>
      <w:i/>
      <w:iCs/>
      <w:color w:val="404040" w:themeColor="text1" w:themeTint="BF"/>
    </w:rPr>
  </w:style>
  <w:style w:type="character" w:styleId="IntenseEmphasis">
    <w:name w:val="Intense Emphasis"/>
    <w:basedOn w:val="DefaultParagraphFont"/>
    <w:uiPriority w:val="21"/>
    <w:qFormat/>
    <w:rsid w:val="00B56ED7"/>
    <w:rPr>
      <w:i/>
      <w:iCs/>
      <w:color w:val="4472C4" w:themeColor="accent1"/>
    </w:rPr>
  </w:style>
  <w:style w:type="paragraph" w:styleId="IntenseQuote">
    <w:name w:val="Intense Quote"/>
    <w:basedOn w:val="Normal"/>
    <w:next w:val="Normal"/>
    <w:link w:val="IntenseQuoteChar"/>
    <w:uiPriority w:val="30"/>
    <w:qFormat/>
    <w:rsid w:val="00B56ED7"/>
    <w:pPr>
      <w:pBdr>
        <w:top w:val="single" w:sz="4" w:space="10" w:color="4472C4" w:themeColor="accent1"/>
        <w:bottom w:val="single" w:sz="4" w:space="10" w:color="4472C4" w:themeColor="accent1"/>
      </w:pBdr>
      <w:spacing w:before="360" w:after="360"/>
      <w:ind w:left="864" w:right="864"/>
      <w:jc w:val="center"/>
    </w:pPr>
    <w:rPr>
      <w:i/>
      <w:iCs/>
      <w:color w:val="0F4761"/>
    </w:rPr>
  </w:style>
  <w:style w:type="character" w:customStyle="1" w:styleId="IntenseQuoteChar1">
    <w:name w:val="Intense Quote Char1"/>
    <w:basedOn w:val="DefaultParagraphFont"/>
    <w:uiPriority w:val="30"/>
    <w:rsid w:val="00B56ED7"/>
    <w:rPr>
      <w:i/>
      <w:iCs/>
      <w:color w:val="4472C4" w:themeColor="accent1"/>
    </w:rPr>
  </w:style>
  <w:style w:type="character" w:styleId="IntenseReference">
    <w:name w:val="Intense Reference"/>
    <w:basedOn w:val="DefaultParagraphFont"/>
    <w:uiPriority w:val="32"/>
    <w:qFormat/>
    <w:rsid w:val="00B56ED7"/>
    <w:rPr>
      <w:b/>
      <w:bCs/>
      <w:smallCaps/>
      <w:color w:val="4472C4" w:themeColor="accent1"/>
      <w:spacing w:val="5"/>
    </w:rPr>
  </w:style>
  <w:style w:type="paragraph" w:customStyle="1" w:styleId="P68B1DB1-Normal4">
    <w:name w:val="P68B1DB1-Normal4"/>
    <w:basedOn w:val="Normal"/>
    <w:rsid w:val="004D1301"/>
    <w:rPr>
      <w:rFonts w:cs="Arial"/>
      <w:szCs w:val="20"/>
      <w:lang w:val="it-IT" w:eastAsia="it-IT"/>
    </w:rPr>
  </w:style>
  <w:style w:type="paragraph" w:customStyle="1" w:styleId="P68B1DB1-Normal6">
    <w:name w:val="P68B1DB1-Normal6"/>
    <w:basedOn w:val="Normal"/>
    <w:rsid w:val="00880445"/>
    <w:rPr>
      <w:rFonts w:eastAsia="Calibri" w:cs="Arial"/>
      <w:szCs w:val="20"/>
      <w:u w:val="single"/>
      <w:lang w:val="it-IT" w:eastAsia="it-IT"/>
    </w:rPr>
  </w:style>
  <w:style w:type="paragraph" w:customStyle="1" w:styleId="P68B1DB1-Normal7">
    <w:name w:val="P68B1DB1-Normal7"/>
    <w:basedOn w:val="Normal"/>
    <w:rsid w:val="00880445"/>
    <w:rPr>
      <w:rFonts w:cs="Arial"/>
      <w:color w:val="000000" w:themeColor="text1"/>
      <w:szCs w:val="20"/>
      <w:lang w:val="it-IT" w:eastAsia="it-IT"/>
    </w:rPr>
  </w:style>
  <w:style w:type="paragraph" w:customStyle="1" w:styleId="P68B1DB1-Normal12">
    <w:name w:val="P68B1DB1-Normal12"/>
    <w:basedOn w:val="Normal"/>
    <w:rsid w:val="00BD2B43"/>
    <w:rPr>
      <w:rFonts w:cs="Arial"/>
      <w:szCs w:val="20"/>
      <w:u w:val="single"/>
      <w:lang w:val="it-IT" w:eastAsia="it-IT"/>
    </w:rPr>
  </w:style>
  <w:style w:type="paragraph" w:customStyle="1" w:styleId="P68B1DB1-Normal13">
    <w:name w:val="P68B1DB1-Normal13"/>
    <w:basedOn w:val="Normal"/>
    <w:rsid w:val="00BD2B43"/>
    <w:rPr>
      <w:rFonts w:cs="Arial"/>
      <w:i/>
      <w:szCs w:val="20"/>
      <w:lang w:val="it-IT" w:eastAsia="it-IT"/>
    </w:rPr>
  </w:style>
  <w:style w:type="paragraph" w:customStyle="1" w:styleId="P68B1DB1-ListParagraph14">
    <w:name w:val="P68B1DB1-ListParagraph14"/>
    <w:basedOn w:val="ListParagraph"/>
    <w:rsid w:val="00D618C9"/>
    <w:rPr>
      <w:rFonts w:cs="Arial"/>
      <w:szCs w:val="20"/>
      <w:lang w:val="it-IT" w:eastAsia="it-IT"/>
    </w:rPr>
  </w:style>
  <w:style w:type="paragraph" w:customStyle="1" w:styleId="P68B1DB1-Secondnumbering15">
    <w:name w:val="P68B1DB1-Secondnumbering15"/>
    <w:basedOn w:val="Secondnumbering"/>
    <w:rsid w:val="00D618C9"/>
    <w:pPr>
      <w:numPr>
        <w:numId w:val="10"/>
      </w:numPr>
    </w:pPr>
    <w:rPr>
      <w:rFonts w:cs="Arial"/>
      <w:szCs w:val="20"/>
      <w:lang w:val="it-IT" w:eastAsia="it-IT"/>
    </w:rPr>
  </w:style>
  <w:style w:type="paragraph" w:customStyle="1" w:styleId="P68B1DB1-Normal34">
    <w:name w:val="P68B1DB1-Normal34"/>
    <w:basedOn w:val="Normal"/>
    <w:rsid w:val="004D3225"/>
    <w:rPr>
      <w:rFonts w:cs="Arial"/>
      <w:b/>
      <w:szCs w:val="20"/>
      <w:lang w:val="it-IT" w:eastAsia="it-IT"/>
    </w:rPr>
  </w:style>
  <w:style w:type="paragraph" w:customStyle="1" w:styleId="P68B1DB1-Normal35">
    <w:name w:val="P68B1DB1-Normal35"/>
    <w:basedOn w:val="Normal"/>
    <w:rsid w:val="004D3225"/>
    <w:rPr>
      <w:rFonts w:eastAsia="Aptos" w:cs="Arial"/>
      <w:b/>
      <w:color w:val="EE0000"/>
      <w:szCs w:val="20"/>
      <w:u w:val="single"/>
      <w:lang w:val="it-IT" w:eastAsia="it-IT"/>
    </w:rPr>
  </w:style>
  <w:style w:type="paragraph" w:customStyle="1" w:styleId="P68B1DB1-Normal36">
    <w:name w:val="P68B1DB1-Normal36"/>
    <w:basedOn w:val="Normal"/>
    <w:rsid w:val="004D3225"/>
    <w:rPr>
      <w:rFonts w:eastAsia="Aptos" w:cs="Arial"/>
      <w:b/>
      <w:szCs w:val="20"/>
      <w:lang w:val="it-IT" w:eastAsia="it-IT"/>
    </w:rPr>
  </w:style>
  <w:style w:type="paragraph" w:customStyle="1" w:styleId="P68B1DB1-Normal37">
    <w:name w:val="P68B1DB1-Normal37"/>
    <w:basedOn w:val="Normal"/>
    <w:rsid w:val="004D3225"/>
    <w:rPr>
      <w:rFonts w:eastAsia="Aptos" w:cs="Arial"/>
      <w:szCs w:val="20"/>
      <w:lang w:val="it-IT" w:eastAsia="it-IT"/>
    </w:rPr>
  </w:style>
  <w:style w:type="paragraph" w:customStyle="1" w:styleId="P68B1DB1-Normal38">
    <w:name w:val="P68B1DB1-Normal38"/>
    <w:basedOn w:val="Normal"/>
    <w:rsid w:val="004D3225"/>
    <w:rPr>
      <w:rFonts w:eastAsia="Arial" w:cs="Arial"/>
      <w:szCs w:val="20"/>
      <w:lang w:val="it-IT" w:eastAsia="it-IT"/>
    </w:rPr>
  </w:style>
  <w:style w:type="paragraph" w:customStyle="1" w:styleId="P68B1DB1-Normal45">
    <w:name w:val="P68B1DB1-Normal45"/>
    <w:basedOn w:val="Normal"/>
    <w:rsid w:val="00043B82"/>
    <w:rPr>
      <w:rFonts w:eastAsia="Aptos" w:cs="Arial"/>
      <w:b/>
      <w:szCs w:val="20"/>
      <w:lang w:val="it-IT" w:eastAsia="it-IT"/>
    </w:rPr>
  </w:style>
  <w:style w:type="paragraph" w:customStyle="1" w:styleId="P68B1DB1-Normal46">
    <w:name w:val="P68B1DB1-Normal46"/>
    <w:basedOn w:val="Normal"/>
    <w:rsid w:val="00043B82"/>
    <w:rPr>
      <w:rFonts w:eastAsia="Aptos" w:cs="Arial"/>
      <w:szCs w:val="20"/>
      <w:lang w:val="it-IT" w:eastAsia="it-IT"/>
    </w:rPr>
  </w:style>
  <w:style w:type="paragraph" w:customStyle="1" w:styleId="P68B1DB1-Normal47">
    <w:name w:val="P68B1DB1-Normal47"/>
    <w:basedOn w:val="Normal"/>
    <w:rsid w:val="00043B82"/>
    <w:rPr>
      <w:rFonts w:eastAsia="Aptos" w:cs="Arial"/>
      <w:i/>
      <w:szCs w:val="20"/>
      <w:lang w:val="it-IT" w:eastAsia="it-IT"/>
    </w:rPr>
  </w:style>
  <w:style w:type="paragraph" w:customStyle="1" w:styleId="P68B1DB1-Normal1">
    <w:name w:val="P68B1DB1-Normal1"/>
    <w:basedOn w:val="Normal"/>
    <w:rsid w:val="0050347E"/>
    <w:rPr>
      <w:rFonts w:eastAsia="Times New Roman" w:cs="Arial"/>
      <w:sz w:val="20"/>
      <w:szCs w:val="20"/>
      <w:lang w:val="it-IT" w:eastAsia="it-IT"/>
    </w:rPr>
  </w:style>
  <w:style w:type="paragraph" w:customStyle="1" w:styleId="P68B1DB1-Normal2">
    <w:name w:val="P68B1DB1-Normal2"/>
    <w:basedOn w:val="Normal"/>
    <w:rsid w:val="0050347E"/>
    <w:rPr>
      <w:rFonts w:cs="Arial"/>
      <w:b/>
      <w:color w:val="000000" w:themeColor="text1"/>
      <w:szCs w:val="20"/>
      <w:lang w:val="it-IT" w:eastAsia="it-IT"/>
    </w:rPr>
  </w:style>
  <w:style w:type="paragraph" w:customStyle="1" w:styleId="P68B1DB1-Normal3">
    <w:name w:val="P68B1DB1-Normal3"/>
    <w:basedOn w:val="Normal"/>
    <w:rsid w:val="0050347E"/>
    <w:rPr>
      <w:rFonts w:eastAsia="Times New Roman" w:cs="Arial"/>
      <w:i/>
      <w:szCs w:val="20"/>
      <w:lang w:val="it-IT" w:eastAsia="it-IT"/>
    </w:rPr>
  </w:style>
  <w:style w:type="paragraph" w:customStyle="1" w:styleId="P68B1DB1-Normal5">
    <w:name w:val="P68B1DB1-Normal5"/>
    <w:basedOn w:val="Normal"/>
    <w:rsid w:val="0050347E"/>
    <w:rPr>
      <w:rFonts w:cs="Arial"/>
      <w:sz w:val="20"/>
      <w:szCs w:val="20"/>
      <w:lang w:val="it-IT" w:eastAsia="it-IT"/>
    </w:rPr>
  </w:style>
  <w:style w:type="paragraph" w:customStyle="1" w:styleId="P68B1DB1-Normal8">
    <w:name w:val="P68B1DB1-Normal8"/>
    <w:basedOn w:val="Normal"/>
    <w:rsid w:val="0050347E"/>
    <w:rPr>
      <w:rFonts w:cs="Arial"/>
      <w:b/>
      <w:i/>
      <w:vanish/>
      <w:sz w:val="20"/>
      <w:szCs w:val="20"/>
      <w:highlight w:val="yellow"/>
      <w:lang w:val="it-IT" w:eastAsia="it-IT"/>
    </w:rPr>
  </w:style>
  <w:style w:type="paragraph" w:customStyle="1" w:styleId="P68B1DB1-Normal9">
    <w:name w:val="P68B1DB1-Normal9"/>
    <w:basedOn w:val="Normal"/>
    <w:rsid w:val="0050347E"/>
    <w:rPr>
      <w:rFonts w:cs="Arial"/>
      <w:i/>
      <w:vanish/>
      <w:color w:val="000000" w:themeColor="text1"/>
      <w:sz w:val="20"/>
      <w:szCs w:val="20"/>
      <w:highlight w:val="yellow"/>
      <w:lang w:val="it-IT" w:eastAsia="it-IT"/>
    </w:rPr>
  </w:style>
  <w:style w:type="paragraph" w:customStyle="1" w:styleId="P68B1DB1-Normal10">
    <w:name w:val="P68B1DB1-Normal10"/>
    <w:basedOn w:val="Normal"/>
    <w:rsid w:val="0050347E"/>
    <w:rPr>
      <w:rFonts w:eastAsia="Times New Roman" w:cs="Arial"/>
      <w:i/>
      <w:vanish/>
      <w:color w:val="000000"/>
      <w:kern w:val="2"/>
      <w:sz w:val="20"/>
      <w:szCs w:val="20"/>
      <w:highlight w:val="yellow"/>
      <w:lang w:val="it-IT" w:eastAsia="it-IT"/>
    </w:rPr>
  </w:style>
  <w:style w:type="paragraph" w:customStyle="1" w:styleId="P68B1DB1-Normal11">
    <w:name w:val="P68B1DB1-Normal11"/>
    <w:basedOn w:val="Normal"/>
    <w:rsid w:val="0050347E"/>
    <w:rPr>
      <w:rFonts w:cs="Arial"/>
      <w:i/>
      <w:vanish/>
      <w:sz w:val="20"/>
      <w:szCs w:val="20"/>
      <w:highlight w:val="yellow"/>
      <w:lang w:val="it-IT" w:eastAsia="it-IT"/>
    </w:rPr>
  </w:style>
  <w:style w:type="paragraph" w:customStyle="1" w:styleId="P68B1DB1-Secondnumbering16">
    <w:name w:val="P68B1DB1-Secondnumbering16"/>
    <w:basedOn w:val="Secondnumbering"/>
    <w:rsid w:val="0050347E"/>
    <w:pPr>
      <w:numPr>
        <w:numId w:val="10"/>
      </w:numPr>
    </w:pPr>
    <w:rPr>
      <w:rFonts w:cs="Arial"/>
      <w:b/>
      <w:caps/>
      <w:szCs w:val="20"/>
      <w:lang w:val="it-IT" w:eastAsia="it-IT"/>
    </w:rPr>
  </w:style>
  <w:style w:type="paragraph" w:customStyle="1" w:styleId="P68B1DB1-Normal17">
    <w:name w:val="P68B1DB1-Normal17"/>
    <w:basedOn w:val="Normal"/>
    <w:rsid w:val="0050347E"/>
    <w:rPr>
      <w:rFonts w:eastAsia="MS Mincho" w:cs="Arial"/>
      <w:vanish/>
      <w:szCs w:val="20"/>
      <w:highlight w:val="yellow"/>
      <w:lang w:val="it-IT" w:eastAsia="it-IT"/>
    </w:rPr>
  </w:style>
  <w:style w:type="paragraph" w:customStyle="1" w:styleId="P68B1DB1-Normal18">
    <w:name w:val="P68B1DB1-Normal18"/>
    <w:basedOn w:val="Normal"/>
    <w:rsid w:val="0050347E"/>
    <w:rPr>
      <w:rFonts w:eastAsia="Times New Roman" w:cs="Arial"/>
      <w:i/>
      <w:vanish/>
      <w:szCs w:val="20"/>
      <w:highlight w:val="yellow"/>
      <w:lang w:val="it-IT" w:eastAsia="it-IT"/>
    </w:rPr>
  </w:style>
  <w:style w:type="paragraph" w:customStyle="1" w:styleId="P68B1DB1-Normal19">
    <w:name w:val="P68B1DB1-Normal19"/>
    <w:basedOn w:val="Normal"/>
    <w:rsid w:val="0050347E"/>
    <w:rPr>
      <w:rFonts w:eastAsia="Times New Roman" w:cs="Arial"/>
      <w:b/>
      <w:vanish/>
      <w:color w:val="000000" w:themeColor="text1"/>
      <w:szCs w:val="20"/>
      <w:highlight w:val="yellow"/>
      <w:lang w:val="it-IT" w:eastAsia="it-IT"/>
    </w:rPr>
  </w:style>
  <w:style w:type="paragraph" w:customStyle="1" w:styleId="P68B1DB1-Normal20">
    <w:name w:val="P68B1DB1-Normal20"/>
    <w:basedOn w:val="Normal"/>
    <w:rsid w:val="0050347E"/>
    <w:rPr>
      <w:rFonts w:eastAsia="Times New Roman" w:cs="Arial"/>
      <w:b/>
      <w:vanish/>
      <w:szCs w:val="20"/>
      <w:highlight w:val="yellow"/>
      <w:lang w:val="it-IT" w:eastAsia="it-IT"/>
    </w:rPr>
  </w:style>
  <w:style w:type="paragraph" w:customStyle="1" w:styleId="P68B1DB1-Normal21">
    <w:name w:val="P68B1DB1-Normal21"/>
    <w:basedOn w:val="Normal"/>
    <w:rsid w:val="0050347E"/>
    <w:rPr>
      <w:rFonts w:eastAsia="Times New Roman" w:cs="Arial"/>
      <w:color w:val="000000" w:themeColor="text1"/>
      <w:szCs w:val="20"/>
      <w:u w:val="single"/>
      <w:lang w:val="it-IT" w:eastAsia="it-IT"/>
    </w:rPr>
  </w:style>
  <w:style w:type="paragraph" w:customStyle="1" w:styleId="P68B1DB1-Normal22">
    <w:name w:val="P68B1DB1-Normal22"/>
    <w:basedOn w:val="Normal"/>
    <w:rsid w:val="0050347E"/>
    <w:rPr>
      <w:rFonts w:eastAsia="Times New Roman" w:cs="Arial"/>
      <w:vanish/>
      <w:color w:val="000000" w:themeColor="text1"/>
      <w:szCs w:val="20"/>
      <w:highlight w:val="yellow"/>
      <w:lang w:val="it-IT" w:eastAsia="it-IT"/>
    </w:rPr>
  </w:style>
  <w:style w:type="paragraph" w:customStyle="1" w:styleId="P68B1DB1-Normal23">
    <w:name w:val="P68B1DB1-Normal23"/>
    <w:basedOn w:val="Normal"/>
    <w:rsid w:val="0050347E"/>
    <w:rPr>
      <w:rFonts w:eastAsia="Times New Roman" w:cs="Arial"/>
      <w:szCs w:val="20"/>
      <w:u w:val="single"/>
      <w:lang w:val="it-IT" w:eastAsia="it-IT"/>
    </w:rPr>
  </w:style>
  <w:style w:type="paragraph" w:customStyle="1" w:styleId="P68B1DB1-Normal24">
    <w:name w:val="P68B1DB1-Normal24"/>
    <w:basedOn w:val="Normal"/>
    <w:rsid w:val="0050347E"/>
    <w:rPr>
      <w:rFonts w:eastAsia="Times New Roman" w:cs="Arial"/>
      <w:i/>
      <w:strike/>
      <w:vanish/>
      <w:color w:val="000000" w:themeColor="text1"/>
      <w:szCs w:val="20"/>
      <w:highlight w:val="yellow"/>
      <w:lang w:val="it-IT" w:eastAsia="it-IT"/>
    </w:rPr>
  </w:style>
  <w:style w:type="paragraph" w:customStyle="1" w:styleId="P68B1DB1-Normal25">
    <w:name w:val="P68B1DB1-Normal25"/>
    <w:basedOn w:val="Normal"/>
    <w:rsid w:val="0050347E"/>
    <w:rPr>
      <w:rFonts w:eastAsia="Times New Roman" w:cs="Arial"/>
      <w:color w:val="000000" w:themeColor="text1"/>
      <w:szCs w:val="20"/>
      <w:lang w:val="it-IT" w:eastAsia="it-IT"/>
    </w:rPr>
  </w:style>
  <w:style w:type="paragraph" w:customStyle="1" w:styleId="P68B1DB1-Normal26">
    <w:name w:val="P68B1DB1-Normal26"/>
    <w:basedOn w:val="Normal"/>
    <w:rsid w:val="0050347E"/>
    <w:rPr>
      <w:rFonts w:cs="Arial"/>
      <w:strike/>
      <w:vanish/>
      <w:szCs w:val="20"/>
      <w:highlight w:val="yellow"/>
      <w:lang w:val="it-IT" w:eastAsia="it-IT"/>
    </w:rPr>
  </w:style>
  <w:style w:type="paragraph" w:customStyle="1" w:styleId="P68B1DB1-Normal27">
    <w:name w:val="P68B1DB1-Normal27"/>
    <w:basedOn w:val="Normal"/>
    <w:rsid w:val="0050347E"/>
    <w:rPr>
      <w:rFonts w:eastAsia="Arial" w:cs="Arial"/>
      <w:vanish/>
      <w:color w:val="000000" w:themeColor="text1"/>
      <w:szCs w:val="20"/>
      <w:highlight w:val="yellow"/>
      <w:lang w:val="it-IT" w:eastAsia="it-IT"/>
    </w:rPr>
  </w:style>
  <w:style w:type="paragraph" w:customStyle="1" w:styleId="P68B1DB1-Normal28">
    <w:name w:val="P68B1DB1-Normal28"/>
    <w:basedOn w:val="Normal"/>
    <w:rsid w:val="0050347E"/>
    <w:rPr>
      <w:rFonts w:cs="Arial"/>
      <w:vanish/>
      <w:szCs w:val="20"/>
      <w:highlight w:val="yellow"/>
      <w:lang w:val="it-IT" w:eastAsia="it-IT"/>
    </w:rPr>
  </w:style>
  <w:style w:type="paragraph" w:customStyle="1" w:styleId="P68B1DB1-ListParagraph29">
    <w:name w:val="P68B1DB1-ListParagraph29"/>
    <w:basedOn w:val="ListParagraph"/>
    <w:rsid w:val="0050347E"/>
    <w:rPr>
      <w:rFonts w:eastAsia="Arial" w:cs="Arial"/>
      <w:vanish/>
      <w:szCs w:val="20"/>
      <w:highlight w:val="yellow"/>
      <w:lang w:val="it-IT" w:eastAsia="it-IT"/>
    </w:rPr>
  </w:style>
  <w:style w:type="paragraph" w:customStyle="1" w:styleId="P68B1DB1-ListParagraph30">
    <w:name w:val="P68B1DB1-ListParagraph30"/>
    <w:basedOn w:val="ListParagraph"/>
    <w:rsid w:val="0050347E"/>
    <w:rPr>
      <w:vanish/>
      <w:szCs w:val="20"/>
      <w:highlight w:val="yellow"/>
      <w:lang w:val="it-IT" w:eastAsia="it-IT"/>
    </w:rPr>
  </w:style>
  <w:style w:type="paragraph" w:customStyle="1" w:styleId="P68B1DB1-Normal31">
    <w:name w:val="P68B1DB1-Normal31"/>
    <w:basedOn w:val="Normal"/>
    <w:rsid w:val="0050347E"/>
    <w:rPr>
      <w:vanish/>
      <w:szCs w:val="20"/>
      <w:highlight w:val="yellow"/>
      <w:lang w:val="it-IT" w:eastAsia="it-IT"/>
    </w:rPr>
  </w:style>
  <w:style w:type="paragraph" w:customStyle="1" w:styleId="P68B1DB1-ListParagraph32">
    <w:name w:val="P68B1DB1-ListParagraph32"/>
    <w:basedOn w:val="ListParagraph"/>
    <w:rsid w:val="0050347E"/>
    <w:rPr>
      <w:rFonts w:cs="Arial"/>
      <w:vanish/>
      <w:szCs w:val="20"/>
      <w:highlight w:val="yellow"/>
      <w:lang w:val="it-IT" w:eastAsia="it-IT"/>
    </w:rPr>
  </w:style>
  <w:style w:type="paragraph" w:customStyle="1" w:styleId="P68B1DB1-Normal33">
    <w:name w:val="P68B1DB1-Normal33"/>
    <w:basedOn w:val="Normal"/>
    <w:rsid w:val="0050347E"/>
    <w:rPr>
      <w:rFonts w:eastAsia="Arial" w:cs="Arial"/>
      <w:vanish/>
      <w:szCs w:val="20"/>
      <w:highlight w:val="yellow"/>
      <w:lang w:val="it-IT" w:eastAsia="it-IT"/>
    </w:rPr>
  </w:style>
  <w:style w:type="paragraph" w:customStyle="1" w:styleId="P68B1DB1-Normal39">
    <w:name w:val="P68B1DB1-Normal39"/>
    <w:basedOn w:val="Normal"/>
    <w:rsid w:val="0050347E"/>
    <w:rPr>
      <w:rFonts w:eastAsia="Aptos" w:cs="Arial"/>
      <w:b/>
      <w:sz w:val="20"/>
      <w:szCs w:val="20"/>
      <w:lang w:val="it-IT" w:eastAsia="it-IT"/>
    </w:rPr>
  </w:style>
  <w:style w:type="paragraph" w:customStyle="1" w:styleId="P68B1DB1-Normal40">
    <w:name w:val="P68B1DB1-Normal40"/>
    <w:basedOn w:val="Normal"/>
    <w:rsid w:val="0050347E"/>
    <w:rPr>
      <w:rFonts w:eastAsia="Arial" w:cs="Arial"/>
      <w:i/>
      <w:color w:val="476338"/>
      <w:sz w:val="13"/>
      <w:szCs w:val="20"/>
      <w:lang w:val="it-IT" w:eastAsia="it-IT"/>
    </w:rPr>
  </w:style>
  <w:style w:type="paragraph" w:customStyle="1" w:styleId="P68B1DB1-Normal41">
    <w:name w:val="P68B1DB1-Normal41"/>
    <w:basedOn w:val="Normal"/>
    <w:rsid w:val="0050347E"/>
    <w:rPr>
      <w:rFonts w:ascii="Tahoma" w:eastAsia="Tahoma" w:hAnsi="Tahoma" w:cs="Tahoma"/>
      <w:color w:val="000000"/>
      <w:sz w:val="16"/>
      <w:szCs w:val="20"/>
      <w:lang w:val="it-IT" w:eastAsia="it-IT"/>
    </w:rPr>
  </w:style>
  <w:style w:type="paragraph" w:customStyle="1" w:styleId="P68B1DB1-Normal42">
    <w:name w:val="P68B1DB1-Normal42"/>
    <w:basedOn w:val="Normal"/>
    <w:rsid w:val="0050347E"/>
    <w:rPr>
      <w:rFonts w:eastAsia="Arial" w:cs="Arial"/>
      <w:b/>
      <w:color w:val="000000"/>
      <w:sz w:val="13"/>
      <w:szCs w:val="20"/>
      <w:lang w:val="it-IT" w:eastAsia="it-IT"/>
    </w:rPr>
  </w:style>
  <w:style w:type="paragraph" w:customStyle="1" w:styleId="P68B1DB1-Normal43">
    <w:name w:val="P68B1DB1-Normal43"/>
    <w:basedOn w:val="Normal"/>
    <w:rsid w:val="0050347E"/>
    <w:rPr>
      <w:rFonts w:eastAsia="Arial" w:cs="Arial"/>
      <w:color w:val="000000"/>
      <w:sz w:val="11"/>
      <w:szCs w:val="20"/>
      <w:lang w:val="it-IT" w:eastAsia="it-IT"/>
    </w:rPr>
  </w:style>
  <w:style w:type="paragraph" w:customStyle="1" w:styleId="P68B1DB1-Normal44">
    <w:name w:val="P68B1DB1-Normal44"/>
    <w:basedOn w:val="Normal"/>
    <w:rsid w:val="0050347E"/>
    <w:rPr>
      <w:rFonts w:eastAsia="Arial" w:cs="Arial"/>
      <w:color w:val="000000"/>
      <w:sz w:val="20"/>
      <w:szCs w:val="20"/>
      <w:lang w:val="it-IT" w:eastAsia="it-IT"/>
    </w:rPr>
  </w:style>
  <w:style w:type="paragraph" w:customStyle="1" w:styleId="P68B1DB1-Normal48">
    <w:name w:val="P68B1DB1-Normal48"/>
    <w:basedOn w:val="Normal"/>
    <w:rsid w:val="0050347E"/>
    <w:rPr>
      <w:rFonts w:eastAsia="Aptos" w:cs="Arial"/>
      <w:b/>
      <w:sz w:val="20"/>
      <w:szCs w:val="20"/>
      <w:lang w:val="it-IT" w:eastAsia="it-IT"/>
    </w:rPr>
  </w:style>
  <w:style w:type="paragraph" w:customStyle="1" w:styleId="P68B1DB1-Normal49">
    <w:name w:val="P68B1DB1-Normal49"/>
    <w:basedOn w:val="Normal"/>
    <w:rsid w:val="0050347E"/>
    <w:rPr>
      <w:rFonts w:eastAsia="Aptos" w:cs="Arial"/>
      <w:sz w:val="20"/>
      <w:szCs w:val="20"/>
      <w:u w:val="single"/>
      <w:lang w:val="it-IT" w:eastAsia="it-IT"/>
    </w:rPr>
  </w:style>
  <w:style w:type="paragraph" w:customStyle="1" w:styleId="P68B1DB1-Normal50">
    <w:name w:val="P68B1DB1-Normal50"/>
    <w:basedOn w:val="Normal"/>
    <w:rsid w:val="0050347E"/>
    <w:rPr>
      <w:rFonts w:eastAsia="Arial" w:cs="Arial"/>
      <w:b/>
      <w:sz w:val="20"/>
      <w:szCs w:val="20"/>
      <w:lang w:val="it-IT" w:eastAsia="it-IT"/>
    </w:rPr>
  </w:style>
  <w:style w:type="paragraph" w:customStyle="1" w:styleId="P68B1DB1-Normal51">
    <w:name w:val="P68B1DB1-Normal51"/>
    <w:basedOn w:val="Normal"/>
    <w:rsid w:val="0050347E"/>
    <w:rPr>
      <w:rFonts w:eastAsia="Aptos" w:cs="Arial"/>
      <w:sz w:val="20"/>
      <w:szCs w:val="20"/>
      <w:lang w:val="it-IT" w:eastAsia="it-IT"/>
    </w:rPr>
  </w:style>
  <w:style w:type="paragraph" w:customStyle="1" w:styleId="P68B1DB1-ListParagraph52">
    <w:name w:val="P68B1DB1-ListParagraph52"/>
    <w:basedOn w:val="ListParagraph"/>
    <w:rsid w:val="0050347E"/>
    <w:rPr>
      <w:rFonts w:eastAsia="Aptos" w:cs="Arial"/>
      <w:sz w:val="20"/>
      <w:szCs w:val="20"/>
      <w:lang w:val="it-IT" w:eastAsia="it-IT"/>
    </w:rPr>
  </w:style>
  <w:style w:type="paragraph" w:customStyle="1" w:styleId="P68B1DB1-ListParagraph53">
    <w:name w:val="P68B1DB1-ListParagraph53"/>
    <w:basedOn w:val="ListParagraph"/>
    <w:rsid w:val="0050347E"/>
    <w:rPr>
      <w:sz w:val="20"/>
      <w:szCs w:val="20"/>
      <w:lang w:val="it-IT" w:eastAsia="it-IT"/>
    </w:rPr>
  </w:style>
  <w:style w:type="paragraph" w:customStyle="1" w:styleId="P68B1DB1-Normal54">
    <w:name w:val="P68B1DB1-Normal54"/>
    <w:basedOn w:val="Normal"/>
    <w:rsid w:val="0050347E"/>
    <w:rPr>
      <w:sz w:val="20"/>
      <w:szCs w:val="20"/>
      <w:lang w:val="it-IT" w:eastAsia="it-IT"/>
    </w:rPr>
  </w:style>
  <w:style w:type="paragraph" w:customStyle="1" w:styleId="P68B1DB1-Normal55">
    <w:name w:val="P68B1DB1-Normal55"/>
    <w:basedOn w:val="Normal"/>
    <w:rsid w:val="0050347E"/>
    <w:rPr>
      <w:rFonts w:eastAsia="Aptos" w:cs="Arial"/>
      <w:color w:val="000000" w:themeColor="text1"/>
      <w:sz w:val="20"/>
      <w:szCs w:val="20"/>
      <w:lang w:val="it-IT" w:eastAsia="it-IT"/>
    </w:rPr>
  </w:style>
  <w:style w:type="paragraph" w:customStyle="1" w:styleId="P68B1DB1-Normal56">
    <w:name w:val="P68B1DB1-Normal56"/>
    <w:basedOn w:val="Normal"/>
    <w:rsid w:val="0050347E"/>
    <w:rPr>
      <w:rFonts w:eastAsia="Arial" w:cs="Arial"/>
      <w:sz w:val="20"/>
      <w:szCs w:val="20"/>
      <w:lang w:val="it-IT" w:eastAsia="it-IT"/>
    </w:rPr>
  </w:style>
  <w:style w:type="paragraph" w:customStyle="1" w:styleId="P68B1DB1-Normal57">
    <w:name w:val="P68B1DB1-Normal57"/>
    <w:basedOn w:val="Normal"/>
    <w:rsid w:val="0050347E"/>
    <w:rPr>
      <w:rFonts w:eastAsia="Arial" w:cs="Arial"/>
      <w:color w:val="000000" w:themeColor="text1"/>
      <w:sz w:val="20"/>
      <w:szCs w:val="20"/>
      <w:lang w:val="it-IT" w:eastAsia="it-IT"/>
    </w:rPr>
  </w:style>
  <w:style w:type="paragraph" w:customStyle="1" w:styleId="P68B1DB1-Normal58">
    <w:name w:val="P68B1DB1-Normal58"/>
    <w:basedOn w:val="Normal"/>
    <w:rsid w:val="0050347E"/>
    <w:rPr>
      <w:rFonts w:cs="Arial"/>
      <w:sz w:val="20"/>
      <w:szCs w:val="20"/>
      <w:lang w:val="it-IT" w:eastAsia="it-IT"/>
    </w:rPr>
  </w:style>
  <w:style w:type="paragraph" w:customStyle="1" w:styleId="P68B1DB1-Normal59">
    <w:name w:val="P68B1DB1-Normal59"/>
    <w:basedOn w:val="Normal"/>
    <w:rsid w:val="0050347E"/>
    <w:rPr>
      <w:rFonts w:eastAsia="Arial" w:cs="Arial"/>
      <w:b/>
      <w:szCs w:val="20"/>
      <w:lang w:val="it-IT" w:eastAsia="it-IT"/>
    </w:rPr>
  </w:style>
  <w:style w:type="paragraph" w:customStyle="1" w:styleId="P68B1DB1-Normal60">
    <w:name w:val="P68B1DB1-Normal60"/>
    <w:basedOn w:val="Normal"/>
    <w:rsid w:val="0050347E"/>
    <w:rPr>
      <w:rFonts w:eastAsia="Arial" w:cs="Arial"/>
      <w:vanish/>
      <w:sz w:val="20"/>
      <w:szCs w:val="20"/>
      <w:highlight w:val="yellow"/>
      <w:lang w:val="it-IT" w:eastAsia="it-IT"/>
    </w:rPr>
  </w:style>
  <w:style w:type="paragraph" w:customStyle="1" w:styleId="P68B1DB1-Normal61">
    <w:name w:val="P68B1DB1-Normal61"/>
    <w:basedOn w:val="Normal"/>
    <w:rsid w:val="0050347E"/>
    <w:rPr>
      <w:rFonts w:ascii="Tahoma" w:eastAsia="Tahoma" w:hAnsi="Tahoma" w:cs="Tahoma"/>
      <w:color w:val="000000"/>
      <w:sz w:val="17"/>
      <w:szCs w:val="20"/>
      <w:lang w:val="it-IT" w:eastAsia="it-IT"/>
    </w:rPr>
  </w:style>
  <w:style w:type="paragraph" w:customStyle="1" w:styleId="P68B1DB1-Normal62">
    <w:name w:val="P68B1DB1-Normal62"/>
    <w:basedOn w:val="Normal"/>
    <w:rsid w:val="0050347E"/>
    <w:rPr>
      <w:rFonts w:ascii="Times New Roman" w:eastAsia="Times New Roman" w:hAnsi="Times New Roman" w:cs="Times New Roman"/>
      <w:sz w:val="24"/>
      <w:szCs w:val="20"/>
      <w:lang w:val="it-IT" w:eastAsia="it-IT"/>
    </w:rPr>
  </w:style>
  <w:style w:type="paragraph" w:customStyle="1" w:styleId="P68B1DB1-Normal63">
    <w:name w:val="P68B1DB1-Normal63"/>
    <w:basedOn w:val="Normal"/>
    <w:rsid w:val="0050347E"/>
    <w:rPr>
      <w:rFonts w:eastAsia="Arial" w:cs="Arial"/>
      <w:i/>
      <w:color w:val="538135" w:themeColor="accent6" w:themeShade="BF"/>
      <w:sz w:val="13"/>
      <w:szCs w:val="20"/>
      <w:lang w:val="it-IT" w:eastAsia="it-IT"/>
    </w:rPr>
  </w:style>
  <w:style w:type="paragraph" w:customStyle="1" w:styleId="P68B1DB1-Normal64">
    <w:name w:val="P68B1DB1-Normal64"/>
    <w:basedOn w:val="Normal"/>
    <w:rsid w:val="0050347E"/>
    <w:rPr>
      <w:rFonts w:eastAsia="Arial" w:cs="Arial"/>
      <w:color w:val="000000"/>
      <w:sz w:val="21"/>
      <w:szCs w:val="20"/>
      <w:lang w:val="it-IT" w:eastAsia="it-IT"/>
    </w:rPr>
  </w:style>
  <w:style w:type="paragraph" w:customStyle="1" w:styleId="P68B1DB1-Normal65">
    <w:name w:val="P68B1DB1-Normal65"/>
    <w:basedOn w:val="Normal"/>
    <w:rsid w:val="0050347E"/>
    <w:rPr>
      <w:rFonts w:eastAsia="Arial" w:cs="Arial"/>
      <w:i/>
      <w:sz w:val="14"/>
      <w:szCs w:val="20"/>
      <w:lang w:val="it-IT" w:eastAsia="it-IT"/>
    </w:rPr>
  </w:style>
  <w:style w:type="paragraph" w:customStyle="1" w:styleId="P68B1DB1-Normal66">
    <w:name w:val="P68B1DB1-Normal66"/>
    <w:basedOn w:val="Normal"/>
    <w:rsid w:val="0050347E"/>
    <w:rPr>
      <w:rFonts w:eastAsia="Arial" w:cs="Arial"/>
      <w:b/>
      <w:color w:val="000000"/>
      <w:sz w:val="14"/>
      <w:szCs w:val="20"/>
      <w:lang w:val="it-IT" w:eastAsia="it-IT"/>
    </w:rPr>
  </w:style>
  <w:style w:type="paragraph" w:customStyle="1" w:styleId="P68B1DB1-Normal67">
    <w:name w:val="P68B1DB1-Normal67"/>
    <w:basedOn w:val="Normal"/>
    <w:rsid w:val="0050347E"/>
    <w:rPr>
      <w:rFonts w:eastAsia="Arial" w:cs="Arial"/>
      <w:i/>
      <w:color w:val="476338"/>
      <w:sz w:val="14"/>
      <w:szCs w:val="20"/>
      <w:lang w:val="it-IT" w:eastAsia="it-IT"/>
    </w:rPr>
  </w:style>
  <w:style w:type="paragraph" w:customStyle="1" w:styleId="P68B1DB1-Normal68">
    <w:name w:val="P68B1DB1-Normal68"/>
    <w:basedOn w:val="Normal"/>
    <w:rsid w:val="0050347E"/>
    <w:rPr>
      <w:rFonts w:ascii="Times New Roman" w:eastAsia="Times New Roman" w:hAnsi="Times New Roman" w:cs="Times New Roman"/>
      <w:color w:val="000000"/>
      <w:sz w:val="24"/>
      <w:szCs w:val="20"/>
      <w:lang w:val="it-IT" w:eastAsia="it-IT"/>
    </w:rPr>
  </w:style>
  <w:style w:type="paragraph" w:customStyle="1" w:styleId="P68B1DB1-Normal69">
    <w:name w:val="P68B1DB1-Normal69"/>
    <w:basedOn w:val="Normal"/>
    <w:rsid w:val="0050347E"/>
    <w:rPr>
      <w:rFonts w:eastAsia="Times New Roman" w:cs="Arial"/>
      <w:szCs w:val="20"/>
      <w:lang w:val="it-IT" w:eastAsia="it-IT"/>
    </w:rPr>
  </w:style>
  <w:style w:type="paragraph" w:customStyle="1" w:styleId="P68B1DB1-Normal70">
    <w:name w:val="P68B1DB1-Normal70"/>
    <w:basedOn w:val="Normal"/>
    <w:rsid w:val="0050347E"/>
    <w:rPr>
      <w:rFonts w:eastAsia="Arial" w:cs="Arial"/>
      <w:color w:val="313232"/>
      <w:sz w:val="14"/>
      <w:szCs w:val="20"/>
      <w:lang w:val="it-IT" w:eastAsia="it-IT"/>
    </w:rPr>
  </w:style>
  <w:style w:type="paragraph" w:customStyle="1" w:styleId="P68B1DB1-Normal71">
    <w:name w:val="P68B1DB1-Normal71"/>
    <w:basedOn w:val="Normal"/>
    <w:rsid w:val="0050347E"/>
    <w:rPr>
      <w:rFonts w:ascii="Tahoma" w:eastAsia="Tahoma" w:hAnsi="Tahoma" w:cs="Tahoma"/>
      <w:color w:val="000000"/>
      <w:sz w:val="18"/>
      <w:szCs w:val="20"/>
      <w:lang w:val="it-IT" w:eastAsia="it-IT"/>
    </w:rPr>
  </w:style>
  <w:style w:type="paragraph" w:customStyle="1" w:styleId="P68B1DB1-Normal72">
    <w:name w:val="P68B1DB1-Normal72"/>
    <w:basedOn w:val="Normal"/>
    <w:rsid w:val="0050347E"/>
    <w:rPr>
      <w:rFonts w:eastAsia="Arial" w:cs="Arial"/>
      <w:sz w:val="24"/>
      <w:szCs w:val="20"/>
      <w:lang w:val="it-IT" w:eastAsia="it-IT"/>
    </w:rPr>
  </w:style>
  <w:style w:type="paragraph" w:customStyle="1" w:styleId="P68B1DB1-Normal73">
    <w:name w:val="P68B1DB1-Normal73"/>
    <w:basedOn w:val="Normal"/>
    <w:rsid w:val="0050347E"/>
    <w:rPr>
      <w:rFonts w:cs="Arial"/>
      <w:b/>
      <w:caps/>
      <w:szCs w:val="20"/>
      <w:lang w:val="it-IT" w:eastAsia="it-IT"/>
    </w:rPr>
  </w:style>
  <w:style w:type="paragraph" w:customStyle="1" w:styleId="P68B1DB1-Normal74">
    <w:name w:val="P68B1DB1-Normal74"/>
    <w:basedOn w:val="Normal"/>
    <w:rsid w:val="0050347E"/>
    <w:rPr>
      <w:rFonts w:cs="Arial"/>
      <w:b/>
      <w:i/>
      <w:szCs w:val="20"/>
      <w:lang w:val="it-IT" w:eastAsia="it-IT"/>
    </w:rPr>
  </w:style>
  <w:style w:type="paragraph" w:customStyle="1" w:styleId="P68B1DB1-Footer75">
    <w:name w:val="P68B1DB1-Footer75"/>
    <w:basedOn w:val="Footer"/>
    <w:rsid w:val="0050347E"/>
    <w:rPr>
      <w:sz w:val="18"/>
      <w:szCs w:val="20"/>
      <w:lang w:val="it-IT" w:eastAsia="it-IT"/>
    </w:rPr>
  </w:style>
  <w:style w:type="paragraph" w:customStyle="1" w:styleId="P68B1DB1-Header76">
    <w:name w:val="P68B1DB1-Header76"/>
    <w:basedOn w:val="Header"/>
    <w:rsid w:val="0050347E"/>
    <w:rPr>
      <w:i/>
      <w:sz w:val="18"/>
      <w:szCs w:val="20"/>
      <w:lang w:val="it-IT" w:eastAsia="it-IT"/>
    </w:rPr>
  </w:style>
  <w:style w:type="paragraph" w:customStyle="1" w:styleId="P68B1DB1-Header77">
    <w:name w:val="P68B1DB1-Header77"/>
    <w:basedOn w:val="Header"/>
    <w:rsid w:val="0050347E"/>
    <w:rPr>
      <w:rFonts w:cs="Arial"/>
      <w:i/>
      <w:sz w:val="18"/>
      <w:szCs w:val="20"/>
      <w:lang w:val="it-IT" w:eastAsia="it-IT"/>
    </w:rPr>
  </w:style>
  <w:style w:type="paragraph" w:customStyle="1" w:styleId="P68B1DB1-Header78">
    <w:name w:val="P68B1DB1-Header78"/>
    <w:basedOn w:val="Header"/>
    <w:rsid w:val="0050347E"/>
    <w:rPr>
      <w:rFonts w:eastAsia="Times New Roman" w:cs="Arial"/>
      <w:i/>
      <w:sz w:val="18"/>
      <w:szCs w:val="20"/>
      <w:lang w:val="it-IT" w:eastAsia="it-IT"/>
    </w:rPr>
  </w:style>
  <w:style w:type="paragraph" w:customStyle="1" w:styleId="P68B1DB1-Normal79">
    <w:name w:val="P68B1DB1-Normal79"/>
    <w:basedOn w:val="Normal"/>
    <w:rsid w:val="0050347E"/>
    <w:rPr>
      <w:i/>
      <w:sz w:val="18"/>
      <w:szCs w:val="20"/>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s://www.cms.int/dugong/sites/default/files/document/cms_cami-tw_inf.1_e_0.pdf" TargetMode="External"/><Relationship Id="rId42" Type="http://schemas.openxmlformats.org/officeDocument/2006/relationships/hyperlink" Target="https://www.cms.int/sites/default/files/document/Argali_SSAP_final_English_0.pdf" TargetMode="External"/><Relationship Id="rId47" Type="http://schemas.openxmlformats.org/officeDocument/2006/relationships/hyperlink" Target="https://www.cms.int/sites/default/files/document/cms_cami-tw_inf.1_e_0.pdf" TargetMode="External"/><Relationship Id="rId63" Type="http://schemas.openxmlformats.org/officeDocument/2006/relationships/hyperlink" Target="https://www.cms.int/cami/en/document/range-wide-action-plan-asiatic-wild-ass" TargetMode="External"/><Relationship Id="rId68" Type="http://schemas.openxmlformats.org/officeDocument/2006/relationships/hyperlink" Target="https://www.cms.int/en/meeting/fifth-meeting-signatories-saiga-mou-mos5" TargetMode="External"/><Relationship Id="rId84" Type="http://schemas.openxmlformats.org/officeDocument/2006/relationships/image" Target="media/image6.jpeg"/><Relationship Id="rId89" Type="http://schemas.openxmlformats.org/officeDocument/2006/relationships/image" Target="media/image11.jpeg"/><Relationship Id="rId16" Type="http://schemas.openxmlformats.org/officeDocument/2006/relationships/hyperlink" Target="https://www.cms.int/sites/default/files/document/Argali_SSAP_final_English_0.pdf" TargetMode="External"/><Relationship Id="rId11" Type="http://schemas.openxmlformats.org/officeDocument/2006/relationships/image" Target="media/image1.wmf"/><Relationship Id="rId32" Type="http://schemas.openxmlformats.org/officeDocument/2006/relationships/hyperlink" Target="https://www.cms.int/sharks/sites/default/files/document/cms_pl-rs1_outcome_range-wide-strategy-endorsed_e.pdf" TargetMode="External"/><Relationship Id="rId37" Type="http://schemas.openxmlformats.org/officeDocument/2006/relationships/image" Target="media/image5.jpeg"/><Relationship Id="rId53" Type="http://schemas.openxmlformats.org/officeDocument/2006/relationships/hyperlink" Target="https://www.cms.int/en/publication/potential-community-based-wildlife-management-central-asia" TargetMode="External"/><Relationship Id="rId58" Type="http://schemas.openxmlformats.org/officeDocument/2006/relationships/hyperlink" Target="https://www.cms.int/sites/default/files/publication/2024_Mapping%20Transboundary%20Conservation%20Hotspots%20for%20the%20Central%20Asian%20Mammals%20Initiative290425.pdf" TargetMode="External"/><Relationship Id="rId74" Type="http://schemas.openxmlformats.org/officeDocument/2006/relationships/hyperlink" Target="https://www.cms.int/sites/default/files/document/Argali_SSAP_final_English_0.pdf" TargetMode="External"/><Relationship Id="rId79" Type="http://schemas.openxmlformats.org/officeDocument/2006/relationships/hyperlink" Target="https://www.cms.int/sites/default/files/document/cms-bfn_awatw_outcome1_action-plan_e_0.pdf" TargetMode="External"/><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12.jpeg"/><Relationship Id="rId95" Type="http://schemas.openxmlformats.org/officeDocument/2006/relationships/image" Target="media/image17.jpeg"/><Relationship Id="rId22" Type="http://schemas.openxmlformats.org/officeDocument/2006/relationships/hyperlink" Target="https://iucn.org/our-work/projects/one-health-nature-conservation-central-asia-enhancing-landscape-resilience" TargetMode="External"/><Relationship Id="rId27" Type="http://schemas.openxmlformats.org/officeDocument/2006/relationships/header" Target="header3.xml"/><Relationship Id="rId43" Type="http://schemas.openxmlformats.org/officeDocument/2006/relationships/hyperlink" Target="https://www.cms.int/sites/default/files/document/cms-bfn_awatw_outcome1_action-plan_e_0.pdf" TargetMode="External"/><Relationship Id="rId48" Type="http://schemas.openxmlformats.org/officeDocument/2006/relationships/hyperlink" Target="https://portals.iucn.org/library/sites/library/files/documents/PAG-030-En.pdf" TargetMode="External"/><Relationship Id="rId64" Type="http://schemas.openxmlformats.org/officeDocument/2006/relationships/hyperlink" Target="https://www.cms.int/en/meeting/fifth-meeting-signatories-saiga-mou-mos5" TargetMode="External"/><Relationship Id="rId69" Type="http://schemas.openxmlformats.org/officeDocument/2006/relationships/hyperlink" Target="https://www.cms.int/cami/en/document/range-wide-action-plan-asiatic-wild-ass" TargetMode="External"/><Relationship Id="rId80" Type="http://schemas.openxmlformats.org/officeDocument/2006/relationships/hyperlink" Target="https://www.cms.int/sites/default/files/document/Argali_SSAP_final_English_0.pdf" TargetMode="External"/><Relationship Id="rId85" Type="http://schemas.openxmlformats.org/officeDocument/2006/relationships/image" Target="media/image7.jpeg"/><Relationship Id="rId12" Type="http://schemas.openxmlformats.org/officeDocument/2006/relationships/hyperlink" Target="https://camcaproject.org/" TargetMode="External"/><Relationship Id="rId17" Type="http://schemas.openxmlformats.org/officeDocument/2006/relationships/hyperlink" Target="https://www.cms.int/en/document/medium-term-international-work-programme-saiga-antelope-2025-2030" TargetMode="External"/><Relationship Id="rId25" Type="http://schemas.openxmlformats.org/officeDocument/2006/relationships/footer" Target="footer1.xml"/><Relationship Id="rId33" Type="http://schemas.openxmlformats.org/officeDocument/2006/relationships/hyperlink" Target="https://www.cms.int/sites/default/files/document/Argali_SSAP_final_English_0.pdf" TargetMode="External"/><Relationship Id="rId38" Type="http://schemas.openxmlformats.org/officeDocument/2006/relationships/header" Target="header7.xml"/><Relationship Id="rId46" Type="http://schemas.openxmlformats.org/officeDocument/2006/relationships/hyperlink" Target="https://www.cms.int/sites/default/files/document/cms_cami-tw_inf.1_e_0.pdf" TargetMode="External"/><Relationship Id="rId59" Type="http://schemas.openxmlformats.org/officeDocument/2006/relationships/hyperlink" Target="https://www.ibat-alliance.org/" TargetMode="External"/><Relationship Id="rId67" Type="http://schemas.openxmlformats.org/officeDocument/2006/relationships/hyperlink" Target="https://www.cms.int/cami/en/document/range-wide-action-plan-asiatic-wild-ass" TargetMode="External"/><Relationship Id="rId103" Type="http://schemas.openxmlformats.org/officeDocument/2006/relationships/theme" Target="theme/theme1.xml"/><Relationship Id="rId20" Type="http://schemas.openxmlformats.org/officeDocument/2006/relationships/hyperlink" Target="https://www.cms.int/en/document/medium-term-international-work-programme-saiga-antelope-2025-2030" TargetMode="External"/><Relationship Id="rId41" Type="http://schemas.openxmlformats.org/officeDocument/2006/relationships/hyperlink" Target="https://www.cms.int/sharks/sites/default/files/document/cms_pl-rs1_outcome_range-wide-strategy-endorsed_e.pdf" TargetMode="External"/><Relationship Id="rId54" Type="http://schemas.openxmlformats.org/officeDocument/2006/relationships/hyperlink" Target="https://www.iucnredlist.org/resources/redlistguidelines" TargetMode="External"/><Relationship Id="rId62" Type="http://schemas.openxmlformats.org/officeDocument/2006/relationships/hyperlink" Target="https://www.cms.int/sharks/sites/default/files/document/cms_pl-rs1_outcome_range-wide-strategy-endorsed_e.pdf" TargetMode="External"/><Relationship Id="rId70" Type="http://schemas.openxmlformats.org/officeDocument/2006/relationships/hyperlink" Target="https://www.cms.int/en/meeting/fifth-meeting-signatories-saiga-mou-mos5" TargetMode="External"/><Relationship Id="rId75" Type="http://schemas.openxmlformats.org/officeDocument/2006/relationships/hyperlink" Target="https://www.cms.int/sites/default/files/document/Argali_SSAP_final_English_0.pdf" TargetMode="External"/><Relationship Id="rId83" Type="http://schemas.openxmlformats.org/officeDocument/2006/relationships/header" Target="header9.xml"/><Relationship Id="rId88" Type="http://schemas.openxmlformats.org/officeDocument/2006/relationships/image" Target="media/image10.jpeg"/><Relationship Id="rId91" Type="http://schemas.openxmlformats.org/officeDocument/2006/relationships/image" Target="media/image13.jpeg"/><Relationship Id="rId96"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cms.int/bukhara-deer/sites/default/files/document/cms_bkd_tw1_outcomes_annex2_programme-of-work-2021-2026_e_0.pdf" TargetMode="External"/><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hyperlink" Target="https://www.cms.int/en/document/medium-term-international-work-programme-saiga-antelope-2025-2030" TargetMode="External"/><Relationship Id="rId49" Type="http://schemas.openxmlformats.org/officeDocument/2006/relationships/hyperlink" Target="https://camcaproject.org/" TargetMode="External"/><Relationship Id="rId57" Type="http://schemas.openxmlformats.org/officeDocument/2006/relationships/hyperlink" Target="https://www.cms.int/cami/sites/default/files/publication/Ashgabat%20communiqu%C3%A9.pdf" TargetMode="External"/><Relationship Id="rId10" Type="http://schemas.openxmlformats.org/officeDocument/2006/relationships/endnotes" Target="endnotes.xml"/><Relationship Id="rId31" Type="http://schemas.openxmlformats.org/officeDocument/2006/relationships/header" Target="header6.xml"/><Relationship Id="rId44" Type="http://schemas.openxmlformats.org/officeDocument/2006/relationships/hyperlink" Target="https://www.cms.int/bukhara-deer/sites/default/files/document/cms_bkd_tw1_outcomes_annex2_programme-of-work-2021-2026_e_0.pdf" TargetMode="External"/><Relationship Id="rId52" Type="http://schemas.openxmlformats.org/officeDocument/2006/relationships/hyperlink" Target="https://www.cms.int/en/document/communities-and-livehoods" TargetMode="External"/><Relationship Id="rId60" Type="http://schemas.openxmlformats.org/officeDocument/2006/relationships/hyperlink" Target="https://portals.iucn.org/library/node/50756" TargetMode="External"/><Relationship Id="rId65" Type="http://schemas.openxmlformats.org/officeDocument/2006/relationships/hyperlink" Target="https://www.succow-stiftung.de/fileadmin/Ablage/Dokumente/Ustyurt_Memorandum_ENG.pdf" TargetMode="External"/><Relationship Id="rId73" Type="http://schemas.openxmlformats.org/officeDocument/2006/relationships/hyperlink" Target="https://www.cms.int/cami/en/document/range-wide-action-plan-asiatic-wild-ass" TargetMode="External"/><Relationship Id="rId78" Type="http://schemas.openxmlformats.org/officeDocument/2006/relationships/hyperlink" Target="https://www.cms.int/sites/default/files/document/Argali_SSAP_final_English_0.pdf" TargetMode="External"/><Relationship Id="rId81" Type="http://schemas.openxmlformats.org/officeDocument/2006/relationships/hyperlink" Target="https://www.cms.int/sites/default/files/document/Argali_SSAP_final_English_0.pdf" TargetMode="External"/><Relationship Id="rId86" Type="http://schemas.openxmlformats.org/officeDocument/2006/relationships/image" Target="media/image8.jpeg"/><Relationship Id="rId94" Type="http://schemas.openxmlformats.org/officeDocument/2006/relationships/image" Target="media/image16.jpeg"/><Relationship Id="rId99" Type="http://schemas.openxmlformats.org/officeDocument/2006/relationships/header" Target="header13.xml"/><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ms.int/en/publication/mapping-transboundary-conservation-hotspots-central-asian-mammals-initiative-0" TargetMode="External"/><Relationship Id="rId18" Type="http://schemas.openxmlformats.org/officeDocument/2006/relationships/hyperlink" Target="https://www.succow-stiftung.de/fileadmin/Ablage/Dokumente/Roadmap_to_Action_Ustyurt_MOC_ENG.pdf" TargetMode="External"/><Relationship Id="rId39" Type="http://schemas.openxmlformats.org/officeDocument/2006/relationships/footer" Target="footer4.xml"/><Relationship Id="rId34" Type="http://schemas.openxmlformats.org/officeDocument/2006/relationships/hyperlink" Target="https://www.cms.int/sites/default/files/document/cms-bfn_awatw_outcome1_action-plan_e_0.pdf" TargetMode="External"/><Relationship Id="rId50" Type="http://schemas.openxmlformats.org/officeDocument/2006/relationships/hyperlink" Target="https://www.cms.int/en/publication/guidelines-addressing-impact-linear-infrastructure-large-migratory-mammals-central-asia" TargetMode="External"/><Relationship Id="rId55" Type="http://schemas.openxmlformats.org/officeDocument/2006/relationships/hyperlink" Target="https://www.cms.int/cami/sites/default/files/publication/Ashgabat%20communiqu%C3%A9.pdf" TargetMode="External"/><Relationship Id="rId76" Type="http://schemas.openxmlformats.org/officeDocument/2006/relationships/hyperlink" Target="https://www.cms.int/sites/default/files/document/Argali_SSAP_final_English_0.pdf" TargetMode="External"/><Relationship Id="rId97" Type="http://schemas.openxmlformats.org/officeDocument/2006/relationships/header" Target="header11.xml"/><Relationship Id="rId7" Type="http://schemas.openxmlformats.org/officeDocument/2006/relationships/settings" Target="settings.xml"/><Relationship Id="rId71" Type="http://schemas.openxmlformats.org/officeDocument/2006/relationships/hyperlink" Target="https://www.cms.int/sites/default/files/publication/cms-cami_pub_linear-infrastructure_wcs_e.pdf" TargetMode="External"/><Relationship Id="rId92" Type="http://schemas.openxmlformats.org/officeDocument/2006/relationships/image" Target="media/image14.jpeg"/><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eader" Target="header2.xml"/><Relationship Id="rId40" Type="http://schemas.openxmlformats.org/officeDocument/2006/relationships/header" Target="header8.xml"/><Relationship Id="rId45" Type="http://schemas.openxmlformats.org/officeDocument/2006/relationships/hyperlink" Target="https://www.cms.int/en/document/medium-term-international-work-programme-saiga-antelope-2025-2030" TargetMode="External"/><Relationship Id="rId66" Type="http://schemas.openxmlformats.org/officeDocument/2006/relationships/hyperlink" Target="https://unitednations.sharepoint.com/sites/CMSFamily/CMS%20S%20Drive/TEAMS-Species/TEAM_Terrestrial_Species/CAMI%20(Central%20Asian%20Mammals%20Initiative)/MEETINGS/2025/CAMI%20THIRD%20RANGE%20STATE%20MEETING/6.Documents/Download%20the%20Roadmap%20(PDF)" TargetMode="External"/><Relationship Id="rId87" Type="http://schemas.openxmlformats.org/officeDocument/2006/relationships/image" Target="media/image9.jpeg"/><Relationship Id="rId61" Type="http://schemas.openxmlformats.org/officeDocument/2006/relationships/hyperlink" Target="https://www.unccd.int/sites/default/files/2023-11/CA%20regional%20drought%20strategy%20EN.pdf" TargetMode="External"/><Relationship Id="rId82" Type="http://schemas.openxmlformats.org/officeDocument/2006/relationships/hyperlink" Target="https://www.cms.int/en/publication/mapping-transboundary-conservation-hotspots-central-asian-mammals-initiative-0" TargetMode="External"/><Relationship Id="rId19" Type="http://schemas.openxmlformats.org/officeDocument/2006/relationships/hyperlink" Target="https://www.cms.int/sites/default/files/document/cms_saiga_mos5_outcome1_overview-report_e.pdf" TargetMode="External"/><Relationship Id="rId14" Type="http://schemas.openxmlformats.org/officeDocument/2006/relationships/hyperlink" Target="https://www.cms.int/en/publication/potential-community-based-wildlife-management-central-asia" TargetMode="External"/><Relationship Id="rId30" Type="http://schemas.openxmlformats.org/officeDocument/2006/relationships/header" Target="header5.xml"/><Relationship Id="rId35" Type="http://schemas.openxmlformats.org/officeDocument/2006/relationships/hyperlink" Target="https://www.cms.int/bukhara-deer/sites/default/files/document/cms_bkd_tw1_outcomes_annex2_programme-of-work-2021-2026_e_0.pdf" TargetMode="External"/><Relationship Id="rId56" Type="http://schemas.openxmlformats.org/officeDocument/2006/relationships/hyperlink" Target="https://www.cms.int/cami/sites/default/files/publication/Ashgabat%20communiqu%C3%A9.pdf" TargetMode="External"/><Relationship Id="rId77" Type="http://schemas.openxmlformats.org/officeDocument/2006/relationships/hyperlink" Target="https://www.cms.int/sites/default/files/document/Argali_SSAP_final_English_0.pdf" TargetMode="External"/><Relationship Id="rId100" Type="http://schemas.openxmlformats.org/officeDocument/2006/relationships/header" Target="header14.xml"/><Relationship Id="rId8" Type="http://schemas.openxmlformats.org/officeDocument/2006/relationships/webSettings" Target="webSettings.xml"/><Relationship Id="rId51" Type="http://schemas.openxmlformats.org/officeDocument/2006/relationships/hyperlink" Target="https://www.cms.int/cami/sites/default/files/document/cms_cami2_inf.4_cami-migration-and-infrastructure-atlas_e.pdf" TargetMode="External"/><Relationship Id="rId72" Type="http://schemas.openxmlformats.org/officeDocument/2006/relationships/hyperlink" Target="https://www.cms.int/sharks/sites/default/files/document/cms_pl-rs1_outcome_range-wide-strategy-endorsed_e.pdf" TargetMode="External"/><Relationship Id="rId93" Type="http://schemas.openxmlformats.org/officeDocument/2006/relationships/image" Target="media/image15.jpeg"/><Relationship Id="rId98" Type="http://schemas.openxmlformats.org/officeDocument/2006/relationships/header" Target="header12.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7b50396-0b06-45c1-b28e-46f86d566a10">
      <Terms xmlns="http://schemas.microsoft.com/office/infopath/2007/PartnerControls"/>
    </lcf76f155ced4ddcb4097134ff3c332f>
    <SharedWithUsers xmlns="c15478a5-0be8-4f5d-8383-b307d5ba8bf6">
      <UserInfo>
        <DisplayName>Ximena Victoria Cancino Ordenes</DisplayName>
        <AccountId>16</AccountId>
        <AccountType/>
      </UserInfo>
      <UserInfo>
        <DisplayName>System Account</DisplayName>
        <AccountId>1073741823</AccountId>
        <AccountType/>
      </UserInfo>
      <UserInfo>
        <DisplayName>Thilan Mannan(Affiliate)</DisplayName>
        <AccountId>78</AccountId>
        <AccountType/>
      </UserInfo>
    </SharedWithUsers>
    <TaxKeywordTaxHTField xmlns="c15478a5-0be8-4f5d-8383-b307d5ba8bf6">
      <Terms xmlns="http://schemas.microsoft.com/office/infopath/2007/PartnerControls"/>
    </TaxKeywordTaxHTField>
    <_Flow_SignoffStatus xmlns="a7b50396-0b06-45c1-b28e-46f86d566a10" xsi:nil="true"/>
    <Reviewer xmlns="a7b50396-0b06-45c1-b28e-46f86d566a10" xsi:nil="true"/>
    <MariaJoseOrtiz xmlns="a7b50396-0b06-45c1-b28e-46f86d566a10" xsi:nil="true"/>
    <Notes xmlns="a7b50396-0b06-45c1-b28e-46f86d566a10" xsi:nil="true"/>
    <Sent xmlns="a7b50396-0b06-45c1-b28e-46f86d566a10" xsi:nil="true"/>
    <Pre_x002d_selection xmlns="a7b50396-0b06-45c1-b28e-46f86d566a10">true</Pre_x002d_selec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8AE607-FF50-48EB-8E60-337D9785D0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D31A09-9336-4BDA-A396-44ED1E003CDA}">
  <ds:schemaRefs>
    <ds:schemaRef ds:uri="http://schemas.microsoft.com/sharepoint/v3/contenttype/forms"/>
  </ds:schemaRefs>
</ds:datastoreItem>
</file>

<file path=customXml/itemProps3.xml><?xml version="1.0" encoding="utf-8"?>
<ds:datastoreItem xmlns:ds="http://schemas.openxmlformats.org/officeDocument/2006/customXml" ds:itemID="{48907917-C27C-4920-BCC6-5C06DA29E76A}">
  <ds:schemaRefs>
    <ds:schemaRef ds:uri="http://schemas.microsoft.com/office/2006/metadata/properties"/>
    <ds:schemaRef ds:uri="http://schemas.microsoft.com/office/infopath/2007/PartnerControls"/>
    <ds:schemaRef ds:uri="985ec44e-1bab-4c0b-9df0-6ba128686fc9"/>
    <ds:schemaRef ds:uri="a7b50396-0b06-45c1-b28e-46f86d566a10"/>
    <ds:schemaRef ds:uri="c15478a5-0be8-4f5d-8383-b307d5ba8bf6"/>
  </ds:schemaRefs>
</ds:datastoreItem>
</file>

<file path=customXml/itemProps4.xml><?xml version="1.0" encoding="utf-8"?>
<ds:datastoreItem xmlns:ds="http://schemas.openxmlformats.org/officeDocument/2006/customXml" ds:itemID="{84D73FA1-BF34-46ED-ACEA-890967853F1B}">
  <ds:schemaRefs>
    <ds:schemaRef ds:uri="http://schemas.openxmlformats.org/officeDocument/2006/bibliography"/>
  </ds:schemaRefs>
</ds:datastoreItem>
</file>

<file path=docMetadata/LabelInfo.xml><?xml version="1.0" encoding="utf-8"?>
<clbl:labelList xmlns:clbl="http://schemas.microsoft.com/office/2020/mipLabelMetadata">
  <clbl:label id="{7eb58d0f-f804-411f-a20e-09ebfae62b4c}"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Template>
  <TotalTime>169</TotalTime>
  <Pages>83</Pages>
  <Words>24345</Words>
  <Characters>138767</Characters>
  <Application>Microsoft Office Word</Application>
  <DocSecurity>0</DocSecurity>
  <Lines>1156</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162787</CharactersWithSpaces>
  <SharedDoc>false</SharedDoc>
  <HLinks>
    <vt:vector size="348" baseType="variant">
      <vt:variant>
        <vt:i4>6029390</vt:i4>
      </vt:variant>
      <vt:variant>
        <vt:i4>171</vt:i4>
      </vt:variant>
      <vt:variant>
        <vt:i4>0</vt:i4>
      </vt:variant>
      <vt:variant>
        <vt:i4>5</vt:i4>
      </vt:variant>
      <vt:variant>
        <vt:lpwstr>https://www.cms.int/en/publication/mapping-transboundary-conservation-hotspots-central-asian-mammals-initiative-0</vt:lpwstr>
      </vt:variant>
      <vt:variant>
        <vt:lpwstr/>
      </vt:variant>
      <vt:variant>
        <vt:i4>7405676</vt:i4>
      </vt:variant>
      <vt:variant>
        <vt:i4>168</vt:i4>
      </vt:variant>
      <vt:variant>
        <vt:i4>0</vt:i4>
      </vt:variant>
      <vt:variant>
        <vt:i4>5</vt:i4>
      </vt:variant>
      <vt:variant>
        <vt:lpwstr>https://www.cms.int/sites/default/files/document/Argali_SSAP_final_English_0.pdf</vt:lpwstr>
      </vt:variant>
      <vt:variant>
        <vt:lpwstr/>
      </vt:variant>
      <vt:variant>
        <vt:i4>7405676</vt:i4>
      </vt:variant>
      <vt:variant>
        <vt:i4>165</vt:i4>
      </vt:variant>
      <vt:variant>
        <vt:i4>0</vt:i4>
      </vt:variant>
      <vt:variant>
        <vt:i4>5</vt:i4>
      </vt:variant>
      <vt:variant>
        <vt:lpwstr>https://www.cms.int/sites/default/files/document/Argali_SSAP_final_English_0.pdf</vt:lpwstr>
      </vt:variant>
      <vt:variant>
        <vt:lpwstr/>
      </vt:variant>
      <vt:variant>
        <vt:i4>1835127</vt:i4>
      </vt:variant>
      <vt:variant>
        <vt:i4>162</vt:i4>
      </vt:variant>
      <vt:variant>
        <vt:i4>0</vt:i4>
      </vt:variant>
      <vt:variant>
        <vt:i4>5</vt:i4>
      </vt:variant>
      <vt:variant>
        <vt:lpwstr>https://www.cms.int/sites/default/files/document/cms-bfn_awatw_outcome1_action-plan_e_0.pdf</vt:lpwstr>
      </vt:variant>
      <vt:variant>
        <vt:lpwstr/>
      </vt:variant>
      <vt:variant>
        <vt:i4>7405676</vt:i4>
      </vt:variant>
      <vt:variant>
        <vt:i4>159</vt:i4>
      </vt:variant>
      <vt:variant>
        <vt:i4>0</vt:i4>
      </vt:variant>
      <vt:variant>
        <vt:i4>5</vt:i4>
      </vt:variant>
      <vt:variant>
        <vt:lpwstr>https://www.cms.int/sites/default/files/document/Argali_SSAP_final_English_0.pdf</vt:lpwstr>
      </vt:variant>
      <vt:variant>
        <vt:lpwstr/>
      </vt:variant>
      <vt:variant>
        <vt:i4>7405676</vt:i4>
      </vt:variant>
      <vt:variant>
        <vt:i4>156</vt:i4>
      </vt:variant>
      <vt:variant>
        <vt:i4>0</vt:i4>
      </vt:variant>
      <vt:variant>
        <vt:i4>5</vt:i4>
      </vt:variant>
      <vt:variant>
        <vt:lpwstr>https://www.cms.int/sites/default/files/document/Argali_SSAP_final_English_0.pdf</vt:lpwstr>
      </vt:variant>
      <vt:variant>
        <vt:lpwstr/>
      </vt:variant>
      <vt:variant>
        <vt:i4>7405676</vt:i4>
      </vt:variant>
      <vt:variant>
        <vt:i4>153</vt:i4>
      </vt:variant>
      <vt:variant>
        <vt:i4>0</vt:i4>
      </vt:variant>
      <vt:variant>
        <vt:i4>5</vt:i4>
      </vt:variant>
      <vt:variant>
        <vt:lpwstr>https://www.cms.int/sites/default/files/document/Argali_SSAP_final_English_0.pdf</vt:lpwstr>
      </vt:variant>
      <vt:variant>
        <vt:lpwstr/>
      </vt:variant>
      <vt:variant>
        <vt:i4>7405676</vt:i4>
      </vt:variant>
      <vt:variant>
        <vt:i4>150</vt:i4>
      </vt:variant>
      <vt:variant>
        <vt:i4>0</vt:i4>
      </vt:variant>
      <vt:variant>
        <vt:i4>5</vt:i4>
      </vt:variant>
      <vt:variant>
        <vt:lpwstr>https://www.cms.int/sites/default/files/document/Argali_SSAP_final_English_0.pdf</vt:lpwstr>
      </vt:variant>
      <vt:variant>
        <vt:lpwstr/>
      </vt:variant>
      <vt:variant>
        <vt:i4>7405676</vt:i4>
      </vt:variant>
      <vt:variant>
        <vt:i4>147</vt:i4>
      </vt:variant>
      <vt:variant>
        <vt:i4>0</vt:i4>
      </vt:variant>
      <vt:variant>
        <vt:i4>5</vt:i4>
      </vt:variant>
      <vt:variant>
        <vt:lpwstr>https://www.cms.int/sites/default/files/document/Argali_SSAP_final_English_0.pdf</vt:lpwstr>
      </vt:variant>
      <vt:variant>
        <vt:lpwstr/>
      </vt:variant>
      <vt:variant>
        <vt:i4>5570561</vt:i4>
      </vt:variant>
      <vt:variant>
        <vt:i4>144</vt:i4>
      </vt:variant>
      <vt:variant>
        <vt:i4>0</vt:i4>
      </vt:variant>
      <vt:variant>
        <vt:i4>5</vt:i4>
      </vt:variant>
      <vt:variant>
        <vt:lpwstr>https://www.cms.int/cami/en/document/range-wide-action-plan-asiatic-wild-ass</vt:lpwstr>
      </vt:variant>
      <vt:variant>
        <vt:lpwstr/>
      </vt:variant>
      <vt:variant>
        <vt:i4>4653065</vt:i4>
      </vt:variant>
      <vt:variant>
        <vt:i4>141</vt:i4>
      </vt:variant>
      <vt:variant>
        <vt:i4>0</vt:i4>
      </vt:variant>
      <vt:variant>
        <vt:i4>5</vt:i4>
      </vt:variant>
      <vt:variant>
        <vt:lpwstr>https://www.cms.int/sharks/sites/default/files/document/cms_pl-rs1_outcome_range-wide-strategy-endorsed_e.pdf</vt:lpwstr>
      </vt:variant>
      <vt:variant>
        <vt:lpwstr/>
      </vt:variant>
      <vt:variant>
        <vt:i4>5111819</vt:i4>
      </vt:variant>
      <vt:variant>
        <vt:i4>138</vt:i4>
      </vt:variant>
      <vt:variant>
        <vt:i4>0</vt:i4>
      </vt:variant>
      <vt:variant>
        <vt:i4>5</vt:i4>
      </vt:variant>
      <vt:variant>
        <vt:lpwstr>https://www.cms.int/sites/default/files/publication/cms-cami_pub_linear-infrastructure_wcs_e.pdf</vt:lpwstr>
      </vt:variant>
      <vt:variant>
        <vt:lpwstr/>
      </vt:variant>
      <vt:variant>
        <vt:i4>3211386</vt:i4>
      </vt:variant>
      <vt:variant>
        <vt:i4>135</vt:i4>
      </vt:variant>
      <vt:variant>
        <vt:i4>0</vt:i4>
      </vt:variant>
      <vt:variant>
        <vt:i4>5</vt:i4>
      </vt:variant>
      <vt:variant>
        <vt:lpwstr>https://www.cms.int/en/meeting/fifth-meeting-signatories-saiga-mou-mos5</vt:lpwstr>
      </vt:variant>
      <vt:variant>
        <vt:lpwstr/>
      </vt:variant>
      <vt:variant>
        <vt:i4>5570561</vt:i4>
      </vt:variant>
      <vt:variant>
        <vt:i4>132</vt:i4>
      </vt:variant>
      <vt:variant>
        <vt:i4>0</vt:i4>
      </vt:variant>
      <vt:variant>
        <vt:i4>5</vt:i4>
      </vt:variant>
      <vt:variant>
        <vt:lpwstr>https://www.cms.int/cami/en/document/range-wide-action-plan-asiatic-wild-ass</vt:lpwstr>
      </vt:variant>
      <vt:variant>
        <vt:lpwstr/>
      </vt:variant>
      <vt:variant>
        <vt:i4>3211386</vt:i4>
      </vt:variant>
      <vt:variant>
        <vt:i4>129</vt:i4>
      </vt:variant>
      <vt:variant>
        <vt:i4>0</vt:i4>
      </vt:variant>
      <vt:variant>
        <vt:i4>5</vt:i4>
      </vt:variant>
      <vt:variant>
        <vt:lpwstr>https://www.cms.int/en/meeting/fifth-meeting-signatories-saiga-mou-mos5</vt:lpwstr>
      </vt:variant>
      <vt:variant>
        <vt:lpwstr/>
      </vt:variant>
      <vt:variant>
        <vt:i4>5570561</vt:i4>
      </vt:variant>
      <vt:variant>
        <vt:i4>126</vt:i4>
      </vt:variant>
      <vt:variant>
        <vt:i4>0</vt:i4>
      </vt:variant>
      <vt:variant>
        <vt:i4>5</vt:i4>
      </vt:variant>
      <vt:variant>
        <vt:lpwstr>https://www.cms.int/cami/en/document/range-wide-action-plan-asiatic-wild-ass</vt:lpwstr>
      </vt:variant>
      <vt:variant>
        <vt:lpwstr/>
      </vt:variant>
      <vt:variant>
        <vt:i4>7995451</vt:i4>
      </vt:variant>
      <vt:variant>
        <vt:i4>123</vt:i4>
      </vt:variant>
      <vt:variant>
        <vt:i4>0</vt:i4>
      </vt:variant>
      <vt:variant>
        <vt:i4>5</vt:i4>
      </vt:variant>
      <vt:variant>
        <vt:lpwstr>https://unitednations.sharepoint.com/sites/CMSFamily/CMS S Drive/TEAMS-Species/TEAM_Terrestrial_Species/CAMI (Central Asian Mammals Initiative)/MEETINGS/2025/CAMI THIRD RANGE STATE MEETING/6.Documents/Download the Roadmap (PDF)</vt:lpwstr>
      </vt:variant>
      <vt:variant>
        <vt:lpwstr/>
      </vt:variant>
      <vt:variant>
        <vt:i4>3801194</vt:i4>
      </vt:variant>
      <vt:variant>
        <vt:i4>120</vt:i4>
      </vt:variant>
      <vt:variant>
        <vt:i4>0</vt:i4>
      </vt:variant>
      <vt:variant>
        <vt:i4>5</vt:i4>
      </vt:variant>
      <vt:variant>
        <vt:lpwstr>https://www.succow-stiftung.de/fileadmin/Ablage/Dokumente/Ustyurt_Memorandum_ENG.pdf</vt:lpwstr>
      </vt:variant>
      <vt:variant>
        <vt:lpwstr/>
      </vt:variant>
      <vt:variant>
        <vt:i4>3211386</vt:i4>
      </vt:variant>
      <vt:variant>
        <vt:i4>117</vt:i4>
      </vt:variant>
      <vt:variant>
        <vt:i4>0</vt:i4>
      </vt:variant>
      <vt:variant>
        <vt:i4>5</vt:i4>
      </vt:variant>
      <vt:variant>
        <vt:lpwstr>https://www.cms.int/en/meeting/fifth-meeting-signatories-saiga-mou-mos5</vt:lpwstr>
      </vt:variant>
      <vt:variant>
        <vt:lpwstr/>
      </vt:variant>
      <vt:variant>
        <vt:i4>5570561</vt:i4>
      </vt:variant>
      <vt:variant>
        <vt:i4>114</vt:i4>
      </vt:variant>
      <vt:variant>
        <vt:i4>0</vt:i4>
      </vt:variant>
      <vt:variant>
        <vt:i4>5</vt:i4>
      </vt:variant>
      <vt:variant>
        <vt:lpwstr>https://www.cms.int/cami/en/document/range-wide-action-plan-asiatic-wild-ass</vt:lpwstr>
      </vt:variant>
      <vt:variant>
        <vt:lpwstr/>
      </vt:variant>
      <vt:variant>
        <vt:i4>4653065</vt:i4>
      </vt:variant>
      <vt:variant>
        <vt:i4>111</vt:i4>
      </vt:variant>
      <vt:variant>
        <vt:i4>0</vt:i4>
      </vt:variant>
      <vt:variant>
        <vt:i4>5</vt:i4>
      </vt:variant>
      <vt:variant>
        <vt:lpwstr>https://www.cms.int/sharks/sites/default/files/document/cms_pl-rs1_outcome_range-wide-strategy-endorsed_e.pdf</vt:lpwstr>
      </vt:variant>
      <vt:variant>
        <vt:lpwstr/>
      </vt:variant>
      <vt:variant>
        <vt:i4>4390980</vt:i4>
      </vt:variant>
      <vt:variant>
        <vt:i4>108</vt:i4>
      </vt:variant>
      <vt:variant>
        <vt:i4>0</vt:i4>
      </vt:variant>
      <vt:variant>
        <vt:i4>5</vt:i4>
      </vt:variant>
      <vt:variant>
        <vt:lpwstr>https://www.unccd.int/sites/default/files/2023-11/CA regional drought strategy EN.pdf</vt:lpwstr>
      </vt:variant>
      <vt:variant>
        <vt:lpwstr/>
      </vt:variant>
      <vt:variant>
        <vt:i4>7143527</vt:i4>
      </vt:variant>
      <vt:variant>
        <vt:i4>105</vt:i4>
      </vt:variant>
      <vt:variant>
        <vt:i4>0</vt:i4>
      </vt:variant>
      <vt:variant>
        <vt:i4>5</vt:i4>
      </vt:variant>
      <vt:variant>
        <vt:lpwstr>https://portals.iucn.org/library/node/50756</vt:lpwstr>
      </vt:variant>
      <vt:variant>
        <vt:lpwstr/>
      </vt:variant>
      <vt:variant>
        <vt:i4>2228323</vt:i4>
      </vt:variant>
      <vt:variant>
        <vt:i4>102</vt:i4>
      </vt:variant>
      <vt:variant>
        <vt:i4>0</vt:i4>
      </vt:variant>
      <vt:variant>
        <vt:i4>5</vt:i4>
      </vt:variant>
      <vt:variant>
        <vt:lpwstr>https://www.ibat-alliance.org/</vt:lpwstr>
      </vt:variant>
      <vt:variant>
        <vt:lpwstr/>
      </vt:variant>
      <vt:variant>
        <vt:i4>8192073</vt:i4>
      </vt:variant>
      <vt:variant>
        <vt:i4>99</vt:i4>
      </vt:variant>
      <vt:variant>
        <vt:i4>0</vt:i4>
      </vt:variant>
      <vt:variant>
        <vt:i4>5</vt:i4>
      </vt:variant>
      <vt:variant>
        <vt:lpwstr>https://www.cms.int/sites/default/files/publication/2024_Mapping Transboundary Conservation Hotspots for the Central Asian Mammals Initiative290425.pdf</vt:lpwstr>
      </vt:variant>
      <vt:variant>
        <vt:lpwstr/>
      </vt:variant>
      <vt:variant>
        <vt:i4>5767183</vt:i4>
      </vt:variant>
      <vt:variant>
        <vt:i4>96</vt:i4>
      </vt:variant>
      <vt:variant>
        <vt:i4>0</vt:i4>
      </vt:variant>
      <vt:variant>
        <vt:i4>5</vt:i4>
      </vt:variant>
      <vt:variant>
        <vt:lpwstr>https://www.cms.int/cami/sites/default/files/publication/Ashgabat communiqu%C3%A9.pdf</vt:lpwstr>
      </vt:variant>
      <vt:variant>
        <vt:lpwstr/>
      </vt:variant>
      <vt:variant>
        <vt:i4>5767183</vt:i4>
      </vt:variant>
      <vt:variant>
        <vt:i4>93</vt:i4>
      </vt:variant>
      <vt:variant>
        <vt:i4>0</vt:i4>
      </vt:variant>
      <vt:variant>
        <vt:i4>5</vt:i4>
      </vt:variant>
      <vt:variant>
        <vt:lpwstr>https://www.cms.int/cami/sites/default/files/publication/Ashgabat communiqu%C3%A9.pdf</vt:lpwstr>
      </vt:variant>
      <vt:variant>
        <vt:lpwstr/>
      </vt:variant>
      <vt:variant>
        <vt:i4>5767183</vt:i4>
      </vt:variant>
      <vt:variant>
        <vt:i4>90</vt:i4>
      </vt:variant>
      <vt:variant>
        <vt:i4>0</vt:i4>
      </vt:variant>
      <vt:variant>
        <vt:i4>5</vt:i4>
      </vt:variant>
      <vt:variant>
        <vt:lpwstr>https://www.cms.int/cami/sites/default/files/publication/Ashgabat communiqu%C3%A9.pdf</vt:lpwstr>
      </vt:variant>
      <vt:variant>
        <vt:lpwstr/>
      </vt:variant>
      <vt:variant>
        <vt:i4>7667765</vt:i4>
      </vt:variant>
      <vt:variant>
        <vt:i4>87</vt:i4>
      </vt:variant>
      <vt:variant>
        <vt:i4>0</vt:i4>
      </vt:variant>
      <vt:variant>
        <vt:i4>5</vt:i4>
      </vt:variant>
      <vt:variant>
        <vt:lpwstr>https://www.iucnredlist.org/resources/redlistguidelines</vt:lpwstr>
      </vt:variant>
      <vt:variant>
        <vt:lpwstr/>
      </vt:variant>
      <vt:variant>
        <vt:i4>1769474</vt:i4>
      </vt:variant>
      <vt:variant>
        <vt:i4>84</vt:i4>
      </vt:variant>
      <vt:variant>
        <vt:i4>0</vt:i4>
      </vt:variant>
      <vt:variant>
        <vt:i4>5</vt:i4>
      </vt:variant>
      <vt:variant>
        <vt:lpwstr>https://www.cms.int/en/publication/potential-community-based-wildlife-management-central-asia</vt:lpwstr>
      </vt:variant>
      <vt:variant>
        <vt:lpwstr/>
      </vt:variant>
      <vt:variant>
        <vt:i4>1769500</vt:i4>
      </vt:variant>
      <vt:variant>
        <vt:i4>81</vt:i4>
      </vt:variant>
      <vt:variant>
        <vt:i4>0</vt:i4>
      </vt:variant>
      <vt:variant>
        <vt:i4>5</vt:i4>
      </vt:variant>
      <vt:variant>
        <vt:lpwstr>https://www.cms.int/en/document/communities-and-livehoods</vt:lpwstr>
      </vt:variant>
      <vt:variant>
        <vt:lpwstr/>
      </vt:variant>
      <vt:variant>
        <vt:i4>3670143</vt:i4>
      </vt:variant>
      <vt:variant>
        <vt:i4>78</vt:i4>
      </vt:variant>
      <vt:variant>
        <vt:i4>0</vt:i4>
      </vt:variant>
      <vt:variant>
        <vt:i4>5</vt:i4>
      </vt:variant>
      <vt:variant>
        <vt:lpwstr>https://www.cms.int/cami/sites/default/files/document/cms_cami2_inf.4_cami-migration-and-infrastructure-atlas_e.pdf</vt:lpwstr>
      </vt:variant>
      <vt:variant>
        <vt:lpwstr/>
      </vt:variant>
      <vt:variant>
        <vt:i4>7077934</vt:i4>
      </vt:variant>
      <vt:variant>
        <vt:i4>75</vt:i4>
      </vt:variant>
      <vt:variant>
        <vt:i4>0</vt:i4>
      </vt:variant>
      <vt:variant>
        <vt:i4>5</vt:i4>
      </vt:variant>
      <vt:variant>
        <vt:lpwstr>https://www.cms.int/en/publication/guidelines-addressing-impact-linear-infrastructure-large-migratory-mammals-central-asia</vt:lpwstr>
      </vt:variant>
      <vt:variant>
        <vt:lpwstr/>
      </vt:variant>
      <vt:variant>
        <vt:i4>1376264</vt:i4>
      </vt:variant>
      <vt:variant>
        <vt:i4>72</vt:i4>
      </vt:variant>
      <vt:variant>
        <vt:i4>0</vt:i4>
      </vt:variant>
      <vt:variant>
        <vt:i4>5</vt:i4>
      </vt:variant>
      <vt:variant>
        <vt:lpwstr>https://camcaproject.org/</vt:lpwstr>
      </vt:variant>
      <vt:variant>
        <vt:lpwstr/>
      </vt:variant>
      <vt:variant>
        <vt:i4>1638465</vt:i4>
      </vt:variant>
      <vt:variant>
        <vt:i4>69</vt:i4>
      </vt:variant>
      <vt:variant>
        <vt:i4>0</vt:i4>
      </vt:variant>
      <vt:variant>
        <vt:i4>5</vt:i4>
      </vt:variant>
      <vt:variant>
        <vt:lpwstr>https://portals.iucn.org/library/sites/library/files/documents/PAG-030-En.pdf</vt:lpwstr>
      </vt:variant>
      <vt:variant>
        <vt:lpwstr/>
      </vt:variant>
      <vt:variant>
        <vt:i4>4128883</vt:i4>
      </vt:variant>
      <vt:variant>
        <vt:i4>66</vt:i4>
      </vt:variant>
      <vt:variant>
        <vt:i4>0</vt:i4>
      </vt:variant>
      <vt:variant>
        <vt:i4>5</vt:i4>
      </vt:variant>
      <vt:variant>
        <vt:lpwstr>https://www.cms.int/sites/default/files/document/cms_cami-tw_inf.1_e_0.pdf</vt:lpwstr>
      </vt:variant>
      <vt:variant>
        <vt:lpwstr/>
      </vt:variant>
      <vt:variant>
        <vt:i4>4128883</vt:i4>
      </vt:variant>
      <vt:variant>
        <vt:i4>63</vt:i4>
      </vt:variant>
      <vt:variant>
        <vt:i4>0</vt:i4>
      </vt:variant>
      <vt:variant>
        <vt:i4>5</vt:i4>
      </vt:variant>
      <vt:variant>
        <vt:lpwstr>https://www.cms.int/sites/default/files/document/cms_cami-tw_inf.1_e_0.pdf</vt:lpwstr>
      </vt:variant>
      <vt:variant>
        <vt:lpwstr/>
      </vt:variant>
      <vt:variant>
        <vt:i4>5046299</vt:i4>
      </vt:variant>
      <vt:variant>
        <vt:i4>60</vt:i4>
      </vt:variant>
      <vt:variant>
        <vt:i4>0</vt:i4>
      </vt:variant>
      <vt:variant>
        <vt:i4>5</vt:i4>
      </vt:variant>
      <vt:variant>
        <vt:lpwstr>https://www.cms.int/en/document/medium-term-international-work-programme-saiga-antelope-2025-2030</vt:lpwstr>
      </vt:variant>
      <vt:variant>
        <vt:lpwstr/>
      </vt:variant>
      <vt:variant>
        <vt:i4>327727</vt:i4>
      </vt:variant>
      <vt:variant>
        <vt:i4>57</vt:i4>
      </vt:variant>
      <vt:variant>
        <vt:i4>0</vt:i4>
      </vt:variant>
      <vt:variant>
        <vt:i4>5</vt:i4>
      </vt:variant>
      <vt:variant>
        <vt:lpwstr>https://www.cms.int/bukhara-deer/sites/default/files/document/cms_bkd_tw1_outcomes_annex2_programme-of-work-2021-2026_e_0.pdf</vt:lpwstr>
      </vt:variant>
      <vt:variant>
        <vt:lpwstr/>
      </vt:variant>
      <vt:variant>
        <vt:i4>1835127</vt:i4>
      </vt:variant>
      <vt:variant>
        <vt:i4>54</vt:i4>
      </vt:variant>
      <vt:variant>
        <vt:i4>0</vt:i4>
      </vt:variant>
      <vt:variant>
        <vt:i4>5</vt:i4>
      </vt:variant>
      <vt:variant>
        <vt:lpwstr>https://www.cms.int/sites/default/files/document/cms-bfn_awatw_outcome1_action-plan_e_0.pdf</vt:lpwstr>
      </vt:variant>
      <vt:variant>
        <vt:lpwstr/>
      </vt:variant>
      <vt:variant>
        <vt:i4>7405676</vt:i4>
      </vt:variant>
      <vt:variant>
        <vt:i4>51</vt:i4>
      </vt:variant>
      <vt:variant>
        <vt:i4>0</vt:i4>
      </vt:variant>
      <vt:variant>
        <vt:i4>5</vt:i4>
      </vt:variant>
      <vt:variant>
        <vt:lpwstr>https://www.cms.int/sites/default/files/document/Argali_SSAP_final_English_0.pdf</vt:lpwstr>
      </vt:variant>
      <vt:variant>
        <vt:lpwstr/>
      </vt:variant>
      <vt:variant>
        <vt:i4>4653065</vt:i4>
      </vt:variant>
      <vt:variant>
        <vt:i4>48</vt:i4>
      </vt:variant>
      <vt:variant>
        <vt:i4>0</vt:i4>
      </vt:variant>
      <vt:variant>
        <vt:i4>5</vt:i4>
      </vt:variant>
      <vt:variant>
        <vt:lpwstr>https://www.cms.int/sharks/sites/default/files/document/cms_pl-rs1_outcome_range-wide-strategy-endorsed_e.pdf</vt:lpwstr>
      </vt:variant>
      <vt:variant>
        <vt:lpwstr/>
      </vt:variant>
      <vt:variant>
        <vt:i4>5046299</vt:i4>
      </vt:variant>
      <vt:variant>
        <vt:i4>45</vt:i4>
      </vt:variant>
      <vt:variant>
        <vt:i4>0</vt:i4>
      </vt:variant>
      <vt:variant>
        <vt:i4>5</vt:i4>
      </vt:variant>
      <vt:variant>
        <vt:lpwstr>https://www.cms.int/en/document/medium-term-international-work-programme-saiga-antelope-2025-2030</vt:lpwstr>
      </vt:variant>
      <vt:variant>
        <vt:lpwstr/>
      </vt:variant>
      <vt:variant>
        <vt:i4>327727</vt:i4>
      </vt:variant>
      <vt:variant>
        <vt:i4>42</vt:i4>
      </vt:variant>
      <vt:variant>
        <vt:i4>0</vt:i4>
      </vt:variant>
      <vt:variant>
        <vt:i4>5</vt:i4>
      </vt:variant>
      <vt:variant>
        <vt:lpwstr>https://www.cms.int/bukhara-deer/sites/default/files/document/cms_bkd_tw1_outcomes_annex2_programme-of-work-2021-2026_e_0.pdf</vt:lpwstr>
      </vt:variant>
      <vt:variant>
        <vt:lpwstr/>
      </vt:variant>
      <vt:variant>
        <vt:i4>1835127</vt:i4>
      </vt:variant>
      <vt:variant>
        <vt:i4>39</vt:i4>
      </vt:variant>
      <vt:variant>
        <vt:i4>0</vt:i4>
      </vt:variant>
      <vt:variant>
        <vt:i4>5</vt:i4>
      </vt:variant>
      <vt:variant>
        <vt:lpwstr>https://www.cms.int/sites/default/files/document/cms-bfn_awatw_outcome1_action-plan_e_0.pdf</vt:lpwstr>
      </vt:variant>
      <vt:variant>
        <vt:lpwstr/>
      </vt:variant>
      <vt:variant>
        <vt:i4>7405676</vt:i4>
      </vt:variant>
      <vt:variant>
        <vt:i4>36</vt:i4>
      </vt:variant>
      <vt:variant>
        <vt:i4>0</vt:i4>
      </vt:variant>
      <vt:variant>
        <vt:i4>5</vt:i4>
      </vt:variant>
      <vt:variant>
        <vt:lpwstr>https://www.cms.int/sites/default/files/document/Argali_SSAP_final_English_0.pdf</vt:lpwstr>
      </vt:variant>
      <vt:variant>
        <vt:lpwstr/>
      </vt:variant>
      <vt:variant>
        <vt:i4>4653065</vt:i4>
      </vt:variant>
      <vt:variant>
        <vt:i4>33</vt:i4>
      </vt:variant>
      <vt:variant>
        <vt:i4>0</vt:i4>
      </vt:variant>
      <vt:variant>
        <vt:i4>5</vt:i4>
      </vt:variant>
      <vt:variant>
        <vt:lpwstr>https://www.cms.int/sharks/sites/default/files/document/cms_pl-rs1_outcome_range-wide-strategy-endorsed_e.pdf</vt:lpwstr>
      </vt:variant>
      <vt:variant>
        <vt:lpwstr/>
      </vt:variant>
      <vt:variant>
        <vt:i4>131074</vt:i4>
      </vt:variant>
      <vt:variant>
        <vt:i4>30</vt:i4>
      </vt:variant>
      <vt:variant>
        <vt:i4>0</vt:i4>
      </vt:variant>
      <vt:variant>
        <vt:i4>5</vt:i4>
      </vt:variant>
      <vt:variant>
        <vt:lpwstr>https://iucn.org/our-work/projects/one-health-nature-conservation-central-asia-enhancing-landscape-resilience</vt:lpwstr>
      </vt:variant>
      <vt:variant>
        <vt:lpwstr/>
      </vt:variant>
      <vt:variant>
        <vt:i4>589852</vt:i4>
      </vt:variant>
      <vt:variant>
        <vt:i4>27</vt:i4>
      </vt:variant>
      <vt:variant>
        <vt:i4>0</vt:i4>
      </vt:variant>
      <vt:variant>
        <vt:i4>5</vt:i4>
      </vt:variant>
      <vt:variant>
        <vt:lpwstr>https://www.cms.int/dugong/sites/default/files/document/cms_cami-tw_inf.1_e_0.pdf</vt:lpwstr>
      </vt:variant>
      <vt:variant>
        <vt:lpwstr/>
      </vt:variant>
      <vt:variant>
        <vt:i4>5046299</vt:i4>
      </vt:variant>
      <vt:variant>
        <vt:i4>24</vt:i4>
      </vt:variant>
      <vt:variant>
        <vt:i4>0</vt:i4>
      </vt:variant>
      <vt:variant>
        <vt:i4>5</vt:i4>
      </vt:variant>
      <vt:variant>
        <vt:lpwstr>https://www.cms.int/en/document/medium-term-international-work-programme-saiga-antelope-2025-2030</vt:lpwstr>
      </vt:variant>
      <vt:variant>
        <vt:lpwstr/>
      </vt:variant>
      <vt:variant>
        <vt:i4>6226024</vt:i4>
      </vt:variant>
      <vt:variant>
        <vt:i4>21</vt:i4>
      </vt:variant>
      <vt:variant>
        <vt:i4>0</vt:i4>
      </vt:variant>
      <vt:variant>
        <vt:i4>5</vt:i4>
      </vt:variant>
      <vt:variant>
        <vt:lpwstr>https://www.cms.int/sites/default/files/document/cms_saiga_mos5_outcome1_overview-report_e.pdf</vt:lpwstr>
      </vt:variant>
      <vt:variant>
        <vt:lpwstr/>
      </vt:variant>
      <vt:variant>
        <vt:i4>2555973</vt:i4>
      </vt:variant>
      <vt:variant>
        <vt:i4>18</vt:i4>
      </vt:variant>
      <vt:variant>
        <vt:i4>0</vt:i4>
      </vt:variant>
      <vt:variant>
        <vt:i4>5</vt:i4>
      </vt:variant>
      <vt:variant>
        <vt:lpwstr>https://www.succow-stiftung.de/fileadmin/Ablage/Dokumente/Roadmap_to_Action_Ustyurt_MOC_ENG.pdf</vt:lpwstr>
      </vt:variant>
      <vt:variant>
        <vt:lpwstr/>
      </vt:variant>
      <vt:variant>
        <vt:i4>5046299</vt:i4>
      </vt:variant>
      <vt:variant>
        <vt:i4>15</vt:i4>
      </vt:variant>
      <vt:variant>
        <vt:i4>0</vt:i4>
      </vt:variant>
      <vt:variant>
        <vt:i4>5</vt:i4>
      </vt:variant>
      <vt:variant>
        <vt:lpwstr>https://www.cms.int/en/document/medium-term-international-work-programme-saiga-antelope-2025-2030</vt:lpwstr>
      </vt:variant>
      <vt:variant>
        <vt:lpwstr/>
      </vt:variant>
      <vt:variant>
        <vt:i4>7405676</vt:i4>
      </vt:variant>
      <vt:variant>
        <vt:i4>12</vt:i4>
      </vt:variant>
      <vt:variant>
        <vt:i4>0</vt:i4>
      </vt:variant>
      <vt:variant>
        <vt:i4>5</vt:i4>
      </vt:variant>
      <vt:variant>
        <vt:lpwstr>https://www.cms.int/sites/default/files/document/Argali_SSAP_final_English_0.pdf</vt:lpwstr>
      </vt:variant>
      <vt:variant>
        <vt:lpwstr/>
      </vt:variant>
      <vt:variant>
        <vt:i4>327727</vt:i4>
      </vt:variant>
      <vt:variant>
        <vt:i4>9</vt:i4>
      </vt:variant>
      <vt:variant>
        <vt:i4>0</vt:i4>
      </vt:variant>
      <vt:variant>
        <vt:i4>5</vt:i4>
      </vt:variant>
      <vt:variant>
        <vt:lpwstr>https://www.cms.int/bukhara-deer/sites/default/files/document/cms_bkd_tw1_outcomes_annex2_programme-of-work-2021-2026_e_0.pdf</vt:lpwstr>
      </vt:variant>
      <vt:variant>
        <vt:lpwstr/>
      </vt:variant>
      <vt:variant>
        <vt:i4>1769474</vt:i4>
      </vt:variant>
      <vt:variant>
        <vt:i4>6</vt:i4>
      </vt:variant>
      <vt:variant>
        <vt:i4>0</vt:i4>
      </vt:variant>
      <vt:variant>
        <vt:i4>5</vt:i4>
      </vt:variant>
      <vt:variant>
        <vt:lpwstr>https://www.cms.int/en/publication/potential-community-based-wildlife-management-central-asia</vt:lpwstr>
      </vt:variant>
      <vt:variant>
        <vt:lpwstr/>
      </vt:variant>
      <vt:variant>
        <vt:i4>6029390</vt:i4>
      </vt:variant>
      <vt:variant>
        <vt:i4>3</vt:i4>
      </vt:variant>
      <vt:variant>
        <vt:i4>0</vt:i4>
      </vt:variant>
      <vt:variant>
        <vt:i4>5</vt:i4>
      </vt:variant>
      <vt:variant>
        <vt:lpwstr>https://www.cms.int/en/publication/mapping-transboundary-conservation-hotspots-central-asian-mammals-initiative-0</vt:lpwstr>
      </vt:variant>
      <vt:variant>
        <vt:lpwstr/>
      </vt:variant>
      <vt:variant>
        <vt:i4>1376264</vt:i4>
      </vt:variant>
      <vt:variant>
        <vt:i4>0</vt:i4>
      </vt:variant>
      <vt:variant>
        <vt:i4>0</vt:i4>
      </vt:variant>
      <vt:variant>
        <vt:i4>5</vt:i4>
      </vt:variant>
      <vt:variant>
        <vt:lpwstr>https://camcaproject.org/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Catherine Brueckner</cp:lastModifiedBy>
  <cp:revision>136</cp:revision>
  <dcterms:created xsi:type="dcterms:W3CDTF">2025-10-16T13:36:00Z</dcterms:created>
  <dcterms:modified xsi:type="dcterms:W3CDTF">2025-11-24T13:23:00Z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Order">
    <vt:r8>100</vt:r8>
  </property>
  <property fmtid="{D5CDD505-2E9C-101B-9397-08002B2CF9AE}" pid="4" name="MediaServiceImageTags">
    <vt:lpwstr/>
  </property>
  <property fmtid="{D5CDD505-2E9C-101B-9397-08002B2CF9AE}" pid="5" name="TaxKeyword">
    <vt:lpwstr/>
  </property>
</Properties>
</file>