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F409BB">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F409B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0431195E" w:rsidR="00002A97" w:rsidRPr="00EB318E" w:rsidRDefault="00002A97" w:rsidP="00F409B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EB318E">
              <w:rPr>
                <w:rFonts w:eastAsia="Times New Roman" w:cs="Arial"/>
                <w:szCs w:val="24"/>
                <w:lang w:val="es-ES" w:eastAsia="es-ES"/>
              </w:rPr>
              <w:t>UNEP/CMS/COP1</w:t>
            </w:r>
            <w:r w:rsidR="00C22155" w:rsidRPr="00EB318E">
              <w:rPr>
                <w:rFonts w:eastAsia="Times New Roman" w:cs="Arial"/>
                <w:szCs w:val="24"/>
                <w:lang w:val="es-ES" w:eastAsia="es-ES"/>
              </w:rPr>
              <w:t>5</w:t>
            </w:r>
            <w:r w:rsidRPr="00EB318E">
              <w:rPr>
                <w:rFonts w:eastAsia="Times New Roman" w:cs="Arial"/>
                <w:szCs w:val="24"/>
                <w:lang w:val="es-ES" w:eastAsia="es-ES"/>
              </w:rPr>
              <w:t>/</w:t>
            </w:r>
            <w:r w:rsidR="00800CB3" w:rsidRPr="00EB318E">
              <w:rPr>
                <w:rFonts w:eastAsia="Times New Roman" w:cs="Arial"/>
                <w:szCs w:val="24"/>
                <w:lang w:val="es-ES" w:eastAsia="es-ES"/>
              </w:rPr>
              <w:t>Doc</w:t>
            </w:r>
            <w:r w:rsidRPr="00EB318E">
              <w:rPr>
                <w:rFonts w:eastAsia="Times New Roman" w:cs="Arial"/>
                <w:szCs w:val="24"/>
                <w:lang w:val="es-ES" w:eastAsia="es-ES"/>
              </w:rPr>
              <w:t>.</w:t>
            </w:r>
            <w:r w:rsidR="00AA0D65" w:rsidRPr="00EB318E">
              <w:rPr>
                <w:rFonts w:eastAsia="Times New Roman" w:cs="Arial"/>
                <w:szCs w:val="24"/>
                <w:lang w:val="es-ES" w:eastAsia="es-ES"/>
              </w:rPr>
              <w:t>26.5</w:t>
            </w:r>
          </w:p>
          <w:p w14:paraId="5F9B9DE6" w14:textId="09B97DFB" w:rsidR="00002A97" w:rsidRPr="00EB318E" w:rsidRDefault="00FC4938" w:rsidP="00F409BB">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B318E">
              <w:rPr>
                <w:rFonts w:eastAsia="Times New Roman" w:cs="Arial"/>
                <w:szCs w:val="24"/>
                <w:lang w:val="es-ES" w:eastAsia="es-ES"/>
              </w:rPr>
              <w:t xml:space="preserve">10 de septiembre </w:t>
            </w:r>
            <w:r w:rsidR="00002A97" w:rsidRPr="00EB318E">
              <w:rPr>
                <w:rFonts w:eastAsia="Times New Roman" w:cs="Arial"/>
                <w:szCs w:val="24"/>
                <w:lang w:val="es-ES" w:eastAsia="es-ES"/>
              </w:rPr>
              <w:t>20</w:t>
            </w:r>
            <w:r w:rsidR="000F4BDA" w:rsidRPr="00EB318E">
              <w:rPr>
                <w:rFonts w:eastAsia="Times New Roman" w:cs="Arial"/>
                <w:szCs w:val="24"/>
                <w:lang w:val="es-ES" w:eastAsia="es-ES"/>
              </w:rPr>
              <w:t>2</w:t>
            </w:r>
            <w:r w:rsidR="00BE6C85" w:rsidRPr="00EB318E">
              <w:rPr>
                <w:rFonts w:eastAsia="Times New Roman" w:cs="Arial"/>
                <w:szCs w:val="24"/>
                <w:lang w:val="es-ES" w:eastAsia="es-ES"/>
              </w:rPr>
              <w:t>5</w:t>
            </w:r>
          </w:p>
          <w:p w14:paraId="70056628" w14:textId="77777777" w:rsidR="00002A97" w:rsidRPr="00002A97" w:rsidRDefault="00002A97" w:rsidP="00F409BB">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F409BB">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F409BB">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F409BB">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F409BB">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F409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2339951" w:rsidR="00002A97" w:rsidRPr="00002A97" w:rsidRDefault="00002A97" w:rsidP="00F409BB">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AA0D65">
        <w:rPr>
          <w:rFonts w:eastAsia="Times New Roman" w:cs="Arial"/>
          <w:szCs w:val="24"/>
          <w:lang w:val="es-ES" w:eastAsia="es-ES"/>
        </w:rPr>
        <w:t>26.5</w:t>
      </w:r>
      <w:r w:rsidRPr="00002A97">
        <w:rPr>
          <w:rFonts w:eastAsia="Times New Roman" w:cs="Arial"/>
          <w:szCs w:val="24"/>
          <w:lang w:val="es-ES" w:eastAsia="es-ES"/>
        </w:rPr>
        <w:t xml:space="preserve"> del orden del día</w:t>
      </w:r>
    </w:p>
    <w:p w14:paraId="7D24E2F1" w14:textId="77777777" w:rsidR="00002A97" w:rsidRDefault="00002A97" w:rsidP="00F409BB">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F409BB">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53071923" w14:textId="77777777" w:rsidR="00674662" w:rsidRDefault="00EB318E" w:rsidP="0067466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b/>
          <w:bCs/>
          <w:lang w:val="es-ES"/>
        </w:rPr>
      </w:pPr>
      <w:r w:rsidRPr="0011421F">
        <w:rPr>
          <w:b/>
          <w:bCs/>
          <w:lang w:val="es-ES"/>
        </w:rPr>
        <w:t xml:space="preserve">PLAN DE ACCIÓN PARA LAS AVES TERRESTRES MIGRATORIAS EN </w:t>
      </w:r>
    </w:p>
    <w:p w14:paraId="62AB6703" w14:textId="5DF31F5D" w:rsidR="00002A97" w:rsidRPr="00790422" w:rsidRDefault="00EB318E" w:rsidP="00F409B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11421F">
        <w:rPr>
          <w:b/>
          <w:bCs/>
          <w:lang w:val="es-ES"/>
        </w:rPr>
        <w:t>LA REGIÓN DE ÁFRICA Y EURASIA (AEMLAP)</w:t>
      </w:r>
    </w:p>
    <w:p w14:paraId="649BC530" w14:textId="62EED1DF" w:rsidR="00002A97" w:rsidRPr="00EB318E" w:rsidRDefault="002D5F2A" w:rsidP="00F409BB">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szCs w:val="24"/>
          <w:lang w:val="es-ES" w:eastAsia="es-ES"/>
        </w:rPr>
        <w:t xml:space="preserve"> </w:t>
      </w:r>
      <w:r w:rsidR="00E77A9F" w:rsidRPr="00EB318E">
        <w:rPr>
          <w:rFonts w:eastAsia="Times New Roman" w:cs="Arial"/>
          <w:i/>
          <w:szCs w:val="24"/>
          <w:lang w:eastAsia="es-ES"/>
        </w:rPr>
        <w:t>(</w:t>
      </w:r>
      <w:proofErr w:type="spellStart"/>
      <w:r w:rsidR="00E77A9F" w:rsidRPr="00EB318E">
        <w:rPr>
          <w:rFonts w:eastAsia="Times New Roman" w:cs="Arial"/>
          <w:i/>
          <w:szCs w:val="24"/>
          <w:lang w:eastAsia="es-ES"/>
        </w:rPr>
        <w:t>Preparado</w:t>
      </w:r>
      <w:proofErr w:type="spellEnd"/>
      <w:r w:rsidR="00E77A9F" w:rsidRPr="00EB318E">
        <w:rPr>
          <w:rFonts w:eastAsia="Times New Roman" w:cs="Arial"/>
          <w:i/>
          <w:szCs w:val="24"/>
          <w:lang w:eastAsia="es-ES"/>
        </w:rPr>
        <w:t xml:space="preserve"> </w:t>
      </w:r>
      <w:proofErr w:type="spellStart"/>
      <w:r w:rsidR="00E77A9F" w:rsidRPr="00EB318E">
        <w:rPr>
          <w:rFonts w:eastAsia="Times New Roman" w:cs="Arial"/>
          <w:i/>
          <w:szCs w:val="24"/>
          <w:lang w:eastAsia="es-ES"/>
        </w:rPr>
        <w:t>por</w:t>
      </w:r>
      <w:proofErr w:type="spellEnd"/>
      <w:r w:rsidR="00E77A9F" w:rsidRPr="00EB318E">
        <w:rPr>
          <w:rFonts w:eastAsia="Times New Roman" w:cs="Arial"/>
          <w:i/>
          <w:szCs w:val="24"/>
          <w:lang w:eastAsia="es-ES"/>
        </w:rPr>
        <w:t xml:space="preserve"> la </w:t>
      </w:r>
      <w:proofErr w:type="spellStart"/>
      <w:r w:rsidR="00800CB3" w:rsidRPr="00EB318E">
        <w:rPr>
          <w:rFonts w:eastAsia="Times New Roman" w:cs="Arial"/>
          <w:i/>
          <w:szCs w:val="24"/>
          <w:lang w:eastAsia="es-ES"/>
        </w:rPr>
        <w:t>Secretaría</w:t>
      </w:r>
      <w:proofErr w:type="spellEnd"/>
      <w:r w:rsidR="00E77A9F" w:rsidRPr="00EB318E">
        <w:rPr>
          <w:rFonts w:eastAsia="Times New Roman" w:cs="Arial"/>
          <w:i/>
          <w:szCs w:val="24"/>
          <w:lang w:eastAsia="es-ES"/>
        </w:rPr>
        <w:t>)</w:t>
      </w:r>
      <w:r w:rsidR="00002A97" w:rsidRPr="00EB318E">
        <w:rPr>
          <w:rFonts w:eastAsia="Times New Roman" w:cs="Arial"/>
          <w:i/>
          <w:szCs w:val="24"/>
          <w:lang w:eastAsia="es-ES"/>
        </w:rPr>
        <w:t xml:space="preserve"> </w:t>
      </w:r>
    </w:p>
    <w:p w14:paraId="6A23E363" w14:textId="77777777" w:rsidR="00002A97" w:rsidRPr="00EB318E" w:rsidRDefault="00002A97" w:rsidP="00F409BB">
      <w:pPr>
        <w:widowControl w:val="0"/>
        <w:tabs>
          <w:tab w:val="left" w:pos="8295"/>
        </w:tabs>
        <w:suppressAutoHyphens/>
        <w:autoSpaceDE w:val="0"/>
        <w:autoSpaceDN w:val="0"/>
        <w:spacing w:after="0" w:line="240" w:lineRule="auto"/>
        <w:jc w:val="both"/>
        <w:textAlignment w:val="baseline"/>
        <w:rPr>
          <w:rFonts w:eastAsia="Times New Roman" w:cs="Arial"/>
          <w:lang w:eastAsia="es-ES"/>
        </w:rPr>
      </w:pPr>
    </w:p>
    <w:p w14:paraId="7DD73723" w14:textId="7EF653A4" w:rsidR="00002A97" w:rsidRPr="00EB318E" w:rsidRDefault="002D5F2A" w:rsidP="00F409BB">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0B07CFF6">
                <wp:simplePos x="0" y="0"/>
                <wp:positionH relativeFrom="column">
                  <wp:posOffset>971550</wp:posOffset>
                </wp:positionH>
                <wp:positionV relativeFrom="paragraph">
                  <wp:posOffset>149860</wp:posOffset>
                </wp:positionV>
                <wp:extent cx="4304666" cy="24860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486025"/>
                        </a:xfrm>
                        <a:prstGeom prst="rect">
                          <a:avLst/>
                        </a:prstGeom>
                        <a:solidFill>
                          <a:srgbClr val="FFFFFF"/>
                        </a:solidFill>
                        <a:ln w="3172">
                          <a:solidFill>
                            <a:srgbClr val="000000"/>
                          </a:solidFill>
                          <a:prstDash val="solid"/>
                        </a:ln>
                      </wps:spPr>
                      <wps:txbx>
                        <w:txbxContent>
                          <w:p w14:paraId="78EFDF6D" w14:textId="1DCE26E8" w:rsidR="002D5F2A" w:rsidRDefault="002D5F2A" w:rsidP="00673ADE">
                            <w:pPr>
                              <w:spacing w:after="0" w:line="240" w:lineRule="auto"/>
                              <w:jc w:val="both"/>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673ADE">
                            <w:pPr>
                              <w:spacing w:after="0" w:line="240" w:lineRule="auto"/>
                              <w:jc w:val="both"/>
                              <w:rPr>
                                <w:rFonts w:cs="Arial"/>
                                <w:lang w:val="fr-FR"/>
                              </w:rPr>
                            </w:pPr>
                          </w:p>
                          <w:p w14:paraId="06678C86" w14:textId="77777777" w:rsidR="00673ADE" w:rsidRPr="0011421F" w:rsidRDefault="00673ADE" w:rsidP="00673ADE">
                            <w:pPr>
                              <w:spacing w:after="0" w:line="240" w:lineRule="auto"/>
                              <w:jc w:val="both"/>
                              <w:rPr>
                                <w:rFonts w:cs="Arial"/>
                                <w:lang w:val="es-ES"/>
                              </w:rPr>
                            </w:pPr>
                            <w:r w:rsidRPr="0011421F">
                              <w:rPr>
                                <w:rFonts w:cs="Arial"/>
                                <w:lang w:val="es-ES"/>
                              </w:rPr>
                              <w:t xml:space="preserve">Este documento informa sobre el progreso realizado en la implementación de la Resolución 11.17 (Rev.COP14) </w:t>
                            </w:r>
                            <w:r w:rsidRPr="0011421F">
                              <w:rPr>
                                <w:rFonts w:cs="Arial"/>
                                <w:i/>
                                <w:lang w:val="es-ES"/>
                              </w:rPr>
                              <w:t>Plan de Acción para las aves terrestres migratorias en la región de África y Eurasia (AEMLAP)</w:t>
                            </w:r>
                            <w:r w:rsidRPr="0011421F">
                              <w:rPr>
                                <w:rFonts w:cs="Arial"/>
                                <w:lang w:val="es-ES"/>
                              </w:rPr>
                              <w:t xml:space="preserve"> y las Decisiones relacionadas 14.130 a 14.133. </w:t>
                            </w:r>
                          </w:p>
                          <w:p w14:paraId="4D86A461" w14:textId="77777777" w:rsidR="00673ADE" w:rsidRPr="0011421F" w:rsidRDefault="00673ADE" w:rsidP="00673ADE">
                            <w:pPr>
                              <w:spacing w:after="0" w:line="240" w:lineRule="auto"/>
                              <w:jc w:val="both"/>
                              <w:rPr>
                                <w:rFonts w:cs="Arial"/>
                                <w:lang w:val="es-ES"/>
                              </w:rPr>
                            </w:pPr>
                            <w:r w:rsidRPr="0011421F">
                              <w:rPr>
                                <w:rFonts w:cs="Arial"/>
                                <w:lang w:val="es-ES"/>
                              </w:rPr>
                              <w:t xml:space="preserve">Propone proyectos de enmiendas a la Resolución 11.17 (Rev.COP14) y la derogación de las Decisiones 14.130 a 14.133, además de la aprobación de nuevos proyectos de Decisión. </w:t>
                            </w:r>
                          </w:p>
                          <w:p w14:paraId="415D03D1" w14:textId="77777777" w:rsidR="00673ADE" w:rsidRPr="0011421F" w:rsidRDefault="00673ADE" w:rsidP="00673ADE">
                            <w:pPr>
                              <w:spacing w:after="0" w:line="240" w:lineRule="auto"/>
                              <w:jc w:val="both"/>
                              <w:rPr>
                                <w:rFonts w:cs="Arial"/>
                                <w:lang w:val="es-ES"/>
                              </w:rPr>
                            </w:pPr>
                          </w:p>
                          <w:p w14:paraId="61549F13" w14:textId="45C1D9CC" w:rsidR="00673ADE" w:rsidRPr="00673ADE" w:rsidRDefault="00673ADE" w:rsidP="00673ADE">
                            <w:pPr>
                              <w:spacing w:after="0" w:line="240" w:lineRule="auto"/>
                              <w:jc w:val="both"/>
                              <w:rPr>
                                <w:rFonts w:cs="Arial"/>
                                <w:lang w:val="es-ES"/>
                              </w:rPr>
                            </w:pPr>
                            <w:r w:rsidRPr="0011421F">
                              <w:rPr>
                                <w:rFonts w:cs="Arial"/>
                                <w:lang w:val="es-ES"/>
                              </w:rPr>
                              <w:t>Las enmiendas y los proyectos de Decisión propuestos en este documento contribuyen específicamente a lograr las Metas 1.1, 2.1, 2.2, 2.3, 5.3, 6.1 y 6.4 del Plan Estratégico de Samarcanda para las Especies Migratorias 2024–2032</w:t>
                            </w:r>
                            <w:r>
                              <w:rPr>
                                <w:rFonts w:cs="Arial"/>
                                <w:lang w:val="es-ES"/>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8pt;width:338.95pt;height:195.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" strokeweight=".08811mm">
                <v:textbox>
                  <w:txbxContent>
                    <w:p w14:paraId="78EFDF6D" w14:textId="1DCE26E8" w:rsidR="002D5F2A" w:rsidRDefault="002D5F2A" w:rsidP="00673ADE">
                      <w:pPr>
                        <w:spacing w:after="0" w:line="240" w:lineRule="auto"/>
                        <w:jc w:val="both"/>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673ADE">
                      <w:pPr>
                        <w:spacing w:after="0" w:line="240" w:lineRule="auto"/>
                        <w:jc w:val="both"/>
                        <w:rPr>
                          <w:rFonts w:cs="Arial"/>
                          <w:lang w:val="fr-FR"/>
                        </w:rPr>
                      </w:pPr>
                    </w:p>
                    <w:p w14:paraId="06678C86" w14:textId="77777777" w:rsidR="00673ADE" w:rsidRPr="0011421F" w:rsidRDefault="00673ADE" w:rsidP="00673ADE">
                      <w:pPr>
                        <w:spacing w:after="0" w:line="240" w:lineRule="auto"/>
                        <w:jc w:val="both"/>
                        <w:rPr>
                          <w:rFonts w:cs="Arial"/>
                          <w:lang w:val="es-ES"/>
                        </w:rPr>
                      </w:pPr>
                      <w:r w:rsidRPr="0011421F">
                        <w:rPr>
                          <w:rFonts w:cs="Arial"/>
                          <w:lang w:val="es-ES"/>
                        </w:rPr>
                        <w:t xml:space="preserve">Este documento informa sobre el progreso realizado en la implementación de la Resolución 11.17 (Rev.COP14) </w:t>
                      </w:r>
                      <w:r w:rsidRPr="0011421F">
                        <w:rPr>
                          <w:rFonts w:cs="Arial"/>
                          <w:i/>
                          <w:lang w:val="es-ES"/>
                        </w:rPr>
                        <w:t>Plan de Acción para las aves terrestres migratorias en la región de África y Eurasia (AEMLAP)</w:t>
                      </w:r>
                      <w:r w:rsidRPr="0011421F">
                        <w:rPr>
                          <w:rFonts w:cs="Arial"/>
                          <w:lang w:val="es-ES"/>
                        </w:rPr>
                        <w:t xml:space="preserve"> y las Decisiones relacionadas 14.130 a 14.133. </w:t>
                      </w:r>
                    </w:p>
                    <w:p w14:paraId="4D86A461" w14:textId="77777777" w:rsidR="00673ADE" w:rsidRPr="0011421F" w:rsidRDefault="00673ADE" w:rsidP="00673ADE">
                      <w:pPr>
                        <w:spacing w:after="0" w:line="240" w:lineRule="auto"/>
                        <w:jc w:val="both"/>
                        <w:rPr>
                          <w:rFonts w:cs="Arial"/>
                          <w:lang w:val="es-ES"/>
                        </w:rPr>
                      </w:pPr>
                      <w:r w:rsidRPr="0011421F">
                        <w:rPr>
                          <w:rFonts w:cs="Arial"/>
                          <w:lang w:val="es-ES"/>
                        </w:rPr>
                        <w:t xml:space="preserve">Propone proyectos de enmiendas a la Resolución 11.17 (Rev.COP14) y la derogación de las Decisiones 14.130 a 14.133, además de la aprobación de nuevos proyectos de Decisión. </w:t>
                      </w:r>
                    </w:p>
                    <w:p w14:paraId="415D03D1" w14:textId="77777777" w:rsidR="00673ADE" w:rsidRPr="0011421F" w:rsidRDefault="00673ADE" w:rsidP="00673ADE">
                      <w:pPr>
                        <w:spacing w:after="0" w:line="240" w:lineRule="auto"/>
                        <w:jc w:val="both"/>
                        <w:rPr>
                          <w:rFonts w:cs="Arial"/>
                          <w:lang w:val="es-ES"/>
                        </w:rPr>
                      </w:pPr>
                    </w:p>
                    <w:p w14:paraId="61549F13" w14:textId="45C1D9CC" w:rsidR="00673ADE" w:rsidRPr="00673ADE" w:rsidRDefault="00673ADE" w:rsidP="00673ADE">
                      <w:pPr>
                        <w:spacing w:after="0" w:line="240" w:lineRule="auto"/>
                        <w:jc w:val="both"/>
                        <w:rPr>
                          <w:rFonts w:cs="Arial"/>
                          <w:lang w:val="es-ES"/>
                        </w:rPr>
                      </w:pPr>
                      <w:r w:rsidRPr="0011421F">
                        <w:rPr>
                          <w:rFonts w:cs="Arial"/>
                          <w:lang w:val="es-ES"/>
                        </w:rPr>
                        <w:t>Las enmiendas y los proyectos de Decisión propuestos en este documento contribuyen específicamente a lograr las Metas 1.1, 2.1, 2.2, 2.3, 5.3, 6.1 y 6.4 del Plan Estratégico de Samarcanda para las Especies Migratorias 2024–2032</w:t>
                      </w:r>
                      <w:r>
                        <w:rPr>
                          <w:rFonts w:cs="Arial"/>
                          <w:lang w:val="es-ES"/>
                        </w:rPr>
                        <w:t>.</w:t>
                      </w:r>
                    </w:p>
                  </w:txbxContent>
                </v:textbox>
              </v:shape>
            </w:pict>
          </mc:Fallback>
        </mc:AlternateContent>
      </w:r>
    </w:p>
    <w:p w14:paraId="446B2251" w14:textId="3D106049"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5D1046C7" w14:textId="292C83CD"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547839D3"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234F4552"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33232352"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660ED408"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61E92F8A"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49D1ABE8"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0BBCB6E8"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61C18AAA"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58F1984A"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476C2460"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1ABC5A62"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46E41D78"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384B6374"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3F333155"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29F85BB4"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37E2C95B"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12536E0B"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25B16880"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2202BB70"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5DDD6F5C"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1305F4B1"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6688DCBA"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2B88AEC7"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35A5CEA7"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34F5A5A6"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4EE0A7FF"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1B99C18C" w14:textId="77777777" w:rsidR="00002A97" w:rsidRPr="00EB318E" w:rsidRDefault="00002A97" w:rsidP="00F409BB">
      <w:pPr>
        <w:widowControl w:val="0"/>
        <w:suppressAutoHyphens/>
        <w:autoSpaceDE w:val="0"/>
        <w:autoSpaceDN w:val="0"/>
        <w:spacing w:after="0" w:line="240" w:lineRule="auto"/>
        <w:textAlignment w:val="baseline"/>
        <w:rPr>
          <w:rFonts w:eastAsia="Times New Roman" w:cs="Arial"/>
          <w:lang w:eastAsia="es-ES"/>
        </w:rPr>
      </w:pPr>
    </w:p>
    <w:p w14:paraId="74A2DE84" w14:textId="08B74B01" w:rsidR="002D5F2A" w:rsidRPr="00EB318E" w:rsidRDefault="002D5F2A" w:rsidP="00F409BB">
      <w:pPr>
        <w:spacing w:line="240" w:lineRule="auto"/>
        <w:rPr>
          <w:rFonts w:eastAsia="Times New Roman" w:cs="Arial"/>
          <w:lang w:eastAsia="es-ES"/>
        </w:rPr>
      </w:pPr>
      <w:r w:rsidRPr="00EB318E">
        <w:rPr>
          <w:rFonts w:eastAsia="Times New Roman" w:cs="Arial"/>
          <w:lang w:eastAsia="es-ES"/>
        </w:rPr>
        <w:br w:type="page"/>
      </w:r>
    </w:p>
    <w:p w14:paraId="36B4C5FD" w14:textId="77777777" w:rsidR="00674662" w:rsidRDefault="00445486" w:rsidP="00F409BB">
      <w:pPr>
        <w:widowControl w:val="0"/>
        <w:autoSpaceDE w:val="0"/>
        <w:adjustRightInd w:val="0"/>
        <w:spacing w:after="0" w:line="240" w:lineRule="auto"/>
        <w:jc w:val="center"/>
        <w:rPr>
          <w:b/>
          <w:bCs/>
          <w:lang w:val="es-ES"/>
        </w:rPr>
      </w:pPr>
      <w:r w:rsidRPr="0011421F">
        <w:rPr>
          <w:b/>
          <w:bCs/>
          <w:lang w:val="es-ES"/>
        </w:rPr>
        <w:lastRenderedPageBreak/>
        <w:t xml:space="preserve">PLAN DE ACCIÓN PARA LAS AVES TERRESTRES MIGRATORIAS EN </w:t>
      </w:r>
    </w:p>
    <w:p w14:paraId="7162BACC" w14:textId="2EC78136" w:rsidR="004D18E2" w:rsidRPr="00445486" w:rsidRDefault="00445486" w:rsidP="00F409BB">
      <w:pPr>
        <w:widowControl w:val="0"/>
        <w:autoSpaceDE w:val="0"/>
        <w:adjustRightInd w:val="0"/>
        <w:spacing w:after="0" w:line="240" w:lineRule="auto"/>
        <w:jc w:val="center"/>
        <w:rPr>
          <w:b/>
          <w:bCs/>
          <w:lang w:val="es-ES"/>
        </w:rPr>
      </w:pPr>
      <w:r w:rsidRPr="0011421F">
        <w:rPr>
          <w:b/>
          <w:bCs/>
          <w:lang w:val="es-ES"/>
        </w:rPr>
        <w:t>LA REGIÓN DE ÁFRICA Y EURASIA (AEMLAP)</w:t>
      </w:r>
    </w:p>
    <w:p w14:paraId="73A52608" w14:textId="77777777" w:rsidR="004D18E2" w:rsidRPr="00445486" w:rsidRDefault="004D18E2" w:rsidP="00F409BB">
      <w:pPr>
        <w:suppressAutoHyphens/>
        <w:autoSpaceDN w:val="0"/>
        <w:spacing w:after="0" w:line="240" w:lineRule="auto"/>
        <w:textAlignment w:val="baseline"/>
        <w:rPr>
          <w:rFonts w:eastAsia="Calibri" w:cs="Arial"/>
          <w:lang w:val="es-ES"/>
        </w:rPr>
      </w:pPr>
    </w:p>
    <w:p w14:paraId="21B0FFE9" w14:textId="77777777" w:rsidR="004D18E2" w:rsidRPr="00445486" w:rsidRDefault="004D18E2" w:rsidP="00F409BB">
      <w:pPr>
        <w:suppressAutoHyphens/>
        <w:autoSpaceDN w:val="0"/>
        <w:spacing w:after="0" w:line="240" w:lineRule="auto"/>
        <w:textAlignment w:val="baseline"/>
        <w:rPr>
          <w:rFonts w:eastAsia="Calibri" w:cs="Arial"/>
          <w:lang w:val="es-ES"/>
        </w:rPr>
      </w:pPr>
    </w:p>
    <w:p w14:paraId="1E5662FE" w14:textId="14CD42F8" w:rsidR="004D18E2" w:rsidRPr="003A3AE2" w:rsidRDefault="003A3AE2" w:rsidP="00F409BB">
      <w:pPr>
        <w:suppressAutoHyphens/>
        <w:autoSpaceDN w:val="0"/>
        <w:spacing w:after="0" w:line="240" w:lineRule="auto"/>
        <w:textAlignment w:val="baseline"/>
        <w:rPr>
          <w:rFonts w:eastAsia="Calibri" w:cs="Arial"/>
          <w:u w:val="single"/>
          <w:lang w:val="es-ES"/>
        </w:rPr>
      </w:pPr>
      <w:r w:rsidRPr="003A3AE2">
        <w:rPr>
          <w:rFonts w:eastAsia="Calibri" w:cs="Arial"/>
          <w:u w:val="single"/>
          <w:lang w:val="es-ES"/>
        </w:rPr>
        <w:t>Antecedentes</w:t>
      </w:r>
    </w:p>
    <w:p w14:paraId="7320597A" w14:textId="77777777" w:rsidR="004D18E2" w:rsidRPr="003A3AE2" w:rsidRDefault="004D18E2" w:rsidP="00F409BB">
      <w:pPr>
        <w:spacing w:after="0" w:line="240" w:lineRule="auto"/>
        <w:rPr>
          <w:lang w:val="es-ES"/>
        </w:rPr>
      </w:pPr>
    </w:p>
    <w:p w14:paraId="3B1587CB" w14:textId="289BAF84" w:rsidR="004D18E2" w:rsidRPr="007404D1" w:rsidRDefault="007404D1" w:rsidP="00F409BB">
      <w:pPr>
        <w:pStyle w:val="ListParagraph"/>
        <w:widowControl w:val="0"/>
        <w:numPr>
          <w:ilvl w:val="0"/>
          <w:numId w:val="14"/>
        </w:numPr>
        <w:autoSpaceDE w:val="0"/>
        <w:autoSpaceDN w:val="0"/>
        <w:adjustRightInd w:val="0"/>
        <w:spacing w:after="0" w:line="240" w:lineRule="auto"/>
        <w:ind w:left="567" w:hanging="567"/>
        <w:jc w:val="both"/>
        <w:rPr>
          <w:color w:val="000000" w:themeColor="text1"/>
          <w:lang w:val="es-ES"/>
        </w:rPr>
      </w:pPr>
      <w:r w:rsidRPr="007404D1">
        <w:rPr>
          <w:lang w:val="es-ES"/>
        </w:rPr>
        <w:t>El Plan de Acción para las aves terrestres migratorias de África y Eurasia (AEMLAP) tiene como objetivo mejorar el estado de conservación de las especies de aves terrestres migratorias en la región de África y Eurasia a través de la coordinación internacional de la acción para estas especies, y catalizando la acción a nivel nacional</w:t>
      </w:r>
      <w:r w:rsidR="004D18E2" w:rsidRPr="007404D1">
        <w:rPr>
          <w:color w:val="000000" w:themeColor="text1"/>
          <w:lang w:val="es-ES"/>
        </w:rPr>
        <w:t>.</w:t>
      </w:r>
    </w:p>
    <w:p w14:paraId="440754EE" w14:textId="77777777" w:rsidR="004D18E2" w:rsidRPr="007404D1" w:rsidRDefault="004D18E2" w:rsidP="00F409BB">
      <w:pPr>
        <w:pStyle w:val="ListParagraph"/>
        <w:widowControl w:val="0"/>
        <w:autoSpaceDE w:val="0"/>
        <w:autoSpaceDN w:val="0"/>
        <w:adjustRightInd w:val="0"/>
        <w:spacing w:after="0" w:line="240" w:lineRule="auto"/>
        <w:ind w:left="567"/>
        <w:jc w:val="both"/>
        <w:rPr>
          <w:lang w:val="es-ES"/>
        </w:rPr>
      </w:pPr>
    </w:p>
    <w:p w14:paraId="685214A9" w14:textId="3897C9B3" w:rsidR="004D18E2" w:rsidRPr="00C22BBE" w:rsidRDefault="00860EC0" w:rsidP="00F409BB">
      <w:pPr>
        <w:pStyle w:val="ListParagraph"/>
        <w:widowControl w:val="0"/>
        <w:numPr>
          <w:ilvl w:val="0"/>
          <w:numId w:val="14"/>
        </w:numPr>
        <w:autoSpaceDE w:val="0"/>
        <w:autoSpaceDN w:val="0"/>
        <w:adjustRightInd w:val="0"/>
        <w:spacing w:after="0" w:line="240" w:lineRule="auto"/>
        <w:ind w:left="567" w:hanging="567"/>
        <w:jc w:val="both"/>
        <w:rPr>
          <w:lang w:val="es-ES"/>
        </w:rPr>
      </w:pPr>
      <w:r w:rsidRPr="00860EC0">
        <w:rPr>
          <w:rFonts w:cs="Arial"/>
          <w:lang w:val="es-ES"/>
        </w:rPr>
        <w:t>La Conferencia de las Partes, en su 1</w:t>
      </w:r>
      <w:r w:rsidR="00D47111">
        <w:rPr>
          <w:rFonts w:cs="Arial"/>
          <w:lang w:val="es-ES"/>
        </w:rPr>
        <w:t>4</w:t>
      </w:r>
      <w:r w:rsidRPr="00860EC0">
        <w:rPr>
          <w:rFonts w:cs="Arial"/>
          <w:lang w:val="es-ES"/>
        </w:rPr>
        <w:t>.</w:t>
      </w:r>
      <w:r w:rsidRPr="00860EC0">
        <w:rPr>
          <w:rFonts w:cs="Arial"/>
          <w:vertAlign w:val="superscript"/>
          <w:lang w:val="es-ES"/>
        </w:rPr>
        <w:t xml:space="preserve">a </w:t>
      </w:r>
      <w:r w:rsidRPr="00860EC0">
        <w:rPr>
          <w:rFonts w:cs="Arial"/>
          <w:lang w:val="es-ES"/>
        </w:rPr>
        <w:t xml:space="preserve">reunión, actualizó la </w:t>
      </w:r>
      <w:hyperlink r:id="rId12" w:history="1">
        <w:r w:rsidRPr="00EE38E4">
          <w:rPr>
            <w:rStyle w:val="Hyperlink"/>
            <w:rFonts w:cs="Arial"/>
            <w:lang w:val="es-ES"/>
          </w:rPr>
          <w:t>Resolución 11.17 (Rev.COP1</w:t>
        </w:r>
        <w:r w:rsidR="00EE38E4" w:rsidRPr="00EE38E4">
          <w:rPr>
            <w:rStyle w:val="Hyperlink"/>
            <w:rFonts w:cs="Arial"/>
            <w:lang w:val="es-ES"/>
          </w:rPr>
          <w:t>4</w:t>
        </w:r>
        <w:r w:rsidRPr="00EE38E4">
          <w:rPr>
            <w:rStyle w:val="Hyperlink"/>
            <w:rFonts w:cs="Arial"/>
            <w:lang w:val="es-ES"/>
          </w:rPr>
          <w:t>)</w:t>
        </w:r>
      </w:hyperlink>
      <w:r w:rsidRPr="00860EC0">
        <w:rPr>
          <w:rFonts w:cs="Arial"/>
          <w:lang w:val="es-ES"/>
        </w:rPr>
        <w:t xml:space="preserve"> </w:t>
      </w:r>
      <w:r w:rsidRPr="00860EC0">
        <w:rPr>
          <w:rFonts w:cs="Arial"/>
          <w:i/>
          <w:lang w:val="es-ES"/>
        </w:rPr>
        <w:t>Plan de Acción para las aves terrestres migratorias en la región de África y Eurasia (AEMLAP)</w:t>
      </w:r>
      <w:r w:rsidRPr="00860EC0">
        <w:rPr>
          <w:rFonts w:cs="Arial"/>
          <w:lang w:val="es-ES"/>
        </w:rPr>
        <w:t>, mediante la cual se adoptaron el Plan de Acción y sus Anexos</w:t>
      </w:r>
      <w:r w:rsidR="00B804DC">
        <w:rPr>
          <w:rFonts w:cs="Arial"/>
          <w:lang w:val="es-ES"/>
        </w:rPr>
        <w:t>.</w:t>
      </w:r>
      <w:r w:rsidR="004D18E2" w:rsidRPr="00EE38E4">
        <w:rPr>
          <w:color w:val="000000" w:themeColor="text1"/>
          <w:lang w:val="es-ES"/>
        </w:rPr>
        <w:t xml:space="preserve"> </w:t>
      </w:r>
      <w:r w:rsidR="00C22BBE" w:rsidRPr="0011421F">
        <w:rPr>
          <w:color w:val="000000" w:themeColor="text1"/>
          <w:lang w:val="es-ES"/>
        </w:rPr>
        <w:t>A través de esta Resolución, la COP reconoció la labor del Instituto Ornitológico Suizo (SOI) (</w:t>
      </w:r>
      <w:proofErr w:type="spellStart"/>
      <w:r w:rsidR="00C22BBE" w:rsidRPr="0011421F">
        <w:rPr>
          <w:rFonts w:eastAsia="Calibri" w:cs="Arial"/>
          <w:lang w:val="es-ES"/>
        </w:rPr>
        <w:t>Vogelwarte</w:t>
      </w:r>
      <w:proofErr w:type="spellEnd"/>
      <w:r w:rsidR="00C22BBE" w:rsidRPr="0011421F">
        <w:rPr>
          <w:rFonts w:eastAsia="Calibri" w:cs="Arial"/>
          <w:lang w:val="es-ES"/>
        </w:rPr>
        <w:t xml:space="preserve"> </w:t>
      </w:r>
      <w:proofErr w:type="spellStart"/>
      <w:r w:rsidR="00C22BBE" w:rsidRPr="0011421F">
        <w:rPr>
          <w:rFonts w:eastAsia="Calibri" w:cs="Arial"/>
          <w:lang w:val="es-ES"/>
        </w:rPr>
        <w:t>Sempach</w:t>
      </w:r>
      <w:proofErr w:type="spellEnd"/>
      <w:r w:rsidR="00C22BBE" w:rsidRPr="0011421F">
        <w:rPr>
          <w:rFonts w:eastAsia="Calibri" w:cs="Arial"/>
          <w:lang w:val="es-ES"/>
        </w:rPr>
        <w:t>, Suiza</w:t>
      </w:r>
      <w:r w:rsidR="00C22BBE" w:rsidRPr="0011421F">
        <w:rPr>
          <w:color w:val="000000" w:themeColor="text1"/>
          <w:lang w:val="es-ES"/>
        </w:rPr>
        <w:t xml:space="preserve">) como Coordinador del Grupo de Trabajo sobre el Plan de Acción para las Aves Terrestres Migratorias de África-Eurasia (AEML WG) y </w:t>
      </w:r>
      <w:r w:rsidR="00C22BBE" w:rsidRPr="0011421F">
        <w:rPr>
          <w:rFonts w:eastAsia="Calibri" w:cs="Arial"/>
          <w:lang w:val="es-ES"/>
        </w:rPr>
        <w:t xml:space="preserve">solicitó al Consejo Científico que colaborara con el AEML WG en el </w:t>
      </w:r>
      <w:r w:rsidR="00C22BBE" w:rsidRPr="0011421F">
        <w:rPr>
          <w:rFonts w:cs="Arial"/>
          <w:color w:val="000000" w:themeColor="text1"/>
          <w:lang w:val="es-ES"/>
        </w:rPr>
        <w:t xml:space="preserve">análisis </w:t>
      </w:r>
      <w:r w:rsidR="00C22BBE" w:rsidRPr="0011421F">
        <w:rPr>
          <w:rFonts w:eastAsia="Calibri" w:cs="Arial"/>
          <w:lang w:val="es-ES"/>
        </w:rPr>
        <w:t xml:space="preserve">de conjuntos de datos a largo plazo con el fin de promover </w:t>
      </w:r>
      <w:r w:rsidR="00C22BBE" w:rsidRPr="0011421F">
        <w:rPr>
          <w:rFonts w:cs="Arial"/>
          <w:color w:val="000000" w:themeColor="text1"/>
          <w:lang w:val="es-ES"/>
        </w:rPr>
        <w:t>la investigación e identificar las principales lagunas relacionadas con la conservación de las aves terrestres migratorias en los paisajes euroasiáticos y africanos</w:t>
      </w:r>
      <w:r w:rsidR="004D18E2" w:rsidRPr="00C22BBE">
        <w:rPr>
          <w:rFonts w:cs="Arial"/>
          <w:color w:val="000000" w:themeColor="text1"/>
          <w:lang w:val="es-ES"/>
        </w:rPr>
        <w:t xml:space="preserve">. </w:t>
      </w:r>
    </w:p>
    <w:p w14:paraId="2FEF8E4F" w14:textId="77777777" w:rsidR="004D18E2" w:rsidRPr="00C22BBE" w:rsidRDefault="004D18E2" w:rsidP="00F409BB">
      <w:pPr>
        <w:widowControl w:val="0"/>
        <w:autoSpaceDE w:val="0"/>
        <w:autoSpaceDN w:val="0"/>
        <w:adjustRightInd w:val="0"/>
        <w:spacing w:after="0" w:line="240" w:lineRule="auto"/>
        <w:jc w:val="both"/>
        <w:rPr>
          <w:lang w:val="es-ES"/>
        </w:rPr>
      </w:pPr>
    </w:p>
    <w:p w14:paraId="14332A4B" w14:textId="27046B8C" w:rsidR="004D18E2" w:rsidRPr="0061733E" w:rsidRDefault="0061733E" w:rsidP="00F409BB">
      <w:pPr>
        <w:pStyle w:val="ListParagraph"/>
        <w:widowControl w:val="0"/>
        <w:numPr>
          <w:ilvl w:val="0"/>
          <w:numId w:val="14"/>
        </w:numPr>
        <w:autoSpaceDE w:val="0"/>
        <w:autoSpaceDN w:val="0"/>
        <w:adjustRightInd w:val="0"/>
        <w:spacing w:after="0" w:line="240" w:lineRule="auto"/>
        <w:ind w:left="567" w:hanging="567"/>
        <w:jc w:val="both"/>
        <w:rPr>
          <w:lang w:val="es-ES"/>
        </w:rPr>
      </w:pPr>
      <w:r w:rsidRPr="0011421F">
        <w:rPr>
          <w:rFonts w:cs="Arial"/>
          <w:lang w:val="es-ES"/>
        </w:rPr>
        <w:t xml:space="preserve">La COP14 también adoptó las Decisiones 14.130 a 14.133 relativas al </w:t>
      </w:r>
      <w:r w:rsidRPr="0011421F">
        <w:rPr>
          <w:rFonts w:cs="Arial"/>
          <w:i/>
          <w:lang w:val="es-ES"/>
        </w:rPr>
        <w:t>Plan de Acción para las Aves Terrestres Migratorias de la Región de África-Eurasia (AEMLAP)</w:t>
      </w:r>
      <w:r w:rsidRPr="0011421F">
        <w:rPr>
          <w:rFonts w:cs="Arial"/>
          <w:lang w:val="es-ES"/>
        </w:rPr>
        <w:t>, cuyo texto es el siguiente</w:t>
      </w:r>
      <w:r w:rsidR="004D18E2" w:rsidRPr="0061733E">
        <w:rPr>
          <w:rFonts w:cs="Arial"/>
          <w:lang w:val="es-ES"/>
        </w:rPr>
        <w:t>:</w:t>
      </w:r>
    </w:p>
    <w:p w14:paraId="09EA3E90" w14:textId="77777777" w:rsidR="004D18E2" w:rsidRPr="0061733E" w:rsidRDefault="004D18E2" w:rsidP="00F409BB">
      <w:pPr>
        <w:spacing w:after="0" w:line="240" w:lineRule="auto"/>
        <w:jc w:val="both"/>
        <w:rPr>
          <w:rFonts w:cs="Arial"/>
          <w:sz w:val="20"/>
          <w:szCs w:val="20"/>
          <w:lang w:val="es-ES"/>
        </w:rPr>
      </w:pPr>
    </w:p>
    <w:p w14:paraId="7A6EE071" w14:textId="62BF026F" w:rsidR="004D18E2" w:rsidRPr="00131BAD" w:rsidRDefault="00131BAD" w:rsidP="00F409BB">
      <w:pPr>
        <w:pStyle w:val="ListParagraph"/>
        <w:tabs>
          <w:tab w:val="left" w:pos="1170"/>
        </w:tabs>
        <w:spacing w:after="0" w:line="240" w:lineRule="auto"/>
        <w:ind w:left="1080" w:hanging="360"/>
        <w:contextualSpacing w:val="0"/>
        <w:jc w:val="both"/>
        <w:rPr>
          <w:rFonts w:cs="Arial"/>
          <w:b/>
          <w:i/>
          <w:sz w:val="20"/>
          <w:szCs w:val="20"/>
          <w:lang w:val="es-ES"/>
        </w:rPr>
      </w:pPr>
      <w:bookmarkStart w:id="0" w:name="_Hlk129699484"/>
      <w:r w:rsidRPr="00131BAD">
        <w:rPr>
          <w:rFonts w:cs="Arial"/>
          <w:b/>
          <w:i/>
          <w:sz w:val="20"/>
          <w:szCs w:val="20"/>
          <w:lang w:val="es-ES"/>
        </w:rPr>
        <w:t xml:space="preserve">Decisión </w:t>
      </w:r>
      <w:r w:rsidR="004D18E2" w:rsidRPr="00131BAD">
        <w:rPr>
          <w:rFonts w:cs="Arial"/>
          <w:b/>
          <w:i/>
          <w:sz w:val="20"/>
          <w:szCs w:val="20"/>
          <w:lang w:val="es-ES"/>
        </w:rPr>
        <w:t>14.130</w:t>
      </w:r>
      <w:r w:rsidRPr="00131BAD">
        <w:rPr>
          <w:rFonts w:cs="Arial"/>
          <w:b/>
          <w:i/>
          <w:sz w:val="20"/>
          <w:szCs w:val="20"/>
          <w:lang w:val="es-ES"/>
        </w:rPr>
        <w:t xml:space="preserve"> dirigida a las Partes</w:t>
      </w:r>
      <w:r w:rsidR="004D18E2" w:rsidRPr="00131BAD">
        <w:rPr>
          <w:rFonts w:cs="Arial"/>
          <w:b/>
          <w:i/>
          <w:sz w:val="20"/>
          <w:szCs w:val="20"/>
          <w:lang w:val="es-ES"/>
        </w:rPr>
        <w:t>:</w:t>
      </w:r>
    </w:p>
    <w:p w14:paraId="0AA54FDB" w14:textId="77777777" w:rsidR="004D18E2" w:rsidRPr="00131BAD" w:rsidRDefault="004D18E2" w:rsidP="00F409BB">
      <w:pPr>
        <w:pStyle w:val="ListParagraph"/>
        <w:tabs>
          <w:tab w:val="left" w:pos="1170"/>
        </w:tabs>
        <w:spacing w:after="0" w:line="240" w:lineRule="auto"/>
        <w:ind w:left="1080" w:hanging="360"/>
        <w:jc w:val="both"/>
        <w:rPr>
          <w:rFonts w:cs="Arial"/>
          <w:b/>
          <w:i/>
          <w:sz w:val="20"/>
          <w:szCs w:val="20"/>
          <w:lang w:val="es-ES"/>
        </w:rPr>
      </w:pPr>
    </w:p>
    <w:p w14:paraId="7C69C8A2" w14:textId="77777777" w:rsidR="007473BB" w:rsidRPr="00131BAD" w:rsidRDefault="007473BB" w:rsidP="00F409BB">
      <w:pPr>
        <w:pStyle w:val="ListParagraph"/>
        <w:tabs>
          <w:tab w:val="left" w:pos="1170"/>
        </w:tabs>
        <w:spacing w:after="80" w:line="240" w:lineRule="auto"/>
        <w:ind w:left="1080" w:hanging="360"/>
        <w:jc w:val="both"/>
        <w:rPr>
          <w:rFonts w:cs="Arial"/>
          <w:i/>
          <w:sz w:val="20"/>
          <w:szCs w:val="20"/>
          <w:lang w:val="es-ES"/>
        </w:rPr>
      </w:pPr>
      <w:r w:rsidRPr="00131BAD">
        <w:rPr>
          <w:rFonts w:cs="Arial"/>
          <w:i/>
          <w:sz w:val="20"/>
          <w:szCs w:val="20"/>
          <w:lang w:val="es-ES"/>
        </w:rPr>
        <w:t>A las Partes:</w:t>
      </w:r>
    </w:p>
    <w:p w14:paraId="0142DCE3" w14:textId="77777777" w:rsidR="007473BB" w:rsidRPr="00131BAD" w:rsidRDefault="007473BB" w:rsidP="00F409BB">
      <w:pPr>
        <w:pStyle w:val="ListParagraph"/>
        <w:tabs>
          <w:tab w:val="left" w:pos="1170"/>
        </w:tabs>
        <w:spacing w:after="80" w:line="240" w:lineRule="auto"/>
        <w:ind w:left="1080" w:hanging="360"/>
        <w:jc w:val="both"/>
        <w:rPr>
          <w:rFonts w:cs="Arial"/>
          <w:i/>
          <w:sz w:val="20"/>
          <w:szCs w:val="20"/>
          <w:lang w:val="es-ES"/>
        </w:rPr>
      </w:pPr>
    </w:p>
    <w:p w14:paraId="7D209626" w14:textId="681B6AC6"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insta a apoyar la coordinación de las actividades necesarias para la aplicación del AEMLAP y el Programa de Trabajo del Grupo de Trabajo, así como para la organización de al menos una reunión del Grupo de Trabajo durante el periodo entre sesiones entre la 14ª reunión de la Conferencia de las Partes (COP14) y la COP15;</w:t>
      </w:r>
    </w:p>
    <w:p w14:paraId="70B121C0" w14:textId="5892306F"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en particular aquellas que también son Partes o Signatarios, o Estados del área de distribución de especies incluidas en los otros dos instrumentos relevantes de la CMS: el Acuerdo sobre la conservación de las aves acuáticas migratorias de África y Eurasia (AEWA) y el Memorando de Entendimiento sobre la conservación de las aves rapaces migratorias de África y Eurasia (</w:t>
      </w:r>
      <w:proofErr w:type="spellStart"/>
      <w:r w:rsidRPr="00131BAD">
        <w:rPr>
          <w:rFonts w:cs="Arial"/>
          <w:i/>
          <w:sz w:val="20"/>
          <w:szCs w:val="20"/>
          <w:lang w:val="es-ES"/>
        </w:rPr>
        <w:t>MdE</w:t>
      </w:r>
      <w:proofErr w:type="spellEnd"/>
      <w:r w:rsidRPr="00131BAD">
        <w:rPr>
          <w:rFonts w:cs="Arial"/>
          <w:i/>
          <w:sz w:val="20"/>
          <w:szCs w:val="20"/>
          <w:lang w:val="es-ES"/>
        </w:rPr>
        <w:t xml:space="preserve"> sobre Rapaces), a que apoyen lo antes posible, la ejecución del proyecto conjunto sobre la evaluación del estado y el desarrollo de planes de acción para los principales hábitats prioritarios de aves a lo largo de los corredores aéreos de África y Eurasia;</w:t>
      </w:r>
    </w:p>
    <w:p w14:paraId="0B5104DF" w14:textId="6C1E7BFF"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alienta a promover el uso de imágenes por satélite junto con el seguimiento de hábitats y aves en el terreno, para comprender mejor los impactos de los cambios en la ocupación y el uso del suelo sobre las aves migratorias de África y Eurasia, y los causantes de dichos impactos, y evitar usos del suelo y cambios en el uso del suelo que sean perjudiciales para las aves migratorias;</w:t>
      </w:r>
    </w:p>
    <w:p w14:paraId="03D020F9" w14:textId="17E7B8EE" w:rsidR="007473BB"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alienta a tomar nota de los proyectos relevantes, como el Atlas de Migración de las Aves Eurasiáticas Africanas y el Atlas de Aves Africanas, e incorporar sus conclusiones a sus políticas de conservación y restauración de especies de aves terrestres migratorias;</w:t>
      </w:r>
    </w:p>
    <w:p w14:paraId="4B0D7719" w14:textId="60B32843" w:rsidR="004D18E2" w:rsidRPr="00131BAD" w:rsidRDefault="007473BB"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i/>
          <w:sz w:val="20"/>
          <w:szCs w:val="20"/>
          <w:lang w:val="es-ES"/>
        </w:rPr>
        <w:t>se les alienta a tomar nota de los recientes avances hacia la definición de un nuevo marco institucional en el ámbito de la CMS para el corredor aéreo de Asia central (CAF), y garantizar que se busquen sinergias entre los Estados del área de distribución tanto del AEMLAP como del CAF</w:t>
      </w:r>
      <w:r w:rsidR="004D18E2" w:rsidRPr="00131BAD">
        <w:rPr>
          <w:rFonts w:cs="Arial"/>
          <w:bCs/>
          <w:i/>
          <w:sz w:val="20"/>
          <w:szCs w:val="20"/>
          <w:lang w:val="es-ES"/>
        </w:rPr>
        <w:t>;</w:t>
      </w:r>
    </w:p>
    <w:p w14:paraId="717BA74F" w14:textId="77777777" w:rsidR="006E791E" w:rsidRPr="00810B3C" w:rsidRDefault="006E791E"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131BAD">
        <w:rPr>
          <w:rFonts w:cs="Arial"/>
          <w:bCs/>
          <w:i/>
          <w:sz w:val="20"/>
          <w:szCs w:val="20"/>
          <w:lang w:val="es-ES"/>
        </w:rPr>
        <w:t>se les alienta a evaluar la situación y contribuir a la elaboración de planes de acción para las especies de aves prioritarias que utilizan los corredores aéreos entre África y Eurasia;</w:t>
      </w:r>
    </w:p>
    <w:p w14:paraId="1E0FE70D" w14:textId="77777777" w:rsidR="006E791E" w:rsidRPr="00810B3C" w:rsidRDefault="006E791E"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810B3C">
        <w:rPr>
          <w:rFonts w:cs="Arial"/>
          <w:bCs/>
          <w:i/>
          <w:sz w:val="20"/>
          <w:szCs w:val="20"/>
          <w:lang w:val="es-ES"/>
        </w:rPr>
        <w:lastRenderedPageBreak/>
        <w:t>se les solicita que informen a la COP15, a través de sus informes nacionales, sobre el progreso realizado en la aplicación del AEMLAP y su integración en el cumplimiento de otros acuerdos internacionales relevantes, incluido el seguimiento y la eficacia de las medidas adoptadas, con el fin de cumplir los objetivos de la CMS;</w:t>
      </w:r>
    </w:p>
    <w:p w14:paraId="4D8DBDA3" w14:textId="77777777" w:rsidR="006E791E" w:rsidRPr="00810B3C" w:rsidRDefault="006E791E" w:rsidP="00F409BB">
      <w:pPr>
        <w:pStyle w:val="ListParagraph"/>
        <w:numPr>
          <w:ilvl w:val="0"/>
          <w:numId w:val="21"/>
        </w:numPr>
        <w:tabs>
          <w:tab w:val="left" w:pos="1170"/>
        </w:tabs>
        <w:spacing w:after="80" w:line="240" w:lineRule="auto"/>
        <w:ind w:left="1080"/>
        <w:contextualSpacing w:val="0"/>
        <w:jc w:val="both"/>
        <w:rPr>
          <w:rFonts w:cs="Arial"/>
          <w:i/>
          <w:sz w:val="20"/>
          <w:szCs w:val="20"/>
          <w:lang w:val="es-ES"/>
        </w:rPr>
      </w:pPr>
      <w:r w:rsidRPr="00810B3C">
        <w:rPr>
          <w:rFonts w:cs="Arial"/>
          <w:bCs/>
          <w:i/>
          <w:sz w:val="20"/>
          <w:szCs w:val="20"/>
          <w:lang w:val="es-ES"/>
        </w:rPr>
        <w:t>se les anima a aumentar significativamente la superficie dedicada a prácticas respetuosas con la biodiversidad y las especies migratorias en la agricultura y la silvicultura; y</w:t>
      </w:r>
    </w:p>
    <w:p w14:paraId="634D254A" w14:textId="0E156252" w:rsidR="004D18E2" w:rsidRPr="00810B3C" w:rsidRDefault="006E791E" w:rsidP="00F409BB">
      <w:pPr>
        <w:pStyle w:val="ListParagraph"/>
        <w:numPr>
          <w:ilvl w:val="0"/>
          <w:numId w:val="21"/>
        </w:numPr>
        <w:tabs>
          <w:tab w:val="left" w:pos="1170"/>
        </w:tabs>
        <w:spacing w:after="80" w:line="240" w:lineRule="auto"/>
        <w:ind w:left="1080"/>
        <w:jc w:val="both"/>
        <w:rPr>
          <w:rFonts w:cs="Arial"/>
          <w:i/>
          <w:sz w:val="20"/>
          <w:szCs w:val="20"/>
          <w:lang w:val="es-ES"/>
        </w:rPr>
      </w:pPr>
      <w:r w:rsidRPr="00810B3C">
        <w:rPr>
          <w:rFonts w:cs="Arial"/>
          <w:bCs/>
          <w:i/>
          <w:sz w:val="20"/>
          <w:szCs w:val="20"/>
          <w:lang w:val="es-ES"/>
        </w:rPr>
        <w:t>se les alienta a promover la detección de áreas de anidación en las zonas agrícolas pertinentes para evitar su destrucción y degradación</w:t>
      </w:r>
    </w:p>
    <w:p w14:paraId="0C6B4DB0" w14:textId="77777777" w:rsidR="004D18E2" w:rsidRPr="000A7A75" w:rsidRDefault="004D18E2" w:rsidP="00F409BB">
      <w:pPr>
        <w:spacing w:after="0" w:line="240" w:lineRule="auto"/>
        <w:ind w:left="1080" w:hanging="360"/>
        <w:jc w:val="both"/>
        <w:rPr>
          <w:rFonts w:cs="Arial"/>
          <w:b/>
          <w:i/>
          <w:sz w:val="20"/>
          <w:szCs w:val="20"/>
          <w:lang w:val="es-ES"/>
        </w:rPr>
      </w:pPr>
    </w:p>
    <w:p w14:paraId="0B8FFEEE" w14:textId="311AC793" w:rsidR="004D18E2" w:rsidRPr="001A2CB6" w:rsidRDefault="00655BFF" w:rsidP="00F409BB">
      <w:pPr>
        <w:spacing w:after="120" w:line="240" w:lineRule="auto"/>
        <w:ind w:left="720"/>
        <w:jc w:val="both"/>
        <w:rPr>
          <w:rFonts w:cs="Arial"/>
          <w:i/>
          <w:sz w:val="20"/>
          <w:szCs w:val="20"/>
          <w:lang w:val="es-ES"/>
        </w:rPr>
      </w:pPr>
      <w:r w:rsidRPr="001A2CB6">
        <w:rPr>
          <w:rFonts w:cs="Arial"/>
          <w:b/>
          <w:i/>
          <w:sz w:val="20"/>
          <w:szCs w:val="20"/>
          <w:lang w:val="es-ES"/>
        </w:rPr>
        <w:t xml:space="preserve">Decisión </w:t>
      </w:r>
      <w:r w:rsidR="004D18E2" w:rsidRPr="001A2CB6">
        <w:rPr>
          <w:rFonts w:cs="Arial"/>
          <w:b/>
          <w:i/>
          <w:sz w:val="20"/>
          <w:szCs w:val="20"/>
          <w:lang w:val="es-ES"/>
        </w:rPr>
        <w:t xml:space="preserve">14.131 </w:t>
      </w:r>
      <w:r w:rsidR="001A2CB6">
        <w:rPr>
          <w:rFonts w:cs="Arial"/>
          <w:b/>
          <w:i/>
          <w:sz w:val="20"/>
          <w:szCs w:val="20"/>
          <w:lang w:val="es-ES"/>
        </w:rPr>
        <w:t>d</w:t>
      </w:r>
      <w:r w:rsidR="001A2CB6" w:rsidRPr="001A2CB6">
        <w:rPr>
          <w:rFonts w:cs="Arial"/>
          <w:b/>
          <w:i/>
          <w:sz w:val="20"/>
          <w:szCs w:val="20"/>
          <w:lang w:val="es-ES"/>
        </w:rPr>
        <w:t>irigid</w:t>
      </w:r>
      <w:r w:rsidR="001A2CB6">
        <w:rPr>
          <w:rFonts w:cs="Arial"/>
          <w:b/>
          <w:i/>
          <w:sz w:val="20"/>
          <w:szCs w:val="20"/>
          <w:lang w:val="es-ES"/>
        </w:rPr>
        <w:t>a</w:t>
      </w:r>
      <w:r w:rsidR="001A2CB6" w:rsidRPr="001A2CB6">
        <w:rPr>
          <w:rFonts w:cs="Arial"/>
          <w:b/>
          <w:i/>
          <w:sz w:val="20"/>
          <w:szCs w:val="20"/>
          <w:lang w:val="es-ES"/>
        </w:rPr>
        <w:t xml:space="preserve"> a las Partes, organizaciones intergubernamentales y no gubernamentales</w:t>
      </w:r>
    </w:p>
    <w:p w14:paraId="332C3211" w14:textId="77777777" w:rsidR="00F91103" w:rsidRPr="00F91103" w:rsidRDefault="00F91103" w:rsidP="00F409BB">
      <w:pPr>
        <w:pStyle w:val="ListParagraph"/>
        <w:spacing w:after="80" w:line="240" w:lineRule="auto"/>
        <w:jc w:val="both"/>
        <w:rPr>
          <w:rFonts w:cs="Arial"/>
          <w:i/>
          <w:sz w:val="20"/>
          <w:szCs w:val="20"/>
          <w:lang w:val="es-ES"/>
        </w:rPr>
      </w:pPr>
      <w:r w:rsidRPr="00F91103">
        <w:rPr>
          <w:rFonts w:cs="Arial"/>
          <w:i/>
          <w:sz w:val="20"/>
          <w:szCs w:val="20"/>
          <w:lang w:val="es-ES"/>
        </w:rPr>
        <w:t>Partes, organizaciones intergubernamentales y no gubernamentales:</w:t>
      </w:r>
    </w:p>
    <w:p w14:paraId="41897378" w14:textId="77777777" w:rsidR="00F91103" w:rsidRPr="00F91103" w:rsidRDefault="00F91103" w:rsidP="00F409BB">
      <w:pPr>
        <w:pStyle w:val="ListParagraph"/>
        <w:spacing w:after="80" w:line="240" w:lineRule="auto"/>
        <w:jc w:val="both"/>
        <w:rPr>
          <w:rFonts w:cs="Arial"/>
          <w:i/>
          <w:sz w:val="20"/>
          <w:szCs w:val="20"/>
          <w:lang w:val="es-ES"/>
        </w:rPr>
      </w:pPr>
    </w:p>
    <w:p w14:paraId="511F8C66" w14:textId="77777777" w:rsidR="00F91103" w:rsidRDefault="00F91103" w:rsidP="00F409BB">
      <w:pPr>
        <w:pStyle w:val="ListParagraph"/>
        <w:numPr>
          <w:ilvl w:val="0"/>
          <w:numId w:val="23"/>
        </w:numPr>
        <w:spacing w:after="80" w:line="240" w:lineRule="auto"/>
        <w:ind w:left="1080"/>
        <w:contextualSpacing w:val="0"/>
        <w:jc w:val="both"/>
        <w:rPr>
          <w:rFonts w:cs="Arial"/>
          <w:i/>
          <w:sz w:val="20"/>
          <w:szCs w:val="20"/>
          <w:lang w:val="es-ES"/>
        </w:rPr>
      </w:pPr>
      <w:r w:rsidRPr="00F91103">
        <w:rPr>
          <w:rFonts w:cs="Arial"/>
          <w:i/>
          <w:sz w:val="20"/>
          <w:szCs w:val="20"/>
          <w:lang w:val="es-ES"/>
        </w:rPr>
        <w:t xml:space="preserve">y en particular a las Partes, así como a los donantes bilaterales y multilaterales, el Fondo Mundial para el Medio Ambiente Mundial, el Programa de las Naciones Unidas para el Desarrollo, el Programa de las Naciones Unidas para el Medio Ambiente, la Convención de las Naciones Unidas de Lucha contra la Desertificación, la Comunidad Económica de los Estados de África Occidental y otras organizaciones internacionales pertinentes, en el periodo comprendido entre la COP14 y COP15, se les insta a que se comprometan en la aplicación del Programa de Trabajo del AEML WG, concretamente, facilitando el intercambio de información sobre especies y hábitats clave, en particular para hacer frente a las barreras que impiden el uso sostenible de la tierra y la conservación de los hábitats en África, incluidas las prioridades para África occidental y Asia central, y prestando asistencia técnica a los países en desarrollo para el pertinente desarrollo de capacidades; </w:t>
      </w:r>
    </w:p>
    <w:p w14:paraId="628E7A33" w14:textId="1118CE6D" w:rsidR="00CC530A" w:rsidRPr="00F91103" w:rsidRDefault="00F91103" w:rsidP="00F409BB">
      <w:pPr>
        <w:pStyle w:val="ListParagraph"/>
        <w:numPr>
          <w:ilvl w:val="0"/>
          <w:numId w:val="23"/>
        </w:numPr>
        <w:spacing w:after="80" w:line="240" w:lineRule="auto"/>
        <w:ind w:left="1080"/>
        <w:contextualSpacing w:val="0"/>
        <w:jc w:val="both"/>
        <w:rPr>
          <w:rFonts w:cs="Arial"/>
          <w:i/>
          <w:sz w:val="20"/>
          <w:szCs w:val="20"/>
          <w:lang w:val="es-ES"/>
        </w:rPr>
      </w:pPr>
      <w:r w:rsidRPr="00F91103">
        <w:rPr>
          <w:rFonts w:cs="Arial"/>
          <w:i/>
          <w:sz w:val="20"/>
          <w:szCs w:val="20"/>
          <w:lang w:val="es-ES"/>
        </w:rPr>
        <w:t xml:space="preserve">se les insta a que apoyen y cooperen en los enfoques internacionales existentes para conservar y aumentar la cubierta arbórea (por ejemplo, el Desafío de Bonn, la campaña </w:t>
      </w:r>
      <w:proofErr w:type="spellStart"/>
      <w:r w:rsidRPr="00F91103">
        <w:rPr>
          <w:rFonts w:cs="Arial"/>
          <w:i/>
          <w:sz w:val="20"/>
          <w:szCs w:val="20"/>
          <w:lang w:val="es-ES"/>
        </w:rPr>
        <w:t>Trillion</w:t>
      </w:r>
      <w:proofErr w:type="spellEnd"/>
      <w:r w:rsidRPr="00F91103">
        <w:rPr>
          <w:rFonts w:cs="Arial"/>
          <w:i/>
          <w:sz w:val="20"/>
          <w:szCs w:val="20"/>
          <w:lang w:val="es-ES"/>
        </w:rPr>
        <w:t xml:space="preserve"> </w:t>
      </w:r>
      <w:proofErr w:type="spellStart"/>
      <w:r w:rsidRPr="00F91103">
        <w:rPr>
          <w:rFonts w:cs="Arial"/>
          <w:i/>
          <w:sz w:val="20"/>
          <w:szCs w:val="20"/>
          <w:lang w:val="es-ES"/>
        </w:rPr>
        <w:t>Trees</w:t>
      </w:r>
      <w:proofErr w:type="spellEnd"/>
      <w:r w:rsidRPr="00F91103">
        <w:rPr>
          <w:rFonts w:cs="Arial"/>
          <w:i/>
          <w:sz w:val="20"/>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basadas en la naturaleza, o que, al menos, puedan beneficiar a las aves sin detrimento de estos otros objetivos; y</w:t>
      </w:r>
    </w:p>
    <w:p w14:paraId="4CFA400D" w14:textId="721CA9B7" w:rsidR="004D18E2" w:rsidRPr="00CC530A" w:rsidRDefault="00CC530A" w:rsidP="00F409BB">
      <w:pPr>
        <w:pStyle w:val="ListParagraph"/>
        <w:spacing w:after="80" w:line="240" w:lineRule="auto"/>
        <w:ind w:left="1080" w:hanging="360"/>
        <w:contextualSpacing w:val="0"/>
        <w:jc w:val="both"/>
        <w:rPr>
          <w:rFonts w:cs="Arial"/>
          <w:i/>
          <w:sz w:val="20"/>
          <w:szCs w:val="20"/>
          <w:lang w:val="es-ES"/>
        </w:rPr>
      </w:pPr>
      <w:r w:rsidRPr="00CC530A">
        <w:rPr>
          <w:rFonts w:cs="Arial"/>
          <w:i/>
          <w:sz w:val="20"/>
          <w:szCs w:val="20"/>
          <w:lang w:val="es-ES"/>
        </w:rPr>
        <w:t>c)</w:t>
      </w:r>
      <w:r w:rsidRPr="00CC530A">
        <w:rPr>
          <w:rFonts w:cs="Arial"/>
          <w:i/>
          <w:sz w:val="20"/>
          <w:szCs w:val="20"/>
          <w:lang w:val="es-ES"/>
        </w:rPr>
        <w:tab/>
        <w:t>se les invita a promover el enriquecimiento de la cubierta vegetal (incluidos, entre otros, los árboles) mediante el uso de especies autóctonas y la promoción de prácticas de gestión de la tierra ecológicamente sostenibles y el uso racional del agua.</w:t>
      </w:r>
    </w:p>
    <w:p w14:paraId="377822AB" w14:textId="77777777" w:rsidR="004D18E2" w:rsidRPr="00CC530A" w:rsidRDefault="004D18E2" w:rsidP="00F409BB">
      <w:pPr>
        <w:pStyle w:val="ListParagraph"/>
        <w:spacing w:after="0" w:line="240" w:lineRule="auto"/>
        <w:ind w:left="1080" w:hanging="360"/>
        <w:jc w:val="both"/>
        <w:rPr>
          <w:rFonts w:cs="Arial"/>
          <w:i/>
          <w:sz w:val="20"/>
          <w:szCs w:val="20"/>
          <w:lang w:val="es-ES"/>
        </w:rPr>
      </w:pPr>
    </w:p>
    <w:p w14:paraId="16D6BBD6" w14:textId="5C20D23B" w:rsidR="004D18E2" w:rsidRDefault="00140FE6" w:rsidP="00F409BB">
      <w:pPr>
        <w:pStyle w:val="ListParagraph"/>
        <w:spacing w:after="0" w:line="240" w:lineRule="auto"/>
        <w:ind w:left="1080" w:hanging="360"/>
        <w:contextualSpacing w:val="0"/>
        <w:jc w:val="both"/>
        <w:rPr>
          <w:rFonts w:cs="Arial"/>
          <w:b/>
          <w:i/>
          <w:sz w:val="20"/>
          <w:szCs w:val="20"/>
          <w:lang w:val="es-ES"/>
        </w:rPr>
      </w:pPr>
      <w:r w:rsidRPr="00140FE6">
        <w:rPr>
          <w:rFonts w:cs="Arial"/>
          <w:b/>
          <w:i/>
          <w:sz w:val="20"/>
          <w:szCs w:val="20"/>
          <w:lang w:val="es-ES"/>
        </w:rPr>
        <w:t xml:space="preserve">Decisión </w:t>
      </w:r>
      <w:r w:rsidR="004D18E2" w:rsidRPr="00140FE6">
        <w:rPr>
          <w:rFonts w:cs="Arial"/>
          <w:b/>
          <w:i/>
          <w:sz w:val="20"/>
          <w:szCs w:val="20"/>
          <w:lang w:val="es-ES"/>
        </w:rPr>
        <w:t xml:space="preserve">14.132 </w:t>
      </w:r>
      <w:r w:rsidR="00517A8D" w:rsidRPr="00140FE6">
        <w:rPr>
          <w:rFonts w:cs="Arial"/>
          <w:b/>
          <w:i/>
          <w:sz w:val="20"/>
          <w:szCs w:val="20"/>
          <w:lang w:val="es-ES"/>
        </w:rPr>
        <w:t>dirigida</w:t>
      </w:r>
      <w:r w:rsidRPr="00140FE6">
        <w:rPr>
          <w:rFonts w:cs="Arial"/>
          <w:b/>
          <w:i/>
          <w:sz w:val="20"/>
          <w:szCs w:val="20"/>
          <w:lang w:val="es-ES"/>
        </w:rPr>
        <w:t xml:space="preserve"> al Consejo Científico</w:t>
      </w:r>
    </w:p>
    <w:p w14:paraId="0AB89476" w14:textId="77777777" w:rsidR="00036CD9" w:rsidRDefault="00036CD9" w:rsidP="00F409BB">
      <w:pPr>
        <w:pStyle w:val="ListParagraph"/>
        <w:spacing w:after="0" w:line="240" w:lineRule="auto"/>
        <w:ind w:left="1080" w:hanging="360"/>
        <w:contextualSpacing w:val="0"/>
        <w:jc w:val="both"/>
        <w:rPr>
          <w:rFonts w:cs="Arial"/>
          <w:b/>
          <w:i/>
          <w:sz w:val="20"/>
          <w:szCs w:val="20"/>
          <w:lang w:val="es-ES"/>
        </w:rPr>
      </w:pPr>
    </w:p>
    <w:p w14:paraId="16247585" w14:textId="14705844" w:rsidR="00036CD9" w:rsidRDefault="00036CD9" w:rsidP="00F409BB">
      <w:pPr>
        <w:pStyle w:val="ListParagraph"/>
        <w:spacing w:after="0" w:line="240" w:lineRule="auto"/>
        <w:ind w:left="1080" w:hanging="360"/>
        <w:contextualSpacing w:val="0"/>
        <w:jc w:val="both"/>
        <w:rPr>
          <w:rFonts w:cs="Arial"/>
          <w:bCs/>
          <w:i/>
          <w:sz w:val="20"/>
          <w:szCs w:val="20"/>
          <w:lang w:val="es-ES"/>
        </w:rPr>
      </w:pPr>
      <w:r w:rsidRPr="00036CD9">
        <w:rPr>
          <w:rFonts w:cs="Arial"/>
          <w:bCs/>
          <w:i/>
          <w:sz w:val="20"/>
          <w:szCs w:val="20"/>
          <w:lang w:val="es-ES"/>
        </w:rPr>
        <w:t>Se solicita al Consejo Científico que, en función de los recursos disponibles:</w:t>
      </w:r>
    </w:p>
    <w:p w14:paraId="09FBC29E" w14:textId="77777777" w:rsidR="0014295C" w:rsidRDefault="0014295C" w:rsidP="00F409BB">
      <w:pPr>
        <w:pStyle w:val="ListParagraph"/>
        <w:spacing w:after="0" w:line="240" w:lineRule="auto"/>
        <w:ind w:left="1080" w:hanging="360"/>
        <w:contextualSpacing w:val="0"/>
        <w:jc w:val="both"/>
        <w:rPr>
          <w:rFonts w:cs="Arial"/>
          <w:bCs/>
          <w:i/>
          <w:sz w:val="20"/>
          <w:szCs w:val="20"/>
          <w:lang w:val="es-ES"/>
        </w:rPr>
      </w:pPr>
    </w:p>
    <w:p w14:paraId="30361FAB" w14:textId="563FE1FB" w:rsidR="00B50E51" w:rsidRDefault="00DB0C5B" w:rsidP="00F409BB">
      <w:pPr>
        <w:pStyle w:val="ListParagraph"/>
        <w:spacing w:after="80" w:line="240" w:lineRule="auto"/>
        <w:ind w:left="1080" w:hanging="360"/>
        <w:contextualSpacing w:val="0"/>
        <w:jc w:val="both"/>
        <w:rPr>
          <w:rFonts w:cs="Arial"/>
          <w:bCs/>
          <w:i/>
          <w:sz w:val="20"/>
          <w:szCs w:val="20"/>
          <w:lang w:val="es-ES"/>
        </w:rPr>
      </w:pPr>
      <w:r w:rsidRPr="00DB0C5B">
        <w:rPr>
          <w:rFonts w:cs="Arial"/>
          <w:bCs/>
          <w:i/>
          <w:sz w:val="20"/>
          <w:szCs w:val="20"/>
          <w:lang w:val="es-ES"/>
        </w:rPr>
        <w:t>a)</w:t>
      </w:r>
      <w:r w:rsidRPr="00DB0C5B">
        <w:rPr>
          <w:rFonts w:cs="Arial"/>
          <w:bCs/>
          <w:i/>
          <w:sz w:val="20"/>
          <w:szCs w:val="20"/>
          <w:lang w:val="es-ES"/>
        </w:rPr>
        <w:tab/>
        <w:t>continúe el Grupo de Trabajo sobre Aves Terrestres Migratorias de África y Eurasia hasta la COP15, ampliando su composición e incorporando expertos de regiones geográficas actualmente ausentes, para facilitar y supervisar la aplicación del Plan de Acción, desarrollando indicadores para evaluar la aplicación del Programa de Trabajo para los años 2021-2026;</w:t>
      </w:r>
    </w:p>
    <w:p w14:paraId="0F35B4BC" w14:textId="77777777" w:rsidR="0014295C" w:rsidRPr="0014295C" w:rsidRDefault="0014295C" w:rsidP="00F409BB">
      <w:pPr>
        <w:pStyle w:val="ListParagraph"/>
        <w:spacing w:after="80" w:line="240" w:lineRule="auto"/>
        <w:ind w:left="1080" w:hanging="360"/>
        <w:contextualSpacing w:val="0"/>
        <w:jc w:val="both"/>
        <w:rPr>
          <w:rFonts w:cs="Arial"/>
          <w:bCs/>
          <w:i/>
          <w:sz w:val="20"/>
          <w:szCs w:val="20"/>
          <w:lang w:val="es-ES"/>
        </w:rPr>
      </w:pPr>
      <w:r w:rsidRPr="0014295C">
        <w:rPr>
          <w:rFonts w:cs="Arial"/>
          <w:bCs/>
          <w:i/>
          <w:sz w:val="20"/>
          <w:szCs w:val="20"/>
          <w:lang w:val="es-ES"/>
        </w:rPr>
        <w:t>b)</w:t>
      </w:r>
      <w:r w:rsidRPr="0014295C">
        <w:rPr>
          <w:rFonts w:cs="Arial"/>
          <w:bCs/>
          <w:i/>
          <w:sz w:val="20"/>
          <w:szCs w:val="20"/>
          <w:lang w:val="es-ES"/>
        </w:rPr>
        <w:tab/>
        <w:t>trabaje con el Grupo de Estudio sobre las aves terrestres migratorias, las instituciones académicas pertinentes, los financiadores de la investigación y el Grupo de Trabajo, para promover activamente una investigación que aborde las lagunas de conocimiento clave en relación con la conservación de las aves terrestres migratorias en los paisajes euroasiáticos, tal como se indica en el párrafo 9 de la Resolución 11.17 (Rev.COP14)Plan de Acción para las aves terrestres migratorias en la región de África y Eurasia (AEMLAP); y</w:t>
      </w:r>
    </w:p>
    <w:p w14:paraId="0516DF30" w14:textId="6BD0043F" w:rsidR="00DB0C5B" w:rsidRPr="00036CD9" w:rsidRDefault="0014295C" w:rsidP="00F409BB">
      <w:pPr>
        <w:pStyle w:val="ListParagraph"/>
        <w:spacing w:after="0" w:line="240" w:lineRule="auto"/>
        <w:ind w:left="1080" w:hanging="360"/>
        <w:contextualSpacing w:val="0"/>
        <w:jc w:val="both"/>
        <w:rPr>
          <w:rFonts w:cs="Arial"/>
          <w:bCs/>
          <w:i/>
          <w:sz w:val="20"/>
          <w:szCs w:val="20"/>
          <w:lang w:val="es-ES"/>
        </w:rPr>
      </w:pPr>
      <w:r w:rsidRPr="0014295C">
        <w:rPr>
          <w:rFonts w:cs="Arial"/>
          <w:bCs/>
          <w:i/>
          <w:sz w:val="20"/>
          <w:szCs w:val="20"/>
          <w:lang w:val="es-ES"/>
        </w:rPr>
        <w:t>c)</w:t>
      </w:r>
      <w:r w:rsidRPr="0014295C">
        <w:rPr>
          <w:rFonts w:cs="Arial"/>
          <w:bCs/>
          <w:i/>
          <w:sz w:val="20"/>
          <w:szCs w:val="20"/>
          <w:lang w:val="es-ES"/>
        </w:rPr>
        <w:tab/>
        <w:t>preste apoyo al Grupo de Trabajo, a su Grupo Directivo y a la Unidad de Coordinación para la ejecución del Programa de Trabajo del Grupo de Trabajo</w:t>
      </w:r>
    </w:p>
    <w:p w14:paraId="62998464" w14:textId="0EABBF1D" w:rsidR="003F4F73" w:rsidRDefault="004D18E2" w:rsidP="0061733E">
      <w:pPr>
        <w:pStyle w:val="ListParagraph"/>
        <w:spacing w:after="0" w:line="240" w:lineRule="auto"/>
        <w:ind w:left="1080"/>
        <w:jc w:val="both"/>
        <w:rPr>
          <w:rFonts w:cs="Arial"/>
          <w:b/>
          <w:i/>
          <w:sz w:val="20"/>
          <w:szCs w:val="20"/>
          <w:lang w:val="es-ES"/>
        </w:rPr>
      </w:pPr>
      <w:r w:rsidRPr="00036CD9">
        <w:rPr>
          <w:rFonts w:cs="Arial"/>
          <w:bCs/>
          <w:i/>
          <w:iCs/>
          <w:sz w:val="20"/>
          <w:szCs w:val="20"/>
          <w:lang w:val="es-ES"/>
        </w:rPr>
        <w:lastRenderedPageBreak/>
        <w:t>.</w:t>
      </w:r>
    </w:p>
    <w:p w14:paraId="7C40F958" w14:textId="4BED1DB5" w:rsidR="004D18E2" w:rsidRPr="00E37028" w:rsidRDefault="00C21965" w:rsidP="00F409BB">
      <w:pPr>
        <w:pStyle w:val="ListParagraph"/>
        <w:spacing w:after="120" w:line="240" w:lineRule="auto"/>
        <w:ind w:left="1080" w:hanging="360"/>
        <w:contextualSpacing w:val="0"/>
        <w:jc w:val="both"/>
        <w:rPr>
          <w:rFonts w:cs="Arial"/>
          <w:b/>
          <w:i/>
          <w:sz w:val="20"/>
          <w:szCs w:val="20"/>
          <w:lang w:val="es-ES"/>
        </w:rPr>
      </w:pPr>
      <w:r w:rsidRPr="00E37028">
        <w:rPr>
          <w:rFonts w:cs="Arial"/>
          <w:b/>
          <w:i/>
          <w:sz w:val="20"/>
          <w:szCs w:val="20"/>
          <w:lang w:val="es-ES"/>
        </w:rPr>
        <w:t xml:space="preserve">Decisión </w:t>
      </w:r>
      <w:r w:rsidR="004D18E2" w:rsidRPr="00E37028">
        <w:rPr>
          <w:rFonts w:cs="Arial"/>
          <w:b/>
          <w:i/>
          <w:sz w:val="20"/>
          <w:szCs w:val="20"/>
          <w:lang w:val="es-ES"/>
        </w:rPr>
        <w:t xml:space="preserve">14.133 </w:t>
      </w:r>
      <w:r w:rsidR="005C2C85" w:rsidRPr="00E37028">
        <w:rPr>
          <w:rFonts w:cs="Arial"/>
          <w:b/>
          <w:i/>
          <w:sz w:val="20"/>
          <w:szCs w:val="20"/>
          <w:lang w:val="es-ES"/>
        </w:rPr>
        <w:t>Dirigid</w:t>
      </w:r>
      <w:r w:rsidRPr="00E37028">
        <w:rPr>
          <w:rFonts w:cs="Arial"/>
          <w:b/>
          <w:i/>
          <w:sz w:val="20"/>
          <w:szCs w:val="20"/>
          <w:lang w:val="es-ES"/>
        </w:rPr>
        <w:t>a</w:t>
      </w:r>
      <w:r w:rsidR="005C2C85" w:rsidRPr="00E37028">
        <w:rPr>
          <w:rFonts w:cs="Arial"/>
          <w:b/>
          <w:i/>
          <w:sz w:val="20"/>
          <w:szCs w:val="20"/>
          <w:lang w:val="es-ES"/>
        </w:rPr>
        <w:t xml:space="preserve"> a la Secretaría</w:t>
      </w:r>
    </w:p>
    <w:bookmarkEnd w:id="0"/>
    <w:p w14:paraId="425D5B03" w14:textId="77777777" w:rsidR="00644C60" w:rsidRPr="00644C60" w:rsidRDefault="00644C60" w:rsidP="00F409BB">
      <w:pPr>
        <w:pStyle w:val="ListParagraph"/>
        <w:spacing w:after="120" w:line="240" w:lineRule="auto"/>
        <w:ind w:left="1080" w:hanging="360"/>
        <w:jc w:val="both"/>
        <w:rPr>
          <w:rFonts w:cs="Arial"/>
          <w:i/>
          <w:sz w:val="20"/>
          <w:szCs w:val="20"/>
          <w:lang w:val="es-ES"/>
        </w:rPr>
      </w:pPr>
      <w:r w:rsidRPr="00644C60">
        <w:rPr>
          <w:rFonts w:cs="Arial"/>
          <w:i/>
          <w:sz w:val="20"/>
          <w:szCs w:val="20"/>
          <w:lang w:val="es-ES"/>
        </w:rPr>
        <w:t>La Secretaría deberá, sujeta a la disponibilidad de recursos:</w:t>
      </w:r>
    </w:p>
    <w:p w14:paraId="127964D9" w14:textId="77777777" w:rsidR="00644C60" w:rsidRPr="00644C60" w:rsidRDefault="00644C60" w:rsidP="00F409BB">
      <w:pPr>
        <w:pStyle w:val="ListParagraph"/>
        <w:spacing w:after="120" w:line="240" w:lineRule="auto"/>
        <w:ind w:left="1080" w:hanging="360"/>
        <w:jc w:val="both"/>
        <w:rPr>
          <w:rFonts w:cs="Arial"/>
          <w:i/>
          <w:sz w:val="20"/>
          <w:szCs w:val="20"/>
          <w:lang w:val="es-ES"/>
        </w:rPr>
      </w:pPr>
    </w:p>
    <w:p w14:paraId="561E9BBE" w14:textId="3682027F" w:rsidR="00644C60" w:rsidRPr="00644C60" w:rsidRDefault="00644C60" w:rsidP="00F409BB">
      <w:pPr>
        <w:pStyle w:val="ListParagraph"/>
        <w:numPr>
          <w:ilvl w:val="0"/>
          <w:numId w:val="18"/>
        </w:numPr>
        <w:spacing w:after="80" w:line="240" w:lineRule="auto"/>
        <w:ind w:left="1080"/>
        <w:contextualSpacing w:val="0"/>
        <w:jc w:val="both"/>
        <w:rPr>
          <w:rFonts w:cs="Arial"/>
          <w:i/>
          <w:sz w:val="20"/>
          <w:szCs w:val="20"/>
          <w:lang w:val="es-ES"/>
        </w:rPr>
      </w:pPr>
      <w:r w:rsidRPr="00644C60">
        <w:rPr>
          <w:rFonts w:cs="Arial"/>
          <w:i/>
          <w:sz w:val="20"/>
          <w:szCs w:val="20"/>
          <w:lang w:val="es-ES"/>
        </w:rPr>
        <w:t>promover la importancia del uso sostenible de la tierra para las aves migratorias, y las prácticas y enfoques específicos esbozados en el Programa de Trabajo del Grupo de Trabajo del AEMLAP, junto con los organismos pertinentes de las Naciones Unidas y otras instituciones internacionales, y buscar oportunidades de colaboración para fomentar el uso sostenible de la tierra para las especies migratorias y las personas;</w:t>
      </w:r>
    </w:p>
    <w:p w14:paraId="4FDF6982" w14:textId="733B3975" w:rsidR="004D18E2" w:rsidRPr="005A4ABD" w:rsidRDefault="00644C60" w:rsidP="00F409BB">
      <w:pPr>
        <w:pStyle w:val="ListParagraph"/>
        <w:numPr>
          <w:ilvl w:val="0"/>
          <w:numId w:val="18"/>
        </w:numPr>
        <w:spacing w:after="80" w:line="240" w:lineRule="auto"/>
        <w:ind w:left="1080"/>
        <w:contextualSpacing w:val="0"/>
        <w:jc w:val="both"/>
        <w:rPr>
          <w:rFonts w:cs="Arial"/>
          <w:i/>
          <w:iCs/>
          <w:sz w:val="20"/>
          <w:szCs w:val="20"/>
          <w:lang w:val="es-ES"/>
        </w:rPr>
      </w:pPr>
      <w:r w:rsidRPr="00644C60">
        <w:rPr>
          <w:rFonts w:cs="Arial"/>
          <w:i/>
          <w:sz w:val="20"/>
          <w:szCs w:val="20"/>
          <w:lang w:val="es-ES"/>
        </w:rPr>
        <w:t>colaborar con los organismos pertinentes de las Naciones Unidas, las organizaciones internacionales y otras partes interesadas para organizar un taller sobre la integración de los requisitos de biodiversidad en la consecución de la neutralidad de la degradación de la tierra a una escala adecuada;</w:t>
      </w:r>
    </w:p>
    <w:p w14:paraId="39E42D30" w14:textId="7707B80B" w:rsidR="000C59BD" w:rsidRPr="000C59BD" w:rsidRDefault="000C59BD" w:rsidP="00F409BB">
      <w:pPr>
        <w:pStyle w:val="ListParagraph"/>
        <w:numPr>
          <w:ilvl w:val="0"/>
          <w:numId w:val="18"/>
        </w:numPr>
        <w:spacing w:after="80" w:line="240" w:lineRule="auto"/>
        <w:ind w:left="1080"/>
        <w:contextualSpacing w:val="0"/>
        <w:jc w:val="both"/>
        <w:rPr>
          <w:rFonts w:cs="Arial"/>
          <w:i/>
          <w:iCs/>
          <w:sz w:val="20"/>
          <w:szCs w:val="20"/>
          <w:lang w:val="es-ES"/>
        </w:rPr>
      </w:pPr>
      <w:r w:rsidRPr="000C59BD">
        <w:rPr>
          <w:rFonts w:cs="Arial"/>
          <w:i/>
          <w:iCs/>
          <w:sz w:val="20"/>
          <w:szCs w:val="20"/>
          <w:lang w:val="es-ES"/>
        </w:rPr>
        <w:t>apoyar conversaciones dentro del Grupo de Trabajo sobre la prevención del envenenamiento en relación con las posibles medidas para minimizar el impacto de los plaguicidas agrícolas en las aves terrestres, en consonancia con el Plan de Acción para las aves terrestres migratorias de África y Eurasia, así como el cumplimiento del mandato sobre plaguicidas en virtud de la Resolución 11.15 (Rev.COP14); y</w:t>
      </w:r>
    </w:p>
    <w:p w14:paraId="51659700" w14:textId="320DC1E1" w:rsidR="005A4ABD" w:rsidRPr="00644C60" w:rsidRDefault="000C59BD" w:rsidP="00F409BB">
      <w:pPr>
        <w:pStyle w:val="ListParagraph"/>
        <w:numPr>
          <w:ilvl w:val="0"/>
          <w:numId w:val="18"/>
        </w:numPr>
        <w:spacing w:after="120" w:line="240" w:lineRule="auto"/>
        <w:ind w:left="1080"/>
        <w:jc w:val="both"/>
        <w:rPr>
          <w:rFonts w:cs="Arial"/>
          <w:i/>
          <w:iCs/>
          <w:sz w:val="20"/>
          <w:szCs w:val="20"/>
          <w:lang w:val="es-ES"/>
        </w:rPr>
      </w:pPr>
      <w:r w:rsidRPr="000C59BD">
        <w:rPr>
          <w:rFonts w:cs="Arial"/>
          <w:i/>
          <w:iCs/>
          <w:sz w:val="20"/>
          <w:szCs w:val="20"/>
          <w:lang w:val="es-ES"/>
        </w:rPr>
        <w:t>organizar, en el período entre sesiones entre la 14ª y 15ª reuniones de la Conferencia de las Partes, una reunión de consulta de los estados del área de distribución para debatir y acordar posibles opciones con el fin de mejorar la aplicación del AEMLAP</w:t>
      </w:r>
    </w:p>
    <w:p w14:paraId="48DF8FB8" w14:textId="77777777" w:rsidR="004D18E2" w:rsidRPr="00644C60" w:rsidRDefault="004D18E2" w:rsidP="00F409BB">
      <w:pPr>
        <w:spacing w:after="0" w:line="240" w:lineRule="auto"/>
        <w:jc w:val="both"/>
        <w:rPr>
          <w:rFonts w:eastAsia="Calibri" w:cs="Arial"/>
          <w:bCs/>
          <w:lang w:val="es-ES"/>
        </w:rPr>
      </w:pPr>
    </w:p>
    <w:p w14:paraId="7DF8DA3D" w14:textId="77777777" w:rsidR="00BA5302" w:rsidRPr="0011421F" w:rsidRDefault="00BA5302" w:rsidP="00BA5302">
      <w:pPr>
        <w:spacing w:after="0"/>
        <w:jc w:val="both"/>
        <w:rPr>
          <w:rFonts w:cs="Arial"/>
          <w:u w:val="single"/>
          <w:lang w:val="es-ES"/>
        </w:rPr>
      </w:pPr>
      <w:r w:rsidRPr="0011421F">
        <w:rPr>
          <w:rFonts w:cs="Arial"/>
          <w:u w:val="single"/>
          <w:lang w:val="es-ES"/>
        </w:rPr>
        <w:t xml:space="preserve">Actividades para la implementación de la Resolución 11.17 (Rev.COP14) y de las Decisiones 14.130 </w:t>
      </w:r>
      <w:r w:rsidRPr="0011421F">
        <w:rPr>
          <w:rFonts w:cs="Arial"/>
          <w:lang w:val="es-ES"/>
        </w:rPr>
        <w:t>a</w:t>
      </w:r>
      <w:r w:rsidRPr="0011421F">
        <w:rPr>
          <w:rFonts w:cs="Arial"/>
          <w:u w:val="single"/>
          <w:lang w:val="es-ES"/>
        </w:rPr>
        <w:t xml:space="preserve"> 14.133 </w:t>
      </w:r>
    </w:p>
    <w:p w14:paraId="4ED964F9" w14:textId="77777777" w:rsidR="00BA5302" w:rsidRPr="0011421F" w:rsidRDefault="00BA5302" w:rsidP="00BA5302">
      <w:pPr>
        <w:spacing w:after="0"/>
        <w:jc w:val="both"/>
        <w:rPr>
          <w:rFonts w:cs="Arial"/>
          <w:u w:val="single"/>
          <w:lang w:val="es-ES"/>
        </w:rPr>
      </w:pPr>
    </w:p>
    <w:p w14:paraId="05038664"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eastAsia="Calibri" w:cs="Arial"/>
          <w:lang w:val="es-ES"/>
        </w:rPr>
        <w:t>La Secretaría organizó</w:t>
      </w:r>
      <w:r w:rsidRPr="0011421F">
        <w:rPr>
          <w:rFonts w:eastAsia="Calibri" w:cs="Arial"/>
          <w:color w:val="EE0000"/>
          <w:lang w:val="es-ES"/>
        </w:rPr>
        <w:t xml:space="preserve"> </w:t>
      </w:r>
      <w:r w:rsidRPr="0011421F">
        <w:rPr>
          <w:rFonts w:eastAsia="Calibri" w:cs="Arial"/>
          <w:lang w:val="es-ES"/>
        </w:rPr>
        <w:t>reuniones del Grupo Directivo del Grupo de Trabajo del AEMLAP (AEML SG) con el fin de impulsar la actualización de su Programa de Trabajo (</w:t>
      </w:r>
      <w:proofErr w:type="spellStart"/>
      <w:r w:rsidRPr="0011421F">
        <w:rPr>
          <w:rFonts w:eastAsia="Calibri" w:cs="Arial"/>
          <w:lang w:val="es-ES"/>
        </w:rPr>
        <w:t>PdT</w:t>
      </w:r>
      <w:proofErr w:type="spellEnd"/>
      <w:r w:rsidRPr="0011421F">
        <w:rPr>
          <w:rFonts w:eastAsia="Calibri" w:cs="Arial"/>
          <w:lang w:val="es-ES"/>
        </w:rPr>
        <w:t>) y</w:t>
      </w:r>
      <w:r w:rsidRPr="0011421F">
        <w:rPr>
          <w:rFonts w:eastAsia="Calibri" w:cs="Arial"/>
          <w:color w:val="000000" w:themeColor="text1"/>
          <w:lang w:val="es-ES"/>
        </w:rPr>
        <w:t xml:space="preserve"> compartir </w:t>
      </w:r>
      <w:r w:rsidRPr="0011421F">
        <w:rPr>
          <w:rFonts w:eastAsia="Calibri" w:cs="Arial"/>
          <w:lang w:val="es-ES"/>
        </w:rPr>
        <w:t xml:space="preserve">información entre los miembros del Grupo de Trabajo. La Secretaría también celebró reuniones periódicas con la Unidad de Coordinación, establecida por la Sociedad Ornitológica Suiza (SOI) en 2022. </w:t>
      </w:r>
    </w:p>
    <w:p w14:paraId="73476D50" w14:textId="77777777" w:rsidR="00BA5302" w:rsidRPr="0011421F" w:rsidRDefault="00BA5302" w:rsidP="00BA5302">
      <w:pPr>
        <w:pStyle w:val="ListParagraph"/>
        <w:spacing w:after="0" w:line="240" w:lineRule="auto"/>
        <w:ind w:left="1080"/>
        <w:jc w:val="both"/>
        <w:rPr>
          <w:rFonts w:eastAsia="Calibri" w:cs="Arial"/>
          <w:lang w:val="es-ES"/>
        </w:rPr>
      </w:pPr>
    </w:p>
    <w:p w14:paraId="16397EBD"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La Unidad de Coordinación del AEML WG siguió desempeñando un papel fundamental en la ejecución del </w:t>
      </w:r>
      <w:proofErr w:type="spellStart"/>
      <w:r w:rsidRPr="0011421F">
        <w:rPr>
          <w:rFonts w:cs="Arial"/>
          <w:lang w:val="es-ES"/>
        </w:rPr>
        <w:t>PdT</w:t>
      </w:r>
      <w:proofErr w:type="spellEnd"/>
      <w:r w:rsidRPr="0011421F">
        <w:rPr>
          <w:rFonts w:cs="Arial"/>
          <w:lang w:val="es-ES"/>
        </w:rPr>
        <w:t xml:space="preserve"> del Grupo de Trabajo y mantuvo una comunicación periódica tanto con el equipo Aviar de la CMS como con los miembros y las partes interesadas del Grupo de Trabajo. La Secretaría también cooperó activamente con las Partes de la CMS y las partes interesadas para implementar las actividades contempladas en el presente Plan de Acción.</w:t>
      </w:r>
    </w:p>
    <w:p w14:paraId="36BFE90F" w14:textId="77777777" w:rsidR="00BA5302" w:rsidRPr="0011421F" w:rsidRDefault="00BA5302" w:rsidP="00BA5302">
      <w:pPr>
        <w:pStyle w:val="ListParagraph"/>
        <w:spacing w:after="0" w:line="240" w:lineRule="auto"/>
        <w:ind w:left="1080"/>
        <w:jc w:val="both"/>
        <w:rPr>
          <w:rFonts w:eastAsia="Calibri" w:cs="Arial"/>
          <w:lang w:val="es-ES"/>
        </w:rPr>
      </w:pPr>
    </w:p>
    <w:p w14:paraId="7B5CBA77"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eastAsia="Calibri" w:cs="Arial"/>
          <w:lang w:val="es-ES"/>
        </w:rPr>
        <w:t xml:space="preserve">Durante este período entre sesiones, la Secretaría facilitó un total de tres reuniones del AEML SG: dos en 2024 (mayo y noviembre) y una en junio de 2025. El objetivo principal de estas reuniones fue: a) analizar la aplicación del </w:t>
      </w:r>
      <w:proofErr w:type="spellStart"/>
      <w:r w:rsidRPr="0011421F">
        <w:rPr>
          <w:rFonts w:eastAsia="Calibri" w:cs="Arial"/>
          <w:lang w:val="es-ES"/>
        </w:rPr>
        <w:t>PdT</w:t>
      </w:r>
      <w:proofErr w:type="spellEnd"/>
      <w:r w:rsidRPr="0011421F">
        <w:rPr>
          <w:rFonts w:eastAsia="Calibri" w:cs="Arial"/>
          <w:lang w:val="es-ES"/>
        </w:rPr>
        <w:t xml:space="preserve"> del AEML WG para el período de 2021 a 2026, y b) elaborar una versión actualizada que se ajustara al Plan Estratégico de Samarcanda para las Especies Migratorias 2024-2032. Las reuniones contaron con una amplia participación y, en el momento de redactar el presente documento, la Secretaría sigue recibiendo y compilando comentarios.</w:t>
      </w:r>
    </w:p>
    <w:p w14:paraId="2F6A5527" w14:textId="77777777" w:rsidR="00BA5302" w:rsidRPr="0011421F" w:rsidRDefault="00BA5302" w:rsidP="00BA5302">
      <w:pPr>
        <w:pStyle w:val="ListParagraph"/>
        <w:rPr>
          <w:rFonts w:cs="Arial"/>
          <w:lang w:val="es-ES"/>
        </w:rPr>
      </w:pPr>
    </w:p>
    <w:p w14:paraId="1D517EA1"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Para apoyar la aplicación de la Decisión 14.133, la Secretaría y la SOI celebraron una serie de reuniones bilaterales con la Secretaría de la Convención de las Naciones Unidas de Lucha contra la Desertificación (CLD). En estas reuniones se abordó la posibilidad de elaborar un programa de trabajo conjunto sobre hábitats, uso sostenible de la tierra y la utilización de especies del AEMLAP como indicadores. Además, se identificaron sinergias entre la CMS y la CLD, en particular en relación tanto con el Programa de Trabajo del AEML WG como con las Metas de Neutralidad en la Degradación de Tierras de la CLD. En junio de 2024, ambas Secretarías acordaron </w:t>
      </w:r>
      <w:r w:rsidRPr="0011421F">
        <w:rPr>
          <w:rFonts w:cs="Arial"/>
          <w:lang w:val="es-ES"/>
        </w:rPr>
        <w:lastRenderedPageBreak/>
        <w:t xml:space="preserve">organizar conjuntamente un taller titulado «Lograr las metas de neutralidad en la degradación de tierras mediante la restauración de hábitats para las aves terrestres migratorias», que se celebrará preferiblemente en África. En junio de 2024 se recibió una contribución voluntaria del Gobierno de Suiza para este fin, pero se necesitan más recursos para llevar a cabo esta actividad. </w:t>
      </w:r>
    </w:p>
    <w:p w14:paraId="5A73A893" w14:textId="77777777" w:rsidR="00BA5302" w:rsidRPr="0011421F" w:rsidRDefault="00BA5302" w:rsidP="00BA5302">
      <w:pPr>
        <w:pStyle w:val="ListParagraph"/>
        <w:spacing w:after="0" w:line="240" w:lineRule="auto"/>
        <w:ind w:left="1080"/>
        <w:jc w:val="both"/>
        <w:rPr>
          <w:rFonts w:eastAsia="Calibri" w:cs="Arial"/>
          <w:lang w:val="es-ES"/>
        </w:rPr>
      </w:pPr>
    </w:p>
    <w:p w14:paraId="2216F130"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Como seguimiento, la Secretaría preparó una nota conceptual y contactó a los miembros y a las partes interesadas del AEML WG para solicitar su apoyo en la organización de este taller. Aunque se recibieron algunas respuestas positivas, no se prevé que el taller tenga lugar hasta la primera mitad de 2026. </w:t>
      </w:r>
    </w:p>
    <w:p w14:paraId="652F737C" w14:textId="77777777" w:rsidR="00BA5302" w:rsidRPr="0011421F" w:rsidRDefault="00BA5302" w:rsidP="00BA5302">
      <w:pPr>
        <w:pStyle w:val="ListParagraph"/>
        <w:spacing w:after="0" w:line="240" w:lineRule="auto"/>
        <w:ind w:left="1080"/>
        <w:jc w:val="both"/>
        <w:rPr>
          <w:rFonts w:eastAsia="Calibri" w:cs="Arial"/>
          <w:lang w:val="es-ES"/>
        </w:rPr>
      </w:pPr>
    </w:p>
    <w:p w14:paraId="686E4CF6" w14:textId="77777777"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Los miembros del AEML WG promovieron el AEMLAP en diversas conferencias y eventos, como la COP16 de la CLD, en la que se organizó conjuntamente un evento paralelo entre las Secretarías de la CLD y de la CMS titulado «</w:t>
      </w:r>
      <w:r w:rsidRPr="0011421F">
        <w:rPr>
          <w:rFonts w:eastAsia="Calibri" w:cs="Arial"/>
          <w:color w:val="000000" w:themeColor="text1"/>
          <w:lang w:val="es-ES"/>
        </w:rPr>
        <w:t xml:space="preserve">Lograr las metas de neutralidad en la degradación de tierras mediante la restauración de hábitats para las aves terrestres migratorias», </w:t>
      </w:r>
      <w:r w:rsidRPr="0011421F">
        <w:rPr>
          <w:rFonts w:cs="Arial"/>
          <w:lang w:val="es-ES"/>
        </w:rPr>
        <w:t xml:space="preserve">el 4 de diciembre de 2024. </w:t>
      </w:r>
    </w:p>
    <w:p w14:paraId="6A8B6F4D" w14:textId="77777777" w:rsidR="00BA5302" w:rsidRPr="0011421F" w:rsidRDefault="00BA5302" w:rsidP="00BA5302">
      <w:pPr>
        <w:pStyle w:val="ListParagraph"/>
        <w:widowControl w:val="0"/>
        <w:autoSpaceDE w:val="0"/>
        <w:autoSpaceDN w:val="0"/>
        <w:adjustRightInd w:val="0"/>
        <w:spacing w:after="0" w:line="240" w:lineRule="auto"/>
        <w:ind w:left="567"/>
        <w:jc w:val="both"/>
        <w:rPr>
          <w:rFonts w:eastAsia="Calibri" w:cs="Arial"/>
          <w:lang w:val="es-ES"/>
        </w:rPr>
      </w:pPr>
    </w:p>
    <w:p w14:paraId="0239D96F" w14:textId="24CA35C0" w:rsidR="00BA5302" w:rsidRPr="0011421F" w:rsidRDefault="00BA5302" w:rsidP="00BA5302">
      <w:pPr>
        <w:pStyle w:val="ListParagraph"/>
        <w:widowControl w:val="0"/>
        <w:numPr>
          <w:ilvl w:val="0"/>
          <w:numId w:val="14"/>
        </w:numPr>
        <w:autoSpaceDE w:val="0"/>
        <w:autoSpaceDN w:val="0"/>
        <w:adjustRightInd w:val="0"/>
        <w:spacing w:after="0" w:line="240" w:lineRule="auto"/>
        <w:ind w:left="567" w:hanging="567"/>
        <w:jc w:val="both"/>
        <w:rPr>
          <w:rFonts w:eastAsia="Calibri" w:cs="Arial"/>
          <w:lang w:val="es-ES"/>
        </w:rPr>
      </w:pPr>
      <w:r w:rsidRPr="0011421F">
        <w:rPr>
          <w:rFonts w:cs="Arial"/>
          <w:lang w:val="es-ES"/>
        </w:rPr>
        <w:t xml:space="preserve">Los miembros del AEML WG, en coordinación con la Secretaría, apoyaron la labor realizada por el grupo «Avutardas sin Fronteras» (BWB, por sus siglas en inglés). Se trata de un consorcio de personas, organizaciones y otras partes interesadas con experiencia en la conservación sostenible de las avutardas. El grupo ha elaborado un Plan de Acción </w:t>
      </w:r>
      <w:proofErr w:type="spellStart"/>
      <w:r w:rsidRPr="0011421F">
        <w:rPr>
          <w:rFonts w:cs="Arial"/>
          <w:lang w:val="es-ES"/>
        </w:rPr>
        <w:t>Multi-especie</w:t>
      </w:r>
      <w:proofErr w:type="spellEnd"/>
      <w:r w:rsidRPr="0011421F">
        <w:rPr>
          <w:rFonts w:cs="Arial"/>
          <w:lang w:val="es-ES"/>
        </w:rPr>
        <w:t xml:space="preserve"> completo para las avutardas, destinado a orientar en los próximos años las medidas de conservación de las 26 especies de avutardas existentes en todo el mundo. Más información sobre el BWB y el Plan de Acción está disponible en la </w:t>
      </w:r>
      <w:hyperlink r:id="rId13" w:tgtFrame="_blank" w:history="1">
        <w:r w:rsidRPr="0011421F">
          <w:rPr>
            <w:rStyle w:val="Hyperlink"/>
            <w:rFonts w:eastAsia="Calibri" w:cs="Arial"/>
            <w:lang w:val="es-ES"/>
          </w:rPr>
          <w:t>página web del BWB</w:t>
        </w:r>
      </w:hyperlink>
      <w:r w:rsidRPr="0011421F">
        <w:rPr>
          <w:rFonts w:cs="Arial"/>
          <w:lang w:val="es-ES"/>
        </w:rPr>
        <w:t xml:space="preserve"> y en los </w:t>
      </w:r>
      <w:r w:rsidRPr="00242AC9">
        <w:rPr>
          <w:lang w:val="es-ES"/>
        </w:rPr>
        <w:t xml:space="preserve">documentos </w:t>
      </w:r>
      <w:hyperlink r:id="rId14" w:history="1">
        <w:r w:rsidR="006B670C" w:rsidRPr="006B670C">
          <w:rPr>
            <w:rStyle w:val="Hyperlink"/>
            <w:lang w:val="es-ES"/>
          </w:rPr>
          <w:t>UNEP/CMS/COP15/Doc.26.4.1</w:t>
        </w:r>
      </w:hyperlink>
      <w:r w:rsidRPr="006B670C">
        <w:rPr>
          <w:lang w:val="es-ES"/>
        </w:rPr>
        <w:t xml:space="preserve"> y </w:t>
      </w:r>
      <w:hyperlink r:id="rId15" w:history="1">
        <w:r w:rsidR="00881663" w:rsidRPr="00881663">
          <w:rPr>
            <w:rStyle w:val="Hyperlink"/>
            <w:lang w:val="es-ES"/>
          </w:rPr>
          <w:t>UNEP/CMS/COP15/Doc.26.4.2</w:t>
        </w:r>
      </w:hyperlink>
      <w:r w:rsidR="00881663" w:rsidRPr="00881663">
        <w:rPr>
          <w:lang w:val="es-ES"/>
        </w:rPr>
        <w:t>.</w:t>
      </w:r>
      <w:r w:rsidRPr="0011421F">
        <w:rPr>
          <w:rFonts w:eastAsia="Calibri" w:cs="Arial"/>
          <w:lang w:val="es-ES"/>
        </w:rPr>
        <w:t xml:space="preserve"> </w:t>
      </w:r>
    </w:p>
    <w:p w14:paraId="00571F7D" w14:textId="77777777" w:rsidR="00BA5302" w:rsidRPr="0011421F" w:rsidRDefault="00BA5302" w:rsidP="00BA5302">
      <w:pPr>
        <w:spacing w:after="0" w:line="240" w:lineRule="auto"/>
        <w:rPr>
          <w:rFonts w:eastAsia="Calibri" w:cs="Arial"/>
          <w:lang w:val="es-ES"/>
        </w:rPr>
      </w:pPr>
    </w:p>
    <w:p w14:paraId="295FBFAD" w14:textId="42123280"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 xml:space="preserve">Con respecto a la Decisión 14.133 (c), en 2024 y 2025 la Secretaría y el AEML SG decidieron proponer enmiendas a la Resolución 11.15 (Rev.COP14), ya que el Grupo de Trabajo sobre la Prevención del Envenenamiento permaneció inactivo durante el período entre sesiones y no se pudieron recaudar fondos para su coordinación (véase </w:t>
      </w:r>
      <w:hyperlink r:id="rId16" w:history="1">
        <w:r w:rsidR="009F11CF" w:rsidRPr="009F11CF">
          <w:rPr>
            <w:rStyle w:val="Hyperlink"/>
            <w:lang w:val="es-ES"/>
          </w:rPr>
          <w:t>UNEP/CMS/COP15/Doc.26.2</w:t>
        </w:r>
      </w:hyperlink>
      <w:r w:rsidR="0020502B" w:rsidRPr="0020502B">
        <w:rPr>
          <w:lang w:val="es-ES"/>
        </w:rPr>
        <w:t>.</w:t>
      </w:r>
      <w:r w:rsidRPr="0011421F">
        <w:rPr>
          <w:rFonts w:eastAsia="Calibri" w:cs="Arial"/>
          <w:lang w:val="es-ES"/>
        </w:rPr>
        <w:t xml:space="preserve"> </w:t>
      </w:r>
    </w:p>
    <w:p w14:paraId="59492256" w14:textId="77777777" w:rsidR="00BA5302" w:rsidRPr="0011421F" w:rsidRDefault="00BA5302" w:rsidP="00BA5302">
      <w:pPr>
        <w:pStyle w:val="ListParagraph"/>
        <w:spacing w:after="0" w:line="240" w:lineRule="auto"/>
        <w:ind w:left="567"/>
        <w:jc w:val="both"/>
        <w:rPr>
          <w:rFonts w:eastAsia="Calibri" w:cs="Arial"/>
          <w:lang w:val="es-ES"/>
        </w:rPr>
      </w:pPr>
    </w:p>
    <w:p w14:paraId="65B72CA9"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color w:val="000000" w:themeColor="text1"/>
          <w:lang w:val="es-ES"/>
        </w:rPr>
        <w:t xml:space="preserve">La Unidad de Coordinación del AEML WG </w:t>
      </w:r>
      <w:r w:rsidRPr="0011421F">
        <w:rPr>
          <w:rFonts w:eastAsia="Calibri" w:cs="Arial"/>
          <w:lang w:val="es-ES"/>
        </w:rPr>
        <w:t xml:space="preserve">también apoyó los siguientes proyectos: </w:t>
      </w:r>
    </w:p>
    <w:p w14:paraId="3F392D0E" w14:textId="77777777" w:rsidR="00BA5302" w:rsidRPr="0011421F" w:rsidRDefault="00BA5302" w:rsidP="00BA5302">
      <w:pPr>
        <w:pStyle w:val="ListParagraph"/>
        <w:rPr>
          <w:rFonts w:eastAsia="Calibri" w:cs="Arial"/>
          <w:lang w:val="es-ES"/>
        </w:rPr>
      </w:pPr>
    </w:p>
    <w:p w14:paraId="0F824DE0" w14:textId="77777777" w:rsidR="00BA5302" w:rsidRPr="0011421F" w:rsidRDefault="00BA5302" w:rsidP="00BA5302">
      <w:pPr>
        <w:pStyle w:val="ListParagraph"/>
        <w:numPr>
          <w:ilvl w:val="0"/>
          <w:numId w:val="19"/>
        </w:numPr>
        <w:spacing w:after="0" w:line="240" w:lineRule="auto"/>
        <w:jc w:val="both"/>
        <w:rPr>
          <w:rFonts w:eastAsia="Calibri" w:cs="Arial"/>
          <w:lang w:val="es-ES"/>
        </w:rPr>
      </w:pPr>
      <w:r w:rsidRPr="0011421F">
        <w:rPr>
          <w:rFonts w:eastAsia="Calibri" w:cs="Arial"/>
          <w:lang w:val="es-ES"/>
        </w:rPr>
        <w:t>El Proyecto Atlas de las Aves Africanas (ABAP), un programa de ciencia ciudadana a escala continental para el seguimiento de aves, que aporta información sobre la distribución de las aves africanas y su estado de conservación. Se pusieron en marcha nuevos proyectos nacionales en Senegal y Costa de Marfil mediante talleres con miembros del AEML WG, ampliando así el alcance del proyecto.</w:t>
      </w:r>
    </w:p>
    <w:p w14:paraId="14F25169" w14:textId="77777777" w:rsidR="00BA5302" w:rsidRPr="0011421F" w:rsidRDefault="00BA5302" w:rsidP="00BA5302">
      <w:pPr>
        <w:pStyle w:val="ListParagraph"/>
        <w:numPr>
          <w:ilvl w:val="0"/>
          <w:numId w:val="19"/>
        </w:numPr>
        <w:spacing w:after="0" w:line="240" w:lineRule="auto"/>
        <w:jc w:val="both"/>
        <w:rPr>
          <w:rFonts w:eastAsia="Calibri" w:cs="Arial"/>
          <w:lang w:val="es-ES"/>
        </w:rPr>
      </w:pPr>
      <w:r w:rsidRPr="0011421F">
        <w:rPr>
          <w:rFonts w:eastAsia="Calibri" w:cs="Arial"/>
          <w:lang w:val="es-ES"/>
        </w:rPr>
        <w:t xml:space="preserve"> La iniciativa </w:t>
      </w:r>
      <w:hyperlink r:id="rId17" w:history="1">
        <w:r w:rsidRPr="0011421F">
          <w:rPr>
            <w:rStyle w:val="Hyperlink"/>
            <w:rFonts w:eastAsia="Calibri" w:cs="Arial"/>
            <w:lang w:val="es-ES"/>
          </w:rPr>
          <w:t xml:space="preserve">EUFLYNET COST </w:t>
        </w:r>
        <w:proofErr w:type="spellStart"/>
        <w:r w:rsidRPr="0011421F">
          <w:rPr>
            <w:rStyle w:val="Hyperlink"/>
            <w:rFonts w:eastAsia="Calibri" w:cs="Arial"/>
            <w:lang w:val="es-ES"/>
          </w:rPr>
          <w:t>Action</w:t>
        </w:r>
        <w:proofErr w:type="spellEnd"/>
      </w:hyperlink>
      <w:r w:rsidRPr="0011421F">
        <w:rPr>
          <w:rFonts w:eastAsia="Calibri" w:cs="Arial"/>
          <w:lang w:val="es-ES"/>
        </w:rPr>
        <w:t>, que tiene como objeto comprender la dinámica de las poblaciones de aves terrestres migratorias, con el apoyo de miembros del AEMLAP WG en el desarrollo de instrumentos clave para su protección.</w:t>
      </w:r>
    </w:p>
    <w:p w14:paraId="2F29E41D" w14:textId="77777777" w:rsidR="00BA5302" w:rsidRPr="0011421F" w:rsidRDefault="00BA5302" w:rsidP="00BA5302">
      <w:pPr>
        <w:spacing w:after="0" w:line="240" w:lineRule="auto"/>
        <w:jc w:val="both"/>
        <w:rPr>
          <w:rFonts w:eastAsia="Calibri" w:cs="Arial"/>
          <w:lang w:val="es-ES"/>
        </w:rPr>
      </w:pPr>
    </w:p>
    <w:p w14:paraId="75210480" w14:textId="77777777" w:rsidR="00BA5302" w:rsidRPr="0011421F" w:rsidRDefault="00BA5302" w:rsidP="00BA5302">
      <w:pPr>
        <w:spacing w:after="0"/>
        <w:jc w:val="both"/>
        <w:rPr>
          <w:rFonts w:cs="Arial"/>
          <w:iCs/>
          <w:u w:val="single"/>
          <w:lang w:val="es-ES"/>
        </w:rPr>
      </w:pPr>
      <w:r w:rsidRPr="0011421F">
        <w:rPr>
          <w:rFonts w:cs="Arial"/>
          <w:iCs/>
          <w:u w:val="single"/>
          <w:lang w:val="es-ES"/>
        </w:rPr>
        <w:t xml:space="preserve">Planes de Acción de Especie Única elaborados </w:t>
      </w:r>
      <w:proofErr w:type="gramStart"/>
      <w:r w:rsidRPr="0011421F">
        <w:rPr>
          <w:rFonts w:cs="Arial"/>
          <w:iCs/>
          <w:u w:val="single"/>
          <w:lang w:val="es-ES"/>
        </w:rPr>
        <w:t>conjuntamente con</w:t>
      </w:r>
      <w:proofErr w:type="gramEnd"/>
      <w:r w:rsidRPr="0011421F">
        <w:rPr>
          <w:rFonts w:cs="Arial"/>
          <w:iCs/>
          <w:u w:val="single"/>
          <w:lang w:val="es-ES"/>
        </w:rPr>
        <w:t xml:space="preserve"> el AEMLAP</w:t>
      </w:r>
    </w:p>
    <w:p w14:paraId="0EB685C9" w14:textId="77777777" w:rsidR="00BA5302" w:rsidRPr="0011421F" w:rsidRDefault="00BA5302" w:rsidP="00BA5302">
      <w:pPr>
        <w:spacing w:after="0"/>
        <w:jc w:val="both"/>
        <w:rPr>
          <w:rFonts w:cs="Arial"/>
          <w:i/>
          <w:lang w:val="es-ES"/>
        </w:rPr>
      </w:pPr>
    </w:p>
    <w:p w14:paraId="0B371710" w14:textId="126A4673" w:rsidR="00BA5302" w:rsidRPr="0011421F" w:rsidRDefault="00BA5302" w:rsidP="00BA5302">
      <w:pPr>
        <w:pStyle w:val="ListParagraph"/>
        <w:numPr>
          <w:ilvl w:val="0"/>
          <w:numId w:val="14"/>
        </w:numPr>
        <w:spacing w:after="0" w:line="240" w:lineRule="auto"/>
        <w:ind w:left="567" w:hanging="567"/>
        <w:jc w:val="both"/>
        <w:rPr>
          <w:rFonts w:cs="Arial"/>
          <w:iCs/>
          <w:lang w:val="es-ES"/>
        </w:rPr>
      </w:pPr>
      <w:r w:rsidRPr="0011421F">
        <w:rPr>
          <w:rFonts w:cs="Arial"/>
          <w:iCs/>
          <w:lang w:val="es-ES"/>
        </w:rPr>
        <w:t>Las actividades relacionadas con el escribano aureolado (</w:t>
      </w:r>
      <w:proofErr w:type="spellStart"/>
      <w:r w:rsidRPr="0011421F">
        <w:rPr>
          <w:rFonts w:cs="Arial"/>
          <w:i/>
          <w:lang w:val="es-ES"/>
        </w:rPr>
        <w:t>Emberiza</w:t>
      </w:r>
      <w:proofErr w:type="spellEnd"/>
      <w:r w:rsidRPr="0011421F">
        <w:rPr>
          <w:rFonts w:cs="Arial"/>
          <w:i/>
          <w:lang w:val="es-ES"/>
        </w:rPr>
        <w:t xml:space="preserve"> aureola</w:t>
      </w:r>
      <w:r w:rsidRPr="0011421F">
        <w:rPr>
          <w:rFonts w:cs="Arial"/>
          <w:iCs/>
          <w:lang w:val="es-ES"/>
        </w:rPr>
        <w:t>), la tórtola europea</w:t>
      </w:r>
      <w:r w:rsidRPr="0011421F">
        <w:rPr>
          <w:rFonts w:cs="Arial"/>
          <w:i/>
          <w:lang w:val="es-ES"/>
        </w:rPr>
        <w:t xml:space="preserve"> </w:t>
      </w:r>
      <w:r w:rsidRPr="0011421F">
        <w:rPr>
          <w:rFonts w:cs="Arial"/>
          <w:color w:val="000000"/>
          <w:shd w:val="clear" w:color="auto" w:fill="FFFFFF"/>
          <w:lang w:val="es-ES"/>
        </w:rPr>
        <w:t>(</w:t>
      </w:r>
      <w:proofErr w:type="spellStart"/>
      <w:r w:rsidRPr="0011421F">
        <w:rPr>
          <w:rFonts w:cs="Arial"/>
          <w:i/>
          <w:iCs/>
          <w:color w:val="000000"/>
          <w:shd w:val="clear" w:color="auto" w:fill="FFFFFF"/>
          <w:lang w:val="es-ES"/>
        </w:rPr>
        <w:t>Streptopelia</w:t>
      </w:r>
      <w:proofErr w:type="spellEnd"/>
      <w:r w:rsidRPr="0011421F">
        <w:rPr>
          <w:rFonts w:cs="Arial"/>
          <w:i/>
          <w:iCs/>
          <w:color w:val="000000"/>
          <w:shd w:val="clear" w:color="auto" w:fill="FFFFFF"/>
          <w:lang w:val="es-ES"/>
        </w:rPr>
        <w:t xml:space="preserve"> </w:t>
      </w:r>
      <w:proofErr w:type="spellStart"/>
      <w:r w:rsidRPr="0011421F">
        <w:rPr>
          <w:rFonts w:cs="Arial"/>
          <w:i/>
          <w:iCs/>
          <w:color w:val="000000"/>
          <w:shd w:val="clear" w:color="auto" w:fill="FFFFFF"/>
          <w:lang w:val="es-ES"/>
        </w:rPr>
        <w:t>turtur</w:t>
      </w:r>
      <w:proofErr w:type="spellEnd"/>
      <w:r w:rsidRPr="0011421F">
        <w:rPr>
          <w:rFonts w:cs="Arial"/>
          <w:color w:val="000000"/>
          <w:shd w:val="clear" w:color="auto" w:fill="FFFFFF"/>
          <w:lang w:val="es-ES"/>
        </w:rPr>
        <w:t>) y la carraca europea (</w:t>
      </w:r>
      <w:proofErr w:type="spellStart"/>
      <w:r w:rsidRPr="0011421F">
        <w:rPr>
          <w:rFonts w:cs="Arial"/>
          <w:i/>
          <w:iCs/>
          <w:color w:val="000000"/>
          <w:shd w:val="clear" w:color="auto" w:fill="FFFFFF"/>
          <w:lang w:val="es-ES"/>
        </w:rPr>
        <w:t>Coracias</w:t>
      </w:r>
      <w:proofErr w:type="spellEnd"/>
      <w:r w:rsidRPr="0011421F">
        <w:rPr>
          <w:rFonts w:cs="Arial"/>
          <w:i/>
          <w:iCs/>
          <w:color w:val="000000"/>
          <w:shd w:val="clear" w:color="auto" w:fill="FFFFFF"/>
          <w:lang w:val="es-ES"/>
        </w:rPr>
        <w:t xml:space="preserve"> </w:t>
      </w:r>
      <w:proofErr w:type="spellStart"/>
      <w:r w:rsidRPr="0011421F">
        <w:rPr>
          <w:rFonts w:cs="Arial"/>
          <w:i/>
          <w:iCs/>
          <w:color w:val="000000"/>
          <w:shd w:val="clear" w:color="auto" w:fill="FFFFFF"/>
          <w:lang w:val="es-ES"/>
        </w:rPr>
        <w:t>garrulus</w:t>
      </w:r>
      <w:proofErr w:type="spellEnd"/>
      <w:r w:rsidRPr="0011421F">
        <w:rPr>
          <w:rFonts w:cs="Arial"/>
          <w:color w:val="000000"/>
          <w:shd w:val="clear" w:color="auto" w:fill="FFFFFF"/>
          <w:lang w:val="es-ES"/>
        </w:rPr>
        <w:t>)</w:t>
      </w:r>
      <w:r w:rsidRPr="0011421F">
        <w:rPr>
          <w:rFonts w:cs="Arial"/>
          <w:iCs/>
          <w:lang w:val="es-ES"/>
        </w:rPr>
        <w:t xml:space="preserve"> se presentan en el documento </w:t>
      </w:r>
      <w:hyperlink r:id="rId18" w:history="1">
        <w:r w:rsidRPr="00030461">
          <w:rPr>
            <w:rStyle w:val="Hyperlink"/>
            <w:rFonts w:cs="Arial"/>
            <w:iCs/>
            <w:lang w:val="es-ES"/>
          </w:rPr>
          <w:t>UNEP/CMS/COP15/Doc.26.</w:t>
        </w:r>
        <w:r w:rsidR="00715A95" w:rsidRPr="00030461">
          <w:rPr>
            <w:rStyle w:val="Hyperlink"/>
            <w:rFonts w:cs="Arial"/>
            <w:iCs/>
            <w:lang w:val="es-ES"/>
          </w:rPr>
          <w:t>4</w:t>
        </w:r>
        <w:r w:rsidRPr="00030461">
          <w:rPr>
            <w:rStyle w:val="Hyperlink"/>
            <w:rFonts w:cs="Arial"/>
            <w:iCs/>
            <w:lang w:val="es-ES"/>
          </w:rPr>
          <w:t xml:space="preserve">.1 </w:t>
        </w:r>
        <w:r w:rsidRPr="00030461">
          <w:rPr>
            <w:rStyle w:val="Hyperlink"/>
            <w:rFonts w:cs="Arial"/>
            <w:i/>
            <w:lang w:val="es-ES"/>
          </w:rPr>
          <w:t>Planes de Acción para Aves</w:t>
        </w:r>
      </w:hyperlink>
      <w:r w:rsidRPr="0011421F">
        <w:rPr>
          <w:rFonts w:cs="Arial"/>
          <w:iCs/>
          <w:lang w:val="es-ES"/>
        </w:rPr>
        <w:t>.</w:t>
      </w:r>
    </w:p>
    <w:p w14:paraId="5B7C6646" w14:textId="4BCB7FEA" w:rsidR="00364BFC" w:rsidRDefault="00364BFC">
      <w:pPr>
        <w:rPr>
          <w:rFonts w:cs="Arial"/>
          <w:i/>
          <w:lang w:val="es-ES"/>
        </w:rPr>
      </w:pPr>
      <w:r>
        <w:rPr>
          <w:rFonts w:cs="Arial"/>
          <w:i/>
          <w:lang w:val="es-ES"/>
        </w:rPr>
        <w:br w:type="page"/>
      </w:r>
    </w:p>
    <w:p w14:paraId="58F720F4" w14:textId="77777777" w:rsidR="00BA5302" w:rsidRPr="0011421F" w:rsidRDefault="00BA5302" w:rsidP="00BA5302">
      <w:pPr>
        <w:spacing w:after="0" w:line="240" w:lineRule="auto"/>
        <w:jc w:val="both"/>
        <w:rPr>
          <w:rFonts w:cs="Arial"/>
          <w:i/>
          <w:lang w:val="es-ES"/>
        </w:rPr>
      </w:pPr>
    </w:p>
    <w:p w14:paraId="4E6C84BD" w14:textId="6C888E79" w:rsidR="00BA5302" w:rsidRPr="0011421F" w:rsidRDefault="00BA5302" w:rsidP="00BA5302">
      <w:pPr>
        <w:spacing w:after="0" w:line="240" w:lineRule="auto"/>
        <w:jc w:val="both"/>
        <w:rPr>
          <w:rFonts w:cs="Arial"/>
          <w:u w:val="single"/>
          <w:lang w:val="es-ES"/>
        </w:rPr>
      </w:pPr>
      <w:r w:rsidRPr="0011421F">
        <w:rPr>
          <w:rFonts w:cs="Arial"/>
          <w:u w:val="single"/>
          <w:lang w:val="es-ES"/>
        </w:rPr>
        <w:t xml:space="preserve">Retos en la implementación del AEMLAP y el </w:t>
      </w:r>
      <w:proofErr w:type="spellStart"/>
      <w:r w:rsidRPr="0011421F">
        <w:rPr>
          <w:rFonts w:cs="Arial"/>
          <w:u w:val="single"/>
          <w:lang w:val="es-ES"/>
        </w:rPr>
        <w:t>PdT</w:t>
      </w:r>
      <w:proofErr w:type="spellEnd"/>
      <w:r w:rsidRPr="0011421F">
        <w:rPr>
          <w:rFonts w:cs="Arial"/>
          <w:u w:val="single"/>
          <w:lang w:val="es-ES"/>
        </w:rPr>
        <w:t xml:space="preserve"> del AEML WG</w:t>
      </w:r>
    </w:p>
    <w:p w14:paraId="342D236C" w14:textId="77777777" w:rsidR="00BA5302" w:rsidRPr="0011421F" w:rsidRDefault="00BA5302" w:rsidP="00BA5302">
      <w:pPr>
        <w:spacing w:after="0" w:line="240" w:lineRule="auto"/>
        <w:jc w:val="both"/>
        <w:rPr>
          <w:rFonts w:cs="Arial"/>
          <w:lang w:val="es-ES"/>
        </w:rPr>
      </w:pPr>
    </w:p>
    <w:p w14:paraId="42B4BB21"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 xml:space="preserve">Aunque el Grupo Directivo del AEML WG es muy activo, la magnitud de sus objetivos, su alcance geográfico y el gran número de actividades que deben ejecutarse hacen que el </w:t>
      </w:r>
      <w:proofErr w:type="spellStart"/>
      <w:r w:rsidRPr="0011421F">
        <w:rPr>
          <w:rFonts w:eastAsia="Calibri" w:cs="Arial"/>
          <w:lang w:val="es-ES"/>
        </w:rPr>
        <w:t>PdT</w:t>
      </w:r>
      <w:proofErr w:type="spellEnd"/>
      <w:r w:rsidRPr="0011421F">
        <w:rPr>
          <w:rFonts w:eastAsia="Calibri" w:cs="Arial"/>
          <w:lang w:val="es-ES"/>
        </w:rPr>
        <w:t xml:space="preserve"> siga requiriendo recursos adicionales para poder aplicarse y supervisarse plenamente. Hasta la fecha, la coordinación del AEML SG la realiza de forma voluntaria la SOI, ya que no se han asignado recursos financieros para garantizar un puesto de coordinador a tiempo completo para este instrumento. </w:t>
      </w:r>
    </w:p>
    <w:p w14:paraId="2A7BB31D" w14:textId="77777777" w:rsidR="00BA5302" w:rsidRPr="0011421F" w:rsidRDefault="00BA5302" w:rsidP="00BA5302">
      <w:pPr>
        <w:pStyle w:val="ListParagraph"/>
        <w:spacing w:after="0" w:line="240" w:lineRule="auto"/>
        <w:ind w:left="567"/>
        <w:jc w:val="both"/>
        <w:rPr>
          <w:rFonts w:eastAsia="Calibri" w:cs="Arial"/>
          <w:lang w:val="es-ES"/>
        </w:rPr>
      </w:pPr>
    </w:p>
    <w:p w14:paraId="66931602"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 xml:space="preserve">A pesar de la fructífera cooperación y del interés en desarrollar iniciativas conjuntas entre las Secretarías de la CMS y la CLD, el taller conjunto previsto </w:t>
      </w:r>
      <w:r w:rsidRPr="0011421F">
        <w:rPr>
          <w:rFonts w:eastAsia="Calibri" w:cs="Arial"/>
          <w:color w:val="000000" w:themeColor="text1"/>
          <w:lang w:val="es-ES"/>
        </w:rPr>
        <w:t>para 2026 aún no se ha confirmado debido a la falta de apoyo financiero.</w:t>
      </w:r>
    </w:p>
    <w:p w14:paraId="33C02697" w14:textId="77777777" w:rsidR="00BA5302" w:rsidRPr="0011421F" w:rsidRDefault="00BA5302" w:rsidP="00BA5302">
      <w:pPr>
        <w:spacing w:after="0" w:line="240" w:lineRule="auto"/>
        <w:jc w:val="both"/>
        <w:rPr>
          <w:rFonts w:eastAsia="Calibri" w:cs="Arial"/>
          <w:lang w:val="es-ES"/>
        </w:rPr>
      </w:pPr>
    </w:p>
    <w:p w14:paraId="6D953CDA" w14:textId="77777777" w:rsidR="00BA5302" w:rsidRPr="0011421F" w:rsidRDefault="00BA5302" w:rsidP="00BA5302">
      <w:pPr>
        <w:spacing w:after="0" w:line="240" w:lineRule="auto"/>
        <w:jc w:val="both"/>
        <w:rPr>
          <w:rFonts w:cs="Arial"/>
          <w:u w:val="single"/>
          <w:lang w:val="es-ES"/>
        </w:rPr>
      </w:pPr>
      <w:r w:rsidRPr="0011421F">
        <w:rPr>
          <w:rFonts w:cs="Arial"/>
          <w:u w:val="single"/>
          <w:lang w:val="es-ES"/>
        </w:rPr>
        <w:t>Debate y análisis</w:t>
      </w:r>
    </w:p>
    <w:p w14:paraId="114C7AC6" w14:textId="77777777" w:rsidR="00BA5302" w:rsidRPr="0011421F" w:rsidRDefault="00BA5302" w:rsidP="00BA5302">
      <w:pPr>
        <w:pStyle w:val="ListParagraph"/>
        <w:rPr>
          <w:lang w:val="es-ES"/>
        </w:rPr>
      </w:pPr>
    </w:p>
    <w:p w14:paraId="3E0EAFE8"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Las Decisiones propuestas piden a las Partes que apoyen acciones concretas de colaboración entre los organismos pertinentes de las Naciones Unidas, en particular una propuesta renovada para la celebración de un taller sobre la integración de los requisitos de biodiversidad en la consecución de la neutralidad de la degradación de las tierras (Decisión 14.DD b)).</w:t>
      </w:r>
    </w:p>
    <w:p w14:paraId="547F370A" w14:textId="77777777" w:rsidR="00BA5302" w:rsidRPr="0011421F" w:rsidRDefault="00BA5302" w:rsidP="00BA5302">
      <w:pPr>
        <w:pStyle w:val="ListParagraph"/>
        <w:spacing w:after="0" w:line="240" w:lineRule="auto"/>
        <w:ind w:left="567"/>
        <w:jc w:val="both"/>
        <w:rPr>
          <w:rFonts w:eastAsia="Calibri" w:cs="Arial"/>
          <w:lang w:val="es-ES"/>
        </w:rPr>
      </w:pPr>
    </w:p>
    <w:p w14:paraId="2F6F59B8"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Además, en las Decisiones propuestas se subraya la necesidad de fomentar la conciencia tecnológica, avanzar en el uso de tecnologías modernas como la teledetección por satélite y utilizando activamente programas existentes, como las herramientas de seguimiento de aves mencionadas anteriormente, en aras de priorizar y aplicar acciones dirigidas a las especies y sus hábitats en toda el área de aplicación del AEMLAP.</w:t>
      </w:r>
    </w:p>
    <w:p w14:paraId="18CFD851" w14:textId="77777777" w:rsidR="00BA5302" w:rsidRPr="0011421F" w:rsidRDefault="00BA5302" w:rsidP="00BA5302">
      <w:pPr>
        <w:spacing w:after="0" w:line="240" w:lineRule="auto"/>
        <w:jc w:val="both"/>
        <w:rPr>
          <w:rFonts w:cs="Arial"/>
          <w:lang w:val="es-ES"/>
        </w:rPr>
      </w:pPr>
    </w:p>
    <w:p w14:paraId="78AA508C" w14:textId="77777777" w:rsidR="00BA5302" w:rsidRPr="0011421F" w:rsidRDefault="00BA5302" w:rsidP="00BA5302">
      <w:pPr>
        <w:spacing w:after="0" w:line="240" w:lineRule="auto"/>
        <w:rPr>
          <w:rFonts w:cs="Arial"/>
          <w:lang w:val="es-ES"/>
        </w:rPr>
      </w:pPr>
      <w:r w:rsidRPr="0011421F">
        <w:rPr>
          <w:rFonts w:cs="Arial"/>
          <w:u w:val="single"/>
          <w:lang w:val="es-ES"/>
        </w:rPr>
        <w:t>Acciones recomendadas</w:t>
      </w:r>
    </w:p>
    <w:p w14:paraId="38E102BF" w14:textId="77777777" w:rsidR="00BA5302" w:rsidRPr="0011421F" w:rsidRDefault="00BA5302" w:rsidP="00BA5302">
      <w:pPr>
        <w:spacing w:after="0" w:line="240" w:lineRule="auto"/>
        <w:rPr>
          <w:rFonts w:cs="Arial"/>
          <w:lang w:val="es-ES"/>
        </w:rPr>
      </w:pPr>
    </w:p>
    <w:p w14:paraId="2B3324D7" w14:textId="77777777" w:rsidR="00BA5302" w:rsidRPr="0011421F" w:rsidRDefault="00BA5302" w:rsidP="00BA5302">
      <w:pPr>
        <w:pStyle w:val="ListParagraph"/>
        <w:numPr>
          <w:ilvl w:val="0"/>
          <w:numId w:val="14"/>
        </w:numPr>
        <w:spacing w:after="0" w:line="240" w:lineRule="auto"/>
        <w:ind w:left="567" w:hanging="567"/>
        <w:jc w:val="both"/>
        <w:rPr>
          <w:rFonts w:eastAsia="Calibri" w:cs="Arial"/>
          <w:lang w:val="es-ES"/>
        </w:rPr>
      </w:pPr>
      <w:r w:rsidRPr="0011421F">
        <w:rPr>
          <w:rFonts w:eastAsia="Calibri" w:cs="Arial"/>
          <w:lang w:val="es-ES"/>
        </w:rPr>
        <w:t>Se recomienda a la Conferencia de las Partes que:</w:t>
      </w:r>
    </w:p>
    <w:p w14:paraId="64192292" w14:textId="77777777" w:rsidR="00BA5302" w:rsidRPr="0011421F" w:rsidRDefault="00BA5302" w:rsidP="00BA5302">
      <w:pPr>
        <w:spacing w:after="0" w:line="240" w:lineRule="auto"/>
        <w:jc w:val="both"/>
        <w:rPr>
          <w:rFonts w:cs="Arial"/>
          <w:lang w:val="es-ES"/>
        </w:rPr>
      </w:pPr>
    </w:p>
    <w:p w14:paraId="33502C68" w14:textId="77777777" w:rsidR="00BA5302" w:rsidRPr="0011421F" w:rsidRDefault="00BA5302" w:rsidP="00BA5302">
      <w:pPr>
        <w:pStyle w:val="Secondnumbering"/>
        <w:numPr>
          <w:ilvl w:val="0"/>
          <w:numId w:val="15"/>
        </w:numPr>
        <w:ind w:left="1134" w:hanging="567"/>
        <w:jc w:val="both"/>
        <w:rPr>
          <w:rFonts w:cs="Arial"/>
          <w:lang w:val="es-ES"/>
        </w:rPr>
      </w:pPr>
      <w:r w:rsidRPr="0011421F">
        <w:rPr>
          <w:rFonts w:cs="Arial"/>
          <w:lang w:val="es-ES"/>
        </w:rPr>
        <w:t>apruebe el proyecto de enmiendas a la Resolución 11.17 (Rev.COP14) incluido en el Anexo 1 del presente documento;</w:t>
      </w:r>
    </w:p>
    <w:p w14:paraId="25C464CE" w14:textId="77777777" w:rsidR="00BA5302" w:rsidRPr="0011421F" w:rsidRDefault="00BA5302" w:rsidP="00BA5302">
      <w:pPr>
        <w:pStyle w:val="Secondnumbering"/>
        <w:numPr>
          <w:ilvl w:val="0"/>
          <w:numId w:val="0"/>
        </w:numPr>
        <w:ind w:left="1134" w:hanging="567"/>
        <w:jc w:val="both"/>
        <w:rPr>
          <w:lang w:val="es-ES"/>
        </w:rPr>
      </w:pPr>
    </w:p>
    <w:p w14:paraId="7A5BF033" w14:textId="77777777" w:rsidR="00BA5302" w:rsidRPr="0011421F" w:rsidRDefault="00BA5302" w:rsidP="00BA5302">
      <w:pPr>
        <w:pStyle w:val="Secondnumbering"/>
        <w:numPr>
          <w:ilvl w:val="0"/>
          <w:numId w:val="15"/>
        </w:numPr>
        <w:ind w:left="1134" w:hanging="567"/>
        <w:jc w:val="both"/>
        <w:rPr>
          <w:rFonts w:cs="Arial"/>
          <w:lang w:val="es-ES"/>
        </w:rPr>
      </w:pPr>
      <w:r w:rsidRPr="0011421F">
        <w:rPr>
          <w:rFonts w:cs="Arial"/>
          <w:lang w:val="es-ES"/>
        </w:rPr>
        <w:t xml:space="preserve">adopte el proyecto de Decisiones que se incluye en el Anexo 2 del presente documento; </w:t>
      </w:r>
    </w:p>
    <w:p w14:paraId="341ACBAA" w14:textId="77777777" w:rsidR="00BA5302" w:rsidRPr="0011421F" w:rsidRDefault="00BA5302" w:rsidP="00BA5302">
      <w:pPr>
        <w:pStyle w:val="Secondnumbering"/>
        <w:numPr>
          <w:ilvl w:val="0"/>
          <w:numId w:val="0"/>
        </w:numPr>
        <w:ind w:left="1134" w:hanging="567"/>
        <w:jc w:val="both"/>
        <w:rPr>
          <w:rFonts w:cs="Arial"/>
          <w:lang w:val="es-ES"/>
        </w:rPr>
      </w:pPr>
    </w:p>
    <w:p w14:paraId="559E8564" w14:textId="03040B68" w:rsidR="002D5F2A" w:rsidRDefault="00BA5302" w:rsidP="00BA5302">
      <w:pPr>
        <w:pStyle w:val="Secondnumbering"/>
        <w:numPr>
          <w:ilvl w:val="0"/>
          <w:numId w:val="15"/>
        </w:numPr>
        <w:ind w:left="1080" w:hanging="513"/>
        <w:jc w:val="both"/>
        <w:rPr>
          <w:rFonts w:cs="Arial"/>
        </w:rPr>
      </w:pPr>
      <w:r w:rsidRPr="0011421F">
        <w:rPr>
          <w:rFonts w:cs="Arial"/>
          <w:lang w:val="es-ES"/>
        </w:rPr>
        <w:t>derogue las Decisiones 14.130 a 14.133</w:t>
      </w:r>
    </w:p>
    <w:p w14:paraId="158386B4" w14:textId="77777777" w:rsidR="00F409BB" w:rsidRDefault="00F409BB" w:rsidP="00F409BB">
      <w:pPr>
        <w:pStyle w:val="ListParagraph"/>
        <w:rPr>
          <w:rFonts w:cs="Arial"/>
        </w:rPr>
      </w:pPr>
    </w:p>
    <w:p w14:paraId="71D371A4" w14:textId="77777777" w:rsidR="00F409BB" w:rsidRDefault="00F409BB" w:rsidP="00F409BB">
      <w:pPr>
        <w:pStyle w:val="Secondnumbering"/>
        <w:numPr>
          <w:ilvl w:val="0"/>
          <w:numId w:val="0"/>
        </w:numPr>
        <w:ind w:left="360" w:hanging="360"/>
        <w:jc w:val="both"/>
        <w:rPr>
          <w:rFonts w:cs="Arial"/>
        </w:rPr>
        <w:sectPr w:rsidR="00F409BB" w:rsidSect="0032340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2F07AD9" w14:textId="1F4F9D7B" w:rsidR="007915DA" w:rsidRPr="00057654" w:rsidRDefault="007915DA" w:rsidP="007915DA">
      <w:pPr>
        <w:pStyle w:val="Secondnumbering"/>
        <w:numPr>
          <w:ilvl w:val="0"/>
          <w:numId w:val="0"/>
        </w:numPr>
        <w:jc w:val="right"/>
      </w:pPr>
      <w:bookmarkStart w:id="9" w:name="_Toc486328691"/>
      <w:r w:rsidRPr="00057654">
        <w:rPr>
          <w:rFonts w:cs="Arial"/>
          <w:b/>
          <w:caps/>
        </w:rPr>
        <w:lastRenderedPageBreak/>
        <w:t>Anex</w:t>
      </w:r>
      <w:r w:rsidR="009C3493">
        <w:rPr>
          <w:rFonts w:cs="Arial"/>
          <w:b/>
          <w:caps/>
        </w:rPr>
        <w:t>O</w:t>
      </w:r>
      <w:r w:rsidRPr="00057654">
        <w:rPr>
          <w:rFonts w:cs="Arial"/>
          <w:b/>
          <w:caps/>
        </w:rPr>
        <w:t xml:space="preserve"> 1</w:t>
      </w:r>
    </w:p>
    <w:p w14:paraId="3EA5B5FE" w14:textId="77777777" w:rsidR="007915DA" w:rsidRDefault="007915DA" w:rsidP="007915DA">
      <w:pPr>
        <w:pStyle w:val="Secondnumbering"/>
        <w:numPr>
          <w:ilvl w:val="0"/>
          <w:numId w:val="0"/>
        </w:numPr>
      </w:pPr>
    </w:p>
    <w:p w14:paraId="76439EF9" w14:textId="77777777" w:rsidR="007915DA" w:rsidRPr="00057654" w:rsidRDefault="007915DA" w:rsidP="007915DA">
      <w:pPr>
        <w:pStyle w:val="Secondnumbering"/>
        <w:numPr>
          <w:ilvl w:val="0"/>
          <w:numId w:val="0"/>
        </w:numPr>
      </w:pPr>
    </w:p>
    <w:p w14:paraId="1B369E29" w14:textId="56BFEC74" w:rsidR="007915DA" w:rsidRPr="005F628E" w:rsidRDefault="009C3493" w:rsidP="007915DA">
      <w:pPr>
        <w:spacing w:after="0" w:line="240" w:lineRule="auto"/>
        <w:jc w:val="center"/>
        <w:rPr>
          <w:rFonts w:cs="Arial"/>
          <w:lang w:val="es-ES"/>
        </w:rPr>
      </w:pPr>
      <w:r w:rsidRPr="005F628E">
        <w:rPr>
          <w:rFonts w:cs="Arial"/>
          <w:lang w:val="es-ES"/>
        </w:rPr>
        <w:t>ENMIENDAS PROPUESTAS A LA RESOLUCIÓN</w:t>
      </w:r>
      <w:r w:rsidR="007915DA" w:rsidRPr="005F628E">
        <w:rPr>
          <w:rFonts w:cs="Arial"/>
          <w:lang w:val="es-ES"/>
        </w:rPr>
        <w:t xml:space="preserve"> 11.17 (Rev.COP14)</w:t>
      </w:r>
    </w:p>
    <w:p w14:paraId="462E6538" w14:textId="77777777" w:rsidR="007915DA" w:rsidRPr="005F628E" w:rsidRDefault="007915DA" w:rsidP="00763229">
      <w:pPr>
        <w:suppressAutoHyphens/>
        <w:spacing w:after="0" w:line="240" w:lineRule="auto"/>
        <w:jc w:val="center"/>
        <w:rPr>
          <w:b/>
          <w:caps/>
          <w:lang w:val="es-ES"/>
        </w:rPr>
      </w:pPr>
    </w:p>
    <w:p w14:paraId="3EA7570D" w14:textId="541BB653" w:rsidR="00763229" w:rsidRPr="00763229" w:rsidRDefault="00763229" w:rsidP="00763229">
      <w:pPr>
        <w:suppressAutoHyphens/>
        <w:spacing w:after="0" w:line="240" w:lineRule="auto"/>
        <w:jc w:val="center"/>
        <w:rPr>
          <w:rFonts w:cs="Arial"/>
          <w:b/>
          <w:bCs/>
          <w:caps/>
          <w:lang w:val="es-ES_tradnl"/>
        </w:rPr>
      </w:pPr>
      <w:r w:rsidRPr="00763229">
        <w:rPr>
          <w:b/>
          <w:caps/>
          <w:lang w:val="es-ES_tradnl"/>
        </w:rPr>
        <w:t>PLAN DE ACCIÓN PARA LAS AVES TERRESTRES MIGRATORIAS</w:t>
      </w:r>
    </w:p>
    <w:p w14:paraId="7FA91B26" w14:textId="34C3731A" w:rsidR="00F409BB" w:rsidRDefault="00763229" w:rsidP="00763229">
      <w:pPr>
        <w:pStyle w:val="Secondnumbering"/>
        <w:numPr>
          <w:ilvl w:val="0"/>
          <w:numId w:val="0"/>
        </w:numPr>
        <w:ind w:left="360" w:hanging="360"/>
        <w:jc w:val="center"/>
        <w:rPr>
          <w:b/>
          <w:caps/>
          <w:lang w:val="es-ES_tradnl"/>
        </w:rPr>
      </w:pPr>
      <w:r w:rsidRPr="00763229">
        <w:rPr>
          <w:b/>
          <w:caps/>
          <w:lang w:val="es-ES_tradnl"/>
        </w:rPr>
        <w:t>EN LA REGIÓN DE ÁFRICA y EURASIA (AEMLAP)</w:t>
      </w:r>
      <w:bookmarkEnd w:id="9"/>
    </w:p>
    <w:p w14:paraId="21FF7C5D" w14:textId="77777777" w:rsidR="00763229" w:rsidRDefault="00763229" w:rsidP="00763229">
      <w:pPr>
        <w:pStyle w:val="Secondnumbering"/>
        <w:numPr>
          <w:ilvl w:val="0"/>
          <w:numId w:val="0"/>
        </w:numPr>
        <w:ind w:left="360" w:hanging="360"/>
        <w:jc w:val="center"/>
        <w:rPr>
          <w:b/>
          <w:caps/>
          <w:lang w:val="es-ES_tradnl"/>
        </w:rPr>
      </w:pPr>
    </w:p>
    <w:p w14:paraId="3E117861" w14:textId="4633DBB2" w:rsidR="00763229" w:rsidRPr="005F628E" w:rsidRDefault="005F628E" w:rsidP="00763229">
      <w:pPr>
        <w:pStyle w:val="Secondnumbering"/>
        <w:numPr>
          <w:ilvl w:val="0"/>
          <w:numId w:val="0"/>
        </w:numPr>
        <w:ind w:left="360" w:hanging="360"/>
        <w:jc w:val="center"/>
        <w:rPr>
          <w:rFonts w:cs="Arial"/>
          <w:i/>
          <w:iCs/>
          <w:sz w:val="21"/>
          <w:szCs w:val="21"/>
          <w:lang w:val="es-ES"/>
        </w:rPr>
      </w:pPr>
      <w:r w:rsidRPr="00FE56C2">
        <w:rPr>
          <w:i/>
          <w:iCs/>
          <w:lang w:val="es-ES"/>
        </w:rPr>
        <w:t xml:space="preserve">NB: El nuevo texto propuesto aparece </w:t>
      </w:r>
      <w:r w:rsidRPr="00FE56C2">
        <w:rPr>
          <w:i/>
          <w:iCs/>
          <w:u w:val="single"/>
          <w:lang w:val="es-ES"/>
        </w:rPr>
        <w:t>subrayado</w:t>
      </w:r>
      <w:r w:rsidRPr="00FE56C2">
        <w:rPr>
          <w:i/>
          <w:iCs/>
          <w:lang w:val="es-ES"/>
        </w:rPr>
        <w:t xml:space="preserve">. </w:t>
      </w:r>
      <w:proofErr w:type="gramStart"/>
      <w:r w:rsidRPr="00FE56C2">
        <w:rPr>
          <w:i/>
          <w:iCs/>
          <w:lang w:val="es-ES"/>
        </w:rPr>
        <w:t>El texto a eliminar</w:t>
      </w:r>
      <w:proofErr w:type="gramEnd"/>
      <w:r w:rsidRPr="00FE56C2">
        <w:rPr>
          <w:i/>
          <w:iCs/>
          <w:lang w:val="es-ES"/>
        </w:rPr>
        <w:t xml:space="preserve"> aparece </w:t>
      </w:r>
      <w:r w:rsidRPr="00FE56C2">
        <w:rPr>
          <w:i/>
          <w:iCs/>
          <w:strike/>
          <w:lang w:val="es-ES"/>
        </w:rPr>
        <w:t>tachado</w:t>
      </w:r>
      <w:r w:rsidR="001D7B60" w:rsidRPr="005F628E">
        <w:rPr>
          <w:rFonts w:cs="Arial"/>
          <w:i/>
          <w:iCs/>
          <w:sz w:val="21"/>
          <w:szCs w:val="21"/>
          <w:lang w:val="es-ES"/>
        </w:rPr>
        <w:t>.</w:t>
      </w:r>
    </w:p>
    <w:p w14:paraId="21B0F458" w14:textId="77777777" w:rsidR="001D7B60" w:rsidRDefault="001D7B60" w:rsidP="001D7B60">
      <w:pPr>
        <w:pStyle w:val="Secondnumbering"/>
        <w:numPr>
          <w:ilvl w:val="0"/>
          <w:numId w:val="0"/>
        </w:numPr>
        <w:ind w:left="360" w:hanging="360"/>
        <w:rPr>
          <w:rFonts w:cs="Arial"/>
          <w:i/>
          <w:iCs/>
          <w:sz w:val="21"/>
          <w:szCs w:val="21"/>
          <w:lang w:val="es-ES"/>
        </w:rPr>
      </w:pPr>
    </w:p>
    <w:p w14:paraId="27C2F08D" w14:textId="77777777" w:rsidR="005F628E" w:rsidRPr="005F628E" w:rsidRDefault="005F628E" w:rsidP="001D7B60">
      <w:pPr>
        <w:pStyle w:val="Secondnumbering"/>
        <w:numPr>
          <w:ilvl w:val="0"/>
          <w:numId w:val="0"/>
        </w:numPr>
        <w:ind w:left="360" w:hanging="360"/>
        <w:rPr>
          <w:rFonts w:cs="Arial"/>
          <w:i/>
          <w:iCs/>
          <w:sz w:val="21"/>
          <w:szCs w:val="21"/>
          <w:lang w:val="es-ES"/>
        </w:rPr>
      </w:pPr>
    </w:p>
    <w:p w14:paraId="44F01802"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Preocupada </w:t>
      </w:r>
      <w:r w:rsidRPr="007C29B1">
        <w:rPr>
          <w:rFonts w:eastAsia="Times New Roman" w:cs="Arial"/>
          <w:lang w:val="es-ES"/>
        </w:rPr>
        <w:t>porque existe evidencia científica convincente del declive generalizado de las aves terrestres migratorias de África y Eurasia en las últimas décadas, y por la creciente preocupación en materia de conservación que suscita este declive, tanto en el ámbito científico como político, ya que las poblaciones reproductoras europeas de algunas especies anteriormente muy extendidas se han reducido a menos de la mitad en los últimos 30 años,</w:t>
      </w:r>
    </w:p>
    <w:p w14:paraId="49D5CE4F"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2A58856A"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Consciente </w:t>
      </w:r>
      <w:r w:rsidRPr="007C29B1">
        <w:rPr>
          <w:rFonts w:eastAsia="Times New Roman" w:cs="Arial"/>
          <w:lang w:val="es-ES"/>
        </w:rPr>
        <w:t>de</w:t>
      </w:r>
      <w:r w:rsidRPr="007C29B1">
        <w:rPr>
          <w:rFonts w:eastAsia="Times New Roman" w:cs="Arial"/>
          <w:i/>
          <w:iCs/>
          <w:lang w:val="es-ES"/>
        </w:rPr>
        <w:t xml:space="preserve"> </w:t>
      </w:r>
      <w:r w:rsidRPr="007C29B1">
        <w:rPr>
          <w:rFonts w:eastAsia="Times New Roman" w:cs="Arial"/>
          <w:lang w:val="es-ES"/>
        </w:rPr>
        <w:t>que el estado de las aves terrestres migratorias se suele utilizar como un indicador de la salud general del medio ambiente y el resto de la biodiversidad, entre otros, para el logro de la Meta 2 del Marco Mundial de Biodiversidad de Kunming-Montreal (KMGBF) relativa a la restauración efectiva de las áreas degradadas, y que cuando se realiza un seguimiento con métodos normalizados las aves terrestres migratorias pueden constituir un indicador eficaz del uso sostenible de la tierra,</w:t>
      </w:r>
    </w:p>
    <w:p w14:paraId="21030FBF"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D7FDCDE"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Consciente además </w:t>
      </w:r>
      <w:r w:rsidRPr="007C29B1">
        <w:rPr>
          <w:rFonts w:eastAsia="Times New Roman" w:cs="Arial"/>
          <w:lang w:val="es-ES"/>
        </w:rPr>
        <w:t xml:space="preserve">de que los principales factores que impulsan este declive parecen ser la degradación de los hábitats de reproducción, en particular dentro de los sistemas agrícolas, los bosques y las zonas arboladas, y de que los factores combinados de la degradación antropogénica de los hábitats, la captura insostenible y el cambio climático están llevando a un declive en las áreas no reproductivas; </w:t>
      </w:r>
    </w:p>
    <w:p w14:paraId="7D48F940"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38F0CD3"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Preocupada </w:t>
      </w:r>
      <w:r w:rsidRPr="007C29B1">
        <w:rPr>
          <w:rFonts w:eastAsia="Times New Roman" w:cs="Arial"/>
          <w:lang w:val="es-ES"/>
        </w:rPr>
        <w:t>porque las tendencias actuales en el uso de la tierra en África, así como en Eurasia, están dando lugar a considerables cambios del paisaje que pueden tener notables efectos negativos en la biodiversidad, incluidas las aves migratorias; y es necesario abordar este problema porque dicha biodiversidad es valiosa tanto por sí misma como por los servicios ecosistémicos que proporciona, los cuales constituyen la base de unos medios de vida resilientes para las poblaciones rurales,</w:t>
      </w:r>
    </w:p>
    <w:p w14:paraId="51EBEF2A"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6343097A" w14:textId="3015EC6E"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Tomando nota</w:t>
      </w:r>
      <w:r w:rsidRPr="007C29B1">
        <w:rPr>
          <w:rFonts w:eastAsia="Times New Roman" w:cs="Arial"/>
          <w:lang w:val="es-ES"/>
        </w:rPr>
        <w:t xml:space="preserve"> de que el Grupo Directivo de AEML </w:t>
      </w:r>
      <w:r w:rsidRPr="00463FC1">
        <w:rPr>
          <w:rFonts w:eastAsia="Times New Roman" w:cs="Arial"/>
          <w:strike/>
          <w:lang w:val="es-ES"/>
        </w:rPr>
        <w:t>y la Secretaría</w:t>
      </w:r>
      <w:r w:rsidRPr="007C29B1">
        <w:rPr>
          <w:rFonts w:eastAsia="Times New Roman" w:cs="Arial"/>
          <w:lang w:val="es-ES"/>
        </w:rPr>
        <w:t>, con el apoyo</w:t>
      </w:r>
      <w:r w:rsidR="00802A50">
        <w:rPr>
          <w:rFonts w:eastAsia="Times New Roman" w:cs="Arial"/>
          <w:lang w:val="es-ES"/>
        </w:rPr>
        <w:t xml:space="preserve"> </w:t>
      </w:r>
      <w:r w:rsidR="00802A50">
        <w:rPr>
          <w:rFonts w:eastAsia="Times New Roman" w:cs="Arial"/>
          <w:u w:val="single"/>
          <w:lang w:val="es-ES"/>
        </w:rPr>
        <w:t>de la Secretaría</w:t>
      </w:r>
      <w:r w:rsidR="007429CC">
        <w:rPr>
          <w:rFonts w:eastAsia="Times New Roman" w:cs="Arial"/>
          <w:u w:val="single"/>
          <w:lang w:val="es-ES"/>
        </w:rPr>
        <w:t xml:space="preserve"> y de Unidad de Coordinación</w:t>
      </w:r>
      <w:r w:rsidR="00E37785">
        <w:rPr>
          <w:rFonts w:eastAsia="Times New Roman" w:cs="Arial"/>
          <w:u w:val="single"/>
          <w:lang w:val="es-ES"/>
        </w:rPr>
        <w:t xml:space="preserve"> establecida por</w:t>
      </w:r>
      <w:r w:rsidRPr="007C29B1">
        <w:rPr>
          <w:rFonts w:eastAsia="Times New Roman" w:cs="Arial"/>
          <w:lang w:val="es-ES"/>
        </w:rPr>
        <w:t xml:space="preserve"> </w:t>
      </w:r>
      <w:r w:rsidRPr="00E37785">
        <w:rPr>
          <w:rFonts w:eastAsia="Times New Roman" w:cs="Arial"/>
          <w:strike/>
          <w:lang w:val="es-ES"/>
        </w:rPr>
        <w:t>d</w:t>
      </w:r>
      <w:r w:rsidRPr="007C29B1">
        <w:rPr>
          <w:rFonts w:eastAsia="Times New Roman" w:cs="Arial"/>
          <w:lang w:val="es-ES"/>
        </w:rPr>
        <w:t xml:space="preserve">el Instituto Ornitológico Suizo (SOI) </w:t>
      </w:r>
      <w:r w:rsidRPr="001C55A7">
        <w:rPr>
          <w:rFonts w:eastAsia="Times New Roman" w:cs="Arial"/>
          <w:strike/>
          <w:lang w:val="es-ES"/>
        </w:rPr>
        <w:t>como Unidad de Coordinación</w:t>
      </w:r>
      <w:r w:rsidRPr="007C29B1">
        <w:rPr>
          <w:rFonts w:eastAsia="Times New Roman" w:cs="Arial"/>
          <w:lang w:val="es-ES"/>
        </w:rPr>
        <w:t>, coordinaron un Programa de Trabajo actualizado para 2021-</w:t>
      </w:r>
      <w:r w:rsidRPr="006A26B5">
        <w:rPr>
          <w:rFonts w:eastAsia="Times New Roman" w:cs="Arial"/>
          <w:strike/>
          <w:lang w:val="es-ES"/>
        </w:rPr>
        <w:t>2026</w:t>
      </w:r>
      <w:r w:rsidRPr="007C29B1">
        <w:rPr>
          <w:rFonts w:eastAsia="Times New Roman" w:cs="Arial"/>
          <w:lang w:val="es-ES"/>
        </w:rPr>
        <w:t xml:space="preserve"> </w:t>
      </w:r>
      <w:r w:rsidR="006A26B5">
        <w:rPr>
          <w:rFonts w:eastAsia="Times New Roman" w:cs="Arial"/>
          <w:u w:val="single"/>
          <w:lang w:val="es-ES"/>
        </w:rPr>
        <w:t>2032</w:t>
      </w:r>
      <w:r w:rsidR="006A26B5">
        <w:rPr>
          <w:rFonts w:eastAsia="Times New Roman" w:cs="Arial"/>
          <w:lang w:val="es-ES"/>
        </w:rPr>
        <w:t xml:space="preserve"> </w:t>
      </w:r>
      <w:r w:rsidRPr="007C29B1">
        <w:rPr>
          <w:rFonts w:eastAsia="Times New Roman" w:cs="Arial"/>
          <w:lang w:val="es-ES"/>
        </w:rPr>
        <w:t>para el Grupo de Trabajo, que fue aprobado por el Grupo de Trabajo en noviembre de 202</w:t>
      </w:r>
      <w:r w:rsidRPr="00E37785">
        <w:rPr>
          <w:rFonts w:eastAsia="Times New Roman" w:cs="Arial"/>
          <w:strike/>
          <w:lang w:val="es-ES"/>
        </w:rPr>
        <w:t>2</w:t>
      </w:r>
      <w:r w:rsidR="00E37785">
        <w:rPr>
          <w:rFonts w:eastAsia="Times New Roman" w:cs="Arial"/>
          <w:u w:val="single"/>
          <w:lang w:val="es-ES"/>
        </w:rPr>
        <w:t>5</w:t>
      </w:r>
      <w:r w:rsidRPr="007C29B1">
        <w:rPr>
          <w:rFonts w:eastAsia="Times New Roman" w:cs="Arial"/>
          <w:lang w:val="es-ES"/>
        </w:rPr>
        <w:t>,</w:t>
      </w:r>
    </w:p>
    <w:p w14:paraId="1DCF8AC1"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3E0AC423"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w:t>
      </w:r>
      <w:r w:rsidRPr="007C29B1">
        <w:rPr>
          <w:rFonts w:eastAsia="Times New Roman" w:cs="Arial"/>
          <w:lang w:val="es-ES"/>
        </w:rPr>
        <w:t xml:space="preserve">el informe del taller sobre el </w:t>
      </w:r>
      <w:r w:rsidRPr="007C29B1">
        <w:rPr>
          <w:rFonts w:eastAsia="Times New Roman" w:cs="Arial"/>
          <w:i/>
          <w:iCs/>
          <w:lang w:val="es-ES"/>
        </w:rPr>
        <w:t>Uso sostenible de la tierra en África occidental: Respuestas de políticas nacionales e internacionales en beneficio de las aves migratorias y las personas (LUMB)</w:t>
      </w:r>
      <w:r w:rsidRPr="007C29B1">
        <w:rPr>
          <w:rFonts w:eastAsia="Times New Roman" w:cs="Arial"/>
          <w:lang w:val="es-ES"/>
        </w:rPr>
        <w:t xml:space="preserve"> ("el taller") que se celebró en Abuja del 24 al 26 de noviembre de 2016, y la </w:t>
      </w:r>
      <w:r w:rsidRPr="007C29B1">
        <w:rPr>
          <w:rFonts w:eastAsia="Times New Roman" w:cs="Arial"/>
          <w:i/>
          <w:iCs/>
          <w:lang w:val="es-ES"/>
        </w:rPr>
        <w:t>Declaración de Abuja sobre el uso sostenible de la tierra en beneficio de las personas y la biodiversidad incluidas las aves migratorias en África occidental</w:t>
      </w:r>
      <w:r w:rsidRPr="007C29B1">
        <w:rPr>
          <w:rFonts w:eastAsia="Times New Roman" w:cs="Arial"/>
          <w:lang w:val="es-ES"/>
        </w:rPr>
        <w:t>,</w:t>
      </w:r>
    </w:p>
    <w:p w14:paraId="3E134B21"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53617B8"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Acogiendo con satisfacción además</w:t>
      </w:r>
      <w:r w:rsidRPr="007C29B1">
        <w:rPr>
          <w:rFonts w:eastAsia="Times New Roman" w:cs="Arial"/>
          <w:lang w:val="es-ES"/>
        </w:rPr>
        <w:t xml:space="preserve"> la finalización del proyecto de BirdLife International y </w:t>
      </w:r>
      <w:proofErr w:type="spellStart"/>
      <w:r w:rsidRPr="007C29B1">
        <w:rPr>
          <w:rFonts w:eastAsia="Times New Roman" w:cs="Arial"/>
          <w:lang w:val="es-ES"/>
        </w:rPr>
        <w:t>Naturschutzbund</w:t>
      </w:r>
      <w:proofErr w:type="spellEnd"/>
      <w:r w:rsidRPr="007C29B1">
        <w:rPr>
          <w:rFonts w:eastAsia="Times New Roman" w:cs="Arial"/>
          <w:lang w:val="es-ES"/>
        </w:rPr>
        <w:t xml:space="preserve"> </w:t>
      </w:r>
      <w:proofErr w:type="spellStart"/>
      <w:r w:rsidRPr="007C29B1">
        <w:rPr>
          <w:rFonts w:eastAsia="Times New Roman" w:cs="Arial"/>
          <w:lang w:val="es-ES"/>
        </w:rPr>
        <w:t>Deutschland</w:t>
      </w:r>
      <w:proofErr w:type="spellEnd"/>
      <w:r w:rsidRPr="007C29B1">
        <w:rPr>
          <w:rFonts w:eastAsia="Times New Roman" w:cs="Arial"/>
          <w:lang w:val="es-ES"/>
        </w:rPr>
        <w:t xml:space="preserve">: </w:t>
      </w:r>
      <w:r w:rsidRPr="007C29B1">
        <w:rPr>
          <w:rFonts w:eastAsia="Times New Roman" w:cs="Arial"/>
          <w:i/>
          <w:iCs/>
          <w:lang w:val="es-ES"/>
        </w:rPr>
        <w:t>Reservas de la biosfera africana como sitios piloto para el seguimiento y la conservación de las aves migratorias (</w:t>
      </w:r>
      <w:proofErr w:type="spellStart"/>
      <w:r w:rsidRPr="007C29B1">
        <w:rPr>
          <w:rFonts w:eastAsia="Times New Roman" w:cs="Arial"/>
          <w:i/>
          <w:iCs/>
          <w:lang w:val="es-ES"/>
        </w:rPr>
        <w:t>AfriBiRds</w:t>
      </w:r>
      <w:proofErr w:type="spellEnd"/>
      <w:r w:rsidRPr="007C29B1">
        <w:rPr>
          <w:rFonts w:eastAsia="Times New Roman" w:cs="Arial"/>
          <w:i/>
          <w:iCs/>
          <w:lang w:val="es-ES"/>
        </w:rPr>
        <w:t>),</w:t>
      </w:r>
      <w:r w:rsidRPr="007C29B1">
        <w:rPr>
          <w:rFonts w:eastAsia="Times New Roman" w:cs="Arial"/>
          <w:lang w:val="es-ES"/>
        </w:rPr>
        <w:t xml:space="preserve"> financiado por Alemania, y el potencial del proyecto de contribuir a la elaboración de índices nacionales de aves silvestres y la generación de información sobre las aves migratorias en general, así como el proyecto de asociación de BirdLife </w:t>
      </w:r>
      <w:r w:rsidRPr="007C29B1">
        <w:rPr>
          <w:rFonts w:eastAsia="Times New Roman" w:cs="Arial"/>
          <w:i/>
          <w:iCs/>
          <w:lang w:val="es-ES"/>
        </w:rPr>
        <w:t xml:space="preserve">Living </w:t>
      </w:r>
      <w:proofErr w:type="spellStart"/>
      <w:r w:rsidRPr="007C29B1">
        <w:rPr>
          <w:rFonts w:eastAsia="Times New Roman" w:cs="Arial"/>
          <w:i/>
          <w:iCs/>
          <w:lang w:val="es-ES"/>
        </w:rPr>
        <w:t>on</w:t>
      </w:r>
      <w:proofErr w:type="spellEnd"/>
      <w:r w:rsidRPr="007C29B1">
        <w:rPr>
          <w:rFonts w:eastAsia="Times New Roman" w:cs="Arial"/>
          <w:i/>
          <w:iCs/>
          <w:lang w:val="es-ES"/>
        </w:rPr>
        <w:t xml:space="preserve"> the Edge</w:t>
      </w:r>
      <w:r w:rsidRPr="007C29B1">
        <w:rPr>
          <w:rFonts w:eastAsia="Times New Roman" w:cs="Arial"/>
          <w:lang w:val="es-ES"/>
        </w:rPr>
        <w:t xml:space="preserve"> (Viviendo al límite),</w:t>
      </w:r>
    </w:p>
    <w:p w14:paraId="0738A27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22BCB686"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asimismo </w:t>
      </w:r>
      <w:r w:rsidRPr="007C29B1">
        <w:rPr>
          <w:rFonts w:eastAsia="Times New Roman" w:cs="Arial"/>
          <w:lang w:val="es-ES"/>
        </w:rPr>
        <w:t xml:space="preserve">el trabajo de los socios de BirdLife International, con la financiación de la Royal </w:t>
      </w:r>
      <w:proofErr w:type="spellStart"/>
      <w:r w:rsidRPr="007C29B1">
        <w:rPr>
          <w:rFonts w:eastAsia="Times New Roman" w:cs="Arial"/>
          <w:lang w:val="es-ES"/>
        </w:rPr>
        <w:t>Society</w:t>
      </w:r>
      <w:proofErr w:type="spellEnd"/>
      <w:r w:rsidRPr="007C29B1">
        <w:rPr>
          <w:rFonts w:eastAsia="Times New Roman" w:cs="Arial"/>
          <w:lang w:val="es-ES"/>
        </w:rPr>
        <w:t xml:space="preserve"> for the </w:t>
      </w:r>
      <w:proofErr w:type="spellStart"/>
      <w:r w:rsidRPr="007C29B1">
        <w:rPr>
          <w:rFonts w:eastAsia="Times New Roman" w:cs="Arial"/>
          <w:lang w:val="es-ES"/>
        </w:rPr>
        <w:t>Protection</w:t>
      </w:r>
      <w:proofErr w:type="spellEnd"/>
      <w:r w:rsidRPr="007C29B1">
        <w:rPr>
          <w:rFonts w:eastAsia="Times New Roman" w:cs="Arial"/>
          <w:lang w:val="es-ES"/>
        </w:rPr>
        <w:t xml:space="preserve"> of </w:t>
      </w:r>
      <w:proofErr w:type="spellStart"/>
      <w:r w:rsidRPr="007C29B1">
        <w:rPr>
          <w:rFonts w:eastAsia="Times New Roman" w:cs="Arial"/>
          <w:lang w:val="es-ES"/>
        </w:rPr>
        <w:t>Birds</w:t>
      </w:r>
      <w:proofErr w:type="spellEnd"/>
      <w:r w:rsidRPr="007C29B1">
        <w:rPr>
          <w:rFonts w:eastAsia="Times New Roman" w:cs="Arial"/>
          <w:lang w:val="es-ES"/>
        </w:rPr>
        <w:t xml:space="preserve">, para establecer y poner en funcionamiento proyectos nacionales de Seguimiento de Aves Comunes (derivados de y compatibles con el Sistema Paneuropeo de Seguimiento de Aves Comunes establecido en 2002 con el apoyo de la Unión Europea y de la RSPB) en Uganda y </w:t>
      </w:r>
      <w:proofErr w:type="spellStart"/>
      <w:r w:rsidRPr="007C29B1">
        <w:rPr>
          <w:rFonts w:eastAsia="Times New Roman" w:cs="Arial"/>
          <w:lang w:val="es-ES"/>
        </w:rPr>
        <w:t>Botswana</w:t>
      </w:r>
      <w:proofErr w:type="spellEnd"/>
      <w:r w:rsidRPr="007C29B1">
        <w:rPr>
          <w:rFonts w:eastAsia="Times New Roman" w:cs="Arial"/>
          <w:lang w:val="es-ES"/>
        </w:rPr>
        <w:t xml:space="preserve"> utilizando científicos ciudadanos voluntarios locales que han sido capaces de generar con éxito indicadores de aves silvestres científicamente sólidos, así como información medioambiental adicional para sus países,</w:t>
      </w:r>
    </w:p>
    <w:p w14:paraId="3CB2F49E"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385F253E" w14:textId="536EA481"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Recordando</w:t>
      </w:r>
      <w:r w:rsidRPr="007C29B1">
        <w:rPr>
          <w:rFonts w:eastAsia="Times New Roman" w:cs="Arial"/>
          <w:lang w:val="es-ES"/>
        </w:rPr>
        <w:t xml:space="preserve"> la importancia del uso sostenible de la tierra para la CMS y </w:t>
      </w:r>
      <w:r w:rsidRPr="00EE759D">
        <w:rPr>
          <w:rFonts w:eastAsia="Times New Roman" w:cs="Arial"/>
          <w:strike/>
          <w:lang w:val="es-ES"/>
        </w:rPr>
        <w:t>su</w:t>
      </w:r>
      <w:r w:rsidRPr="007C29B1">
        <w:rPr>
          <w:rFonts w:eastAsia="Times New Roman" w:cs="Arial"/>
          <w:lang w:val="es-ES"/>
        </w:rPr>
        <w:t xml:space="preserve"> </w:t>
      </w:r>
      <w:r w:rsidR="00EE759D">
        <w:rPr>
          <w:rFonts w:eastAsia="Times New Roman" w:cs="Arial"/>
          <w:u w:val="single"/>
          <w:lang w:val="es-ES"/>
        </w:rPr>
        <w:t xml:space="preserve">el </w:t>
      </w:r>
      <w:r w:rsidRPr="007C29B1">
        <w:rPr>
          <w:rFonts w:eastAsia="Times New Roman" w:cs="Arial"/>
          <w:lang w:val="es-ES"/>
        </w:rPr>
        <w:t xml:space="preserve">Plan Estratégico </w:t>
      </w:r>
      <w:r w:rsidR="000461BF">
        <w:rPr>
          <w:rFonts w:eastAsia="Times New Roman" w:cs="Arial"/>
          <w:u w:val="single"/>
          <w:lang w:val="es-ES"/>
        </w:rPr>
        <w:t>de Samarcanda</w:t>
      </w:r>
      <w:r w:rsidR="002C6814">
        <w:rPr>
          <w:rFonts w:eastAsia="Times New Roman" w:cs="Arial"/>
          <w:u w:val="single"/>
          <w:lang w:val="es-ES"/>
        </w:rPr>
        <w:t xml:space="preserve"> para las especies migratorias para</w:t>
      </w:r>
      <w:r w:rsidR="000461BF">
        <w:rPr>
          <w:rFonts w:eastAsia="Times New Roman" w:cs="Arial"/>
          <w:u w:val="single"/>
          <w:lang w:val="es-ES"/>
        </w:rPr>
        <w:t xml:space="preserve"> </w:t>
      </w:r>
      <w:r w:rsidRPr="007C29B1">
        <w:rPr>
          <w:rFonts w:eastAsia="Times New Roman" w:cs="Arial"/>
          <w:lang w:val="es-ES"/>
        </w:rPr>
        <w:t>20</w:t>
      </w:r>
      <w:r w:rsidRPr="000461BF">
        <w:rPr>
          <w:rFonts w:eastAsia="Times New Roman" w:cs="Arial"/>
          <w:strike/>
          <w:lang w:val="es-ES"/>
        </w:rPr>
        <w:t>15</w:t>
      </w:r>
      <w:r w:rsidR="000461BF">
        <w:rPr>
          <w:rFonts w:eastAsia="Times New Roman" w:cs="Arial"/>
          <w:u w:val="single"/>
          <w:lang w:val="es-ES"/>
        </w:rPr>
        <w:t>24</w:t>
      </w:r>
      <w:r w:rsidRPr="007C29B1">
        <w:rPr>
          <w:rFonts w:eastAsia="Times New Roman" w:cs="Arial"/>
          <w:lang w:val="es-ES"/>
        </w:rPr>
        <w:t>– 20</w:t>
      </w:r>
      <w:r w:rsidRPr="009A66F2">
        <w:rPr>
          <w:rFonts w:eastAsia="Times New Roman" w:cs="Arial"/>
          <w:strike/>
          <w:lang w:val="es-ES"/>
        </w:rPr>
        <w:t>23</w:t>
      </w:r>
      <w:r w:rsidR="009A66F2">
        <w:rPr>
          <w:rFonts w:eastAsia="Times New Roman" w:cs="Arial"/>
          <w:u w:val="single"/>
          <w:lang w:val="es-ES"/>
        </w:rPr>
        <w:t>32</w:t>
      </w:r>
      <w:r w:rsidRPr="007C29B1">
        <w:rPr>
          <w:rFonts w:eastAsia="Times New Roman" w:cs="Arial"/>
          <w:lang w:val="es-ES"/>
        </w:rPr>
        <w:t>, y para otros instrumentos de la familia de la CMS, tales como el Acuerdo sobre la Conservación de las Aves Acuáticas Migratorias de África y Eurasia (AEWA) y su Plan Estratégico 2019-2027, y el Memorando de Entendimiento sobre la Conservación de las Aves Rapaces Migratorias de África y Eurasia (</w:t>
      </w:r>
      <w:proofErr w:type="spellStart"/>
      <w:r w:rsidRPr="007C29B1">
        <w:rPr>
          <w:rFonts w:eastAsia="Times New Roman" w:cs="Arial"/>
          <w:lang w:val="es-ES"/>
        </w:rPr>
        <w:t>MdE</w:t>
      </w:r>
      <w:proofErr w:type="spellEnd"/>
      <w:r w:rsidRPr="007C29B1">
        <w:rPr>
          <w:rFonts w:eastAsia="Times New Roman" w:cs="Arial"/>
          <w:lang w:val="es-ES"/>
        </w:rPr>
        <w:t xml:space="preserve"> Aves Rapaces),</w:t>
      </w:r>
    </w:p>
    <w:p w14:paraId="35249F2E"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58FB7184"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Reconociendo </w:t>
      </w:r>
      <w:r w:rsidRPr="007C29B1">
        <w:rPr>
          <w:rFonts w:eastAsia="Times New Roman" w:cs="Arial"/>
          <w:lang w:val="es-ES"/>
        </w:rPr>
        <w:t>el papel crucial que desempeña la tierra, tanto a la hora de provocar y almacenar, así como de secuestrar las emisiones de gases de efecto invernadero, identificado en el informe</w:t>
      </w:r>
      <w:r w:rsidRPr="007C29B1">
        <w:rPr>
          <w:rFonts w:eastAsia="Times New Roman" w:cs="Arial"/>
          <w:i/>
          <w:iCs/>
          <w:lang w:val="es-ES"/>
        </w:rPr>
        <w:t xml:space="preserve"> El cambio climático y la tierra: Informe especial del IPCC sobre el cambio climático, la desertificación, la degradación de las tierras, la gestión sostenible de las tierras, la seguridad alimentaria y los flujos de gases de efecto invernadero en los ecosistemas terrestres, </w:t>
      </w:r>
      <w:r w:rsidRPr="007C29B1">
        <w:rPr>
          <w:rFonts w:eastAsia="Times New Roman" w:cs="Arial"/>
          <w:lang w:val="es-ES"/>
        </w:rPr>
        <w:t>elaborado por el Grupo Intergubernamental de Expertos sobre Cambio Climático (IPCC), y por consiguiente la importancia de una transición hacia sistemas de uso de la tierra sostenibles con el objetivo de cumplir el Acuerdo de París de la Convención Marco de las Naciones Unidas sobre el Cambio Climático (CMNUCC),</w:t>
      </w:r>
    </w:p>
    <w:p w14:paraId="413EAB9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C48D8FB"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Reconociendo </w:t>
      </w:r>
      <w:r w:rsidRPr="007C29B1">
        <w:rPr>
          <w:rFonts w:eastAsia="Times New Roman" w:cs="Arial"/>
          <w:lang w:val="es-ES"/>
        </w:rPr>
        <w:t>la importancia del uso sostenible de la tierra para la aplicación de una amplia variedad de acuerdos internacionales relevantes para las aves terrestres migratorias, incluidos los Objetivos de Desarrollo Sostenible (ODS), el Marco Global de Biodiversidad de Kunming-Montreal (GBF), la CMNUCC y su Acuerdo de París, la Convención de Ramsar y su Plan Estratégico 2016-2024, y la Convención de las Naciones Unidas de Lucha contra la Desertificación (CNULD) y su Marco Estratégico 2018-2030,</w:t>
      </w:r>
    </w:p>
    <w:p w14:paraId="31B8DFF7"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C74C4D9" w14:textId="6F38CF8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Reconociendo </w:t>
      </w:r>
      <w:r w:rsidRPr="007C29B1">
        <w:rPr>
          <w:rFonts w:eastAsia="Times New Roman" w:cs="Arial"/>
          <w:lang w:val="es-ES"/>
        </w:rPr>
        <w:t xml:space="preserve">el Marco y las Directrices sobre política agraria de la Unión Africana, las Directrices Voluntarias sobre la gobernanza responsable de la tenencia de la tierra (VGGT) de la Organización de las Naciones Unidas para la Alimentación y la Agricultura (FAO), el </w:t>
      </w:r>
      <w:r w:rsidRPr="00A64D03">
        <w:rPr>
          <w:rFonts w:eastAsia="Times New Roman" w:cs="Arial"/>
          <w:strike/>
          <w:lang w:val="es-ES"/>
        </w:rPr>
        <w:t>Objetivo Estratégico 2</w:t>
      </w:r>
      <w:r w:rsidRPr="007C29B1">
        <w:rPr>
          <w:rFonts w:eastAsia="Times New Roman" w:cs="Arial"/>
          <w:lang w:val="es-ES"/>
        </w:rPr>
        <w:t xml:space="preserve"> </w:t>
      </w:r>
      <w:r w:rsidR="002D376E" w:rsidRPr="002D376E">
        <w:rPr>
          <w:rFonts w:eastAsia="Times New Roman" w:cs="Arial"/>
          <w:lang w:val="es-ES"/>
        </w:rPr>
        <w:t>Á</w:t>
      </w:r>
      <w:r w:rsidR="002D376E" w:rsidRPr="002D376E">
        <w:rPr>
          <w:rFonts w:eastAsia="Times New Roman" w:cs="Arial"/>
          <w:u w:val="single"/>
          <w:lang w:val="es-ES"/>
        </w:rPr>
        <w:t xml:space="preserve">rea </w:t>
      </w:r>
      <w:r w:rsidR="00E033BC">
        <w:rPr>
          <w:rFonts w:eastAsia="Times New Roman" w:cs="Arial"/>
          <w:u w:val="single"/>
          <w:lang w:val="es-ES"/>
        </w:rPr>
        <w:t>P</w:t>
      </w:r>
      <w:r w:rsidR="002D376E" w:rsidRPr="002D376E">
        <w:rPr>
          <w:rFonts w:eastAsia="Times New Roman" w:cs="Arial"/>
          <w:u w:val="single"/>
          <w:lang w:val="es-ES"/>
        </w:rPr>
        <w:t xml:space="preserve">rioritaria del </w:t>
      </w:r>
      <w:r w:rsidR="00E033BC">
        <w:rPr>
          <w:rFonts w:eastAsia="Times New Roman" w:cs="Arial"/>
          <w:u w:val="single"/>
          <w:lang w:val="es-ES"/>
        </w:rPr>
        <w:t>P</w:t>
      </w:r>
      <w:r w:rsidR="002D376E" w:rsidRPr="002D376E">
        <w:rPr>
          <w:rFonts w:eastAsia="Times New Roman" w:cs="Arial"/>
          <w:u w:val="single"/>
          <w:lang w:val="es-ES"/>
        </w:rPr>
        <w:t xml:space="preserve">rograma para un </w:t>
      </w:r>
      <w:r w:rsidR="00E033BC">
        <w:rPr>
          <w:rFonts w:eastAsia="Times New Roman" w:cs="Arial"/>
          <w:u w:val="single"/>
          <w:lang w:val="es-ES"/>
        </w:rPr>
        <w:t>M</w:t>
      </w:r>
      <w:r w:rsidR="002D376E" w:rsidRPr="002D376E">
        <w:rPr>
          <w:rFonts w:eastAsia="Times New Roman" w:cs="Arial"/>
          <w:u w:val="single"/>
          <w:lang w:val="es-ES"/>
        </w:rPr>
        <w:t xml:space="preserve">ejor </w:t>
      </w:r>
      <w:r w:rsidR="00E033BC">
        <w:rPr>
          <w:rFonts w:eastAsia="Times New Roman" w:cs="Arial"/>
          <w:u w:val="single"/>
          <w:lang w:val="es-ES"/>
        </w:rPr>
        <w:t>M</w:t>
      </w:r>
      <w:r w:rsidR="002D376E" w:rsidRPr="002D376E">
        <w:rPr>
          <w:rFonts w:eastAsia="Times New Roman" w:cs="Arial"/>
          <w:u w:val="single"/>
          <w:lang w:val="es-ES"/>
        </w:rPr>
        <w:t xml:space="preserve">edio </w:t>
      </w:r>
      <w:r w:rsidR="00E033BC">
        <w:rPr>
          <w:rFonts w:eastAsia="Times New Roman" w:cs="Arial"/>
          <w:u w:val="single"/>
          <w:lang w:val="es-ES"/>
        </w:rPr>
        <w:t>A</w:t>
      </w:r>
      <w:r w:rsidR="002D376E" w:rsidRPr="002D376E">
        <w:rPr>
          <w:rFonts w:eastAsia="Times New Roman" w:cs="Arial"/>
          <w:u w:val="single"/>
          <w:lang w:val="es-ES"/>
        </w:rPr>
        <w:t>mbiente</w:t>
      </w:r>
      <w:r w:rsidR="002D376E" w:rsidRPr="002D376E">
        <w:rPr>
          <w:rFonts w:eastAsia="Times New Roman" w:cs="Arial"/>
          <w:lang w:val="es-ES"/>
        </w:rPr>
        <w:t xml:space="preserve"> </w:t>
      </w:r>
      <w:r w:rsidRPr="007C29B1">
        <w:rPr>
          <w:rFonts w:eastAsia="Times New Roman" w:cs="Arial"/>
          <w:lang w:val="es-ES"/>
        </w:rPr>
        <w:t xml:space="preserve">del Marco Estratégico </w:t>
      </w:r>
      <w:r w:rsidRPr="000E37DD">
        <w:rPr>
          <w:rFonts w:eastAsia="Times New Roman" w:cs="Arial"/>
          <w:strike/>
          <w:lang w:val="es-ES"/>
        </w:rPr>
        <w:t>revisado</w:t>
      </w:r>
      <w:r w:rsidRPr="007C29B1">
        <w:rPr>
          <w:rFonts w:eastAsia="Times New Roman" w:cs="Arial"/>
          <w:lang w:val="es-ES"/>
        </w:rPr>
        <w:t xml:space="preserve"> </w:t>
      </w:r>
      <w:r w:rsidR="000E37DD">
        <w:rPr>
          <w:rFonts w:eastAsia="Times New Roman" w:cs="Arial"/>
          <w:u w:val="single"/>
          <w:lang w:val="es-ES"/>
        </w:rPr>
        <w:t xml:space="preserve">2022 </w:t>
      </w:r>
      <w:r w:rsidR="00FC612B">
        <w:rPr>
          <w:rFonts w:eastAsia="Times New Roman" w:cs="Arial"/>
          <w:u w:val="single"/>
          <w:lang w:val="es-ES"/>
        </w:rPr>
        <w:t>–</w:t>
      </w:r>
      <w:r w:rsidR="000E37DD">
        <w:rPr>
          <w:rFonts w:eastAsia="Times New Roman" w:cs="Arial"/>
          <w:u w:val="single"/>
          <w:lang w:val="es-ES"/>
        </w:rPr>
        <w:t xml:space="preserve"> </w:t>
      </w:r>
      <w:r w:rsidR="00FC612B">
        <w:rPr>
          <w:rFonts w:eastAsia="Times New Roman" w:cs="Arial"/>
          <w:u w:val="single"/>
          <w:lang w:val="es-ES"/>
        </w:rPr>
        <w:t>2031</w:t>
      </w:r>
      <w:r w:rsidR="00FC612B" w:rsidRPr="00FC612B">
        <w:rPr>
          <w:rFonts w:eastAsia="Times New Roman" w:cs="Arial"/>
          <w:lang w:val="es-ES"/>
        </w:rPr>
        <w:t xml:space="preserve"> </w:t>
      </w:r>
      <w:r w:rsidRPr="007C29B1">
        <w:rPr>
          <w:rFonts w:eastAsia="Times New Roman" w:cs="Arial"/>
          <w:lang w:val="es-ES"/>
        </w:rPr>
        <w:t xml:space="preserve">de la FAO, la Declaración Ministerial sobre la seguridad alimentaria y los sectores agrícolas en un clima cambiante, formulada en la 29ª Conferencia Regional de la FAO para África, el 8 de abril de 2016, las recomendaciones de los participantes en la Reunión Regional de la FAO sobre Agroecología en el África Subsahariana, el 6 de noviembre de 2015, la Resolución 2/24 de la Asamblea de las Naciones Unidas para el Medio Ambiente, así como el Programa de las Naciones Unidas para el Medio Ambiente y su </w:t>
      </w:r>
      <w:r w:rsidRPr="007C29B1">
        <w:rPr>
          <w:rFonts w:eastAsia="Times New Roman" w:cs="Arial"/>
          <w:i/>
          <w:iCs/>
          <w:lang w:val="es-ES"/>
        </w:rPr>
        <w:t>Iniciativa Pobreza - Medio Ambiente</w:t>
      </w:r>
      <w:r w:rsidRPr="007C29B1">
        <w:rPr>
          <w:rFonts w:eastAsia="Times New Roman" w:cs="Arial"/>
          <w:lang w:val="es-ES"/>
        </w:rPr>
        <w:t xml:space="preserve"> (IPMA) y el Programa de las Naciones Unidas para el Desarrollo (PNUD) y su Plan Estratégico 20</w:t>
      </w:r>
      <w:r w:rsidRPr="00FC612B">
        <w:rPr>
          <w:rFonts w:eastAsia="Times New Roman" w:cs="Arial"/>
          <w:strike/>
          <w:lang w:val="es-ES"/>
        </w:rPr>
        <w:t>18</w:t>
      </w:r>
      <w:r w:rsidR="00FC612B">
        <w:rPr>
          <w:rFonts w:eastAsia="Times New Roman" w:cs="Arial"/>
          <w:u w:val="single"/>
          <w:lang w:val="es-ES"/>
        </w:rPr>
        <w:t>22</w:t>
      </w:r>
      <w:r w:rsidRPr="007C29B1">
        <w:rPr>
          <w:rFonts w:eastAsia="Times New Roman" w:cs="Arial"/>
          <w:lang w:val="es-ES"/>
        </w:rPr>
        <w:t>-20</w:t>
      </w:r>
      <w:r w:rsidRPr="00FC612B">
        <w:rPr>
          <w:rFonts w:eastAsia="Times New Roman" w:cs="Arial"/>
          <w:strike/>
          <w:lang w:val="es-ES"/>
        </w:rPr>
        <w:t>21</w:t>
      </w:r>
      <w:r w:rsidR="00FC612B">
        <w:rPr>
          <w:rFonts w:eastAsia="Times New Roman" w:cs="Arial"/>
          <w:u w:val="single"/>
          <w:lang w:val="es-ES"/>
        </w:rPr>
        <w:t>25</w:t>
      </w:r>
      <w:r w:rsidRPr="007C29B1">
        <w:rPr>
          <w:rFonts w:eastAsia="Times New Roman" w:cs="Arial"/>
          <w:lang w:val="es-ES"/>
        </w:rPr>
        <w:t>,</w:t>
      </w:r>
    </w:p>
    <w:p w14:paraId="46B08290"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C8D9DF5"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Reconociendo también</w:t>
      </w:r>
      <w:r w:rsidRPr="007C29B1">
        <w:rPr>
          <w:rFonts w:eastAsia="Times New Roman" w:cs="Arial"/>
          <w:lang w:val="es-ES"/>
        </w:rPr>
        <w:t xml:space="preserve"> el</w:t>
      </w:r>
      <w:r w:rsidRPr="007C29B1">
        <w:rPr>
          <w:rFonts w:eastAsia="Times New Roman" w:cs="Arial"/>
          <w:i/>
          <w:iCs/>
          <w:lang w:val="es-ES"/>
        </w:rPr>
        <w:t xml:space="preserve"> Plan Regional de inversiones agrícolas para el África occidental (ECOWAP 25), la Comunidad Económica de los Estados de África Occidental (CEDEAO), </w:t>
      </w:r>
      <w:r w:rsidRPr="007C29B1">
        <w:rPr>
          <w:rFonts w:eastAsia="Times New Roman" w:cs="Arial"/>
          <w:lang w:val="es-ES"/>
        </w:rPr>
        <w:t>el</w:t>
      </w:r>
      <w:r w:rsidRPr="007C29B1">
        <w:rPr>
          <w:rFonts w:eastAsia="Times New Roman" w:cs="Arial"/>
          <w:i/>
          <w:iCs/>
          <w:lang w:val="es-ES"/>
        </w:rPr>
        <w:t xml:space="preserve"> Plan de convergencia para la gestión y utilización sostenible de los ecosistemas forestales, </w:t>
      </w:r>
      <w:r w:rsidRPr="007C29B1">
        <w:rPr>
          <w:rFonts w:eastAsia="Times New Roman" w:cs="Arial"/>
          <w:lang w:val="es-ES"/>
        </w:rPr>
        <w:t>las contribuciones fijadas a nivel nacional en el marco de la CMNUCC y la Agenda 2063 de la Unión Africana para fomentar prácticas y enfoques de gestión sostenible que favorezcan a las aves y a las personas en África occidental,</w:t>
      </w:r>
    </w:p>
    <w:p w14:paraId="5FF1C36D" w14:textId="77777777" w:rsidR="007C29B1" w:rsidRDefault="007C29B1" w:rsidP="007C29B1">
      <w:pPr>
        <w:widowControl w:val="0"/>
        <w:suppressAutoHyphens/>
        <w:spacing w:after="0" w:line="240" w:lineRule="auto"/>
        <w:jc w:val="both"/>
        <w:rPr>
          <w:rFonts w:eastAsia="Times New Roman" w:cs="Arial"/>
          <w:i/>
          <w:iCs/>
          <w:lang w:val="es-ES"/>
        </w:rPr>
      </w:pPr>
    </w:p>
    <w:p w14:paraId="2979CF59" w14:textId="77777777" w:rsidR="000F16F5" w:rsidRPr="007C29B1" w:rsidRDefault="000F16F5" w:rsidP="007C29B1">
      <w:pPr>
        <w:widowControl w:val="0"/>
        <w:suppressAutoHyphens/>
        <w:spacing w:after="0" w:line="240" w:lineRule="auto"/>
        <w:jc w:val="both"/>
        <w:rPr>
          <w:rFonts w:eastAsia="Times New Roman" w:cs="Arial"/>
          <w:i/>
          <w:iCs/>
          <w:lang w:val="es-ES"/>
        </w:rPr>
      </w:pPr>
    </w:p>
    <w:p w14:paraId="58E31D83"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lastRenderedPageBreak/>
        <w:t xml:space="preserve">Tomando nota </w:t>
      </w:r>
      <w:r w:rsidRPr="007C29B1">
        <w:rPr>
          <w:rFonts w:eastAsia="Times New Roman" w:cs="Arial"/>
          <w:lang w:val="es-ES"/>
        </w:rPr>
        <w:t>de que el cambio de uso de la tierra es un factor clave en la pérdida constante de biodiversidad en toda África, y que los factores que impulsan el cambio de uso de la tierra y las soluciones que pueden contribuir a lograr un uso sostenible de la tierra identificados en el taller son aplicables a la conservación en muchos contextos territoriales de África y otros lugares,</w:t>
      </w:r>
    </w:p>
    <w:p w14:paraId="1BF02088"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661CB122"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Recordando </w:t>
      </w:r>
      <w:r w:rsidRPr="007C29B1">
        <w:rPr>
          <w:rFonts w:eastAsia="Times New Roman" w:cs="Arial"/>
          <w:lang w:val="es-ES"/>
        </w:rPr>
        <w:t>que la Resolución 10.27</w:t>
      </w:r>
      <w:r w:rsidRPr="007C29B1">
        <w:rPr>
          <w:rFonts w:eastAsia="Times New Roman" w:cs="Arial"/>
          <w:vertAlign w:val="superscript"/>
          <w:lang w:val="en-GB"/>
        </w:rPr>
        <w:footnoteReference w:id="1"/>
      </w:r>
      <w:r w:rsidRPr="007C29B1">
        <w:rPr>
          <w:rFonts w:eastAsia="Times New Roman" w:cs="Arial"/>
          <w:lang w:val="es-ES"/>
        </w:rPr>
        <w:t xml:space="preserve"> de la Décima Conferencia de las Partes instó a las Partes e invitó a las no Partes y a otros interesados con la Secretaría de la CMS a desarrollar un Plan de Acción para la conservación de las aves terrestres migratorias de África y Eurasia y sus hábitats a lo largo de todo el corredor aéreo, que fue adoptado en la 11ª Reunión de la Conferencia de las Partes, sobre la base del cual la COP puede considerar la necesidad de un nuevo instrumento o el uso de un instrumento ya existente como marco,</w:t>
      </w:r>
    </w:p>
    <w:p w14:paraId="75C45A3D"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8C6BDCA" w14:textId="77777777" w:rsidR="007C29B1" w:rsidRPr="007C29B1" w:rsidRDefault="007C29B1" w:rsidP="007C29B1">
      <w:pPr>
        <w:widowControl w:val="0"/>
        <w:suppressAutoHyphens/>
        <w:spacing w:after="0" w:line="240" w:lineRule="auto"/>
        <w:jc w:val="both"/>
        <w:rPr>
          <w:rFonts w:eastAsia="Times New Roman" w:cs="Arial"/>
          <w:i/>
          <w:iCs/>
          <w:lang w:val="es-ES"/>
        </w:rPr>
      </w:pPr>
      <w:r w:rsidRPr="007C29B1">
        <w:rPr>
          <w:rFonts w:eastAsia="Times New Roman" w:cs="Arial"/>
          <w:i/>
          <w:iCs/>
          <w:lang w:val="es-ES"/>
        </w:rPr>
        <w:t xml:space="preserve">Recordando además </w:t>
      </w:r>
      <w:r w:rsidRPr="007C29B1">
        <w:rPr>
          <w:rFonts w:eastAsia="Times New Roman" w:cs="Arial"/>
          <w:lang w:val="es-ES"/>
        </w:rPr>
        <w:t>la Resolución 11.16 (Rev.COP14)</w:t>
      </w:r>
      <w:r w:rsidRPr="007C29B1">
        <w:rPr>
          <w:rFonts w:eastAsia="Times New Roman" w:cs="Arial"/>
          <w:i/>
          <w:iCs/>
          <w:lang w:val="es-ES"/>
        </w:rPr>
        <w:t xml:space="preserve"> Prevención de la matanza, captura y </w:t>
      </w:r>
      <w:proofErr w:type="gramStart"/>
      <w:r w:rsidRPr="007C29B1">
        <w:rPr>
          <w:rFonts w:eastAsia="Times New Roman" w:cs="Arial"/>
          <w:i/>
          <w:iCs/>
          <w:lang w:val="es-ES"/>
        </w:rPr>
        <w:t>comercio ilegales</w:t>
      </w:r>
      <w:proofErr w:type="gramEnd"/>
      <w:r w:rsidRPr="007C29B1">
        <w:rPr>
          <w:rFonts w:eastAsia="Times New Roman" w:cs="Arial"/>
          <w:i/>
          <w:iCs/>
          <w:lang w:val="es-ES"/>
        </w:rPr>
        <w:t xml:space="preserve"> de aves migratorias, </w:t>
      </w:r>
      <w:r w:rsidRPr="007C29B1">
        <w:rPr>
          <w:rFonts w:eastAsia="Times New Roman" w:cs="Arial"/>
          <w:lang w:val="es-ES"/>
        </w:rPr>
        <w:t xml:space="preserve">y las Directrices para prevenir el envenenamiento de las aves migratorias, adoptadas a través de la Resolución 11.15 (Rev.COP14) </w:t>
      </w:r>
      <w:r w:rsidRPr="007C29B1">
        <w:rPr>
          <w:rFonts w:eastAsia="Times New Roman" w:cs="Arial"/>
          <w:i/>
          <w:iCs/>
          <w:lang w:val="es-ES"/>
        </w:rPr>
        <w:t>Prevención del envenenamiento de las aves migratorias</w:t>
      </w:r>
      <w:r w:rsidRPr="007C29B1">
        <w:rPr>
          <w:rFonts w:eastAsia="Times New Roman" w:cs="Arial"/>
          <w:lang w:val="es-ES"/>
        </w:rPr>
        <w:t>,</w:t>
      </w:r>
    </w:p>
    <w:p w14:paraId="4B6BA9F3"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C63B8A0"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Tomando nota </w:t>
      </w:r>
      <w:r w:rsidRPr="007C29B1">
        <w:rPr>
          <w:rFonts w:eastAsia="Times New Roman" w:cs="Arial"/>
          <w:lang w:val="es-ES"/>
        </w:rPr>
        <w:t>del informe del taller para elaborar un Plan de Acción para las aves terrestres migratorias en África y Eurasia, que tuvo lugar en Accra entre el 31 de agosto y el 2 de septiembre de 2012,</w:t>
      </w:r>
    </w:p>
    <w:p w14:paraId="18AEBACD"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02411AE0"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Reconociendo con gratitud l</w:t>
      </w:r>
      <w:r w:rsidRPr="007C29B1">
        <w:rPr>
          <w:rFonts w:eastAsia="Times New Roman" w:cs="Arial"/>
          <w:lang w:val="es-ES"/>
        </w:rPr>
        <w:t>as contribuciones de los miembros del Grupo de Trabajo en el marco del Consejo Científico de la CMS y la coordinación de BirdLife International del 2015 al 2017,</w:t>
      </w:r>
    </w:p>
    <w:p w14:paraId="16B0B308"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3D10178"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Reconociendo con gratitud además </w:t>
      </w:r>
      <w:r w:rsidRPr="007C29B1">
        <w:rPr>
          <w:rFonts w:eastAsia="Times New Roman" w:cs="Arial"/>
          <w:lang w:val="es-ES"/>
        </w:rPr>
        <w:t xml:space="preserve">la coordinación del Grupo de Trabajo por parte del Instituto Ornitológico Suizo (SOI - </w:t>
      </w:r>
      <w:proofErr w:type="spellStart"/>
      <w:r w:rsidRPr="007C29B1">
        <w:rPr>
          <w:rFonts w:eastAsia="Times New Roman" w:cs="Arial"/>
          <w:lang w:val="es-ES"/>
        </w:rPr>
        <w:t>Vogelwarte</w:t>
      </w:r>
      <w:proofErr w:type="spellEnd"/>
      <w:r w:rsidRPr="007C29B1">
        <w:rPr>
          <w:rFonts w:eastAsia="Times New Roman" w:cs="Arial"/>
          <w:lang w:val="es-ES"/>
        </w:rPr>
        <w:t xml:space="preserve"> </w:t>
      </w:r>
      <w:proofErr w:type="spellStart"/>
      <w:r w:rsidRPr="007C29B1">
        <w:rPr>
          <w:rFonts w:eastAsia="Times New Roman" w:cs="Arial"/>
          <w:lang w:val="es-ES"/>
        </w:rPr>
        <w:t>Sempach</w:t>
      </w:r>
      <w:proofErr w:type="spellEnd"/>
      <w:r w:rsidRPr="007C29B1">
        <w:rPr>
          <w:rFonts w:eastAsia="Times New Roman" w:cs="Arial"/>
          <w:lang w:val="es-ES"/>
        </w:rPr>
        <w:t>) a partir de 2022,</w:t>
      </w:r>
    </w:p>
    <w:p w14:paraId="54320E9E" w14:textId="77777777" w:rsidR="007C29B1" w:rsidRPr="007C29B1" w:rsidRDefault="007C29B1" w:rsidP="007C29B1">
      <w:pPr>
        <w:widowControl w:val="0"/>
        <w:suppressAutoHyphens/>
        <w:spacing w:after="0" w:line="240" w:lineRule="auto"/>
        <w:jc w:val="both"/>
        <w:rPr>
          <w:rFonts w:eastAsia="Times New Roman" w:cs="Arial"/>
          <w:lang w:val="es-ES"/>
        </w:rPr>
      </w:pPr>
    </w:p>
    <w:p w14:paraId="1F679BD1"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w:t>
      </w:r>
      <w:r w:rsidRPr="007C29B1">
        <w:rPr>
          <w:rFonts w:eastAsia="Times New Roman" w:cs="Arial"/>
          <w:lang w:val="es-ES"/>
        </w:rPr>
        <w:t xml:space="preserve">el establecimiento del Grupo de Estudio sobre las aves terrestres migratorias (MLSG, por sus siglas en inglés) como una red internacional de especialistas y organizaciones que trabajan en la investigación, el seguimiento y la conservación de las especies de aves terrestres migratorias, </w:t>
      </w:r>
    </w:p>
    <w:p w14:paraId="64D1614A"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4F8E2ED8"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Tomando nota de </w:t>
      </w:r>
      <w:r w:rsidRPr="007C29B1">
        <w:rPr>
          <w:rFonts w:eastAsia="Times New Roman" w:cs="Arial"/>
          <w:lang w:val="es-ES"/>
        </w:rPr>
        <w:t xml:space="preserve">los resultados de la Reunión Inaugural del MLSG que tuvo lugar en </w:t>
      </w:r>
      <w:proofErr w:type="spellStart"/>
      <w:r w:rsidRPr="007C29B1">
        <w:rPr>
          <w:rFonts w:eastAsia="Times New Roman" w:cs="Arial"/>
          <w:lang w:val="es-ES"/>
        </w:rPr>
        <w:t>Wilhelmshaven</w:t>
      </w:r>
      <w:proofErr w:type="spellEnd"/>
      <w:r w:rsidRPr="007C29B1">
        <w:rPr>
          <w:rFonts w:eastAsia="Times New Roman" w:cs="Arial"/>
          <w:lang w:val="es-ES"/>
        </w:rPr>
        <w:t xml:space="preserve"> (Alemania) del 26 al 28 de marzo de 2014, y del Plan de Acción de los Amigos de las Aves Terrestres (FLAP, por sus siglas en inglés) como un foro para interesados, particulares y organizaciones que siguen y apoyan el Plan de Acción de la CMS y la conservación de las aves terrestres migratorias en general, y el exitoso desarrollo posterior y puesta en funcionamiento del FLAP por parte de BirdLife International como una plataforma de establecimiento de contactos en línea,</w:t>
      </w:r>
    </w:p>
    <w:p w14:paraId="1CA801F1"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745F3C7C"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 xml:space="preserve">Acogiendo con satisfacción además </w:t>
      </w:r>
      <w:r w:rsidRPr="007C29B1">
        <w:rPr>
          <w:rFonts w:eastAsia="Times New Roman" w:cs="Arial"/>
          <w:lang w:val="es-ES"/>
        </w:rPr>
        <w:t>la publicación del Atlas de Migración de las Aves de Eurasia y África, basado en la recuperación de aves anilladas</w:t>
      </w:r>
      <w:r w:rsidRPr="007C29B1">
        <w:rPr>
          <w:lang w:val="es-ES"/>
        </w:rPr>
        <w:t xml:space="preserve"> </w:t>
      </w:r>
      <w:r w:rsidRPr="007C29B1">
        <w:rPr>
          <w:rFonts w:eastAsia="Times New Roman" w:cs="Arial"/>
          <w:lang w:val="es-ES"/>
        </w:rPr>
        <w:t xml:space="preserve">y estudios de seguimiento realizados por la Unión Europea para el Anillamiento de Aves (EURING), con el apoyo de la Secretaría de la CMS y el Gobierno italiano, </w:t>
      </w:r>
    </w:p>
    <w:p w14:paraId="04A05B4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16D9B058"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Tomando nota</w:t>
      </w:r>
      <w:r w:rsidRPr="007C29B1">
        <w:rPr>
          <w:rFonts w:eastAsia="Times New Roman" w:cs="Arial"/>
          <w:lang w:val="es-ES"/>
        </w:rPr>
        <w:t xml:space="preserve"> de la conclusión del taller de la Cambridge </w:t>
      </w:r>
      <w:proofErr w:type="spellStart"/>
      <w:r w:rsidRPr="007C29B1">
        <w:rPr>
          <w:rFonts w:eastAsia="Times New Roman" w:cs="Arial"/>
          <w:lang w:val="es-ES"/>
        </w:rPr>
        <w:t>Conservation</w:t>
      </w:r>
      <w:proofErr w:type="spellEnd"/>
      <w:r w:rsidRPr="007C29B1">
        <w:rPr>
          <w:rFonts w:eastAsia="Times New Roman" w:cs="Arial"/>
          <w:lang w:val="es-ES"/>
        </w:rPr>
        <w:t xml:space="preserve"> </w:t>
      </w:r>
      <w:proofErr w:type="spellStart"/>
      <w:r w:rsidRPr="007C29B1">
        <w:rPr>
          <w:rFonts w:eastAsia="Times New Roman" w:cs="Arial"/>
          <w:lang w:val="es-ES"/>
        </w:rPr>
        <w:t>Initiatve</w:t>
      </w:r>
      <w:proofErr w:type="spellEnd"/>
      <w:r w:rsidRPr="007C29B1">
        <w:rPr>
          <w:rFonts w:eastAsia="Times New Roman" w:cs="Arial"/>
          <w:lang w:val="es-ES"/>
        </w:rPr>
        <w:t>, celebrado el 12 y 13 de marzo de 2019, sobre</w:t>
      </w:r>
      <w:r w:rsidRPr="007C29B1">
        <w:rPr>
          <w:rFonts w:eastAsia="Times New Roman" w:cs="Arial"/>
          <w:i/>
          <w:iCs/>
          <w:lang w:val="es-ES"/>
        </w:rPr>
        <w:t xml:space="preserve"> Ciencia y las políticas para el abordaje de las amenazas a las que se enfrentan las aves migratorias </w:t>
      </w:r>
      <w:proofErr w:type="spellStart"/>
      <w:r w:rsidRPr="007C29B1">
        <w:rPr>
          <w:rFonts w:eastAsia="Times New Roman" w:cs="Arial"/>
          <w:i/>
          <w:iCs/>
          <w:lang w:val="es-ES"/>
        </w:rPr>
        <w:t>afropaleárticas</w:t>
      </w:r>
      <w:proofErr w:type="spellEnd"/>
      <w:r w:rsidRPr="007C29B1">
        <w:rPr>
          <w:rFonts w:eastAsia="Times New Roman" w:cs="Arial"/>
          <w:i/>
          <w:iCs/>
          <w:lang w:val="es-ES"/>
        </w:rPr>
        <w:t>: nuevas investigaciones y políticas futuras</w:t>
      </w:r>
      <w:r w:rsidRPr="007C29B1">
        <w:rPr>
          <w:rFonts w:eastAsia="Times New Roman" w:cs="Arial"/>
          <w:lang w:val="es-ES"/>
        </w:rPr>
        <w:t xml:space="preserve">, que expone que para muchas de las aves terrestres de África y Eurasia que están en decrecimiento, la “acción genérica” más beneficiosa en las zonas no reproductivas probablemente sea retener y mejorar la cubierta arbórea en el paisaje, especialmente a través </w:t>
      </w:r>
      <w:r w:rsidRPr="007C29B1">
        <w:rPr>
          <w:rFonts w:eastAsia="Times New Roman" w:cs="Arial"/>
          <w:lang w:val="es-ES"/>
        </w:rPr>
        <w:lastRenderedPageBreak/>
        <w:t xml:space="preserve">de medidas en todo el entorno que van más allá de la protección tradicional de bosques, y que los enfoques internacionales para mantener o aumentar la cubierta arbórea, como el Desafío de Bonn, la campaña </w:t>
      </w:r>
      <w:proofErr w:type="spellStart"/>
      <w:r w:rsidRPr="007C29B1">
        <w:rPr>
          <w:rFonts w:eastAsia="Times New Roman" w:cs="Arial"/>
          <w:lang w:val="es-ES"/>
        </w:rPr>
        <w:t>Trillion</w:t>
      </w:r>
      <w:proofErr w:type="spellEnd"/>
      <w:r w:rsidRPr="007C29B1">
        <w:rPr>
          <w:rFonts w:eastAsia="Times New Roman" w:cs="Arial"/>
          <w:lang w:val="es-ES"/>
        </w:rPr>
        <w:t xml:space="preserve"> </w:t>
      </w:r>
      <w:proofErr w:type="spellStart"/>
      <w:r w:rsidRPr="007C29B1">
        <w:rPr>
          <w:rFonts w:eastAsia="Times New Roman" w:cs="Arial"/>
          <w:lang w:val="es-ES"/>
        </w:rPr>
        <w:t>Trees</w:t>
      </w:r>
      <w:proofErr w:type="spellEnd"/>
      <w:r w:rsidRPr="007C29B1">
        <w:rPr>
          <w:rFonts w:eastAsia="Times New Roman" w:cs="Arial"/>
          <w:lang w:val="es-ES"/>
        </w:rPr>
        <w:t xml:space="preserve"> y la iniciativa de la Gran Muralla Verde, junto con iniciativas locales de ayuda y desarrollo en torno a la agricultura y la silvicultura, constituyen experimentos potenciales para determinar, mediante una supervisión minuciosa, tanto lo que funciona en la creación de hábitats (permitiendo la comparación de la biodiversidad entre lugares y a lo largo de los años) como los beneficios socioeconómicos para las comunidades locales, de manera que se puedan aportar ideas sobre intervenciones que resulten beneficiosas,</w:t>
      </w:r>
    </w:p>
    <w:p w14:paraId="384EF0BE" w14:textId="77777777" w:rsidR="007C29B1" w:rsidRPr="007C29B1" w:rsidRDefault="007C29B1" w:rsidP="007C29B1">
      <w:pPr>
        <w:widowControl w:val="0"/>
        <w:suppressAutoHyphens/>
        <w:spacing w:after="0" w:line="240" w:lineRule="auto"/>
        <w:jc w:val="both"/>
        <w:rPr>
          <w:rFonts w:eastAsia="Times New Roman" w:cs="Arial"/>
          <w:lang w:val="es-ES"/>
        </w:rPr>
      </w:pPr>
    </w:p>
    <w:p w14:paraId="47767B85" w14:textId="77777777" w:rsidR="007C29B1" w:rsidRPr="007C29B1" w:rsidRDefault="007C29B1" w:rsidP="007C29B1">
      <w:pPr>
        <w:widowControl w:val="0"/>
        <w:suppressAutoHyphens/>
        <w:spacing w:after="0" w:line="240" w:lineRule="auto"/>
        <w:jc w:val="both"/>
        <w:rPr>
          <w:rFonts w:eastAsia="Times New Roman" w:cs="Arial"/>
          <w:lang w:val="es-ES"/>
        </w:rPr>
      </w:pPr>
      <w:r w:rsidRPr="007C29B1">
        <w:rPr>
          <w:rFonts w:eastAsia="Times New Roman" w:cs="Arial"/>
          <w:i/>
          <w:iCs/>
          <w:lang w:val="es-ES"/>
        </w:rPr>
        <w:t>Tomando nota asimismo</w:t>
      </w:r>
      <w:r w:rsidRPr="007C29B1">
        <w:rPr>
          <w:rFonts w:eastAsia="Times New Roman" w:cs="Arial"/>
          <w:lang w:val="es-ES"/>
        </w:rPr>
        <w:t xml:space="preserve"> de la conclusión del simposio y la mesa redonda del Congreso Panafricano de Ornitología (PAOC) "Integración de la ciencia, la política y el desarrollo sostenible para abordar el declive de las aves terrestres migratorias de África y Eurasia: perspectiva africana sobre un problema que afecta a todo el corredor migratorio”, de que existen muchas oportunidades de obtener resultados positivos para las aves terrestres migratorias, la biodiversidad en general y las comunidades locales, si las comunidades centradas en la biodiversidad y el desarrollo humano trabajan juntas en estrategias para el desarrollo sostenible basadas en la restauración de los ecosistemas, incluida la selección de especies arbóreas para maximizar los beneficios tanto para las comunidades locales como para la biodiversidad, enmarcando las intervenciones para obtener indicadores socioeconómicos y de biodiversidad, y utilizando el seguimiento de los resultados de las intervenciones en el paisaje para comprender mejor la eficacia de las diferentes estrategias,</w:t>
      </w:r>
    </w:p>
    <w:p w14:paraId="276D76A2"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2D6CEC1C" w14:textId="77777777" w:rsidR="007C29B1" w:rsidRPr="007C29B1" w:rsidRDefault="007C29B1" w:rsidP="007C29B1">
      <w:pPr>
        <w:widowControl w:val="0"/>
        <w:suppressAutoHyphens/>
        <w:spacing w:after="0" w:line="240" w:lineRule="auto"/>
        <w:jc w:val="both"/>
        <w:rPr>
          <w:rFonts w:eastAsia="Times New Roman" w:cs="Arial"/>
          <w:i/>
          <w:iCs/>
          <w:lang w:val="es-ES"/>
        </w:rPr>
      </w:pPr>
    </w:p>
    <w:p w14:paraId="46AABE0C" w14:textId="77777777" w:rsidR="007C29B1" w:rsidRPr="007C29B1" w:rsidRDefault="007C29B1" w:rsidP="007C29B1">
      <w:pPr>
        <w:widowControl w:val="0"/>
        <w:suppressAutoHyphens/>
        <w:spacing w:after="0" w:line="240" w:lineRule="auto"/>
        <w:jc w:val="center"/>
        <w:rPr>
          <w:rFonts w:eastAsia="Times New Roman" w:cs="Arial"/>
          <w:i/>
          <w:iCs/>
          <w:lang w:val="es-ES"/>
        </w:rPr>
      </w:pPr>
      <w:r w:rsidRPr="007C29B1">
        <w:rPr>
          <w:rFonts w:eastAsia="Times New Roman" w:cs="Arial"/>
          <w:i/>
          <w:iCs/>
          <w:lang w:val="es-ES"/>
        </w:rPr>
        <w:t>La Conferencia de las Partes en la</w:t>
      </w:r>
    </w:p>
    <w:p w14:paraId="1F499DF7" w14:textId="77777777" w:rsidR="007C29B1" w:rsidRPr="007C29B1" w:rsidRDefault="007C29B1" w:rsidP="007C29B1">
      <w:pPr>
        <w:widowControl w:val="0"/>
        <w:suppressAutoHyphens/>
        <w:spacing w:after="0" w:line="240" w:lineRule="auto"/>
        <w:jc w:val="center"/>
        <w:rPr>
          <w:rFonts w:eastAsia="Times New Roman" w:cs="Arial"/>
          <w:i/>
          <w:iCs/>
          <w:lang w:val="es-ES"/>
        </w:rPr>
      </w:pPr>
      <w:r w:rsidRPr="007C29B1">
        <w:rPr>
          <w:rFonts w:eastAsia="Times New Roman" w:cs="Arial"/>
          <w:i/>
          <w:iCs/>
          <w:lang w:val="es-ES"/>
        </w:rPr>
        <w:t>Convención sobre la Conservación de las Especies Migratorias de Animales Silvestres</w:t>
      </w:r>
    </w:p>
    <w:p w14:paraId="663DCAC5" w14:textId="77777777" w:rsidR="007C29B1" w:rsidRDefault="007C29B1" w:rsidP="007C29B1">
      <w:pPr>
        <w:widowControl w:val="0"/>
        <w:suppressAutoHyphens/>
        <w:spacing w:after="0" w:line="240" w:lineRule="auto"/>
        <w:jc w:val="both"/>
        <w:rPr>
          <w:rFonts w:eastAsia="Times New Roman" w:cs="Arial"/>
          <w:i/>
          <w:iCs/>
          <w:lang w:val="es-ES"/>
        </w:rPr>
      </w:pPr>
    </w:p>
    <w:p w14:paraId="6B98D0B0" w14:textId="2C8CA2BA"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Adopta</w:t>
      </w:r>
      <w:r w:rsidRPr="007C29B1">
        <w:rPr>
          <w:rFonts w:eastAsia="Times New Roman" w:cs="Arial"/>
          <w:lang w:val="es-ES"/>
        </w:rPr>
        <w:t xml:space="preserve"> el Plan de Acción para las aves terrestres migratorias de África y Eurasia (AEMLAP) (el Plan de Acción), junto con sus anexos, que figuran en el Anexo a esta Resolución, e insta a las Partes y alienta a los Estados del área de distribución que no son Partes y a otros actores interesados a aplicar el Plan de Acción con carácter prioritario, especialmente en consonancia con el Programa del Trabajo 20</w:t>
      </w:r>
      <w:r w:rsidRPr="00524677">
        <w:rPr>
          <w:rFonts w:eastAsia="Times New Roman" w:cs="Arial"/>
          <w:strike/>
          <w:lang w:val="es-ES"/>
        </w:rPr>
        <w:t>21</w:t>
      </w:r>
      <w:r w:rsidR="00524677">
        <w:rPr>
          <w:rFonts w:eastAsia="Times New Roman" w:cs="Arial"/>
          <w:u w:val="single"/>
          <w:lang w:val="es-ES"/>
        </w:rPr>
        <w:t>26</w:t>
      </w:r>
      <w:r w:rsidRPr="007C29B1">
        <w:rPr>
          <w:rFonts w:eastAsia="Times New Roman" w:cs="Arial"/>
          <w:lang w:val="es-ES"/>
        </w:rPr>
        <w:t xml:space="preserve"> – 20</w:t>
      </w:r>
      <w:r w:rsidRPr="00524677">
        <w:rPr>
          <w:rFonts w:eastAsia="Times New Roman" w:cs="Arial"/>
          <w:strike/>
          <w:lang w:val="es-ES"/>
        </w:rPr>
        <w:t>26</w:t>
      </w:r>
      <w:r w:rsidR="00524677" w:rsidRPr="00524677">
        <w:rPr>
          <w:rFonts w:eastAsia="Times New Roman" w:cs="Arial"/>
          <w:u w:val="single"/>
          <w:lang w:val="es-ES"/>
        </w:rPr>
        <w:t>32</w:t>
      </w:r>
      <w:r w:rsidRPr="007C29B1">
        <w:rPr>
          <w:rFonts w:eastAsia="Times New Roman" w:cs="Arial"/>
          <w:lang w:val="es-ES"/>
        </w:rPr>
        <w:t xml:space="preserve"> del Grupo de Trabajo;</w:t>
      </w:r>
    </w:p>
    <w:p w14:paraId="608AEA12"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4C429160" w14:textId="77777777" w:rsidR="007C29B1" w:rsidRPr="007C29B1" w:rsidRDefault="007C29B1" w:rsidP="007C29B1">
      <w:pPr>
        <w:widowControl w:val="0"/>
        <w:numPr>
          <w:ilvl w:val="0"/>
          <w:numId w:val="26"/>
        </w:numPr>
        <w:tabs>
          <w:tab w:val="left" w:pos="540"/>
        </w:tabs>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Insta</w:t>
      </w:r>
      <w:r w:rsidRPr="007C29B1">
        <w:rPr>
          <w:rFonts w:eastAsia="Times New Roman" w:cs="Arial"/>
          <w:lang w:val="es-ES"/>
        </w:rPr>
        <w:t xml:space="preserve"> a las Partes y alienta a las no Partes a abordar la cuestión de la degradación y la pérdida de hábitat de las especies de aves terrestres migratorias mediante el desarrollo de políticas que mantengan, gestionen y restauren los hábitats naturales y seminaturales dentro del entorno más amplio, incluyendo el trabajo con las comunidades locales, y en colaboración con la comunidad de reducción de la pobreza y los sectores de silvicultura y agricultura en África;</w:t>
      </w:r>
    </w:p>
    <w:p w14:paraId="30CFEBBD"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3937FA9"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Insta</w:t>
      </w:r>
      <w:r w:rsidRPr="007C29B1">
        <w:rPr>
          <w:rFonts w:eastAsia="Times New Roman" w:cs="Arial"/>
          <w:lang w:val="es-ES"/>
        </w:rPr>
        <w:t xml:space="preserve"> a las Partes y </w:t>
      </w:r>
      <w:r w:rsidRPr="007C29B1">
        <w:rPr>
          <w:rFonts w:eastAsia="Times New Roman" w:cs="Arial"/>
          <w:i/>
          <w:iCs/>
          <w:lang w:val="es-ES"/>
        </w:rPr>
        <w:t>alienta</w:t>
      </w:r>
      <w:r w:rsidRPr="007C29B1">
        <w:rPr>
          <w:rFonts w:eastAsia="Times New Roman" w:cs="Arial"/>
          <w:lang w:val="es-ES"/>
        </w:rPr>
        <w:t xml:space="preserve"> a los Estados que no son Partes a trabajar conjuntamente con los organismos, las organizaciones y las comunidades locales para evitar un uso perjudicial de la tierra y cambios en el uso de la tierra perjudiciales para la biodiversidad en la región del corredor aéreo de África y Eurasia, sobre todo en África occidental en primera instancia, promoviendo el uso sostenible de la tierra mediante las prácticas y enfoques establecidos en el taller de la CMS de noviembre de 2016 (</w:t>
      </w:r>
      <w:r w:rsidRPr="007C29B1">
        <w:rPr>
          <w:rFonts w:eastAsia="Times New Roman" w:cs="Arial"/>
          <w:i/>
          <w:iCs/>
          <w:lang w:val="es-ES"/>
        </w:rPr>
        <w:t>Declaración de Abuja</w:t>
      </w:r>
      <w:r w:rsidRPr="007C29B1">
        <w:rPr>
          <w:rFonts w:eastAsia="Times New Roman" w:cs="Arial"/>
          <w:lang w:val="es-ES"/>
        </w:rPr>
        <w:t>);</w:t>
      </w:r>
    </w:p>
    <w:p w14:paraId="3C95539B"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47B539A6"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Solicita</w:t>
      </w:r>
      <w:r w:rsidRPr="007C29B1">
        <w:rPr>
          <w:rFonts w:eastAsia="Times New Roman" w:cs="Arial"/>
          <w:lang w:val="es-ES"/>
        </w:rPr>
        <w:t xml:space="preserve"> a las Partes y a los Estados que no son Partes que reconozcan y apoyen la acción conjunta emprendida por los convenios y los procesos internacionales pertinentes sobre el uso sostenible de la tierra en beneficio de las aves migratorias a fin de lograr los objetivos de la CMS, especialmente en lo relativo al artículo II.1 y al Plan Estratégico de la CMS para las Especies Migratorias (PEEM), y que ayuden a la consecución de los Objetivos de Desarrollo Sostenible;</w:t>
      </w:r>
    </w:p>
    <w:p w14:paraId="0E717511"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1A4C5E6"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Solicita</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 los Estados del área de distribución a implementar las medidas existentes en el marco de la CMS, AEWA, el </w:t>
      </w:r>
      <w:proofErr w:type="spellStart"/>
      <w:r w:rsidRPr="007C29B1">
        <w:rPr>
          <w:rFonts w:eastAsia="Times New Roman" w:cs="Arial"/>
          <w:lang w:val="es-ES"/>
        </w:rPr>
        <w:t>MdE</w:t>
      </w:r>
      <w:proofErr w:type="spellEnd"/>
      <w:r w:rsidRPr="007C29B1">
        <w:rPr>
          <w:rFonts w:eastAsia="Times New Roman" w:cs="Arial"/>
          <w:lang w:val="es-ES"/>
        </w:rPr>
        <w:t xml:space="preserve"> sobre aves rapaces y otros tratados ambientales internacionales pertinentes, en especial cuando estas contribuyan a los objetivos del Plan de Acción para las aves terrestres, con el fin de aumentar la capacidad de recuperación de las poblaciones de aves terrestres migratorias y su potencial para adaptarse a los cambios ambientales;</w:t>
      </w:r>
    </w:p>
    <w:p w14:paraId="1948CF4A"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19450F58"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Hace un llamamiento</w:t>
      </w:r>
      <w:r w:rsidRPr="007C29B1">
        <w:rPr>
          <w:rFonts w:eastAsia="Times New Roman" w:cs="Arial"/>
          <w:lang w:val="es-ES"/>
        </w:rPr>
        <w:t xml:space="preserve"> a las Partes para que continúen abordando con urgencia los problemas de la matanza, captura y comercio ilega</w:t>
      </w:r>
      <w:r w:rsidRPr="007C29B1">
        <w:rPr>
          <w:rFonts w:eastAsia="Times New Roman" w:cs="Arial"/>
          <w:iCs/>
          <w:lang w:val="es-ES"/>
        </w:rPr>
        <w:t>les y no sostenibles</w:t>
      </w:r>
      <w:r w:rsidRPr="007C29B1">
        <w:rPr>
          <w:rFonts w:eastAsia="Times New Roman" w:cs="Arial"/>
          <w:iCs/>
          <w:lang w:val="en-GB"/>
        </w:rPr>
        <w:footnoteReference w:id="2"/>
      </w:r>
      <w:r w:rsidRPr="007C29B1">
        <w:rPr>
          <w:rFonts w:eastAsia="Times New Roman" w:cs="Arial"/>
          <w:lang w:val="es-ES"/>
        </w:rPr>
        <w:t xml:space="preserve"> de aves terrestres durante la migración e invernada y garanticen que la legislación nacional de conservación esté en vigor y se cumpla, y se tomen medidas para su aplicación, y </w:t>
      </w:r>
      <w:r w:rsidRPr="007C29B1">
        <w:rPr>
          <w:rFonts w:eastAsia="Times New Roman" w:cs="Arial"/>
          <w:i/>
          <w:iCs/>
          <w:lang w:val="es-ES"/>
        </w:rPr>
        <w:t>solicita</w:t>
      </w:r>
      <w:r w:rsidRPr="007C29B1">
        <w:rPr>
          <w:rFonts w:eastAsia="Times New Roman" w:cs="Arial"/>
          <w:lang w:val="es-ES"/>
        </w:rPr>
        <w:t xml:space="preserve"> a la Secretaría que continúe en contacto con el Convenio de Berna y otros foros pertinentes, a fin de facilitar la mitigación nacional e internacional del problema de la matanza, captura y comercio ilegales de aves, en consonancia con la Resolución 11.16 (Rev.COP14)</w:t>
      </w:r>
      <w:r w:rsidRPr="007C29B1">
        <w:rPr>
          <w:rFonts w:eastAsia="Times New Roman" w:cs="Arial"/>
          <w:i/>
          <w:iCs/>
          <w:lang w:val="es-ES"/>
        </w:rPr>
        <w:t xml:space="preserve"> Prevención de la matanza, captura y comercio ilegales de aves migratorias</w:t>
      </w:r>
      <w:r w:rsidRPr="007C29B1">
        <w:rPr>
          <w:rFonts w:eastAsia="Times New Roman" w:cs="Arial"/>
          <w:lang w:val="es-ES"/>
        </w:rPr>
        <w:t>;</w:t>
      </w:r>
    </w:p>
    <w:p w14:paraId="096A650F"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51B3ABDE"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Hace además</w:t>
      </w:r>
      <w:r w:rsidRPr="007C29B1">
        <w:rPr>
          <w:rFonts w:eastAsia="Times New Roman" w:cs="Arial"/>
          <w:lang w:val="es-ES"/>
        </w:rPr>
        <w:t xml:space="preserve"> </w:t>
      </w:r>
      <w:r w:rsidRPr="007C29B1">
        <w:rPr>
          <w:rFonts w:eastAsia="Times New Roman" w:cs="Arial"/>
          <w:i/>
          <w:iCs/>
          <w:lang w:val="es-ES"/>
        </w:rPr>
        <w:t>un llamamiento</w:t>
      </w:r>
      <w:r w:rsidRPr="007C29B1">
        <w:rPr>
          <w:rFonts w:eastAsia="Times New Roman" w:cs="Arial"/>
          <w:lang w:val="es-ES"/>
        </w:rPr>
        <w:t xml:space="preserve"> a las Partes para que adopten urgentemente medidas prácticas para hacer frente a las amenazas que pesan sobre las avutardas migratorias, un grupo de especies de aves terrestres migratorias altamente amenazado y en declive, sometido a una presión especial debido a la matanza ilegal, la captura insostenible, las colisiones con infraestructuras energéticas y la pérdida y degradación del hábitat, tal como se indica en los planes de acción pertinentes a esta especie;</w:t>
      </w:r>
    </w:p>
    <w:p w14:paraId="74D53F0F"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3E1135E" w14:textId="77777777" w:rsidR="007C29B1" w:rsidRPr="007C29B1" w:rsidRDefault="007C29B1" w:rsidP="007C29B1">
      <w:pPr>
        <w:widowControl w:val="0"/>
        <w:numPr>
          <w:ilvl w:val="0"/>
          <w:numId w:val="26"/>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Insta</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 los Estados que no son Partes a que apliquen las Directrices para prevenir el envenenamiento de aves migratorias, tal como se adoptaron a través de la Resolución 11.15 (Rev.COP14) </w:t>
      </w:r>
      <w:r w:rsidRPr="007C29B1">
        <w:rPr>
          <w:rFonts w:eastAsia="Times New Roman" w:cs="Arial"/>
          <w:i/>
          <w:iCs/>
          <w:lang w:val="es-ES"/>
        </w:rPr>
        <w:t>Prevención del riesgo de envenenamiento de aves migratorias</w:t>
      </w:r>
      <w:r w:rsidRPr="007C29B1">
        <w:rPr>
          <w:rFonts w:eastAsia="Times New Roman" w:cs="Arial"/>
          <w:lang w:val="es-ES"/>
        </w:rPr>
        <w:t>; en particular las referidas a los plaguicidas agrícolas y los tratamientos con medicamentos veterinarios que tienen una importancia particular para las aves terrestres migratorias al ser una causa importante de mortalidad;</w:t>
      </w:r>
    </w:p>
    <w:p w14:paraId="5CB0CCCC"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05AD8B2D" w14:textId="77777777" w:rsidR="007C29B1" w:rsidRPr="007C29B1" w:rsidRDefault="007C29B1" w:rsidP="007C29B1">
      <w:pPr>
        <w:widowControl w:val="0"/>
        <w:numPr>
          <w:ilvl w:val="0"/>
          <w:numId w:val="26"/>
        </w:numPr>
        <w:tabs>
          <w:tab w:val="left" w:pos="540"/>
        </w:tabs>
        <w:suppressAutoHyphens/>
        <w:autoSpaceDE w:val="0"/>
        <w:autoSpaceDN w:val="0"/>
        <w:spacing w:after="80" w:line="240" w:lineRule="auto"/>
        <w:ind w:left="540" w:hanging="540"/>
        <w:jc w:val="both"/>
        <w:textAlignment w:val="baseline"/>
        <w:rPr>
          <w:rFonts w:eastAsia="Times New Roman" w:cs="Arial"/>
          <w:lang w:val="es-ES"/>
        </w:rPr>
      </w:pPr>
      <w:r w:rsidRPr="007C29B1">
        <w:rPr>
          <w:rFonts w:eastAsia="Times New Roman" w:cs="Arial"/>
          <w:i/>
          <w:iCs/>
          <w:lang w:val="es-ES"/>
        </w:rPr>
        <w:t>Solicita</w:t>
      </w:r>
      <w:r w:rsidRPr="007C29B1">
        <w:rPr>
          <w:rFonts w:eastAsia="Times New Roman" w:cs="Arial"/>
          <w:lang w:val="es-ES"/>
        </w:rPr>
        <w:t xml:space="preserve"> al Consejo Científico, con sujeción a la disponibilidad de recursos, y en colaboración con el Grupo de Trabajo, en coordinación con el Grupo de Estudio de las aves terrestres migratorias, las instituciones académicas pertinentes y los financiadores de la investigación, que evalúen: los conjuntos de datos existentes a largo plazo y a gran escala (como el Atlas Europeo de Migración de las Aves, el Proyecto de Atlas de Aves Africanas (ABAP) y el Atlas de Migración de las Aves de África y Eurasia); el uso de tecnologías nuevas y emergentes de seguimiento; estudios sobre el terreno de las aves migratorias en África, Europa y Asia; el uso de datos de estudios y demográficos de las zonas de reproducción de Eurasia; el uso de datos de observación terrestre mediante teledetección de las variaciones de la cubierta terrestre en África y Asia; y el uso de los resultados de esta evaluación para promover activamente una investigación que aborde las principales lagunas de conocimientos en relación con la conservación de las aves terrestres migratorias en la región de África y Eurasia, entre otras cosas, para;</w:t>
      </w:r>
    </w:p>
    <w:p w14:paraId="6DC0E163"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 xml:space="preserve">utilizar análisis de múltiples especies y tecnologías de seguimiento para identificar rutas y estrategias migratorias, y comprender mejor los patrones de desplazamiento, las zonas geográficas de especial importancia para múltiples especies de aves terrestres y la conectividad migratoria, permitiendo así orientar </w:t>
      </w:r>
      <w:r w:rsidRPr="007C29B1">
        <w:rPr>
          <w:rFonts w:eastAsia="Times New Roman" w:cs="Arial"/>
          <w:lang w:val="es-ES"/>
        </w:rPr>
        <w:lastRenderedPageBreak/>
        <w:t>más eficazmente la investigación de campo, el seguimiento y las medidas de conservación;</w:t>
      </w:r>
    </w:p>
    <w:p w14:paraId="1B937AF8"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realizar estudios de campo detallados en el África subsahariana y en los puntos de parada, utilizando datos existentes cuando proceda, para comprender mejor los patrones de distribución de las especies, el uso de los hábitats y la ecología de la alimentación y, en particular, identificar y mejorar la conservación de los puntos de parada situados inmediatamente al norte y al sur del Sáhara (incluyendo mediante la recopilación de datos y la búsqueda de vínculos con las partes interesadas pertinentes);</w:t>
      </w:r>
    </w:p>
    <w:p w14:paraId="03E13412"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sintetizar los datos de las zonas de reproducción euroasiáticas para explorar los patrones espaciales y temporales de los parámetros demográficos en relación con las rutas migratorias y los patrones de cambio medioambiental a gran escala;</w:t>
      </w:r>
    </w:p>
    <w:p w14:paraId="71973DF3"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utilizar datos de observación de la Tierra obtenidos por satélite y, en la medida de lo posible, en conjunto con datos del seguimiento de hábitats y aves en el terreno (incluyendo mediante sinergias con programas comunes de seguimiento de aves y la ampliación de los mismos) para mejorar la comprensión de dónde está cambiando la ocupación del suelo y cómo afecta esto a las aves migratorias de África y Eurasia, e investigar los factores que impulsan el cambio en el uso del suelo y la ocupación del suelo;</w:t>
      </w:r>
    </w:p>
    <w:p w14:paraId="523081F2"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buscar una mejor comprensión de cómo influir en los motores de la política económica y social que provocan el cambio del uso y la ocupación de la tierra a diferentes escalas;</w:t>
      </w:r>
    </w:p>
    <w:p w14:paraId="29F605B2"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 xml:space="preserve">fomentar la investigación para determinar qué rasgos de las poblaciones migratorias están asociados con una disminución de la población y en qué casos el declive de las poblaciones de aves terrestres migratorias de África y Eurasia no puede </w:t>
      </w:r>
      <w:proofErr w:type="spellStart"/>
      <w:r w:rsidRPr="007C29B1">
        <w:rPr>
          <w:rFonts w:eastAsia="Times New Roman" w:cs="Arial"/>
          <w:lang w:val="es-ES"/>
        </w:rPr>
        <w:t>xplicarse</w:t>
      </w:r>
      <w:proofErr w:type="spellEnd"/>
      <w:r w:rsidRPr="007C29B1">
        <w:rPr>
          <w:rFonts w:eastAsia="Times New Roman" w:cs="Arial"/>
          <w:lang w:val="es-ES"/>
        </w:rPr>
        <w:t xml:space="preserve"> por las condiciones de las áreas de reproducción; </w:t>
      </w:r>
    </w:p>
    <w:p w14:paraId="5E453CE7" w14:textId="77777777" w:rsidR="007C29B1" w:rsidRPr="007C29B1" w:rsidRDefault="007C29B1" w:rsidP="007C29B1">
      <w:pPr>
        <w:widowControl w:val="0"/>
        <w:numPr>
          <w:ilvl w:val="0"/>
          <w:numId w:val="24"/>
        </w:numPr>
        <w:tabs>
          <w:tab w:val="left" w:pos="540"/>
        </w:tabs>
        <w:suppressAutoHyphens/>
        <w:autoSpaceDE w:val="0"/>
        <w:autoSpaceDN w:val="0"/>
        <w:spacing w:after="80" w:line="240" w:lineRule="auto"/>
        <w:ind w:left="990" w:hanging="443"/>
        <w:jc w:val="both"/>
        <w:textAlignment w:val="baseline"/>
        <w:rPr>
          <w:rFonts w:eastAsia="Times New Roman" w:cs="Arial"/>
          <w:lang w:val="es-ES"/>
        </w:rPr>
      </w:pPr>
      <w:r w:rsidRPr="007C29B1">
        <w:rPr>
          <w:rFonts w:eastAsia="Times New Roman" w:cs="Arial"/>
          <w:lang w:val="es-ES"/>
        </w:rPr>
        <w:t>trabajar en colaboración con las iniciativas pertinentes para realizar un seguimiento del efecto sobre las aves terrestres migratorias del uso de la tierra y las intervenciones basadas en el hábitat, incluidas aquellas centradas en la mitigación de la pobreza o el cambio climático, e integrar el conocimiento de las especies arbóreas de especial importancia para las aves terrestres migratorias en los procesos de planificación de las iniciativas de plantación de árboles; y</w:t>
      </w:r>
    </w:p>
    <w:p w14:paraId="213E4F73" w14:textId="77777777" w:rsidR="007C29B1" w:rsidRPr="007C29B1" w:rsidRDefault="007C29B1" w:rsidP="007C29B1">
      <w:pPr>
        <w:widowControl w:val="0"/>
        <w:numPr>
          <w:ilvl w:val="0"/>
          <w:numId w:val="24"/>
        </w:numPr>
        <w:tabs>
          <w:tab w:val="left" w:pos="540"/>
        </w:tabs>
        <w:suppressAutoHyphens/>
        <w:autoSpaceDE w:val="0"/>
        <w:autoSpaceDN w:val="0"/>
        <w:spacing w:after="0" w:line="240" w:lineRule="auto"/>
        <w:ind w:left="990" w:hanging="443"/>
        <w:contextualSpacing/>
        <w:jc w:val="both"/>
        <w:textAlignment w:val="baseline"/>
        <w:rPr>
          <w:rFonts w:eastAsia="Times New Roman" w:cs="Arial"/>
          <w:lang w:val="es-ES"/>
        </w:rPr>
      </w:pPr>
      <w:r w:rsidRPr="007C29B1">
        <w:rPr>
          <w:rFonts w:eastAsia="Times New Roman" w:cs="Arial"/>
          <w:lang w:val="es-ES"/>
        </w:rPr>
        <w:t>fomentar la detección de zonas de nidificación para evitar su destrucción por las actividades agrícolas;</w:t>
      </w:r>
    </w:p>
    <w:p w14:paraId="6E7AA6F9" w14:textId="77777777" w:rsidR="007C29B1" w:rsidRPr="007C29B1" w:rsidRDefault="007C29B1" w:rsidP="007C29B1">
      <w:pPr>
        <w:widowControl w:val="0"/>
        <w:suppressAutoHyphens/>
        <w:spacing w:after="0" w:line="240" w:lineRule="auto"/>
        <w:jc w:val="both"/>
        <w:rPr>
          <w:rFonts w:eastAsia="Times New Roman" w:cs="Arial"/>
          <w:lang w:val="es-ES"/>
        </w:rPr>
      </w:pPr>
    </w:p>
    <w:p w14:paraId="72648123"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10.</w:t>
      </w:r>
      <w:r w:rsidRPr="007C29B1">
        <w:rPr>
          <w:rFonts w:eastAsia="Times New Roman" w:cs="Arial"/>
          <w:lang w:val="es-ES"/>
        </w:rPr>
        <w:tab/>
      </w:r>
      <w:r w:rsidRPr="007C29B1">
        <w:rPr>
          <w:rFonts w:eastAsia="Times New Roman" w:cs="Arial"/>
          <w:i/>
          <w:iCs/>
          <w:lang w:val="es-ES"/>
        </w:rPr>
        <w:t xml:space="preserve">Solicita además </w:t>
      </w:r>
      <w:r w:rsidRPr="007C29B1">
        <w:rPr>
          <w:rFonts w:eastAsia="Times New Roman" w:cs="Arial"/>
          <w:lang w:val="es-ES"/>
        </w:rPr>
        <w:t>al Consejo Científico y al Grupo de Trabajo, con sujeción a la disponibilidad de recursos, que en colaboración con el FLAP promuevan y fomenten el aumento de la conciencia pública y el apoyo a la conservación de las aves terrestres migratorias a lo largo del corredor aéreo, entre el público en general y las partes interesadas, incluyendo sobre cómo estas especies son un recurso compartido entre distintos países y actúan como indicadores de la salud general del medio ambiente, de la gente y de la biodiversidad;</w:t>
      </w:r>
    </w:p>
    <w:p w14:paraId="14BAFE19"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64B2CB96" w14:textId="77777777" w:rsidR="007C29B1" w:rsidRPr="007C29B1" w:rsidRDefault="007C29B1" w:rsidP="007C29B1">
      <w:pPr>
        <w:widowControl w:val="0"/>
        <w:numPr>
          <w:ilvl w:val="0"/>
          <w:numId w:val="25"/>
        </w:numPr>
        <w:suppressAutoHyphens/>
        <w:autoSpaceDE w:val="0"/>
        <w:autoSpaceDN w:val="0"/>
        <w:spacing w:after="0" w:line="240" w:lineRule="auto"/>
        <w:ind w:left="540" w:hanging="540"/>
        <w:contextualSpacing/>
        <w:jc w:val="both"/>
        <w:textAlignment w:val="baseline"/>
        <w:rPr>
          <w:rFonts w:eastAsia="Times New Roman" w:cs="Arial"/>
          <w:lang w:val="es-ES"/>
        </w:rPr>
      </w:pPr>
      <w:r w:rsidRPr="007C29B1">
        <w:rPr>
          <w:rFonts w:eastAsia="Times New Roman" w:cs="Arial"/>
          <w:i/>
          <w:iCs/>
          <w:lang w:val="es-ES"/>
        </w:rPr>
        <w:t xml:space="preserve">Solicita asimismo </w:t>
      </w:r>
      <w:r w:rsidRPr="007C29B1">
        <w:rPr>
          <w:rFonts w:eastAsia="Times New Roman" w:cs="Arial"/>
          <w:lang w:val="es-ES"/>
        </w:rPr>
        <w:t>al Consejo Científico y al Grupo de Trabajo que, en función de la disponibilidad de recursos y en colaboración con el FLAP, difundan pruebas e información a los responsables de la toma de decisiones y a aquellos encargados de formular propuestas de medidas;</w:t>
      </w:r>
    </w:p>
    <w:p w14:paraId="3A3936C6" w14:textId="77777777" w:rsidR="007C29B1" w:rsidRPr="007C29B1" w:rsidRDefault="007C29B1" w:rsidP="007C29B1">
      <w:pPr>
        <w:widowControl w:val="0"/>
        <w:suppressAutoHyphens/>
        <w:spacing w:after="0" w:line="240" w:lineRule="auto"/>
        <w:jc w:val="both"/>
        <w:rPr>
          <w:rFonts w:eastAsia="Times New Roman" w:cs="Arial"/>
          <w:lang w:val="es-ES"/>
        </w:rPr>
      </w:pPr>
    </w:p>
    <w:p w14:paraId="3FF71861"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12.</w:t>
      </w:r>
      <w:r w:rsidRPr="007C29B1">
        <w:rPr>
          <w:rFonts w:eastAsia="Times New Roman" w:cs="Arial"/>
          <w:lang w:val="es-ES"/>
        </w:rPr>
        <w:tab/>
      </w:r>
      <w:r w:rsidRPr="007C29B1">
        <w:rPr>
          <w:rFonts w:eastAsia="Times New Roman" w:cs="Arial"/>
          <w:i/>
          <w:iCs/>
          <w:lang w:val="es-ES"/>
        </w:rPr>
        <w:t>Encarga</w:t>
      </w:r>
      <w:r w:rsidRPr="007C29B1">
        <w:rPr>
          <w:rFonts w:eastAsia="Times New Roman" w:cs="Arial"/>
          <w:lang w:val="es-ES"/>
        </w:rPr>
        <w:t xml:space="preserve"> a la Secretaría que, en colaboración con las Partes y las organizaciones internacionales pertinentes, con sujeción a la disponibilidad de fondos, organice talleres regionales para abordar cuestiones específicas y promover la aplicación del Plan de Acción y compartir buenas prácticas y lecciones aprendidas en la conservación efectiva </w:t>
      </w:r>
      <w:r w:rsidRPr="007C29B1">
        <w:rPr>
          <w:rFonts w:eastAsia="Times New Roman" w:cs="Arial"/>
          <w:lang w:val="es-ES"/>
        </w:rPr>
        <w:lastRenderedPageBreak/>
        <w:t>de las aves terrestres migratorias;</w:t>
      </w:r>
    </w:p>
    <w:p w14:paraId="056F21E6" w14:textId="77777777" w:rsidR="007C29B1" w:rsidRPr="007C29B1" w:rsidRDefault="007C29B1" w:rsidP="007C29B1">
      <w:pPr>
        <w:widowControl w:val="0"/>
        <w:suppressAutoHyphens/>
        <w:spacing w:after="0" w:line="240" w:lineRule="auto"/>
        <w:jc w:val="both"/>
        <w:rPr>
          <w:rFonts w:eastAsia="Times New Roman" w:cs="Arial"/>
          <w:lang w:val="es-ES"/>
        </w:rPr>
      </w:pPr>
    </w:p>
    <w:p w14:paraId="1374342C"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13.</w:t>
      </w:r>
      <w:r w:rsidRPr="007C29B1">
        <w:rPr>
          <w:rFonts w:eastAsia="Times New Roman" w:cs="Arial"/>
          <w:lang w:val="es-ES"/>
        </w:rPr>
        <w:tab/>
      </w:r>
      <w:r w:rsidRPr="007C29B1">
        <w:rPr>
          <w:rFonts w:eastAsia="Times New Roman" w:cs="Arial"/>
          <w:i/>
          <w:iCs/>
          <w:lang w:val="es-ES"/>
        </w:rPr>
        <w:t>Hace un llamamiento</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 las no Partes y a otros actores interesados, con el apoyo de la Secretaría, a fortalecer la capacidad nacional y local para la aplicación del Plan de Acción incluyendo, entre otras cosas, el desarrollo de asociaciones con los grupos que se encargan de la mitigación de la pobreza, la neutralización de la degradación de las tierras, soluciones basadas en la naturaleza y el desarrollo de cursos de formación, la traducción y difusión de ejemplos de buenas prácticas, el intercambio de protocolos y normas, la transferencia de tecnología, y la promoción del uso de herramientas en línea para abordar cuestiones específicas que son relevantes para el Plan de Acción;</w:t>
      </w:r>
    </w:p>
    <w:p w14:paraId="6C0237A0" w14:textId="77777777" w:rsidR="007C29B1" w:rsidRPr="007C29B1" w:rsidRDefault="007C29B1" w:rsidP="007C29B1">
      <w:pPr>
        <w:widowControl w:val="0"/>
        <w:suppressAutoHyphens/>
        <w:spacing w:after="0" w:line="240" w:lineRule="auto"/>
        <w:jc w:val="both"/>
        <w:rPr>
          <w:rFonts w:eastAsia="Times New Roman" w:cs="Arial"/>
          <w:lang w:val="es-ES"/>
        </w:rPr>
      </w:pPr>
    </w:p>
    <w:p w14:paraId="2C1CE572"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14.</w:t>
      </w:r>
      <w:r w:rsidRPr="007C29B1">
        <w:rPr>
          <w:rFonts w:eastAsia="Times New Roman" w:cs="Arial"/>
          <w:lang w:val="es-ES"/>
        </w:rPr>
        <w:tab/>
      </w:r>
      <w:r w:rsidRPr="007C29B1">
        <w:rPr>
          <w:rFonts w:eastAsia="Times New Roman" w:cs="Arial"/>
          <w:i/>
          <w:iCs/>
          <w:lang w:val="es-ES"/>
        </w:rPr>
        <w:t>Alienta</w:t>
      </w:r>
      <w:r w:rsidRPr="007C29B1">
        <w:rPr>
          <w:rFonts w:eastAsia="Times New Roman" w:cs="Arial"/>
          <w:lang w:val="es-ES"/>
        </w:rPr>
        <w:t xml:space="preserve"> a las Partes y a las no Partes a mantener o elaborar, según proceda, programas nacionales de seguimiento de las aves comunes con miras a establecer índices nacionales de aves silvestres como indicadores del uso sostenible de la tierra y la salud de los ecosistemas, por ejemplo en el contexto del desarrollo de un “Programa  de seguimiento de las aves terrestres en el corredor aéreo del Atlántico oriental”, basándose en la experiencia adquirida tras la puesta en marcha con éxito de los proyectos de seguimiento de aves comunes en África y el Programa Paneuropeo de seguimiento de las aves comunes en Europa, que implicaron el establecimiento de un conjunto de lugares de seguimiento de aves terrestres por varios países, los cuales puedan constituir en último término la base de un indicador mundial de aves silvestres que a su vez pueda ser utilizado por los diferentes Acuerdos Ambientales Multilaterales (AAM) y los procesos internacionales que se ocupan de la gestión sostenible de la tierra;</w:t>
      </w:r>
    </w:p>
    <w:p w14:paraId="6B9B04AD"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p>
    <w:p w14:paraId="350F5EE1"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15.</w:t>
      </w:r>
      <w:r w:rsidRPr="007C29B1">
        <w:rPr>
          <w:rFonts w:eastAsia="Times New Roman" w:cs="Arial"/>
          <w:lang w:val="es-ES"/>
        </w:rPr>
        <w:tab/>
      </w:r>
      <w:r w:rsidRPr="007C29B1">
        <w:rPr>
          <w:rFonts w:eastAsia="Times New Roman" w:cs="Arial"/>
          <w:i/>
          <w:iCs/>
          <w:lang w:val="es-ES"/>
        </w:rPr>
        <w:t>Alienta además</w:t>
      </w:r>
      <w:r w:rsidRPr="007C29B1">
        <w:rPr>
          <w:rFonts w:eastAsia="Times New Roman" w:cs="Arial"/>
          <w:lang w:val="es-ES"/>
        </w:rPr>
        <w:t xml:space="preserve"> a las Partes y a los Estados que no son Partes a que apoyen activamente y utilicen la plataforma del FLAP para la promoción de las aves terrestres y el uso sostenible de la tierra y los elementos que contribuyen a los mismos, entre otros mediante el intercambio de ideas y de información, la educación, y la sensibilización; </w:t>
      </w:r>
    </w:p>
    <w:p w14:paraId="29B7A54C" w14:textId="77777777" w:rsidR="007C29B1" w:rsidRPr="007C29B1" w:rsidRDefault="007C29B1" w:rsidP="007C29B1">
      <w:pPr>
        <w:widowControl w:val="0"/>
        <w:suppressAutoHyphens/>
        <w:spacing w:after="0" w:line="240" w:lineRule="auto"/>
        <w:jc w:val="both"/>
        <w:rPr>
          <w:rFonts w:eastAsia="Times New Roman" w:cs="Arial"/>
          <w:lang w:val="es-ES"/>
        </w:rPr>
      </w:pPr>
    </w:p>
    <w:p w14:paraId="054D19FF" w14:textId="61ABAE5A"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16.</w:t>
      </w:r>
      <w:r w:rsidRPr="007C29B1">
        <w:rPr>
          <w:rFonts w:eastAsia="Times New Roman" w:cs="Arial"/>
          <w:lang w:val="es-ES"/>
        </w:rPr>
        <w:tab/>
      </w:r>
      <w:r w:rsidRPr="007C29B1">
        <w:rPr>
          <w:rFonts w:eastAsia="Times New Roman" w:cs="Arial"/>
          <w:i/>
          <w:iCs/>
          <w:lang w:val="es-ES"/>
        </w:rPr>
        <w:t>Solicita</w:t>
      </w:r>
      <w:r w:rsidRPr="007C29B1">
        <w:rPr>
          <w:rFonts w:eastAsia="Times New Roman" w:cs="Arial"/>
          <w:lang w:val="es-ES"/>
        </w:rPr>
        <w:t xml:space="preserve"> al Grupo de Trabajo y al Consejo Científico de la CMS que, en función de la disponibilidad de recursos, de acuerdo con el Grupo de Estudio de las aves terrestres migratorias y el FLAP, y con el apoyo de la Secretaría de la CMS, respalde la aplicación de planes de acción para un conjunto de especies, incluyendo la carraca europea (</w:t>
      </w:r>
      <w:proofErr w:type="spellStart"/>
      <w:r w:rsidRPr="007C29B1">
        <w:rPr>
          <w:rFonts w:eastAsia="Times New Roman" w:cs="Arial"/>
          <w:i/>
          <w:iCs/>
          <w:lang w:val="es-ES"/>
        </w:rPr>
        <w:t>Coracias</w:t>
      </w:r>
      <w:proofErr w:type="spellEnd"/>
      <w:r w:rsidRPr="007C29B1">
        <w:rPr>
          <w:rFonts w:eastAsia="Times New Roman" w:cs="Arial"/>
          <w:i/>
          <w:iCs/>
          <w:lang w:val="es-ES"/>
        </w:rPr>
        <w:t xml:space="preserve"> </w:t>
      </w:r>
      <w:proofErr w:type="spellStart"/>
      <w:r w:rsidRPr="007C29B1">
        <w:rPr>
          <w:rFonts w:eastAsia="Times New Roman" w:cs="Arial"/>
          <w:i/>
          <w:iCs/>
          <w:lang w:val="es-ES"/>
        </w:rPr>
        <w:t>garrulus</w:t>
      </w:r>
      <w:proofErr w:type="spellEnd"/>
      <w:r w:rsidRPr="007C29B1">
        <w:rPr>
          <w:rFonts w:eastAsia="Times New Roman" w:cs="Arial"/>
          <w:lang w:val="es-ES"/>
        </w:rPr>
        <w:t xml:space="preserve">) originalmente adoptado en la Resolución 12.12 </w:t>
      </w:r>
      <w:r w:rsidRPr="007C29B1">
        <w:rPr>
          <w:rFonts w:eastAsia="Times New Roman" w:cs="Arial"/>
          <w:i/>
          <w:iCs/>
          <w:lang w:val="es-ES"/>
        </w:rPr>
        <w:t>Planes de Acción para aves</w:t>
      </w:r>
      <w:r w:rsidRPr="007C29B1">
        <w:rPr>
          <w:rFonts w:eastAsia="Times New Roman" w:cs="Arial"/>
          <w:lang w:val="es-ES"/>
        </w:rPr>
        <w:t>, la tórtola europea (</w:t>
      </w:r>
      <w:proofErr w:type="spellStart"/>
      <w:r w:rsidRPr="007C29B1">
        <w:rPr>
          <w:rFonts w:eastAsia="Times New Roman" w:cs="Arial"/>
          <w:i/>
          <w:iCs/>
          <w:lang w:val="es-ES"/>
        </w:rPr>
        <w:t>Streptopelia</w:t>
      </w:r>
      <w:proofErr w:type="spellEnd"/>
      <w:r w:rsidRPr="007C29B1">
        <w:rPr>
          <w:rFonts w:eastAsia="Times New Roman" w:cs="Arial"/>
          <w:i/>
          <w:iCs/>
          <w:lang w:val="es-ES"/>
        </w:rPr>
        <w:t xml:space="preserve"> </w:t>
      </w:r>
      <w:proofErr w:type="spellStart"/>
      <w:r w:rsidRPr="007C29B1">
        <w:rPr>
          <w:rFonts w:eastAsia="Times New Roman" w:cs="Arial"/>
          <w:i/>
          <w:iCs/>
          <w:lang w:val="es-ES"/>
        </w:rPr>
        <w:t>turtur</w:t>
      </w:r>
      <w:proofErr w:type="spellEnd"/>
      <w:r w:rsidRPr="007C29B1">
        <w:rPr>
          <w:rFonts w:eastAsia="Times New Roman" w:cs="Arial"/>
          <w:lang w:val="es-ES"/>
        </w:rPr>
        <w:t xml:space="preserve">), aprobado en la 48ª Reunión del Comité Permanente, de acuerdo con la Decisión 12.21 sobre </w:t>
      </w:r>
      <w:r w:rsidRPr="007C29B1">
        <w:rPr>
          <w:rFonts w:eastAsia="Times New Roman" w:cs="Arial"/>
          <w:i/>
          <w:iCs/>
          <w:lang w:val="es-ES"/>
        </w:rPr>
        <w:t>Planes de Acción para aves</w:t>
      </w:r>
      <w:r w:rsidRPr="007C29B1">
        <w:rPr>
          <w:rFonts w:eastAsia="Times New Roman" w:cs="Arial"/>
          <w:lang w:val="es-ES"/>
        </w:rPr>
        <w:t xml:space="preserve">, y el escribano </w:t>
      </w:r>
      <w:proofErr w:type="spellStart"/>
      <w:r w:rsidRPr="007C29B1">
        <w:rPr>
          <w:rFonts w:eastAsia="Times New Roman" w:cs="Arial"/>
          <w:lang w:val="es-ES"/>
        </w:rPr>
        <w:t>aurelolado</w:t>
      </w:r>
      <w:proofErr w:type="spellEnd"/>
      <w:r w:rsidRPr="007C29B1">
        <w:rPr>
          <w:rFonts w:eastAsia="Times New Roman" w:cs="Arial"/>
          <w:lang w:val="es-ES"/>
        </w:rPr>
        <w:t xml:space="preserve"> (</w:t>
      </w:r>
      <w:proofErr w:type="spellStart"/>
      <w:r w:rsidRPr="007C29B1">
        <w:rPr>
          <w:rFonts w:eastAsia="Times New Roman" w:cs="Arial"/>
          <w:i/>
          <w:iCs/>
          <w:lang w:val="es-ES"/>
        </w:rPr>
        <w:t>Emberiza</w:t>
      </w:r>
      <w:proofErr w:type="spellEnd"/>
      <w:r w:rsidRPr="007C29B1">
        <w:rPr>
          <w:rFonts w:eastAsia="Times New Roman" w:cs="Arial"/>
          <w:i/>
          <w:iCs/>
          <w:lang w:val="es-ES"/>
        </w:rPr>
        <w:t xml:space="preserve"> aureola</w:t>
      </w:r>
      <w:r w:rsidRPr="007C29B1">
        <w:rPr>
          <w:rFonts w:eastAsia="Times New Roman" w:cs="Arial"/>
          <w:lang w:val="es-ES"/>
        </w:rPr>
        <w:t xml:space="preserve">), </w:t>
      </w:r>
      <w:r w:rsidRPr="00982472">
        <w:rPr>
          <w:rFonts w:eastAsia="Times New Roman" w:cs="Arial"/>
          <w:strike/>
          <w:lang w:val="es-ES"/>
        </w:rPr>
        <w:t>una vez sea</w:t>
      </w:r>
      <w:r w:rsidRPr="007C29B1">
        <w:rPr>
          <w:rFonts w:eastAsia="Times New Roman" w:cs="Arial"/>
          <w:lang w:val="es-ES"/>
        </w:rPr>
        <w:t xml:space="preserve"> aprobado</w:t>
      </w:r>
      <w:r w:rsidR="00982472">
        <w:rPr>
          <w:rFonts w:eastAsia="Times New Roman" w:cs="Arial"/>
          <w:lang w:val="es-ES"/>
        </w:rPr>
        <w:t xml:space="preserve"> </w:t>
      </w:r>
      <w:r w:rsidR="00982472">
        <w:rPr>
          <w:rFonts w:eastAsia="Times New Roman" w:cs="Arial"/>
          <w:u w:val="single"/>
          <w:lang w:val="es-ES"/>
        </w:rPr>
        <w:t xml:space="preserve">en </w:t>
      </w:r>
      <w:r w:rsidR="00336F9F">
        <w:rPr>
          <w:rFonts w:eastAsia="Times New Roman" w:cs="Arial"/>
          <w:u w:val="single"/>
          <w:lang w:val="es-ES"/>
        </w:rPr>
        <w:t>2023</w:t>
      </w:r>
      <w:r w:rsidRPr="007C29B1">
        <w:rPr>
          <w:rFonts w:eastAsia="Times New Roman" w:cs="Arial"/>
          <w:lang w:val="es-ES"/>
        </w:rPr>
        <w:t xml:space="preserve">, así como que continúe con el desarrollo de Planes de Acción para las aves terrestres migratorias en declive, particularmente los escribanos; </w:t>
      </w:r>
    </w:p>
    <w:p w14:paraId="79EB06C0" w14:textId="77777777" w:rsidR="007C29B1" w:rsidRPr="007C29B1" w:rsidRDefault="007C29B1" w:rsidP="007C29B1">
      <w:pPr>
        <w:widowControl w:val="0"/>
        <w:suppressAutoHyphens/>
        <w:spacing w:after="0" w:line="240" w:lineRule="auto"/>
        <w:jc w:val="both"/>
        <w:rPr>
          <w:rFonts w:eastAsia="Times New Roman" w:cs="Arial"/>
          <w:lang w:val="es-ES"/>
        </w:rPr>
      </w:pPr>
    </w:p>
    <w:p w14:paraId="486F0004" w14:textId="77777777" w:rsidR="007C29B1" w:rsidRPr="007C29B1" w:rsidRDefault="007C29B1" w:rsidP="007C29B1">
      <w:pPr>
        <w:widowControl w:val="0"/>
        <w:suppressAutoHyphens/>
        <w:spacing w:after="0" w:line="240" w:lineRule="auto"/>
        <w:ind w:left="540" w:hanging="540"/>
        <w:jc w:val="both"/>
        <w:rPr>
          <w:rFonts w:eastAsia="Times New Roman" w:cs="Arial"/>
          <w:lang w:val="es-ES"/>
        </w:rPr>
      </w:pPr>
      <w:r w:rsidRPr="007C29B1">
        <w:rPr>
          <w:rFonts w:eastAsia="Times New Roman" w:cs="Arial"/>
          <w:lang w:val="es-ES"/>
        </w:rPr>
        <w:t>17.</w:t>
      </w:r>
      <w:r w:rsidRPr="007C29B1">
        <w:rPr>
          <w:rFonts w:eastAsia="Times New Roman" w:cs="Arial"/>
          <w:lang w:val="es-ES"/>
        </w:rPr>
        <w:tab/>
      </w:r>
      <w:r w:rsidRPr="007C29B1">
        <w:rPr>
          <w:rFonts w:eastAsia="Times New Roman" w:cs="Arial"/>
          <w:i/>
          <w:iCs/>
          <w:lang w:val="es-ES"/>
        </w:rPr>
        <w:t>Insta</w:t>
      </w:r>
      <w:r w:rsidRPr="007C29B1">
        <w:rPr>
          <w:rFonts w:eastAsia="Times New Roman" w:cs="Arial"/>
          <w:lang w:val="es-ES"/>
        </w:rPr>
        <w:t xml:space="preserve"> a las Partes e </w:t>
      </w:r>
      <w:r w:rsidRPr="007C29B1">
        <w:rPr>
          <w:rFonts w:eastAsia="Times New Roman" w:cs="Arial"/>
          <w:i/>
          <w:iCs/>
          <w:lang w:val="es-ES"/>
        </w:rPr>
        <w:t>invita</w:t>
      </w:r>
      <w:r w:rsidRPr="007C29B1">
        <w:rPr>
          <w:rFonts w:eastAsia="Times New Roman" w:cs="Arial"/>
          <w:lang w:val="es-ES"/>
        </w:rPr>
        <w:t xml:space="preserve"> al Programa de las Naciones Unidas para el Medio Ambiente y otras organizaciones internacionales relevantes, así como a los donantes bilaterales y multilaterales, incluyendo los grupos que se ocupan de la mitigación de la pobreza, la neutralidad en cuanto a la degradación de las tierras y las soluciones climáticas basadas en la naturaleza, a apoyar económicamente la ejecución del Plan de Acción, en particular prestando asistencia financiera a los países en desarrollo para la creación de capacidad necesaria;</w:t>
      </w:r>
    </w:p>
    <w:p w14:paraId="6560747D" w14:textId="77777777" w:rsidR="007C29B1" w:rsidRPr="007C29B1" w:rsidRDefault="007C29B1" w:rsidP="007C29B1">
      <w:pPr>
        <w:widowControl w:val="0"/>
        <w:suppressAutoHyphens/>
        <w:spacing w:after="0" w:line="240" w:lineRule="auto"/>
        <w:jc w:val="both"/>
        <w:rPr>
          <w:rFonts w:eastAsia="Times New Roman" w:cs="Arial"/>
          <w:lang w:val="es-ES"/>
        </w:rPr>
      </w:pPr>
    </w:p>
    <w:p w14:paraId="4061D3D9" w14:textId="77777777" w:rsidR="007C29B1" w:rsidRPr="007C29B1" w:rsidRDefault="007C29B1" w:rsidP="007C29B1">
      <w:pPr>
        <w:widowControl w:val="0"/>
        <w:suppressAutoHyphens/>
        <w:spacing w:after="0" w:line="240" w:lineRule="auto"/>
        <w:ind w:left="540" w:hanging="540"/>
        <w:jc w:val="both"/>
        <w:rPr>
          <w:rFonts w:eastAsia="Times New Roman" w:cs="Arial"/>
          <w:strike/>
          <w:highlight w:val="yellow"/>
          <w:lang w:val="es-ES"/>
        </w:rPr>
      </w:pPr>
      <w:r w:rsidRPr="007C29B1">
        <w:rPr>
          <w:rFonts w:eastAsia="Times New Roman" w:cs="Arial"/>
          <w:lang w:val="es-ES"/>
        </w:rPr>
        <w:t>18.</w:t>
      </w:r>
      <w:r w:rsidRPr="007C29B1">
        <w:rPr>
          <w:rFonts w:eastAsia="Times New Roman" w:cs="Arial"/>
          <w:lang w:val="es-ES"/>
        </w:rPr>
        <w:tab/>
      </w:r>
      <w:r w:rsidRPr="007C29B1">
        <w:rPr>
          <w:rFonts w:eastAsia="Times New Roman" w:cs="Arial"/>
          <w:i/>
          <w:iCs/>
          <w:lang w:val="es-ES"/>
        </w:rPr>
        <w:t>Solicita</w:t>
      </w:r>
      <w:r w:rsidRPr="007C29B1">
        <w:rPr>
          <w:rFonts w:eastAsia="Times New Roman" w:cs="Arial"/>
          <w:lang w:val="es-ES"/>
        </w:rPr>
        <w:t xml:space="preserve"> a las Partes y al Consejo Científico que informen de los progresos realizados en la aplicación del Plan de Acción durante reuniones futuras de la Conferencia de las Partes, incluyendo el seguimiento y la eficacia de las medidas adoptadas.</w:t>
      </w:r>
    </w:p>
    <w:p w14:paraId="23DDE170" w14:textId="77777777" w:rsidR="001D7B60" w:rsidRDefault="001D7B60" w:rsidP="001D7B60">
      <w:pPr>
        <w:pStyle w:val="Secondnumbering"/>
        <w:numPr>
          <w:ilvl w:val="0"/>
          <w:numId w:val="0"/>
        </w:numPr>
        <w:ind w:left="360" w:hanging="360"/>
        <w:rPr>
          <w:rFonts w:cs="Arial"/>
          <w:lang w:val="es-ES"/>
        </w:rPr>
      </w:pPr>
    </w:p>
    <w:p w14:paraId="2932717F" w14:textId="77777777" w:rsidR="007C29B1" w:rsidRDefault="007C29B1" w:rsidP="001D7B60">
      <w:pPr>
        <w:pStyle w:val="Secondnumbering"/>
        <w:numPr>
          <w:ilvl w:val="0"/>
          <w:numId w:val="0"/>
        </w:numPr>
        <w:ind w:left="360" w:hanging="360"/>
        <w:rPr>
          <w:rFonts w:cs="Arial"/>
          <w:lang w:val="es-ES"/>
        </w:rPr>
        <w:sectPr w:rsidR="007C29B1" w:rsidSect="00323406">
          <w:headerReference w:type="even" r:id="rId25"/>
          <w:head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6C936504" w14:textId="77777777" w:rsidR="00B55C00" w:rsidRPr="0011421F" w:rsidRDefault="00B55C00" w:rsidP="00B55C00">
      <w:pPr>
        <w:spacing w:after="0" w:line="240" w:lineRule="auto"/>
        <w:jc w:val="right"/>
        <w:rPr>
          <w:rFonts w:cs="Arial"/>
          <w:b/>
          <w:bCs/>
          <w:caps/>
          <w:lang w:val="es-ES"/>
        </w:rPr>
      </w:pPr>
      <w:r w:rsidRPr="0011421F">
        <w:rPr>
          <w:rFonts w:cs="Arial"/>
          <w:b/>
          <w:caps/>
          <w:lang w:val="es-ES"/>
        </w:rPr>
        <w:lastRenderedPageBreak/>
        <w:t>Anexo 2</w:t>
      </w:r>
    </w:p>
    <w:p w14:paraId="6D973CDE" w14:textId="77777777" w:rsidR="00B55C00" w:rsidRPr="0011421F" w:rsidRDefault="00B55C00" w:rsidP="00B55C00">
      <w:pPr>
        <w:spacing w:after="0" w:line="240" w:lineRule="auto"/>
        <w:rPr>
          <w:rFonts w:cs="Arial"/>
          <w:lang w:val="es-ES"/>
        </w:rPr>
      </w:pPr>
    </w:p>
    <w:p w14:paraId="5E06F893" w14:textId="77777777" w:rsidR="00B55C00" w:rsidRPr="0011421F" w:rsidRDefault="00B55C00" w:rsidP="00B55C00">
      <w:pPr>
        <w:widowControl w:val="0"/>
        <w:autoSpaceDE w:val="0"/>
        <w:adjustRightInd w:val="0"/>
        <w:spacing w:after="0"/>
        <w:ind w:left="360"/>
        <w:contextualSpacing/>
        <w:jc w:val="center"/>
        <w:rPr>
          <w:rFonts w:cs="Arial"/>
          <w:lang w:val="es-ES"/>
        </w:rPr>
      </w:pPr>
      <w:r w:rsidRPr="0011421F">
        <w:rPr>
          <w:rFonts w:cs="Arial"/>
          <w:lang w:val="es-ES"/>
        </w:rPr>
        <w:t>PROYECTO DE DECISIONES</w:t>
      </w:r>
    </w:p>
    <w:p w14:paraId="4C7AF6D8" w14:textId="77777777" w:rsidR="00B55C00" w:rsidRPr="0011421F" w:rsidRDefault="00B55C00" w:rsidP="00B55C00">
      <w:pPr>
        <w:widowControl w:val="0"/>
        <w:autoSpaceDE w:val="0"/>
        <w:adjustRightInd w:val="0"/>
        <w:spacing w:after="0"/>
        <w:ind w:left="360"/>
        <w:contextualSpacing/>
        <w:jc w:val="center"/>
        <w:rPr>
          <w:rFonts w:cs="Arial"/>
          <w:lang w:val="es-ES"/>
        </w:rPr>
      </w:pPr>
    </w:p>
    <w:p w14:paraId="245C9556" w14:textId="77777777" w:rsidR="00B55C00" w:rsidRPr="0011421F" w:rsidRDefault="00B55C00" w:rsidP="00B55C00">
      <w:pPr>
        <w:widowControl w:val="0"/>
        <w:autoSpaceDE w:val="0"/>
        <w:adjustRightInd w:val="0"/>
        <w:spacing w:after="0"/>
        <w:ind w:left="360"/>
        <w:contextualSpacing/>
        <w:jc w:val="center"/>
        <w:rPr>
          <w:rFonts w:cs="Arial"/>
          <w:b/>
          <w:lang w:val="es-ES"/>
        </w:rPr>
      </w:pPr>
      <w:bookmarkStart w:id="10" w:name="_Hlk129697477"/>
      <w:r w:rsidRPr="0011421F">
        <w:rPr>
          <w:rFonts w:cs="Arial"/>
          <w:b/>
          <w:lang w:val="es-ES"/>
        </w:rPr>
        <w:t>PLAN DE ACCIÓN PARA LAS AVES TERRESTRES MIGRATORIAS EN LA REGIÓN DE ÁFRICA Y EURASIA (AEMLAP)</w:t>
      </w:r>
      <w:bookmarkEnd w:id="10"/>
    </w:p>
    <w:p w14:paraId="0ED9C80E" w14:textId="77777777" w:rsidR="00B55C00" w:rsidRPr="0011421F" w:rsidRDefault="00B55C00" w:rsidP="00364BFC">
      <w:pPr>
        <w:spacing w:after="0" w:line="240" w:lineRule="auto"/>
        <w:ind w:left="900" w:hanging="900"/>
        <w:jc w:val="both"/>
        <w:rPr>
          <w:rFonts w:cs="Arial"/>
          <w:b/>
          <w:iCs/>
          <w:szCs w:val="20"/>
          <w:lang w:val="es-ES"/>
        </w:rPr>
      </w:pPr>
      <w:r w:rsidRPr="0011421F">
        <w:rPr>
          <w:rFonts w:cs="Arial"/>
          <w:b/>
          <w:iCs/>
          <w:szCs w:val="20"/>
          <w:lang w:val="es-ES"/>
        </w:rPr>
        <w:t xml:space="preserve">15.AA </w:t>
      </w:r>
      <w:r w:rsidRPr="0011421F">
        <w:rPr>
          <w:rFonts w:cs="Arial"/>
          <w:b/>
          <w:iCs/>
          <w:szCs w:val="20"/>
          <w:lang w:val="es-ES"/>
        </w:rPr>
        <w:tab/>
      </w:r>
      <w:r w:rsidRPr="0011421F">
        <w:rPr>
          <w:rFonts w:cs="Arial"/>
          <w:b/>
          <w:i/>
          <w:szCs w:val="20"/>
          <w:lang w:val="es-ES"/>
        </w:rPr>
        <w:t>Dirigido a las Partes</w:t>
      </w:r>
      <w:r w:rsidRPr="0011421F">
        <w:rPr>
          <w:rFonts w:cs="Arial"/>
          <w:b/>
          <w:iCs/>
          <w:szCs w:val="20"/>
          <w:lang w:val="es-ES"/>
        </w:rPr>
        <w:t xml:space="preserve"> </w:t>
      </w:r>
    </w:p>
    <w:p w14:paraId="53DC8352" w14:textId="77777777" w:rsidR="00B55C00" w:rsidRPr="0011421F" w:rsidRDefault="00B55C00" w:rsidP="00B55C00">
      <w:pPr>
        <w:pStyle w:val="ListParagraph"/>
        <w:spacing w:after="0" w:line="240" w:lineRule="auto"/>
        <w:ind w:left="357"/>
        <w:jc w:val="both"/>
        <w:rPr>
          <w:rFonts w:cs="Arial"/>
          <w:iCs/>
          <w:szCs w:val="20"/>
          <w:lang w:val="es-ES"/>
        </w:rPr>
      </w:pPr>
    </w:p>
    <w:p w14:paraId="4DA6D082"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Se anima a las partes a:</w:t>
      </w:r>
    </w:p>
    <w:p w14:paraId="1399DE66" w14:textId="77777777" w:rsidR="00B55C00" w:rsidRPr="0011421F" w:rsidRDefault="00B55C00" w:rsidP="00364BFC">
      <w:pPr>
        <w:spacing w:after="0" w:line="240" w:lineRule="auto"/>
        <w:ind w:left="1440" w:hanging="540"/>
        <w:jc w:val="both"/>
        <w:rPr>
          <w:rFonts w:cs="Arial"/>
          <w:iCs/>
          <w:szCs w:val="20"/>
          <w:lang w:val="es-ES"/>
        </w:rPr>
      </w:pPr>
    </w:p>
    <w:p w14:paraId="10F5BA5C" w14:textId="77777777" w:rsidR="00B55C00" w:rsidRPr="0011421F" w:rsidRDefault="00B55C00" w:rsidP="00364BFC">
      <w:pPr>
        <w:pStyle w:val="ListParagraph"/>
        <w:numPr>
          <w:ilvl w:val="0"/>
          <w:numId w:val="27"/>
        </w:numPr>
        <w:spacing w:after="0" w:line="240" w:lineRule="auto"/>
        <w:ind w:left="1440" w:hanging="540"/>
        <w:contextualSpacing w:val="0"/>
        <w:jc w:val="both"/>
        <w:rPr>
          <w:rFonts w:cs="Arial"/>
          <w:iCs/>
          <w:szCs w:val="20"/>
          <w:lang w:val="es-ES"/>
        </w:rPr>
      </w:pPr>
      <w:r w:rsidRPr="0011421F">
        <w:rPr>
          <w:rFonts w:cs="Arial"/>
          <w:iCs/>
          <w:szCs w:val="20"/>
          <w:lang w:val="es-ES"/>
        </w:rPr>
        <w:t>participar en el diseño, la aplicación y el seguimiento del Programa de Trabajo del AEMLAP, mediante la promoción del uso de imágenes por satélite junto con la supervisión de los hábitats y las aves sobre el terreno;</w:t>
      </w:r>
    </w:p>
    <w:p w14:paraId="3DFB23F4" w14:textId="77777777" w:rsidR="00B55C00" w:rsidRPr="0011421F" w:rsidRDefault="00B55C00" w:rsidP="00364BFC">
      <w:pPr>
        <w:spacing w:after="0" w:line="240" w:lineRule="auto"/>
        <w:ind w:left="1440" w:hanging="540"/>
        <w:jc w:val="both"/>
        <w:rPr>
          <w:rFonts w:cs="Arial"/>
          <w:iCs/>
          <w:szCs w:val="20"/>
          <w:lang w:val="es-ES"/>
        </w:rPr>
      </w:pPr>
    </w:p>
    <w:p w14:paraId="669F1AE2" w14:textId="77777777" w:rsidR="00B55C00" w:rsidRPr="0011421F" w:rsidRDefault="00B55C00" w:rsidP="00364BFC">
      <w:pPr>
        <w:pStyle w:val="ListParagraph"/>
        <w:numPr>
          <w:ilvl w:val="0"/>
          <w:numId w:val="27"/>
        </w:numPr>
        <w:spacing w:after="0" w:line="240" w:lineRule="auto"/>
        <w:ind w:left="1440" w:hanging="540"/>
        <w:contextualSpacing w:val="0"/>
        <w:jc w:val="both"/>
        <w:rPr>
          <w:rFonts w:cs="Arial"/>
          <w:iCs/>
          <w:szCs w:val="20"/>
          <w:lang w:val="es-ES"/>
        </w:rPr>
      </w:pPr>
      <w:r w:rsidRPr="0011421F">
        <w:rPr>
          <w:rFonts w:cs="Arial"/>
          <w:iCs/>
          <w:szCs w:val="20"/>
          <w:lang w:val="es-ES"/>
        </w:rPr>
        <w:t>garantizar que se busquen sinergias entre los Estados del área de distribución tanto del AEMLAP como de la Iniciativa para la Ruta Migratoria de Asia Central (CAF).</w:t>
      </w:r>
    </w:p>
    <w:p w14:paraId="63966929" w14:textId="77777777" w:rsidR="00B55C00" w:rsidRPr="0011421F" w:rsidRDefault="00B55C00" w:rsidP="00B55C00">
      <w:pPr>
        <w:pStyle w:val="ListParagraph"/>
        <w:spacing w:after="0" w:line="240" w:lineRule="auto"/>
        <w:ind w:left="357" w:hanging="284"/>
        <w:contextualSpacing w:val="0"/>
        <w:jc w:val="both"/>
        <w:rPr>
          <w:rFonts w:cs="Arial"/>
          <w:iCs/>
          <w:szCs w:val="20"/>
          <w:lang w:val="es-ES"/>
        </w:rPr>
      </w:pPr>
    </w:p>
    <w:p w14:paraId="1C4D241C" w14:textId="77777777" w:rsidR="00B55C00" w:rsidRPr="0011421F" w:rsidRDefault="00B55C00" w:rsidP="00364BFC">
      <w:pPr>
        <w:pStyle w:val="ListParagraph"/>
        <w:spacing w:after="0" w:line="240" w:lineRule="auto"/>
        <w:ind w:left="900" w:hanging="900"/>
        <w:contextualSpacing w:val="0"/>
        <w:jc w:val="both"/>
        <w:rPr>
          <w:rFonts w:cs="Arial"/>
          <w:b/>
          <w:iCs/>
          <w:szCs w:val="20"/>
          <w:lang w:val="es-ES"/>
        </w:rPr>
      </w:pPr>
      <w:r w:rsidRPr="0011421F">
        <w:rPr>
          <w:rFonts w:cs="Arial"/>
          <w:b/>
          <w:iCs/>
          <w:szCs w:val="20"/>
          <w:lang w:val="es-ES"/>
        </w:rPr>
        <w:t xml:space="preserve">15.BB </w:t>
      </w:r>
      <w:r w:rsidRPr="0011421F">
        <w:rPr>
          <w:rFonts w:cs="Arial"/>
          <w:b/>
          <w:iCs/>
          <w:szCs w:val="20"/>
          <w:lang w:val="es-ES"/>
        </w:rPr>
        <w:tab/>
      </w:r>
      <w:r w:rsidRPr="0011421F">
        <w:rPr>
          <w:rFonts w:cs="Arial"/>
          <w:b/>
          <w:i/>
          <w:szCs w:val="20"/>
          <w:lang w:val="es-ES"/>
        </w:rPr>
        <w:t>Dirigido a las Partes, organizaciones intergubernamentales y no gubernamentales</w:t>
      </w:r>
    </w:p>
    <w:p w14:paraId="566F1452" w14:textId="77777777" w:rsidR="00B55C00" w:rsidRPr="0011421F" w:rsidRDefault="00B55C00" w:rsidP="00B55C00">
      <w:pPr>
        <w:pStyle w:val="ListParagraph"/>
        <w:spacing w:after="0" w:line="240" w:lineRule="auto"/>
        <w:ind w:left="357"/>
        <w:contextualSpacing w:val="0"/>
        <w:jc w:val="both"/>
        <w:rPr>
          <w:rFonts w:cs="Arial"/>
          <w:iCs/>
          <w:szCs w:val="20"/>
          <w:lang w:val="es-ES"/>
        </w:rPr>
      </w:pPr>
    </w:p>
    <w:p w14:paraId="7E6B78EF"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Partes, organizaciones intergubernamentales y no gubernamentales:</w:t>
      </w:r>
    </w:p>
    <w:p w14:paraId="7C0B5F48"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5B53541A" w14:textId="77777777" w:rsidR="00B55C00" w:rsidRPr="0011421F" w:rsidRDefault="00B55C00" w:rsidP="00364BFC">
      <w:pPr>
        <w:pStyle w:val="ListParagraph"/>
        <w:numPr>
          <w:ilvl w:val="0"/>
          <w:numId w:val="28"/>
        </w:numPr>
        <w:spacing w:after="0" w:line="240" w:lineRule="auto"/>
        <w:ind w:left="1440" w:hanging="540"/>
        <w:contextualSpacing w:val="0"/>
        <w:jc w:val="both"/>
        <w:rPr>
          <w:rFonts w:cs="Arial"/>
          <w:iCs/>
          <w:szCs w:val="20"/>
          <w:lang w:val="es-ES"/>
        </w:rPr>
      </w:pPr>
      <w:r w:rsidRPr="0011421F">
        <w:rPr>
          <w:rFonts w:cs="Arial"/>
          <w:iCs/>
          <w:szCs w:val="20"/>
          <w:lang w:val="es-ES"/>
        </w:rPr>
        <w:t>se les solicita que participen en la aplicación del Programa de Trabajo del AEML WG, facilitando en particular el intercambio de información sobre especies y hábitats clave, especialmente para resolver los obstáculos al uso sostenible de la tierra y la conservación de los hábitats en África, incluidas las prioridades para África Occidental y Asia Central, así como mediante la prestación de asistencia técnica a los países en desarrollo para la creación de capacidad pertinente;</w:t>
      </w:r>
    </w:p>
    <w:p w14:paraId="26CE4888"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52C15023" w14:textId="77777777" w:rsidR="00B55C00" w:rsidRPr="0011421F" w:rsidRDefault="00B55C00" w:rsidP="00364BFC">
      <w:pPr>
        <w:pStyle w:val="ListParagraph"/>
        <w:numPr>
          <w:ilvl w:val="0"/>
          <w:numId w:val="28"/>
        </w:numPr>
        <w:spacing w:after="0" w:line="240" w:lineRule="auto"/>
        <w:ind w:left="1440" w:hanging="540"/>
        <w:contextualSpacing w:val="0"/>
        <w:jc w:val="both"/>
        <w:rPr>
          <w:rFonts w:cs="Arial"/>
          <w:iCs/>
          <w:szCs w:val="20"/>
          <w:u w:val="single"/>
          <w:lang w:val="es-ES"/>
        </w:rPr>
      </w:pPr>
      <w:r w:rsidRPr="0011421F">
        <w:rPr>
          <w:rFonts w:cs="Arial"/>
          <w:iCs/>
          <w:szCs w:val="20"/>
          <w:lang w:val="es-ES"/>
        </w:rPr>
        <w:t xml:space="preserve">se les solicita que apoyen y cooperen en los enfoques internacionales existentes para conservar y aumentar la cubierta arbórea (por ejemplo, el Desafío de Bonn, la campaña </w:t>
      </w:r>
      <w:proofErr w:type="spellStart"/>
      <w:r w:rsidRPr="0011421F">
        <w:rPr>
          <w:rFonts w:cs="Arial"/>
          <w:i/>
          <w:iCs/>
          <w:szCs w:val="20"/>
          <w:lang w:val="es-ES"/>
        </w:rPr>
        <w:t>Trillion</w:t>
      </w:r>
      <w:proofErr w:type="spellEnd"/>
      <w:r w:rsidRPr="0011421F">
        <w:rPr>
          <w:rFonts w:cs="Arial"/>
          <w:i/>
          <w:iCs/>
          <w:szCs w:val="20"/>
          <w:lang w:val="es-ES"/>
        </w:rPr>
        <w:t xml:space="preserve"> </w:t>
      </w:r>
      <w:proofErr w:type="spellStart"/>
      <w:r w:rsidRPr="0011421F">
        <w:rPr>
          <w:rFonts w:cs="Arial"/>
          <w:i/>
          <w:iCs/>
          <w:szCs w:val="20"/>
          <w:lang w:val="es-ES"/>
        </w:rPr>
        <w:t>Trees</w:t>
      </w:r>
      <w:proofErr w:type="spellEnd"/>
      <w:r w:rsidRPr="0011421F">
        <w:rPr>
          <w:rFonts w:cs="Arial"/>
          <w:iCs/>
          <w:szCs w:val="20"/>
          <w:lang w:val="es-ES"/>
        </w:rPr>
        <w:t xml:space="preserve"> y la iniciativa de la Gran Muralla Verde) junto con ayudas locales y proyectos de desarrollo en torno a la agricultura y la silvicultura, mediante el seguimiento de los resultados, permitiendo comparaciones entre lugares y entre años, cuando sea posible en experimentos, adecuadamente diseñados, que aporten ideas sobre intervenciones para la creación de escenarios en los que todos ganen: para las aves, como indicador de biodiversidad; para las comunidades locales, en términos de beneficios socioeconómicos; y para la neutralidad de la degradación de las tierras y las soluciones climáticas basadas en la naturaleza, </w:t>
      </w:r>
      <w:r w:rsidRPr="0011421F">
        <w:rPr>
          <w:color w:val="000000" w:themeColor="text1"/>
          <w:lang w:val="es-ES"/>
        </w:rPr>
        <w:t xml:space="preserve">o </w:t>
      </w:r>
      <w:r w:rsidRPr="0011421F">
        <w:rPr>
          <w:rFonts w:cs="Arial"/>
          <w:iCs/>
          <w:color w:val="000000" w:themeColor="text1"/>
          <w:szCs w:val="20"/>
          <w:lang w:val="es-ES"/>
        </w:rPr>
        <w:t xml:space="preserve">que, </w:t>
      </w:r>
      <w:r w:rsidRPr="0011421F">
        <w:rPr>
          <w:color w:val="000000" w:themeColor="text1"/>
          <w:lang w:val="es-ES"/>
        </w:rPr>
        <w:t>al menos</w:t>
      </w:r>
      <w:r w:rsidRPr="0011421F">
        <w:rPr>
          <w:rFonts w:cs="Arial"/>
          <w:iCs/>
          <w:color w:val="000000" w:themeColor="text1"/>
          <w:szCs w:val="20"/>
          <w:lang w:val="es-ES"/>
        </w:rPr>
        <w:t>,</w:t>
      </w:r>
      <w:r w:rsidRPr="0011421F">
        <w:rPr>
          <w:color w:val="000000" w:themeColor="text1"/>
          <w:lang w:val="es-ES"/>
        </w:rPr>
        <w:t xml:space="preserve"> puedan beneficiar a las </w:t>
      </w:r>
      <w:r w:rsidRPr="0011421F">
        <w:rPr>
          <w:rFonts w:cs="Arial"/>
          <w:iCs/>
          <w:szCs w:val="20"/>
          <w:lang w:val="es-ES"/>
        </w:rPr>
        <w:t>aves sin detrimento de estos otros objetivos</w:t>
      </w:r>
      <w:r w:rsidRPr="0011421F">
        <w:rPr>
          <w:rFonts w:cs="Arial"/>
          <w:iCs/>
          <w:szCs w:val="20"/>
          <w:u w:val="single"/>
          <w:lang w:val="es-ES"/>
        </w:rPr>
        <w:t>;</w:t>
      </w:r>
    </w:p>
    <w:p w14:paraId="5D2C3A89" w14:textId="77777777" w:rsidR="00B55C00" w:rsidRPr="0011421F" w:rsidRDefault="00B55C00" w:rsidP="00364BFC">
      <w:pPr>
        <w:pStyle w:val="ListParagraph"/>
        <w:spacing w:after="0" w:line="240" w:lineRule="auto"/>
        <w:ind w:left="1440" w:hanging="540"/>
        <w:contextualSpacing w:val="0"/>
        <w:jc w:val="both"/>
        <w:rPr>
          <w:rFonts w:cs="Arial"/>
          <w:iCs/>
          <w:szCs w:val="20"/>
          <w:u w:val="single"/>
          <w:lang w:val="es-ES"/>
        </w:rPr>
      </w:pPr>
    </w:p>
    <w:p w14:paraId="04CE8239" w14:textId="77777777" w:rsidR="00B55C00" w:rsidRPr="0011421F" w:rsidRDefault="00B55C00" w:rsidP="00364BFC">
      <w:pPr>
        <w:pStyle w:val="ListParagraph"/>
        <w:numPr>
          <w:ilvl w:val="0"/>
          <w:numId w:val="28"/>
        </w:numPr>
        <w:spacing w:after="0" w:line="240" w:lineRule="auto"/>
        <w:ind w:left="1440" w:hanging="540"/>
        <w:contextualSpacing w:val="0"/>
        <w:jc w:val="both"/>
        <w:rPr>
          <w:rFonts w:cs="Arial"/>
          <w:iCs/>
          <w:szCs w:val="20"/>
          <w:lang w:val="es-ES"/>
        </w:rPr>
      </w:pPr>
      <w:r w:rsidRPr="0011421F">
        <w:rPr>
          <w:rFonts w:cs="Arial"/>
          <w:iCs/>
          <w:szCs w:val="20"/>
          <w:lang w:val="es-ES"/>
        </w:rPr>
        <w:t>se les invita a promover el enriquecimiento de la cubierta vegetal (incluidos, entre otros, los árboles) mediante el uso de especies autóctonas y la promoción de prácticas de gestión de la tierra ecológicamente sostenibles y el uso racional del agua.</w:t>
      </w:r>
    </w:p>
    <w:p w14:paraId="01668021" w14:textId="6E1C8611" w:rsidR="00F6465C" w:rsidRDefault="00F6465C">
      <w:pPr>
        <w:rPr>
          <w:rFonts w:cs="Arial"/>
          <w:iCs/>
          <w:szCs w:val="20"/>
          <w:lang w:val="es-ES"/>
        </w:rPr>
      </w:pPr>
      <w:r>
        <w:rPr>
          <w:rFonts w:cs="Arial"/>
          <w:iCs/>
          <w:szCs w:val="20"/>
          <w:lang w:val="es-ES"/>
        </w:rPr>
        <w:br w:type="page"/>
      </w:r>
    </w:p>
    <w:p w14:paraId="544E2709" w14:textId="77777777" w:rsidR="00B55C00" w:rsidRPr="0011421F" w:rsidRDefault="00B55C00" w:rsidP="00B55C00">
      <w:pPr>
        <w:spacing w:after="0" w:line="240" w:lineRule="auto"/>
        <w:jc w:val="both"/>
        <w:rPr>
          <w:rFonts w:cs="Arial"/>
          <w:iCs/>
          <w:szCs w:val="20"/>
          <w:lang w:val="es-ES"/>
        </w:rPr>
      </w:pPr>
    </w:p>
    <w:p w14:paraId="553C7530" w14:textId="77777777" w:rsidR="00B55C00" w:rsidRPr="0011421F" w:rsidRDefault="00B55C00" w:rsidP="00364BFC">
      <w:pPr>
        <w:spacing w:after="0" w:line="240" w:lineRule="auto"/>
        <w:ind w:left="900" w:hanging="900"/>
        <w:jc w:val="both"/>
        <w:rPr>
          <w:rFonts w:cs="Arial"/>
          <w:b/>
          <w:iCs/>
          <w:szCs w:val="20"/>
          <w:lang w:val="es-ES"/>
        </w:rPr>
      </w:pPr>
      <w:r w:rsidRPr="0011421F">
        <w:rPr>
          <w:rFonts w:cs="Arial"/>
          <w:b/>
          <w:iCs/>
          <w:szCs w:val="20"/>
          <w:lang w:val="es-ES"/>
        </w:rPr>
        <w:t xml:space="preserve">15.CC </w:t>
      </w:r>
      <w:r w:rsidRPr="0011421F">
        <w:rPr>
          <w:rFonts w:cs="Arial"/>
          <w:b/>
          <w:iCs/>
          <w:szCs w:val="20"/>
          <w:lang w:val="es-ES"/>
        </w:rPr>
        <w:tab/>
      </w:r>
      <w:r w:rsidRPr="0011421F">
        <w:rPr>
          <w:rFonts w:cs="Arial"/>
          <w:b/>
          <w:i/>
          <w:szCs w:val="20"/>
          <w:lang w:val="es-ES"/>
        </w:rPr>
        <w:t>Dirigido al Consejo Científico</w:t>
      </w:r>
    </w:p>
    <w:p w14:paraId="0B688D7B" w14:textId="77777777" w:rsidR="00B55C00" w:rsidRPr="0011421F" w:rsidRDefault="00B55C00" w:rsidP="00B55C00">
      <w:pPr>
        <w:pStyle w:val="ListParagraph"/>
        <w:spacing w:after="0" w:line="240" w:lineRule="auto"/>
        <w:ind w:left="357"/>
        <w:contextualSpacing w:val="0"/>
        <w:jc w:val="both"/>
        <w:rPr>
          <w:rFonts w:cs="Arial"/>
          <w:iCs/>
          <w:szCs w:val="20"/>
          <w:lang w:val="es-ES"/>
        </w:rPr>
      </w:pPr>
    </w:p>
    <w:p w14:paraId="45084F65"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Se solicita al Consejo Científico que, en función de los recursos disponibles:</w:t>
      </w:r>
    </w:p>
    <w:p w14:paraId="6ADAB9DE"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6419743B" w14:textId="77777777" w:rsidR="00B55C00" w:rsidRPr="0011421F" w:rsidRDefault="00B55C00" w:rsidP="00364BFC">
      <w:pPr>
        <w:pStyle w:val="ListParagraph"/>
        <w:numPr>
          <w:ilvl w:val="0"/>
          <w:numId w:val="30"/>
        </w:numPr>
        <w:spacing w:after="0" w:line="240" w:lineRule="auto"/>
        <w:ind w:left="1440" w:hanging="540"/>
        <w:contextualSpacing w:val="0"/>
        <w:jc w:val="both"/>
        <w:rPr>
          <w:rFonts w:cs="Arial"/>
          <w:iCs/>
          <w:szCs w:val="20"/>
          <w:lang w:val="es-ES"/>
        </w:rPr>
      </w:pPr>
      <w:r w:rsidRPr="0011421F">
        <w:rPr>
          <w:rFonts w:cs="Arial"/>
          <w:iCs/>
          <w:szCs w:val="20"/>
          <w:lang w:val="es-ES"/>
        </w:rPr>
        <w:t>prosiga con el Grupo de Trabajo sobre Aves Terrestres Migratorias de África-Eurasia hasta la COP16, que amplíe su membresía e incorpore expertos de regiones actualmente no representadas, a fin de facilitar y supervisar la aplicación del Plan de Acción, elaborando indicadores para evaluar la ejecución del Programa de Trabajo 2026-2032;</w:t>
      </w:r>
    </w:p>
    <w:p w14:paraId="3F8CDB91"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p>
    <w:p w14:paraId="19D0253E" w14:textId="77777777" w:rsidR="00B55C00" w:rsidRPr="0011421F" w:rsidRDefault="00B55C00" w:rsidP="00364BFC">
      <w:pPr>
        <w:pStyle w:val="ListParagraph"/>
        <w:numPr>
          <w:ilvl w:val="0"/>
          <w:numId w:val="30"/>
        </w:numPr>
        <w:spacing w:after="0" w:line="240" w:lineRule="auto"/>
        <w:ind w:left="1440" w:hanging="540"/>
        <w:contextualSpacing w:val="0"/>
        <w:jc w:val="both"/>
        <w:rPr>
          <w:rFonts w:cs="Arial"/>
          <w:iCs/>
          <w:strike/>
          <w:szCs w:val="20"/>
          <w:lang w:val="es-ES"/>
        </w:rPr>
      </w:pPr>
      <w:r w:rsidRPr="0011421F">
        <w:rPr>
          <w:rFonts w:cs="Arial"/>
          <w:iCs/>
          <w:szCs w:val="20"/>
          <w:lang w:val="es-ES"/>
        </w:rPr>
        <w:t>preste apoyo al Grupo de Trabajo, a su Grupo Directivo y a la Unidad de Coordinación para la ejecución del Programa de Trabajo del Grupo de Trabajo.</w:t>
      </w:r>
    </w:p>
    <w:p w14:paraId="40486700" w14:textId="77777777" w:rsidR="00B55C00" w:rsidRPr="0011421F" w:rsidRDefault="00B55C00" w:rsidP="00B55C00">
      <w:pPr>
        <w:widowControl w:val="0"/>
        <w:autoSpaceDE w:val="0"/>
        <w:adjustRightInd w:val="0"/>
        <w:spacing w:after="0" w:line="240" w:lineRule="auto"/>
        <w:ind w:left="360"/>
        <w:jc w:val="both"/>
        <w:rPr>
          <w:rFonts w:cs="Arial"/>
          <w:lang w:val="es-ES"/>
        </w:rPr>
      </w:pPr>
    </w:p>
    <w:p w14:paraId="34A441D8" w14:textId="77777777" w:rsidR="00B55C00" w:rsidRPr="0011421F" w:rsidRDefault="00B55C00" w:rsidP="00364BFC">
      <w:pPr>
        <w:pStyle w:val="ListParagraph"/>
        <w:spacing w:after="0" w:line="240" w:lineRule="auto"/>
        <w:ind w:left="900" w:hanging="900"/>
        <w:contextualSpacing w:val="0"/>
        <w:jc w:val="both"/>
        <w:rPr>
          <w:rFonts w:cs="Arial"/>
          <w:b/>
          <w:i/>
          <w:szCs w:val="20"/>
          <w:lang w:val="es-ES"/>
        </w:rPr>
      </w:pPr>
      <w:r w:rsidRPr="0011421F">
        <w:rPr>
          <w:rFonts w:cs="Arial"/>
          <w:b/>
          <w:iCs/>
          <w:szCs w:val="20"/>
          <w:lang w:val="es-ES"/>
        </w:rPr>
        <w:t xml:space="preserve">15.DD </w:t>
      </w:r>
      <w:r w:rsidRPr="0011421F">
        <w:rPr>
          <w:rFonts w:cs="Arial"/>
          <w:b/>
          <w:iCs/>
          <w:szCs w:val="20"/>
          <w:lang w:val="es-ES"/>
        </w:rPr>
        <w:tab/>
      </w:r>
      <w:r w:rsidRPr="0011421F">
        <w:rPr>
          <w:rFonts w:cs="Arial"/>
          <w:b/>
          <w:i/>
          <w:szCs w:val="20"/>
          <w:lang w:val="es-ES"/>
        </w:rPr>
        <w:t>Dirigido a la Secretaría</w:t>
      </w:r>
    </w:p>
    <w:p w14:paraId="1C7EC2F4" w14:textId="77777777" w:rsidR="00B55C00" w:rsidRPr="0011421F" w:rsidRDefault="00B55C00" w:rsidP="00B55C00">
      <w:pPr>
        <w:pStyle w:val="ListParagraph"/>
        <w:spacing w:after="0" w:line="240" w:lineRule="auto"/>
        <w:ind w:left="567"/>
        <w:contextualSpacing w:val="0"/>
        <w:jc w:val="both"/>
        <w:rPr>
          <w:rFonts w:cs="Arial"/>
          <w:iCs/>
          <w:szCs w:val="20"/>
          <w:lang w:val="es-ES"/>
        </w:rPr>
      </w:pPr>
    </w:p>
    <w:p w14:paraId="4609C90E" w14:textId="77777777" w:rsidR="00B55C00" w:rsidRPr="0011421F" w:rsidRDefault="00B55C00" w:rsidP="00364BFC">
      <w:pPr>
        <w:pStyle w:val="ListParagraph"/>
        <w:spacing w:after="0" w:line="240" w:lineRule="auto"/>
        <w:ind w:left="1440" w:hanging="540"/>
        <w:contextualSpacing w:val="0"/>
        <w:jc w:val="both"/>
        <w:rPr>
          <w:rFonts w:cs="Arial"/>
          <w:iCs/>
          <w:szCs w:val="20"/>
          <w:lang w:val="es-ES"/>
        </w:rPr>
      </w:pPr>
      <w:r w:rsidRPr="0011421F">
        <w:rPr>
          <w:rFonts w:cs="Arial"/>
          <w:iCs/>
          <w:szCs w:val="20"/>
          <w:lang w:val="es-ES"/>
        </w:rPr>
        <w:t>La Secretaría deberá, sujeta a la disponibilidad de recursos:</w:t>
      </w:r>
    </w:p>
    <w:p w14:paraId="007303B1" w14:textId="77777777" w:rsidR="00B55C00" w:rsidRPr="0011421F" w:rsidRDefault="00B55C00" w:rsidP="00364BFC">
      <w:pPr>
        <w:pStyle w:val="ListParagraph"/>
        <w:spacing w:after="0" w:line="240" w:lineRule="auto"/>
        <w:ind w:left="1440" w:hanging="540"/>
        <w:contextualSpacing w:val="0"/>
        <w:jc w:val="both"/>
        <w:rPr>
          <w:rFonts w:cs="Arial"/>
          <w:strike/>
          <w:szCs w:val="20"/>
          <w:lang w:val="es-ES"/>
        </w:rPr>
      </w:pPr>
    </w:p>
    <w:p w14:paraId="57615C77" w14:textId="77777777" w:rsidR="00B55C00" w:rsidRDefault="00B55C00" w:rsidP="00364BFC">
      <w:pPr>
        <w:pStyle w:val="ListParagraph"/>
        <w:numPr>
          <w:ilvl w:val="0"/>
          <w:numId w:val="29"/>
        </w:numPr>
        <w:spacing w:after="0" w:line="240" w:lineRule="auto"/>
        <w:ind w:left="1440" w:hanging="540"/>
        <w:contextualSpacing w:val="0"/>
        <w:jc w:val="both"/>
        <w:rPr>
          <w:rFonts w:cs="Arial"/>
          <w:iCs/>
          <w:szCs w:val="20"/>
          <w:lang w:val="es-ES"/>
        </w:rPr>
      </w:pPr>
      <w:r w:rsidRPr="0011421F">
        <w:rPr>
          <w:rFonts w:cs="Arial"/>
          <w:iCs/>
          <w:szCs w:val="20"/>
          <w:lang w:val="es-ES"/>
        </w:rPr>
        <w:t>apoyar al Grupo de Trabajo para que organice al menos una reunión durante el período entre sesiones entre la COP15 y la COP16 con el fin, entre otras actividades, de examinar la aplicación del Plan de Acción y del Programa de Trabajo;</w:t>
      </w:r>
    </w:p>
    <w:p w14:paraId="555D0F30" w14:textId="77777777" w:rsidR="00F6465C" w:rsidRDefault="00F6465C" w:rsidP="00364BFC">
      <w:pPr>
        <w:pStyle w:val="ListParagraph"/>
        <w:spacing w:after="0" w:line="240" w:lineRule="auto"/>
        <w:ind w:left="1440" w:hanging="540"/>
        <w:contextualSpacing w:val="0"/>
        <w:jc w:val="both"/>
        <w:rPr>
          <w:rFonts w:cs="Arial"/>
          <w:iCs/>
          <w:szCs w:val="20"/>
          <w:lang w:val="es-ES"/>
        </w:rPr>
      </w:pPr>
    </w:p>
    <w:p w14:paraId="16572BA7" w14:textId="24417688" w:rsidR="007C29B1" w:rsidRPr="00F6465C" w:rsidRDefault="00B55C00" w:rsidP="00364BFC">
      <w:pPr>
        <w:pStyle w:val="ListParagraph"/>
        <w:numPr>
          <w:ilvl w:val="0"/>
          <w:numId w:val="29"/>
        </w:numPr>
        <w:spacing w:after="0" w:line="240" w:lineRule="auto"/>
        <w:ind w:left="1440" w:hanging="540"/>
        <w:contextualSpacing w:val="0"/>
        <w:jc w:val="both"/>
        <w:rPr>
          <w:rFonts w:cs="Arial"/>
          <w:iCs/>
          <w:szCs w:val="20"/>
          <w:lang w:val="es-ES"/>
        </w:rPr>
      </w:pPr>
      <w:r w:rsidRPr="00F6465C">
        <w:rPr>
          <w:rFonts w:cs="Arial"/>
          <w:iCs/>
          <w:szCs w:val="20"/>
          <w:lang w:val="es-ES"/>
        </w:rPr>
        <w:t>organizar, en cooperación con la CLD, un taller sobre la integración de los requisitos de biodiversidad en la consecución de la neutralidad en la degradación de tierras a la escala adecuada</w:t>
      </w:r>
    </w:p>
    <w:sectPr w:rsidR="007C29B1" w:rsidRPr="00F6465C" w:rsidSect="00323406">
      <w:headerReference w:type="default" r:id="rId29"/>
      <w:headerReference w:type="first" r:id="rId30"/>
      <w:foot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CFE93" w14:textId="77777777" w:rsidR="001F053A" w:rsidRDefault="001F053A" w:rsidP="00002A97">
      <w:pPr>
        <w:spacing w:after="0" w:line="240" w:lineRule="auto"/>
      </w:pPr>
      <w:r>
        <w:separator/>
      </w:r>
    </w:p>
  </w:endnote>
  <w:endnote w:type="continuationSeparator" w:id="0">
    <w:p w14:paraId="3F5E0C0E" w14:textId="77777777" w:rsidR="001F053A" w:rsidRDefault="001F053A"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C347" w14:textId="177B57EF" w:rsidR="00364BFC" w:rsidRPr="00364BFC" w:rsidRDefault="00364BFC">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332995"/>
      <w:docPartObj>
        <w:docPartGallery w:val="Page Numbers (Bottom of Page)"/>
        <w:docPartUnique/>
      </w:docPartObj>
    </w:sdtPr>
    <w:sdtEndPr>
      <w:rPr>
        <w:noProof/>
        <w:sz w:val="18"/>
        <w:szCs w:val="18"/>
      </w:rPr>
    </w:sdtEndPr>
    <w:sdtContent>
      <w:p w14:paraId="566C41E6" w14:textId="0F6D3FA6" w:rsidR="00364BFC" w:rsidRPr="00364BFC" w:rsidRDefault="00364BFC">
        <w:pPr>
          <w:pStyle w:val="Footer"/>
          <w:jc w:val="center"/>
          <w:rPr>
            <w:sz w:val="18"/>
            <w:szCs w:val="18"/>
          </w:rPr>
        </w:pPr>
        <w:r w:rsidRPr="00364BFC">
          <w:rPr>
            <w:sz w:val="18"/>
            <w:szCs w:val="18"/>
          </w:rPr>
          <w:fldChar w:fldCharType="begin"/>
        </w:r>
        <w:r w:rsidRPr="00364BFC">
          <w:rPr>
            <w:sz w:val="18"/>
            <w:szCs w:val="18"/>
          </w:rPr>
          <w:instrText xml:space="preserve"> PAGE   \* MERGEFORMAT </w:instrText>
        </w:r>
        <w:r w:rsidRPr="00364BFC">
          <w:rPr>
            <w:sz w:val="18"/>
            <w:szCs w:val="18"/>
          </w:rPr>
          <w:fldChar w:fldCharType="separate"/>
        </w:r>
        <w:r w:rsidRPr="00364BFC">
          <w:rPr>
            <w:noProof/>
            <w:sz w:val="18"/>
            <w:szCs w:val="18"/>
          </w:rPr>
          <w:t>2</w:t>
        </w:r>
        <w:r w:rsidRPr="00364BFC">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265095"/>
      <w:docPartObj>
        <w:docPartGallery w:val="Page Numbers (Bottom of Page)"/>
        <w:docPartUnique/>
      </w:docPartObj>
    </w:sdtPr>
    <w:sdtEndPr>
      <w:rPr>
        <w:noProof/>
        <w:sz w:val="18"/>
        <w:szCs w:val="18"/>
      </w:rPr>
    </w:sdtEndPr>
    <w:sdtContent>
      <w:p w14:paraId="129BCFFC" w14:textId="32BAEFD6" w:rsidR="00364BFC" w:rsidRPr="00364BFC" w:rsidRDefault="00364BFC">
        <w:pPr>
          <w:pStyle w:val="Footer"/>
          <w:jc w:val="center"/>
          <w:rPr>
            <w:sz w:val="18"/>
            <w:szCs w:val="18"/>
          </w:rPr>
        </w:pPr>
        <w:r w:rsidRPr="00364BFC">
          <w:rPr>
            <w:sz w:val="18"/>
            <w:szCs w:val="18"/>
          </w:rPr>
          <w:fldChar w:fldCharType="begin"/>
        </w:r>
        <w:r w:rsidRPr="00364BFC">
          <w:rPr>
            <w:sz w:val="18"/>
            <w:szCs w:val="18"/>
          </w:rPr>
          <w:instrText xml:space="preserve"> PAGE   \* MERGEFORMAT </w:instrText>
        </w:r>
        <w:r w:rsidRPr="00364BFC">
          <w:rPr>
            <w:sz w:val="18"/>
            <w:szCs w:val="18"/>
          </w:rPr>
          <w:fldChar w:fldCharType="separate"/>
        </w:r>
        <w:r w:rsidRPr="00364BFC">
          <w:rPr>
            <w:noProof/>
            <w:sz w:val="18"/>
            <w:szCs w:val="18"/>
          </w:rPr>
          <w:t>2</w:t>
        </w:r>
        <w:r w:rsidRPr="00364BF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E404" w14:textId="77777777" w:rsidR="001F053A" w:rsidRDefault="001F053A" w:rsidP="00002A97">
      <w:pPr>
        <w:spacing w:after="0" w:line="240" w:lineRule="auto"/>
      </w:pPr>
      <w:r>
        <w:separator/>
      </w:r>
    </w:p>
  </w:footnote>
  <w:footnote w:type="continuationSeparator" w:id="0">
    <w:p w14:paraId="77CEEB8F" w14:textId="77777777" w:rsidR="001F053A" w:rsidRDefault="001F053A" w:rsidP="00002A97">
      <w:pPr>
        <w:spacing w:after="0" w:line="240" w:lineRule="auto"/>
      </w:pPr>
      <w:r>
        <w:continuationSeparator/>
      </w:r>
    </w:p>
  </w:footnote>
  <w:footnote w:id="1">
    <w:p w14:paraId="04091004" w14:textId="77777777" w:rsidR="007C29B1" w:rsidRPr="00F72266" w:rsidRDefault="007C29B1" w:rsidP="007C29B1">
      <w:pPr>
        <w:pStyle w:val="FootnoteText"/>
        <w:jc w:val="both"/>
        <w:rPr>
          <w:rFonts w:cs="Arial"/>
          <w:iCs/>
          <w:sz w:val="16"/>
          <w:szCs w:val="16"/>
          <w:highlight w:val="yellow"/>
          <w:lang w:val="es-ES"/>
        </w:rPr>
      </w:pPr>
      <w:r w:rsidRPr="00450BE4">
        <w:rPr>
          <w:rStyle w:val="FootnoteReference"/>
          <w:rFonts w:cs="Arial"/>
          <w:sz w:val="16"/>
          <w:szCs w:val="16"/>
          <w:vertAlign w:val="superscript"/>
        </w:rPr>
        <w:footnoteRef/>
      </w:r>
      <w:r w:rsidRPr="00F72266">
        <w:rPr>
          <w:rFonts w:cs="Arial"/>
          <w:sz w:val="16"/>
          <w:szCs w:val="16"/>
          <w:lang w:val="es-ES"/>
        </w:rPr>
        <w:t xml:space="preserve"> </w:t>
      </w:r>
      <w:r w:rsidRPr="00F72266">
        <w:rPr>
          <w:sz w:val="16"/>
          <w:szCs w:val="16"/>
          <w:lang w:val="es-ES"/>
        </w:rPr>
        <w:t xml:space="preserve">La Resolución fue derogada y </w:t>
      </w:r>
      <w:r>
        <w:rPr>
          <w:sz w:val="16"/>
          <w:szCs w:val="16"/>
          <w:lang w:val="es-ES"/>
        </w:rPr>
        <w:t xml:space="preserve">consolidada en la Resolución </w:t>
      </w:r>
      <w:r w:rsidRPr="00F72266">
        <w:rPr>
          <w:rFonts w:cs="Arial"/>
          <w:iCs/>
          <w:sz w:val="16"/>
          <w:szCs w:val="16"/>
          <w:lang w:val="es-ES"/>
        </w:rPr>
        <w:t>11.17,</w:t>
      </w:r>
      <w:r>
        <w:rPr>
          <w:rFonts w:cs="Arial"/>
          <w:iCs/>
          <w:sz w:val="16"/>
          <w:szCs w:val="16"/>
          <w:lang w:val="es-ES"/>
        </w:rPr>
        <w:t xml:space="preserve"> que fue enmendada en la </w:t>
      </w:r>
      <w:r w:rsidRPr="00F72266">
        <w:rPr>
          <w:rFonts w:cs="Arial"/>
          <w:iCs/>
          <w:sz w:val="16"/>
          <w:szCs w:val="16"/>
          <w:lang w:val="es-ES"/>
        </w:rPr>
        <w:t>COP12</w:t>
      </w:r>
      <w:r>
        <w:rPr>
          <w:rFonts w:cs="Arial"/>
          <w:iCs/>
          <w:sz w:val="16"/>
          <w:szCs w:val="16"/>
          <w:lang w:val="es-ES"/>
        </w:rPr>
        <w:t xml:space="preserve">, </w:t>
      </w:r>
      <w:r w:rsidRPr="00F72266">
        <w:rPr>
          <w:rFonts w:cs="Arial"/>
          <w:iCs/>
          <w:sz w:val="16"/>
          <w:szCs w:val="16"/>
          <w:lang w:val="es-ES"/>
        </w:rPr>
        <w:t>COP13</w:t>
      </w:r>
      <w:r>
        <w:rPr>
          <w:rFonts w:cs="Arial"/>
          <w:iCs/>
          <w:sz w:val="16"/>
          <w:szCs w:val="16"/>
          <w:lang w:val="es-ES"/>
        </w:rPr>
        <w:t xml:space="preserve"> y COP14</w:t>
      </w:r>
      <w:r w:rsidRPr="00F72266">
        <w:rPr>
          <w:rFonts w:cs="Arial"/>
          <w:iCs/>
          <w:sz w:val="16"/>
          <w:szCs w:val="16"/>
          <w:lang w:val="es-ES"/>
        </w:rPr>
        <w:t>.</w:t>
      </w:r>
    </w:p>
  </w:footnote>
  <w:footnote w:id="2">
    <w:p w14:paraId="6AB8174F" w14:textId="77777777" w:rsidR="007C29B1" w:rsidRPr="0054129F" w:rsidRDefault="007C29B1" w:rsidP="007C29B1">
      <w:pPr>
        <w:pStyle w:val="FootnoteText"/>
        <w:jc w:val="both"/>
        <w:rPr>
          <w:lang w:val="es-ES"/>
        </w:rPr>
      </w:pPr>
      <w:r w:rsidRPr="00F93090">
        <w:rPr>
          <w:rStyle w:val="FootnoteReference"/>
          <w:sz w:val="16"/>
          <w:szCs w:val="16"/>
          <w:vertAlign w:val="superscript"/>
        </w:rPr>
        <w:footnoteRef/>
      </w:r>
      <w:r w:rsidRPr="00F93090">
        <w:rPr>
          <w:sz w:val="16"/>
          <w:szCs w:val="16"/>
          <w:vertAlign w:val="superscript"/>
          <w:lang w:val="es-ES"/>
        </w:rPr>
        <w:t xml:space="preserve"> </w:t>
      </w:r>
      <w:r w:rsidRPr="0054129F">
        <w:rPr>
          <w:sz w:val="16"/>
          <w:szCs w:val="16"/>
          <w:lang w:val="es-ES"/>
        </w:rPr>
        <w:t xml:space="preserve">Existen diferencias regionales en la terminología acordada </w:t>
      </w:r>
      <w:r>
        <w:rPr>
          <w:sz w:val="16"/>
          <w:szCs w:val="16"/>
          <w:lang w:val="es-ES"/>
        </w:rPr>
        <w:t>e</w:t>
      </w:r>
      <w:r w:rsidRPr="0054129F">
        <w:rPr>
          <w:sz w:val="16"/>
          <w:szCs w:val="16"/>
          <w:lang w:val="es-ES"/>
        </w:rPr>
        <w:t>n inglés para el problema de la extracción ilegal de aves de la naturaleza</w:t>
      </w:r>
      <w:r>
        <w:rPr>
          <w:sz w:val="16"/>
          <w:szCs w:val="16"/>
          <w:lang w:val="es-ES"/>
        </w:rPr>
        <w:t>.</w:t>
      </w:r>
      <w:r w:rsidRPr="0054129F">
        <w:rPr>
          <w:sz w:val="16"/>
          <w:szCs w:val="16"/>
          <w:lang w:val="es-ES"/>
        </w:rPr>
        <w:t xml:space="preserve"> </w:t>
      </w:r>
      <w:r>
        <w:rPr>
          <w:sz w:val="16"/>
          <w:szCs w:val="16"/>
          <w:lang w:val="es-ES"/>
        </w:rPr>
        <w:t>E</w:t>
      </w:r>
      <w:r w:rsidRPr="0054129F">
        <w:rPr>
          <w:sz w:val="16"/>
          <w:szCs w:val="16"/>
          <w:lang w:val="es-ES"/>
        </w:rPr>
        <w:t>n Europa y el Mediterráneo, el término acordado es "matanza y captura ilegal</w:t>
      </w:r>
      <w:r>
        <w:rPr>
          <w:sz w:val="16"/>
          <w:szCs w:val="16"/>
          <w:lang w:val="es-ES"/>
        </w:rPr>
        <w:t>es</w:t>
      </w:r>
      <w:r w:rsidRPr="0054129F">
        <w:rPr>
          <w:sz w:val="16"/>
          <w:szCs w:val="16"/>
          <w:lang w:val="es-ES"/>
        </w:rPr>
        <w:t xml:space="preserve">" para evitar confusiones con las prácticas legítimas de caza mientras </w:t>
      </w:r>
      <w:proofErr w:type="gramStart"/>
      <w:r w:rsidRPr="0054129F">
        <w:rPr>
          <w:sz w:val="16"/>
          <w:szCs w:val="16"/>
          <w:lang w:val="es-ES"/>
        </w:rPr>
        <w:t>que</w:t>
      </w:r>
      <w:proofErr w:type="gramEnd"/>
      <w:r w:rsidRPr="0054129F">
        <w:rPr>
          <w:sz w:val="16"/>
          <w:szCs w:val="16"/>
          <w:lang w:val="es-ES"/>
        </w:rPr>
        <w:t xml:space="preserve"> en Asia y Australasia, el término acordado es "caza y captura ilegal</w:t>
      </w:r>
      <w:r>
        <w:rPr>
          <w:sz w:val="16"/>
          <w:szCs w:val="16"/>
          <w:lang w:val="es-ES"/>
        </w:rPr>
        <w:t>es</w:t>
      </w:r>
      <w:r w:rsidRPr="0054129F">
        <w:rPr>
          <w:sz w:val="16"/>
          <w:szCs w:val="16"/>
          <w:lang w:val="es-ES"/>
        </w:rPr>
        <w:t xml:space="preserve">" debido a sensibilidades culturales.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1769DF44"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AA0D65">
      <w:rPr>
        <w:rFonts w:eastAsia="Times New Roman" w:cs="Arial"/>
        <w:i/>
        <w:sz w:val="18"/>
        <w:szCs w:val="18"/>
        <w:lang w:val="fr-FR" w:eastAsia="es-ES"/>
      </w:rPr>
      <w:t>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39EEDB3"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409BB">
      <w:rPr>
        <w:rFonts w:eastAsia="Times New Roman" w:cs="Arial"/>
        <w:i/>
        <w:sz w:val="18"/>
        <w:szCs w:val="18"/>
        <w:lang w:val="fr-FR" w:eastAsia="es-ES"/>
      </w:rPr>
      <w:t>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4576" w14:textId="4B276F25" w:rsidR="00364BFC" w:rsidRPr="00002A97" w:rsidRDefault="00364BFC"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90CA" w14:textId="39699122" w:rsidR="00364BFC" w:rsidRPr="00002A97" w:rsidRDefault="00364BFC"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2155" w14:textId="6EE301FB" w:rsidR="00F409BB" w:rsidRPr="00364BFC" w:rsidRDefault="00F409BB" w:rsidP="00F409BB">
    <w:pPr>
      <w:pStyle w:val="Header"/>
      <w:pBdr>
        <w:bottom w:val="single" w:sz="4" w:space="1" w:color="auto"/>
      </w:pBdr>
      <w:jc w:val="right"/>
      <w:rPr>
        <w:i/>
        <w:sz w:val="18"/>
        <w:szCs w:val="18"/>
      </w:rPr>
    </w:pPr>
    <w:r w:rsidRPr="00364BFC">
      <w:rPr>
        <w:rFonts w:eastAsia="Times New Roman" w:cs="Arial"/>
        <w:i/>
        <w:sz w:val="18"/>
        <w:szCs w:val="18"/>
        <w:lang w:eastAsia="es-ES"/>
      </w:rPr>
      <w:t>UNEP/CMS/COP15/Doc.26.5</w:t>
    </w:r>
    <w:r w:rsidR="00364BFC" w:rsidRPr="00364BFC">
      <w:rPr>
        <w:rFonts w:eastAsia="Times New Roman" w:cs="Arial"/>
        <w:i/>
        <w:sz w:val="18"/>
        <w:szCs w:val="18"/>
        <w:lang w:eastAsia="es-ES"/>
      </w:rPr>
      <w:t>/Anex</w:t>
    </w:r>
    <w:r w:rsidR="00364BFC">
      <w:rPr>
        <w:rFonts w:eastAsia="Times New Roman" w:cs="Arial"/>
        <w:i/>
        <w:sz w:val="18"/>
        <w:szCs w:val="18"/>
        <w:lang w:eastAsia="es-ES"/>
      </w:rPr>
      <w:t>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252D" w14:textId="0B4B38EA" w:rsidR="00364BFC" w:rsidRPr="00002A97" w:rsidRDefault="00364BFC"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052A030C" w14:textId="77777777" w:rsidR="00364BFC" w:rsidRDefault="00364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5105" w14:textId="4439D22F" w:rsidR="00364BFC" w:rsidRPr="00364BFC" w:rsidRDefault="00364BFC" w:rsidP="00364BFC">
    <w:pPr>
      <w:pStyle w:val="Header"/>
      <w:pBdr>
        <w:bottom w:val="single" w:sz="4" w:space="1" w:color="auto"/>
      </w:pBdr>
      <w:rPr>
        <w:i/>
        <w:sz w:val="18"/>
        <w:szCs w:val="18"/>
      </w:rPr>
    </w:pPr>
    <w:r w:rsidRPr="00364BFC">
      <w:rPr>
        <w:rFonts w:eastAsia="Times New Roman" w:cs="Arial"/>
        <w:i/>
        <w:sz w:val="18"/>
        <w:szCs w:val="18"/>
        <w:lang w:eastAsia="es-ES"/>
      </w:rPr>
      <w:t>UNEP/CMS/COP15/Doc.26.5/Anex</w:t>
    </w:r>
    <w:r>
      <w:rPr>
        <w:rFonts w:eastAsia="Times New Roman" w:cs="Arial"/>
        <w:i/>
        <w:sz w:val="18"/>
        <w:szCs w:val="18"/>
        <w:lang w:eastAsia="es-ES"/>
      </w:rPr>
      <w: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E2457"/>
    <w:multiLevelType w:val="hybridMultilevel"/>
    <w:tmpl w:val="A9DA9208"/>
    <w:lvl w:ilvl="0" w:tplc="08090017">
      <w:start w:val="1"/>
      <w:numFmt w:val="lowerLetter"/>
      <w:lvlText w:val="%1)"/>
      <w:lvlJc w:val="left"/>
      <w:pPr>
        <w:ind w:left="990" w:hanging="360"/>
      </w:pPr>
    </w:lvl>
    <w:lvl w:ilvl="1" w:tplc="10000019" w:tentative="1">
      <w:start w:val="1"/>
      <w:numFmt w:val="lowerLetter"/>
      <w:lvlText w:val="%2."/>
      <w:lvlJc w:val="left"/>
      <w:pPr>
        <w:ind w:left="1710" w:hanging="360"/>
      </w:pPr>
    </w:lvl>
    <w:lvl w:ilvl="2" w:tplc="1000001B" w:tentative="1">
      <w:start w:val="1"/>
      <w:numFmt w:val="lowerRoman"/>
      <w:lvlText w:val="%3."/>
      <w:lvlJc w:val="right"/>
      <w:pPr>
        <w:ind w:left="2430" w:hanging="180"/>
      </w:pPr>
    </w:lvl>
    <w:lvl w:ilvl="3" w:tplc="1000000F" w:tentative="1">
      <w:start w:val="1"/>
      <w:numFmt w:val="decimal"/>
      <w:lvlText w:val="%4."/>
      <w:lvlJc w:val="left"/>
      <w:pPr>
        <w:ind w:left="3150" w:hanging="360"/>
      </w:pPr>
    </w:lvl>
    <w:lvl w:ilvl="4" w:tplc="10000019" w:tentative="1">
      <w:start w:val="1"/>
      <w:numFmt w:val="lowerLetter"/>
      <w:lvlText w:val="%5."/>
      <w:lvlJc w:val="left"/>
      <w:pPr>
        <w:ind w:left="3870" w:hanging="360"/>
      </w:pPr>
    </w:lvl>
    <w:lvl w:ilvl="5" w:tplc="1000001B" w:tentative="1">
      <w:start w:val="1"/>
      <w:numFmt w:val="lowerRoman"/>
      <w:lvlText w:val="%6."/>
      <w:lvlJc w:val="right"/>
      <w:pPr>
        <w:ind w:left="4590" w:hanging="180"/>
      </w:pPr>
    </w:lvl>
    <w:lvl w:ilvl="6" w:tplc="1000000F" w:tentative="1">
      <w:start w:val="1"/>
      <w:numFmt w:val="decimal"/>
      <w:lvlText w:val="%7."/>
      <w:lvlJc w:val="left"/>
      <w:pPr>
        <w:ind w:left="5310" w:hanging="360"/>
      </w:pPr>
    </w:lvl>
    <w:lvl w:ilvl="7" w:tplc="10000019" w:tentative="1">
      <w:start w:val="1"/>
      <w:numFmt w:val="lowerLetter"/>
      <w:lvlText w:val="%8."/>
      <w:lvlJc w:val="left"/>
      <w:pPr>
        <w:ind w:left="6030" w:hanging="360"/>
      </w:pPr>
    </w:lvl>
    <w:lvl w:ilvl="8" w:tplc="1000001B" w:tentative="1">
      <w:start w:val="1"/>
      <w:numFmt w:val="lowerRoman"/>
      <w:lvlText w:val="%9."/>
      <w:lvlJc w:val="right"/>
      <w:pPr>
        <w:ind w:left="6750" w:hanging="180"/>
      </w:pPr>
    </w:lvl>
  </w:abstractNum>
  <w:abstractNum w:abstractNumId="4" w15:restartNumberingAfterBreak="0">
    <w:nsid w:val="09E53A94"/>
    <w:multiLevelType w:val="hybridMultilevel"/>
    <w:tmpl w:val="0F4C26F2"/>
    <w:lvl w:ilvl="0" w:tplc="1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11261A4C"/>
    <w:multiLevelType w:val="hybridMultilevel"/>
    <w:tmpl w:val="DEEE075C"/>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2B96403"/>
    <w:multiLevelType w:val="hybridMultilevel"/>
    <w:tmpl w:val="91AAA46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16091576"/>
    <w:multiLevelType w:val="hybridMultilevel"/>
    <w:tmpl w:val="7604DAEC"/>
    <w:lvl w:ilvl="0" w:tplc="81923F94">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1DC54559"/>
    <w:multiLevelType w:val="hybridMultilevel"/>
    <w:tmpl w:val="44A6E41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ABE6C2E"/>
    <w:multiLevelType w:val="hybridMultilevel"/>
    <w:tmpl w:val="A48E4C1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1"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C031EF"/>
    <w:multiLevelType w:val="hybridMultilevel"/>
    <w:tmpl w:val="C8A63B66"/>
    <w:lvl w:ilvl="0" w:tplc="4198DBD0">
      <w:start w:val="1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435E2"/>
    <w:multiLevelType w:val="hybridMultilevel"/>
    <w:tmpl w:val="87AC324C"/>
    <w:lvl w:ilvl="0" w:tplc="0BE6BDBA">
      <w:start w:val="1"/>
      <w:numFmt w:val="lowerLetter"/>
      <w:lvlText w:val="%1)"/>
      <w:lvlJc w:val="left"/>
      <w:pPr>
        <w:ind w:left="2970" w:hanging="360"/>
      </w:pPr>
      <w:rPr>
        <w:rFonts w:hint="default"/>
        <w:strike w:val="0"/>
      </w:r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15"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4C33348"/>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E15563"/>
    <w:multiLevelType w:val="hybridMultilevel"/>
    <w:tmpl w:val="D95C4EA8"/>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6E0DB6"/>
    <w:multiLevelType w:val="hybridMultilevel"/>
    <w:tmpl w:val="892CFF42"/>
    <w:lvl w:ilvl="0" w:tplc="2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F0D30DB"/>
    <w:multiLevelType w:val="hybridMultilevel"/>
    <w:tmpl w:val="F4761E2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5EC56C3"/>
    <w:multiLevelType w:val="hybridMultilevel"/>
    <w:tmpl w:val="A48E4C16"/>
    <w:lvl w:ilvl="0" w:tplc="BACEF67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27" w15:restartNumberingAfterBreak="0">
    <w:nsid w:val="6AE06171"/>
    <w:multiLevelType w:val="hybridMultilevel"/>
    <w:tmpl w:val="87AC324C"/>
    <w:lvl w:ilvl="0" w:tplc="FFFFFFFF">
      <w:start w:val="1"/>
      <w:numFmt w:val="lowerLetter"/>
      <w:lvlText w:val="%1)"/>
      <w:lvlJc w:val="left"/>
      <w:pPr>
        <w:ind w:left="1494" w:hanging="360"/>
      </w:pPr>
      <w:rPr>
        <w:rFonts w:hint="default"/>
        <w:strike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73EF585E"/>
    <w:multiLevelType w:val="hybridMultilevel"/>
    <w:tmpl w:val="B47EDFDC"/>
    <w:lvl w:ilvl="0" w:tplc="47E44900">
      <w:start w:val="6"/>
      <w:numFmt w:val="lowerLetter"/>
      <w:lvlText w:val="%1)"/>
      <w:lvlJc w:val="left"/>
      <w:pPr>
        <w:ind w:left="108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973EF9"/>
    <w:multiLevelType w:val="hybridMultilevel"/>
    <w:tmpl w:val="44D06450"/>
    <w:lvl w:ilvl="0" w:tplc="D1647B4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8"/>
  </w:num>
  <w:num w:numId="5" w16cid:durableId="37974177">
    <w:abstractNumId w:val="11"/>
  </w:num>
  <w:num w:numId="6" w16cid:durableId="1958830237">
    <w:abstractNumId w:val="19"/>
  </w:num>
  <w:num w:numId="7" w16cid:durableId="396439182">
    <w:abstractNumId w:val="24"/>
  </w:num>
  <w:num w:numId="8" w16cid:durableId="260603560">
    <w:abstractNumId w:val="17"/>
  </w:num>
  <w:num w:numId="9" w16cid:durableId="1356272424">
    <w:abstractNumId w:val="13"/>
  </w:num>
  <w:num w:numId="10" w16cid:durableId="630594039">
    <w:abstractNumId w:val="29"/>
  </w:num>
  <w:num w:numId="11" w16cid:durableId="2069759870">
    <w:abstractNumId w:val="21"/>
  </w:num>
  <w:num w:numId="12" w16cid:durableId="904724938">
    <w:abstractNumId w:val="25"/>
  </w:num>
  <w:num w:numId="13" w16cid:durableId="64188343">
    <w:abstractNumId w:val="9"/>
  </w:num>
  <w:num w:numId="14" w16cid:durableId="748114212">
    <w:abstractNumId w:val="23"/>
  </w:num>
  <w:num w:numId="15" w16cid:durableId="1235820467">
    <w:abstractNumId w:val="22"/>
  </w:num>
  <w:num w:numId="16" w16cid:durableId="1144467427">
    <w:abstractNumId w:val="20"/>
  </w:num>
  <w:num w:numId="17" w16cid:durableId="1739548582">
    <w:abstractNumId w:val="14"/>
  </w:num>
  <w:num w:numId="18" w16cid:durableId="444035857">
    <w:abstractNumId w:val="6"/>
  </w:num>
  <w:num w:numId="19" w16cid:durableId="426770640">
    <w:abstractNumId w:val="30"/>
  </w:num>
  <w:num w:numId="20" w16cid:durableId="1764761090">
    <w:abstractNumId w:val="28"/>
  </w:num>
  <w:num w:numId="21" w16cid:durableId="369302586">
    <w:abstractNumId w:val="3"/>
  </w:num>
  <w:num w:numId="22" w16cid:durableId="1458838647">
    <w:abstractNumId w:val="7"/>
  </w:num>
  <w:num w:numId="23" w16cid:durableId="531696657">
    <w:abstractNumId w:val="4"/>
  </w:num>
  <w:num w:numId="24" w16cid:durableId="26103435">
    <w:abstractNumId w:val="5"/>
  </w:num>
  <w:num w:numId="25" w16cid:durableId="754982457">
    <w:abstractNumId w:val="12"/>
  </w:num>
  <w:num w:numId="26" w16cid:durableId="465585050">
    <w:abstractNumId w:val="8"/>
  </w:num>
  <w:num w:numId="27" w16cid:durableId="1549679319">
    <w:abstractNumId w:val="26"/>
  </w:num>
  <w:num w:numId="28" w16cid:durableId="2040811662">
    <w:abstractNumId w:val="10"/>
  </w:num>
  <w:num w:numId="29" w16cid:durableId="1952010735">
    <w:abstractNumId w:val="27"/>
  </w:num>
  <w:num w:numId="30" w16cid:durableId="391852953">
    <w:abstractNumId w:val="16"/>
  </w:num>
  <w:num w:numId="31" w16cid:durableId="11292790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30461"/>
    <w:rsid w:val="00036CD9"/>
    <w:rsid w:val="00040D1E"/>
    <w:rsid w:val="000461BF"/>
    <w:rsid w:val="000A7A75"/>
    <w:rsid w:val="000C59BD"/>
    <w:rsid w:val="000E192F"/>
    <w:rsid w:val="000E37DD"/>
    <w:rsid w:val="000F16F5"/>
    <w:rsid w:val="000F4BDA"/>
    <w:rsid w:val="00112278"/>
    <w:rsid w:val="00127CCF"/>
    <w:rsid w:val="00131BAD"/>
    <w:rsid w:val="00140FE6"/>
    <w:rsid w:val="0014295C"/>
    <w:rsid w:val="00154A11"/>
    <w:rsid w:val="00166CB7"/>
    <w:rsid w:val="001722A0"/>
    <w:rsid w:val="00192411"/>
    <w:rsid w:val="001A2CB6"/>
    <w:rsid w:val="001C55A7"/>
    <w:rsid w:val="001D7B60"/>
    <w:rsid w:val="001E6CDF"/>
    <w:rsid w:val="001E73E0"/>
    <w:rsid w:val="001F053A"/>
    <w:rsid w:val="0020502B"/>
    <w:rsid w:val="0024152C"/>
    <w:rsid w:val="00242AC9"/>
    <w:rsid w:val="00256158"/>
    <w:rsid w:val="002A40B8"/>
    <w:rsid w:val="002A5ABE"/>
    <w:rsid w:val="002C6814"/>
    <w:rsid w:val="002D376E"/>
    <w:rsid w:val="002D5F2A"/>
    <w:rsid w:val="002F43C9"/>
    <w:rsid w:val="002F7EC2"/>
    <w:rsid w:val="003133A7"/>
    <w:rsid w:val="00323406"/>
    <w:rsid w:val="00336F9F"/>
    <w:rsid w:val="00364BFC"/>
    <w:rsid w:val="003A3AE2"/>
    <w:rsid w:val="003F4F73"/>
    <w:rsid w:val="00430A25"/>
    <w:rsid w:val="00445486"/>
    <w:rsid w:val="00457C8A"/>
    <w:rsid w:val="00463FC1"/>
    <w:rsid w:val="004C7808"/>
    <w:rsid w:val="004D18E2"/>
    <w:rsid w:val="00517A8D"/>
    <w:rsid w:val="00524677"/>
    <w:rsid w:val="005330F7"/>
    <w:rsid w:val="00563598"/>
    <w:rsid w:val="00591364"/>
    <w:rsid w:val="00592262"/>
    <w:rsid w:val="0059243E"/>
    <w:rsid w:val="005A4ABD"/>
    <w:rsid w:val="005C2C85"/>
    <w:rsid w:val="005C39FC"/>
    <w:rsid w:val="005F628E"/>
    <w:rsid w:val="006114FC"/>
    <w:rsid w:val="0061733E"/>
    <w:rsid w:val="00644C60"/>
    <w:rsid w:val="00655BFF"/>
    <w:rsid w:val="00673ADE"/>
    <w:rsid w:val="00674662"/>
    <w:rsid w:val="006A26B5"/>
    <w:rsid w:val="006B670C"/>
    <w:rsid w:val="006C2EF5"/>
    <w:rsid w:val="006C7E59"/>
    <w:rsid w:val="006E791E"/>
    <w:rsid w:val="006F22B0"/>
    <w:rsid w:val="00715A95"/>
    <w:rsid w:val="007404D1"/>
    <w:rsid w:val="007429CC"/>
    <w:rsid w:val="007473BB"/>
    <w:rsid w:val="00763229"/>
    <w:rsid w:val="00790422"/>
    <w:rsid w:val="007915DA"/>
    <w:rsid w:val="007B53CC"/>
    <w:rsid w:val="007C212E"/>
    <w:rsid w:val="007C29B1"/>
    <w:rsid w:val="007E5A82"/>
    <w:rsid w:val="00800CB3"/>
    <w:rsid w:val="00802A50"/>
    <w:rsid w:val="00810B3C"/>
    <w:rsid w:val="00810C64"/>
    <w:rsid w:val="00825313"/>
    <w:rsid w:val="00860EC0"/>
    <w:rsid w:val="00881663"/>
    <w:rsid w:val="008D686F"/>
    <w:rsid w:val="008E2FDD"/>
    <w:rsid w:val="009059D0"/>
    <w:rsid w:val="00934A0E"/>
    <w:rsid w:val="00943D15"/>
    <w:rsid w:val="00982472"/>
    <w:rsid w:val="009A66F2"/>
    <w:rsid w:val="009C3493"/>
    <w:rsid w:val="009F11CF"/>
    <w:rsid w:val="00A64D03"/>
    <w:rsid w:val="00A96EB9"/>
    <w:rsid w:val="00AA0D65"/>
    <w:rsid w:val="00AC09AE"/>
    <w:rsid w:val="00AE0E75"/>
    <w:rsid w:val="00B104EC"/>
    <w:rsid w:val="00B40E07"/>
    <w:rsid w:val="00B50E51"/>
    <w:rsid w:val="00B55C00"/>
    <w:rsid w:val="00B804DC"/>
    <w:rsid w:val="00BA5302"/>
    <w:rsid w:val="00BC5707"/>
    <w:rsid w:val="00BE6C85"/>
    <w:rsid w:val="00BF356F"/>
    <w:rsid w:val="00BF7838"/>
    <w:rsid w:val="00C07D21"/>
    <w:rsid w:val="00C21965"/>
    <w:rsid w:val="00C22155"/>
    <w:rsid w:val="00C22BBE"/>
    <w:rsid w:val="00C41DAD"/>
    <w:rsid w:val="00C664E8"/>
    <w:rsid w:val="00CC530A"/>
    <w:rsid w:val="00CF660D"/>
    <w:rsid w:val="00D47111"/>
    <w:rsid w:val="00D70275"/>
    <w:rsid w:val="00D84650"/>
    <w:rsid w:val="00DB0C5B"/>
    <w:rsid w:val="00E033BC"/>
    <w:rsid w:val="00E37028"/>
    <w:rsid w:val="00E37785"/>
    <w:rsid w:val="00E607BD"/>
    <w:rsid w:val="00E77A9F"/>
    <w:rsid w:val="00E81B4A"/>
    <w:rsid w:val="00EB318E"/>
    <w:rsid w:val="00EE38E4"/>
    <w:rsid w:val="00EE759D"/>
    <w:rsid w:val="00EF1D13"/>
    <w:rsid w:val="00F147ED"/>
    <w:rsid w:val="00F409BB"/>
    <w:rsid w:val="00F6465C"/>
    <w:rsid w:val="00F80859"/>
    <w:rsid w:val="00F91103"/>
    <w:rsid w:val="00F973DB"/>
    <w:rsid w:val="00FB000C"/>
    <w:rsid w:val="00FC4938"/>
    <w:rsid w:val="00FC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4D18E2"/>
    <w:pPr>
      <w:numPr>
        <w:numId w:val="13"/>
      </w:numPr>
      <w:spacing w:after="0" w:line="240" w:lineRule="auto"/>
    </w:pPr>
    <w:rPr>
      <w:lang w:val="en-GB"/>
    </w:rPr>
  </w:style>
  <w:style w:type="character" w:customStyle="1" w:styleId="SecondnumberingChar">
    <w:name w:val="Second numbering Char"/>
    <w:basedOn w:val="DefaultParagraphFont"/>
    <w:link w:val="Secondnumbering"/>
    <w:rsid w:val="004D18E2"/>
    <w:rPr>
      <w:lang w:val="en-GB"/>
    </w:rPr>
  </w:style>
  <w:style w:type="paragraph" w:styleId="FootnoteText">
    <w:name w:val="footnote text"/>
    <w:basedOn w:val="Normal"/>
    <w:link w:val="FootnoteTextChar"/>
    <w:uiPriority w:val="99"/>
    <w:semiHidden/>
    <w:unhideWhenUsed/>
    <w:rsid w:val="007C2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29B1"/>
    <w:rPr>
      <w:sz w:val="20"/>
      <w:szCs w:val="20"/>
    </w:rPr>
  </w:style>
  <w:style w:type="character" w:styleId="CommentReference">
    <w:name w:val="annotation reference"/>
    <w:basedOn w:val="DefaultParagraphFont"/>
    <w:uiPriority w:val="99"/>
    <w:semiHidden/>
    <w:unhideWhenUsed/>
    <w:rsid w:val="008E2FDD"/>
    <w:rPr>
      <w:sz w:val="16"/>
      <w:szCs w:val="16"/>
    </w:rPr>
  </w:style>
  <w:style w:type="character" w:styleId="FollowedHyperlink">
    <w:name w:val="FollowedHyperlink"/>
    <w:basedOn w:val="DefaultParagraphFont"/>
    <w:uiPriority w:val="99"/>
    <w:semiHidden/>
    <w:unhideWhenUsed/>
    <w:rsid w:val="00860EC0"/>
    <w:rPr>
      <w:color w:val="954F72" w:themeColor="followedHyperlink"/>
      <w:u w:val="single"/>
    </w:rPr>
  </w:style>
  <w:style w:type="character" w:styleId="UnresolvedMention">
    <w:name w:val="Unresolved Mention"/>
    <w:basedOn w:val="DefaultParagraphFont"/>
    <w:uiPriority w:val="99"/>
    <w:semiHidden/>
    <w:unhideWhenUsed/>
    <w:rsid w:val="00EE3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stards-without-borders.org/" TargetMode="External"/><Relationship Id="rId18" Type="http://schemas.openxmlformats.org/officeDocument/2006/relationships/hyperlink" Target="https://www.cms.int/en/document/action-plans-birds-9"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en/document/action-plan-migratory-landbirds-african-eurasian-region-aemlap-10" TargetMode="External"/><Relationship Id="rId17" Type="http://schemas.openxmlformats.org/officeDocument/2006/relationships/hyperlink" Target="https://www.euflynet.eu/"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preventing-poisoning-migratory-birds-10"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n/document/multi-species-action-plan-bustards"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ction-plans-birds-9"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5970B70C-8227-4922-AAE9-FAFE6612C2DF}"/>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113</TotalTime>
  <Pages>15</Pages>
  <Words>6919</Words>
  <Characters>39443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84</cp:revision>
  <dcterms:created xsi:type="dcterms:W3CDTF">2025-09-12T12:29:00Z</dcterms:created>
  <dcterms:modified xsi:type="dcterms:W3CDTF">2025-09-15T10:14:00Z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