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8C51EB" w14:textId="77777777" w:rsidR="00D8665D" w:rsidRPr="00EC2A58" w:rsidRDefault="00D8665D" w:rsidP="00D8665D">
      <w:pPr>
        <w:widowControl w:val="0"/>
        <w:tabs>
          <w:tab w:val="left" w:pos="-1057"/>
          <w:tab w:val="left" w:pos="-720"/>
        </w:tabs>
        <w:suppressAutoHyphens/>
        <w:autoSpaceDE w:val="0"/>
        <w:autoSpaceDN w:val="0"/>
        <w:spacing w:after="0" w:line="240" w:lineRule="auto"/>
        <w:textAlignment w:val="baseline"/>
        <w:rPr>
          <w:rFonts w:eastAsia="Times New Roman" w:cs="Arial"/>
          <w:spacing w:val="-8"/>
          <w:sz w:val="12"/>
          <w:szCs w:val="12"/>
          <w:lang w:val="fr-FR"/>
        </w:rPr>
      </w:pPr>
    </w:p>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D8665D" w:rsidRPr="00D8665D" w14:paraId="117DBB06" w14:textId="77777777" w:rsidTr="00B66A42">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052F7273" w14:textId="77777777" w:rsidR="00D8665D" w:rsidRPr="00EC2A58" w:rsidRDefault="00D8665D" w:rsidP="00B66A42">
            <w:pPr>
              <w:widowControl w:val="0"/>
              <w:suppressAutoHyphens/>
              <w:autoSpaceDE w:val="0"/>
              <w:autoSpaceDN w:val="0"/>
              <w:spacing w:after="0" w:line="240" w:lineRule="auto"/>
              <w:textAlignment w:val="baseline"/>
              <w:rPr>
                <w:rFonts w:ascii="Calibri" w:eastAsia="Calibri" w:hAnsi="Calibri" w:cs="Times New Roman"/>
              </w:rPr>
            </w:pPr>
            <w:bookmarkStart w:id="0" w:name="_Hlk208560930"/>
            <w:r w:rsidRPr="00EC2A58">
              <w:rPr>
                <w:rFonts w:eastAsia="Times New Roman" w:cs="Arial"/>
                <w:noProof/>
              </w:rPr>
              <w:drawing>
                <wp:inline distT="0" distB="0" distL="0" distR="0" wp14:anchorId="22FEB56B" wp14:editId="20829DF1">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p w14:paraId="08466399" w14:textId="77777777" w:rsidR="00D8665D" w:rsidRPr="00EC2A58" w:rsidRDefault="00D8665D" w:rsidP="00B66A42">
            <w:pPr>
              <w:widowControl w:val="0"/>
              <w:suppressAutoHyphens/>
              <w:autoSpaceDE w:val="0"/>
              <w:autoSpaceDN w:val="0"/>
              <w:spacing w:after="0" w:line="240" w:lineRule="auto"/>
              <w:textAlignment w:val="baseline"/>
              <w:rPr>
                <w:rFonts w:eastAsia="Times New Roman"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0F679271" w14:textId="77777777" w:rsidR="00D8665D" w:rsidRPr="00EC2A58" w:rsidRDefault="00D8665D" w:rsidP="00B66A42">
            <w:pPr>
              <w:keepNext/>
              <w:widowControl w:val="0"/>
              <w:suppressAutoHyphens/>
              <w:autoSpaceDE w:val="0"/>
              <w:autoSpaceDN w:val="0"/>
              <w:spacing w:after="0" w:line="240" w:lineRule="auto"/>
              <w:ind w:left="-108"/>
              <w:textAlignment w:val="baseline"/>
              <w:outlineLvl w:val="1"/>
              <w:rPr>
                <w:rFonts w:eastAsia="Times New Roman" w:cs="Arial"/>
                <w:sz w:val="12"/>
                <w:szCs w:val="12"/>
                <w:lang w:val="fr-FR"/>
              </w:rPr>
            </w:pPr>
          </w:p>
          <w:p w14:paraId="1369B2D3" w14:textId="77777777" w:rsidR="00D8665D" w:rsidRPr="00EC2A58" w:rsidRDefault="00D8665D" w:rsidP="00B66A42">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CONVENTION SUR</w:t>
            </w:r>
          </w:p>
          <w:p w14:paraId="58FDFDDA" w14:textId="77777777" w:rsidR="00D8665D" w:rsidRPr="00EC2A58" w:rsidRDefault="00D8665D" w:rsidP="00B66A42">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LES ESPÈCES</w:t>
            </w:r>
          </w:p>
          <w:p w14:paraId="23006CB0" w14:textId="77777777" w:rsidR="00D8665D" w:rsidRPr="00EC2A58" w:rsidRDefault="00D8665D" w:rsidP="00B66A42">
            <w:pPr>
              <w:keepNext/>
              <w:widowControl w:val="0"/>
              <w:suppressAutoHyphens/>
              <w:autoSpaceDE w:val="0"/>
              <w:autoSpaceDN w:val="0"/>
              <w:spacing w:after="0" w:line="240" w:lineRule="auto"/>
              <w:ind w:left="-108"/>
              <w:textAlignment w:val="baseline"/>
              <w:outlineLvl w:val="1"/>
              <w:rPr>
                <w:rFonts w:ascii="Calibri" w:eastAsia="Calibri" w:hAnsi="Calibri" w:cs="Times New Roman"/>
                <w:lang w:val="fr-FR"/>
              </w:rPr>
            </w:pPr>
            <w:r w:rsidRPr="00EC2A58">
              <w:rPr>
                <w:rFonts w:eastAsia="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62566344" w14:textId="54BBC9BF" w:rsidR="00D8665D" w:rsidRPr="00AF3AEC" w:rsidRDefault="00D8665D" w:rsidP="00B66A4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sidRPr="00EC2A58">
              <w:rPr>
                <w:rFonts w:eastAsia="Arial" w:cs="Arial"/>
                <w:lang w:val="fr-FR"/>
              </w:rPr>
              <w:t>UNEP/CMS/COP1</w:t>
            </w:r>
            <w:r>
              <w:rPr>
                <w:rFonts w:eastAsia="Arial" w:cs="Arial"/>
                <w:lang w:val="fr-FR"/>
              </w:rPr>
              <w:t>5</w:t>
            </w:r>
            <w:r w:rsidRPr="00EC2A58">
              <w:rPr>
                <w:rFonts w:eastAsia="Arial" w:cs="Arial"/>
                <w:lang w:val="fr-FR"/>
              </w:rPr>
              <w:t>/Doc.</w:t>
            </w:r>
            <w:r w:rsidR="0070324E">
              <w:rPr>
                <w:rFonts w:eastAsia="Arial" w:cs="Arial"/>
                <w:lang w:val="fr-FR"/>
              </w:rPr>
              <w:t>26.4.3</w:t>
            </w:r>
          </w:p>
          <w:p w14:paraId="272B24E9" w14:textId="4BCB83AC" w:rsidR="00D8665D" w:rsidRPr="00AF3AEC" w:rsidRDefault="0070324E" w:rsidP="00B66A42">
            <w:pPr>
              <w:widowControl w:val="0"/>
              <w:tabs>
                <w:tab w:val="left" w:pos="5040"/>
                <w:tab w:val="left" w:pos="5760"/>
                <w:tab w:val="left" w:pos="6008"/>
                <w:tab w:val="left" w:pos="6480"/>
                <w:tab w:val="left" w:pos="7200"/>
                <w:tab w:val="left" w:pos="7920"/>
                <w:tab w:val="left" w:pos="8640"/>
              </w:tabs>
              <w:suppressAutoHyphens/>
              <w:autoSpaceDE w:val="0"/>
              <w:autoSpaceDN w:val="0"/>
              <w:spacing w:before="120" w:after="120" w:line="240" w:lineRule="auto"/>
              <w:textAlignment w:val="baseline"/>
              <w:rPr>
                <w:rFonts w:eastAsia="Arial" w:cs="Arial"/>
                <w:lang w:val="fr-FR"/>
              </w:rPr>
            </w:pPr>
            <w:r>
              <w:rPr>
                <w:rFonts w:eastAsia="Arial" w:cs="Arial"/>
                <w:lang w:val="fr-FR"/>
              </w:rPr>
              <w:t xml:space="preserve">30 septembre </w:t>
            </w:r>
            <w:r w:rsidR="00D8665D" w:rsidRPr="00AF3AEC">
              <w:rPr>
                <w:rFonts w:eastAsia="Arial" w:cs="Arial"/>
                <w:lang w:val="fr-FR"/>
              </w:rPr>
              <w:t>2025</w:t>
            </w:r>
          </w:p>
          <w:p w14:paraId="3D33C620" w14:textId="77777777" w:rsidR="00D8665D" w:rsidRPr="00FC4F18" w:rsidRDefault="00D8665D" w:rsidP="00B66A42">
            <w:pPr>
              <w:widowControl w:val="0"/>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Français</w:t>
            </w:r>
          </w:p>
          <w:p w14:paraId="06449E68" w14:textId="77777777" w:rsidR="00D8665D" w:rsidRPr="00FC4F18" w:rsidRDefault="00D8665D" w:rsidP="00B66A42">
            <w:pPr>
              <w:widowControl w:val="0"/>
              <w:suppressAutoHyphens/>
              <w:autoSpaceDE w:val="0"/>
              <w:autoSpaceDN w:val="0"/>
              <w:spacing w:after="120" w:line="240" w:lineRule="auto"/>
              <w:textAlignment w:val="baseline"/>
              <w:rPr>
                <w:rFonts w:ascii="Calibri" w:eastAsia="Calibri" w:hAnsi="Calibri" w:cs="Times New Roman"/>
                <w:lang w:val="fr-FR"/>
              </w:rPr>
            </w:pPr>
            <w:r w:rsidRPr="00EC2A58">
              <w:rPr>
                <w:rFonts w:eastAsia="Arial" w:cs="Arial"/>
                <w:lang w:val="fr-FR"/>
              </w:rPr>
              <w:t>Original : Anglais</w:t>
            </w:r>
          </w:p>
        </w:tc>
      </w:tr>
    </w:tbl>
    <w:p w14:paraId="1F7C9459" w14:textId="77777777" w:rsidR="00D8665D" w:rsidRPr="00EC2A58" w:rsidRDefault="00D8665D" w:rsidP="00D8665D">
      <w:pPr>
        <w:widowControl w:val="0"/>
        <w:tabs>
          <w:tab w:val="left" w:pos="-1057"/>
          <w:tab w:val="left" w:pos="-720"/>
        </w:tabs>
        <w:suppressAutoHyphens/>
        <w:autoSpaceDE w:val="0"/>
        <w:autoSpaceDN w:val="0"/>
        <w:spacing w:after="0" w:line="240" w:lineRule="auto"/>
        <w:textAlignment w:val="baseline"/>
        <w:rPr>
          <w:rFonts w:eastAsia="Arial" w:cs="Arial"/>
          <w:sz w:val="8"/>
          <w:szCs w:val="8"/>
          <w:lang w:val="fr-FR"/>
        </w:rPr>
      </w:pPr>
      <w:bookmarkStart w:id="1" w:name="_Hlk208560946"/>
      <w:bookmarkEnd w:id="0"/>
    </w:p>
    <w:p w14:paraId="0953D288" w14:textId="77777777" w:rsidR="00D8665D" w:rsidRPr="00EC2A58" w:rsidRDefault="00D8665D" w:rsidP="00D8665D">
      <w:pPr>
        <w:widowControl w:val="0"/>
        <w:tabs>
          <w:tab w:val="left" w:pos="-1057"/>
          <w:tab w:val="left" w:pos="-720"/>
        </w:tabs>
        <w:suppressAutoHyphens/>
        <w:autoSpaceDE w:val="0"/>
        <w:autoSpaceDN w:val="0"/>
        <w:spacing w:after="0" w:line="240" w:lineRule="auto"/>
        <w:textAlignment w:val="baseline"/>
        <w:rPr>
          <w:rFonts w:ascii="Calibri" w:eastAsia="Calibri" w:hAnsi="Calibri" w:cs="Times New Roman"/>
          <w:lang w:val="fr-FR"/>
        </w:rPr>
      </w:pPr>
      <w:r w:rsidRPr="00EC2A58">
        <w:rPr>
          <w:rFonts w:eastAsia="Arial" w:cs="Arial"/>
          <w:lang w:val="fr-FR"/>
        </w:rPr>
        <w:t>1</w:t>
      </w:r>
      <w:r>
        <w:rPr>
          <w:rFonts w:eastAsia="Arial" w:cs="Arial"/>
          <w:lang w:val="fr-FR"/>
        </w:rPr>
        <w:t>5</w:t>
      </w:r>
      <w:r w:rsidRPr="00EC2A58">
        <w:rPr>
          <w:rFonts w:eastAsia="Arial" w:cs="Arial"/>
          <w:vertAlign w:val="superscript"/>
          <w:lang w:val="fr-FR"/>
        </w:rPr>
        <w:t>ème</w:t>
      </w:r>
      <w:r w:rsidRPr="00EC2A58">
        <w:rPr>
          <w:rFonts w:eastAsia="Arial" w:cs="Arial"/>
          <w:lang w:val="fr-FR"/>
        </w:rPr>
        <w:t xml:space="preserve"> SESSION DE LA CONFÉRENCE DES PARTIES</w:t>
      </w:r>
    </w:p>
    <w:p w14:paraId="6FC067B9" w14:textId="77777777" w:rsidR="00D8665D" w:rsidRPr="00EC2A58" w:rsidRDefault="00D8665D" w:rsidP="00D8665D">
      <w:pPr>
        <w:widowControl w:val="0"/>
        <w:pBdr>
          <w:top w:val="single" w:sz="6" w:space="0" w:color="FFFFFF"/>
          <w:left w:val="single" w:sz="6" w:space="0" w:color="FFFFFF"/>
          <w:bottom w:val="single" w:sz="6" w:space="0" w:color="FFFFFF"/>
          <w:right w:val="single" w:sz="6" w:space="0" w:color="FFFFFF"/>
        </w:pBdr>
        <w:suppressAutoHyphens/>
        <w:autoSpaceDE w:val="0"/>
        <w:autoSpaceDN w:val="0"/>
        <w:spacing w:after="0" w:line="228" w:lineRule="auto"/>
        <w:textAlignment w:val="baseline"/>
        <w:outlineLvl w:val="1"/>
        <w:rPr>
          <w:rFonts w:ascii="Calibri" w:eastAsia="Calibri" w:hAnsi="Calibri" w:cs="Times New Roman"/>
          <w:lang w:val="fr-FR"/>
        </w:rPr>
      </w:pPr>
      <w:r>
        <w:rPr>
          <w:rFonts w:eastAsia="Arial" w:cs="Arial"/>
          <w:bCs/>
          <w:lang w:val="fr-FR"/>
        </w:rPr>
        <w:t>Campo Grande, Brésil, 23 au 29 mars 2026</w:t>
      </w:r>
    </w:p>
    <w:p w14:paraId="43580683" w14:textId="6EA55A2C" w:rsidR="00D8665D" w:rsidRPr="00EC2A58" w:rsidRDefault="00D8665D" w:rsidP="00D8665D">
      <w:pPr>
        <w:widowControl w:val="0"/>
        <w:suppressAutoHyphens/>
        <w:autoSpaceDE w:val="0"/>
        <w:autoSpaceDN w:val="0"/>
        <w:spacing w:after="0" w:line="228" w:lineRule="auto"/>
        <w:textAlignment w:val="baseline"/>
        <w:rPr>
          <w:rFonts w:ascii="Calibri" w:eastAsia="Calibri" w:hAnsi="Calibri" w:cs="Times New Roman"/>
          <w:lang w:val="fr-FR"/>
        </w:rPr>
      </w:pPr>
      <w:r w:rsidRPr="00EC2A58">
        <w:rPr>
          <w:rFonts w:eastAsia="Arial" w:cs="Arial"/>
          <w:iCs/>
          <w:lang w:val="fr-FR"/>
        </w:rPr>
        <w:t xml:space="preserve">Point </w:t>
      </w:r>
      <w:r w:rsidR="0070324E">
        <w:rPr>
          <w:rFonts w:eastAsia="Arial" w:cs="Arial"/>
          <w:iCs/>
          <w:lang w:val="fr-FR"/>
        </w:rPr>
        <w:t>26.4.3</w:t>
      </w:r>
      <w:r w:rsidRPr="00EC2A58">
        <w:rPr>
          <w:rFonts w:eastAsia="Arial" w:cs="Arial"/>
          <w:iCs/>
          <w:lang w:val="fr-FR"/>
        </w:rPr>
        <w:t xml:space="preserve"> de l’ordre du jour</w:t>
      </w:r>
    </w:p>
    <w:bookmarkEnd w:id="1"/>
    <w:p w14:paraId="71609E16"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lang w:val="fr-FR"/>
        </w:rPr>
      </w:pPr>
    </w:p>
    <w:p w14:paraId="229DA648"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lang w:val="fr-FR"/>
        </w:rPr>
      </w:pPr>
    </w:p>
    <w:p w14:paraId="1500EE67" w14:textId="77777777" w:rsidR="007C1D5C" w:rsidRPr="009D4EA7" w:rsidRDefault="006B775D">
      <w:pPr>
        <w:widowControl w:val="0"/>
        <w:suppressAutoHyphens/>
        <w:autoSpaceDE w:val="0"/>
        <w:autoSpaceDN w:val="0"/>
        <w:spacing w:after="0" w:line="240" w:lineRule="auto"/>
        <w:jc w:val="center"/>
        <w:textAlignment w:val="baseline"/>
        <w:rPr>
          <w:rFonts w:eastAsia="Times New Roman" w:cs="Arial"/>
          <w:b/>
          <w:bCs/>
          <w:lang w:val="fr-FR"/>
        </w:rPr>
      </w:pPr>
      <w:r w:rsidRPr="009D4EA7">
        <w:rPr>
          <w:rFonts w:eastAsia="Times New Roman" w:cs="Arial"/>
          <w:b/>
          <w:bCs/>
          <w:lang w:val="fr-FR"/>
        </w:rPr>
        <w:t xml:space="preserve">PLAN D’ACTION MONDIAL POUR LA CONSERVATION DE L’AIGLE DES STEPPES </w:t>
      </w:r>
    </w:p>
    <w:p w14:paraId="5FC69B84" w14:textId="77777777" w:rsidR="007C1D5C" w:rsidRPr="009D4EA7" w:rsidRDefault="006B775D">
      <w:pPr>
        <w:widowControl w:val="0"/>
        <w:suppressAutoHyphens/>
        <w:autoSpaceDE w:val="0"/>
        <w:autoSpaceDN w:val="0"/>
        <w:spacing w:after="120" w:line="240" w:lineRule="auto"/>
        <w:jc w:val="center"/>
        <w:textAlignment w:val="baseline"/>
        <w:rPr>
          <w:rFonts w:eastAsia="Times New Roman" w:cs="Arial"/>
          <w:b/>
          <w:bCs/>
          <w:lang w:val="fr-FR"/>
        </w:rPr>
      </w:pPr>
      <w:r w:rsidRPr="009D4EA7">
        <w:rPr>
          <w:rFonts w:eastAsia="Times New Roman" w:cs="Arial"/>
          <w:b/>
          <w:bCs/>
          <w:lang w:val="fr-FR"/>
        </w:rPr>
        <w:t>(</w:t>
      </w:r>
      <w:r w:rsidRPr="009D4EA7">
        <w:rPr>
          <w:rFonts w:eastAsia="Times New Roman" w:cs="Arial"/>
          <w:b/>
          <w:bCs/>
          <w:i/>
          <w:iCs/>
          <w:lang w:val="fr-FR"/>
        </w:rPr>
        <w:t>Aquila nipalensis</w:t>
      </w:r>
      <w:r w:rsidRPr="009D4EA7">
        <w:rPr>
          <w:rFonts w:eastAsia="Times New Roman" w:cs="Arial"/>
          <w:b/>
          <w:bCs/>
          <w:lang w:val="fr-FR"/>
        </w:rPr>
        <w:t xml:space="preserve">) (2025 - 2035) </w:t>
      </w:r>
    </w:p>
    <w:p w14:paraId="6148F656" w14:textId="52EA6280" w:rsidR="007C1D5C" w:rsidRPr="009D4EA7" w:rsidRDefault="006B775D">
      <w:pPr>
        <w:widowControl w:val="0"/>
        <w:suppressAutoHyphens/>
        <w:autoSpaceDE w:val="0"/>
        <w:autoSpaceDN w:val="0"/>
        <w:spacing w:after="0" w:line="240" w:lineRule="auto"/>
        <w:jc w:val="center"/>
        <w:textAlignment w:val="baseline"/>
        <w:rPr>
          <w:rFonts w:ascii="Calibri" w:eastAsia="Calibri" w:hAnsi="Calibri" w:cs="Times New Roman"/>
          <w:lang w:val="fr-FR"/>
        </w:rPr>
      </w:pPr>
      <w:r w:rsidRPr="009D4EA7">
        <w:rPr>
          <w:rFonts w:eastAsia="Times New Roman" w:cs="Arial"/>
          <w:i/>
          <w:lang w:val="fr-FR"/>
        </w:rPr>
        <w:t>(Préparé par le Secrétariat)</w:t>
      </w:r>
    </w:p>
    <w:p w14:paraId="471F23D9" w14:textId="53DB7C74" w:rsidR="007C1D5C" w:rsidRPr="009D4EA7" w:rsidRDefault="007C1D5C">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10AF172C" w14:textId="04D1A32B" w:rsidR="007C1D5C" w:rsidRPr="009D4EA7" w:rsidRDefault="00682595">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r w:rsidRPr="009D4EA7">
        <w:rPr>
          <w:rFonts w:eastAsia="Times New Roman" w:cs="Arial"/>
          <w:noProof/>
          <w:sz w:val="21"/>
          <w:szCs w:val="21"/>
          <w:lang w:val="fr-FR"/>
        </w:rPr>
        <mc:AlternateContent>
          <mc:Choice Requires="wps">
            <w:drawing>
              <wp:anchor distT="0" distB="0" distL="114300" distR="114300" simplePos="0" relativeHeight="251658240" behindDoc="1" locked="0" layoutInCell="1" allowOverlap="1" wp14:anchorId="6AF39586" wp14:editId="1D6F1F38">
                <wp:simplePos x="0" y="0"/>
                <wp:positionH relativeFrom="margin">
                  <wp:posOffset>899160</wp:posOffset>
                </wp:positionH>
                <wp:positionV relativeFrom="margin">
                  <wp:posOffset>3246120</wp:posOffset>
                </wp:positionV>
                <wp:extent cx="4304665" cy="2534920"/>
                <wp:effectExtent l="0" t="0" r="19685" b="17780"/>
                <wp:wrapSquare wrapText="bothSides"/>
                <wp:docPr id="5" name="Text Box 5"/>
                <wp:cNvGraphicFramePr/>
                <a:graphic xmlns:a="http://schemas.openxmlformats.org/drawingml/2006/main">
                  <a:graphicData uri="http://schemas.microsoft.com/office/word/2010/wordprocessingShape">
                    <wps:wsp>
                      <wps:cNvSpPr txBox="1"/>
                      <wps:spPr>
                        <a:xfrm>
                          <a:off x="0" y="0"/>
                          <a:ext cx="4304665" cy="2534920"/>
                        </a:xfrm>
                        <a:prstGeom prst="rect">
                          <a:avLst/>
                        </a:prstGeom>
                        <a:solidFill>
                          <a:srgbClr val="FFFFFF"/>
                        </a:solidFill>
                        <a:ln w="3172">
                          <a:solidFill>
                            <a:srgbClr val="000000"/>
                          </a:solidFill>
                          <a:prstDash val="solid"/>
                        </a:ln>
                      </wps:spPr>
                      <wps:txbx>
                        <w:txbxContent>
                          <w:p w14:paraId="7E82E921" w14:textId="796D53DA" w:rsidR="007C1D5C" w:rsidRDefault="006B775D">
                            <w:pPr>
                              <w:spacing w:after="0"/>
                              <w:jc w:val="both"/>
                              <w:rPr>
                                <w:rFonts w:cs="Arial"/>
                                <w:lang w:val="fr-FR"/>
                              </w:rPr>
                            </w:pPr>
                            <w:r>
                              <w:rPr>
                                <w:rFonts w:cs="Arial"/>
                                <w:lang w:val="fr-FR"/>
                              </w:rPr>
                              <w:t>Résumé</w:t>
                            </w:r>
                            <w:r w:rsidR="007B4F52">
                              <w:rPr>
                                <w:rFonts w:cs="Arial"/>
                                <w:lang w:val="fr-FR"/>
                              </w:rPr>
                              <w:t> </w:t>
                            </w:r>
                            <w:r>
                              <w:rPr>
                                <w:rFonts w:cs="Arial"/>
                                <w:lang w:val="fr-FR"/>
                              </w:rPr>
                              <w:t>:</w:t>
                            </w:r>
                          </w:p>
                          <w:p w14:paraId="7F368B0C" w14:textId="77777777" w:rsidR="007C1D5C" w:rsidRDefault="007C1D5C">
                            <w:pPr>
                              <w:spacing w:after="0"/>
                              <w:jc w:val="both"/>
                              <w:rPr>
                                <w:rFonts w:cs="Arial"/>
                                <w:lang w:val="fr-FR"/>
                              </w:rPr>
                            </w:pPr>
                          </w:p>
                          <w:p w14:paraId="6A81597F" w14:textId="7236CAFA" w:rsidR="007C1D5C" w:rsidRDefault="006B775D" w:rsidP="0070324E">
                            <w:pPr>
                              <w:spacing w:after="0" w:line="240" w:lineRule="auto"/>
                              <w:jc w:val="both"/>
                              <w:rPr>
                                <w:rFonts w:cs="Arial"/>
                                <w:lang w:val="fr-FR"/>
                              </w:rPr>
                            </w:pPr>
                            <w:r>
                              <w:rPr>
                                <w:rFonts w:cs="Arial"/>
                                <w:lang w:val="fr-FR"/>
                              </w:rPr>
                              <w:t>Ce document présente le Plan d’action mondial pour la conservation de l’aigle des steppes (Plan d’action mondial pour l’aigle des steppes) en vue de son adoption. Une sélection des sections clés du projet final du Plan d’action mondial pour l’aigle des steppes est incluse dans l’annexe du présent document et le projet de plan complet est mis à disposition en tant que document d’information.</w:t>
                            </w:r>
                          </w:p>
                          <w:p w14:paraId="7F534D00" w14:textId="77777777" w:rsidR="007C1D5C" w:rsidRDefault="007C1D5C" w:rsidP="0070324E">
                            <w:pPr>
                              <w:spacing w:after="0" w:line="240" w:lineRule="auto"/>
                              <w:jc w:val="both"/>
                              <w:rPr>
                                <w:rFonts w:cs="Arial"/>
                                <w:lang w:val="fr-FR"/>
                              </w:rPr>
                            </w:pPr>
                          </w:p>
                          <w:p w14:paraId="39BE0079" w14:textId="1098A879" w:rsidR="007C1D5C" w:rsidRDefault="006B775D" w:rsidP="0070324E">
                            <w:pPr>
                              <w:spacing w:after="0" w:line="240" w:lineRule="auto"/>
                              <w:jc w:val="both"/>
                              <w:rPr>
                                <w:rFonts w:cs="Arial"/>
                                <w:iCs/>
                                <w:lang w:val="fr-FR"/>
                              </w:rPr>
                            </w:pPr>
                            <w:r>
                              <w:rPr>
                                <w:rFonts w:cs="Arial"/>
                                <w:iCs/>
                                <w:lang w:val="fr-FR"/>
                              </w:rPr>
                              <w:t>Le Plan d’action mondial pour l’aigle des steppes contribuerait à l’atteinte des Cibles</w:t>
                            </w:r>
                            <w:r w:rsidR="007B4F52">
                              <w:rPr>
                                <w:rFonts w:cs="Arial"/>
                                <w:iCs/>
                                <w:lang w:val="fr-FR"/>
                              </w:rPr>
                              <w:t> </w:t>
                            </w:r>
                            <w:r>
                              <w:rPr>
                                <w:rFonts w:cs="Arial"/>
                                <w:iCs/>
                                <w:lang w:val="fr-FR"/>
                              </w:rPr>
                              <w:t>1.1 à</w:t>
                            </w:r>
                            <w:r w:rsidR="007B4F52">
                              <w:rPr>
                                <w:rFonts w:cs="Arial"/>
                                <w:iCs/>
                                <w:lang w:val="fr-FR"/>
                              </w:rPr>
                              <w:t> </w:t>
                            </w:r>
                            <w:r>
                              <w:rPr>
                                <w:rFonts w:cs="Arial"/>
                                <w:iCs/>
                                <w:lang w:val="fr-FR"/>
                              </w:rPr>
                              <w:t>1.3, 2.1, 2.2, 3.1, 3.2</w:t>
                            </w:r>
                            <w:r w:rsidR="007B4F52">
                              <w:rPr>
                                <w:rFonts w:cs="Arial"/>
                                <w:iCs/>
                                <w:lang w:val="fr-FR"/>
                              </w:rPr>
                              <w:t> </w:t>
                            </w:r>
                            <w:r>
                              <w:rPr>
                                <w:rFonts w:cs="Arial"/>
                                <w:iCs/>
                                <w:lang w:val="fr-FR"/>
                              </w:rPr>
                              <w:t>et</w:t>
                            </w:r>
                            <w:r w:rsidR="007B4F52">
                              <w:rPr>
                                <w:rFonts w:cs="Arial"/>
                                <w:iCs/>
                                <w:lang w:val="fr-FR"/>
                              </w:rPr>
                              <w:t> </w:t>
                            </w:r>
                            <w:r>
                              <w:rPr>
                                <w:rFonts w:cs="Arial"/>
                                <w:iCs/>
                                <w:lang w:val="fr-FR"/>
                              </w:rPr>
                              <w:t>5.5 du Plan stratégique de Samarcande pour les espèces migratrices</w:t>
                            </w:r>
                            <w:r w:rsidR="007B4F52">
                              <w:rPr>
                                <w:rFonts w:cs="Arial"/>
                                <w:iCs/>
                                <w:lang w:val="fr-FR"/>
                              </w:rPr>
                              <w:t> </w:t>
                            </w:r>
                            <w:r>
                              <w:rPr>
                                <w:rFonts w:cs="Arial"/>
                                <w:iCs/>
                                <w:lang w:val="fr-FR"/>
                              </w:rPr>
                              <w:t>2024–2032.</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6AF39586" id="_x0000_t202" coordsize="21600,21600" o:spt="202" path="m,l,21600r21600,l21600,xe">
                <v:stroke joinstyle="miter"/>
                <v:path gradientshapeok="t" o:connecttype="rect"/>
              </v:shapetype>
              <v:shape id="Text Box 5" o:spid="_x0000_s1026" type="#_x0000_t202" style="position:absolute;left:0;text-align:left;margin-left:70.8pt;margin-top:255.6pt;width:338.95pt;height:199.6pt;z-index:-251658240;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IL5wEAANQDAAAOAAAAZHJzL2Uyb0RvYy54bWysU8GO0zAQvSPxD5bvNGmadtmo6Qq2KkJa&#10;AVLhAxzHaSw5HmO7TcrXM3ZC24U9rcjB8XjGb968Ga8fhk6Rk7BOgi7pfJZSIjSHWupDSX983717&#10;T4nzTNdMgRYlPQtHHzZv36x7U4gMWlC1sARBtCt6U9LWe1MkieOt6JibgREanQ3Yjnk07SGpLesR&#10;vVNJlqarpAdbGwtcOIen29FJNxG/aQT3X5vGCU9USZGbj6uNaxXWZLNmxcEy00o+0WCvYNExqTHp&#10;BWrLPCNHK/+B6iS34KDxMw5dAk0juYg1YDXz9K9q9i0zItaC4jhzkcn9P1j+5bQ33yzxw0cYsIFB&#10;kN64wuFhqGdobBf+yJSgHyU8X2QTgyccD/NFmq9WS0o4+rLlIr/PorDJ9bqxzn8S0JGwKanFvkS5&#10;2OnJeUyJoX9CQjYHStY7qVQ07KF6VJacGPZwF7/AEq88C1Oa9CVdzO+yiPzM524h0vi9BBEobJlr&#10;x1QRYQpTGhNedQk7P1TDJFYF9Rk1xGeAtbVgf1HS40iV1P08MisoUZ819ux+nudhBqORL+9QJWJv&#10;PdWth2mOUCX1lIzbRz/OLQ6OYf5J7w0PrQgSafhw9NDIKGUgNzKaOOPoRLmmMQ+zeWvHqOtj3PwG&#10;AAD//wMAUEsDBBQABgAIAAAAIQBCA+f04AAAAAsBAAAPAAAAZHJzL2Rvd25yZXYueG1sTI8xT8Mw&#10;EIV3JP6DdUhs1HHUlDaNUyEQUgaWFAZGN3aTQHyObLcJ/fUcEx2f7tN73xW72Q7sbHzoHUoQiwSY&#10;wcbpHlsJH++vD2tgISrUanBoJPyYALvy9qZQuXYT1ua8jy2jEgy5ktDFOOach6YzVoWFGw3S7ei8&#10;VZGib7n2aqJyO/A0SVbcqh5poVOjee5M870/WQlfl4gp1m/ZOPnPxyqrXypRXaS8v5uftsCimeM/&#10;DH/6pA4lOR3cCXVgA+WlWBEqIRMiBUbEWmwyYAcJG5EsgZcFv/6h/AUAAP//AwBQSwECLQAUAAYA&#10;CAAAACEAtoM4kv4AAADhAQAAEwAAAAAAAAAAAAAAAAAAAAAAW0NvbnRlbnRfVHlwZXNdLnhtbFBL&#10;AQItABQABgAIAAAAIQA4/SH/1gAAAJQBAAALAAAAAAAAAAAAAAAAAC8BAABfcmVscy8ucmVsc1BL&#10;AQItABQABgAIAAAAIQAQFgIL5wEAANQDAAAOAAAAAAAAAAAAAAAAAC4CAABkcnMvZTJvRG9jLnht&#10;bFBLAQItABQABgAIAAAAIQBCA+f04AAAAAsBAAAPAAAAAAAAAAAAAAAAAEEEAABkcnMvZG93bnJl&#10;di54bWxQSwUGAAAAAAQABADzAAAATgUAAAAA&#10;" strokeweight=".08811mm">
                <v:textbox>
                  <w:txbxContent>
                    <w:p w14:paraId="7E82E921" w14:textId="796D53DA" w:rsidR="007C1D5C" w:rsidRDefault="006B775D">
                      <w:pPr>
                        <w:spacing w:after="0"/>
                        <w:jc w:val="both"/>
                        <w:rPr>
                          <w:rFonts w:cs="Arial"/>
                          <w:lang w:val="fr-FR"/>
                        </w:rPr>
                      </w:pPr>
                      <w:r>
                        <w:rPr>
                          <w:rFonts w:cs="Arial"/>
                          <w:lang w:val="fr-FR"/>
                        </w:rPr>
                        <w:t>Résumé</w:t>
                      </w:r>
                      <w:r w:rsidR="007B4F52">
                        <w:rPr>
                          <w:rFonts w:cs="Arial"/>
                          <w:lang w:val="fr-FR"/>
                        </w:rPr>
                        <w:t> </w:t>
                      </w:r>
                      <w:r>
                        <w:rPr>
                          <w:rFonts w:cs="Arial"/>
                          <w:lang w:val="fr-FR"/>
                        </w:rPr>
                        <w:t>:</w:t>
                      </w:r>
                    </w:p>
                    <w:p w14:paraId="7F368B0C" w14:textId="77777777" w:rsidR="007C1D5C" w:rsidRDefault="007C1D5C">
                      <w:pPr>
                        <w:spacing w:after="0"/>
                        <w:jc w:val="both"/>
                        <w:rPr>
                          <w:rFonts w:cs="Arial"/>
                          <w:lang w:val="fr-FR"/>
                        </w:rPr>
                      </w:pPr>
                    </w:p>
                    <w:p w14:paraId="6A81597F" w14:textId="7236CAFA" w:rsidR="007C1D5C" w:rsidRDefault="006B775D" w:rsidP="0070324E">
                      <w:pPr>
                        <w:spacing w:after="0" w:line="240" w:lineRule="auto"/>
                        <w:jc w:val="both"/>
                        <w:rPr>
                          <w:rFonts w:cs="Arial"/>
                          <w:lang w:val="fr-FR"/>
                        </w:rPr>
                      </w:pPr>
                      <w:r>
                        <w:rPr>
                          <w:rFonts w:cs="Arial"/>
                          <w:lang w:val="fr-FR"/>
                        </w:rPr>
                        <w:t>Ce document présente le Plan d’action mondial pour la conservation de l’aigle des steppes (Plan d’action mondial pour l’aigle des steppes) en vue de son adoption. Une sélection des sections clés du projet final du Plan d’action mondial pour l’aigle des steppes est incluse dans l’annexe du présent document et le projet de plan complet est mis à disposition en tant que document d’information.</w:t>
                      </w:r>
                    </w:p>
                    <w:p w14:paraId="7F534D00" w14:textId="77777777" w:rsidR="007C1D5C" w:rsidRDefault="007C1D5C" w:rsidP="0070324E">
                      <w:pPr>
                        <w:spacing w:after="0" w:line="240" w:lineRule="auto"/>
                        <w:jc w:val="both"/>
                        <w:rPr>
                          <w:rFonts w:cs="Arial"/>
                          <w:lang w:val="fr-FR"/>
                        </w:rPr>
                      </w:pPr>
                    </w:p>
                    <w:p w14:paraId="39BE0079" w14:textId="1098A879" w:rsidR="007C1D5C" w:rsidRDefault="006B775D" w:rsidP="0070324E">
                      <w:pPr>
                        <w:spacing w:after="0" w:line="240" w:lineRule="auto"/>
                        <w:jc w:val="both"/>
                        <w:rPr>
                          <w:rFonts w:cs="Arial"/>
                          <w:iCs/>
                          <w:lang w:val="fr-FR"/>
                        </w:rPr>
                      </w:pPr>
                      <w:r>
                        <w:rPr>
                          <w:rFonts w:cs="Arial"/>
                          <w:iCs/>
                          <w:lang w:val="fr-FR"/>
                        </w:rPr>
                        <w:t>Le Plan d’action mondial pour l’aigle des steppes contribuerait à l’atteinte des Cibles</w:t>
                      </w:r>
                      <w:r w:rsidR="007B4F52">
                        <w:rPr>
                          <w:rFonts w:cs="Arial"/>
                          <w:iCs/>
                          <w:lang w:val="fr-FR"/>
                        </w:rPr>
                        <w:t> </w:t>
                      </w:r>
                      <w:r>
                        <w:rPr>
                          <w:rFonts w:cs="Arial"/>
                          <w:iCs/>
                          <w:lang w:val="fr-FR"/>
                        </w:rPr>
                        <w:t>1.1 à</w:t>
                      </w:r>
                      <w:r w:rsidR="007B4F52">
                        <w:rPr>
                          <w:rFonts w:cs="Arial"/>
                          <w:iCs/>
                          <w:lang w:val="fr-FR"/>
                        </w:rPr>
                        <w:t> </w:t>
                      </w:r>
                      <w:r>
                        <w:rPr>
                          <w:rFonts w:cs="Arial"/>
                          <w:iCs/>
                          <w:lang w:val="fr-FR"/>
                        </w:rPr>
                        <w:t>1.3, 2.1, 2.2, 3.1, 3.2</w:t>
                      </w:r>
                      <w:r w:rsidR="007B4F52">
                        <w:rPr>
                          <w:rFonts w:cs="Arial"/>
                          <w:iCs/>
                          <w:lang w:val="fr-FR"/>
                        </w:rPr>
                        <w:t> </w:t>
                      </w:r>
                      <w:r>
                        <w:rPr>
                          <w:rFonts w:cs="Arial"/>
                          <w:iCs/>
                          <w:lang w:val="fr-FR"/>
                        </w:rPr>
                        <w:t>et</w:t>
                      </w:r>
                      <w:r w:rsidR="007B4F52">
                        <w:rPr>
                          <w:rFonts w:cs="Arial"/>
                          <w:iCs/>
                          <w:lang w:val="fr-FR"/>
                        </w:rPr>
                        <w:t> </w:t>
                      </w:r>
                      <w:r>
                        <w:rPr>
                          <w:rFonts w:cs="Arial"/>
                          <w:iCs/>
                          <w:lang w:val="fr-FR"/>
                        </w:rPr>
                        <w:t>5.5 du Plan stratégique de Samarcande pour les espèces migratrices</w:t>
                      </w:r>
                      <w:r w:rsidR="007B4F52">
                        <w:rPr>
                          <w:rFonts w:cs="Arial"/>
                          <w:iCs/>
                          <w:lang w:val="fr-FR"/>
                        </w:rPr>
                        <w:t> </w:t>
                      </w:r>
                      <w:r>
                        <w:rPr>
                          <w:rFonts w:cs="Arial"/>
                          <w:iCs/>
                          <w:lang w:val="fr-FR"/>
                        </w:rPr>
                        <w:t>2024–2032.</w:t>
                      </w:r>
                    </w:p>
                  </w:txbxContent>
                </v:textbox>
                <w10:wrap type="square" anchorx="margin" anchory="margin"/>
              </v:shape>
            </w:pict>
          </mc:Fallback>
        </mc:AlternateContent>
      </w:r>
    </w:p>
    <w:p w14:paraId="2818B692" w14:textId="77777777" w:rsidR="007C1D5C" w:rsidRPr="009D4EA7" w:rsidRDefault="007C1D5C">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5720D2BC" w14:textId="3B64D668" w:rsidR="007C1D5C" w:rsidRPr="009D4EA7" w:rsidRDefault="007C1D5C">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4924E505" w14:textId="77777777" w:rsidR="007C1D5C" w:rsidRPr="009D4EA7" w:rsidRDefault="007C1D5C">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2772BA19" w14:textId="77777777" w:rsidR="007C1D5C" w:rsidRPr="009D4EA7" w:rsidRDefault="007C1D5C">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775A1D48" w14:textId="77777777" w:rsidR="007C1D5C" w:rsidRPr="009D4EA7" w:rsidRDefault="007C1D5C">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572248F1" w14:textId="77777777" w:rsidR="007C1D5C" w:rsidRPr="009D4EA7" w:rsidRDefault="007C1D5C">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59553412" w14:textId="77777777" w:rsidR="007C1D5C" w:rsidRPr="009D4EA7" w:rsidRDefault="007C1D5C">
      <w:pPr>
        <w:widowControl w:val="0"/>
        <w:tabs>
          <w:tab w:val="left" w:pos="8295"/>
        </w:tabs>
        <w:suppressAutoHyphens/>
        <w:autoSpaceDE w:val="0"/>
        <w:autoSpaceDN w:val="0"/>
        <w:spacing w:after="0" w:line="240" w:lineRule="auto"/>
        <w:jc w:val="both"/>
        <w:textAlignment w:val="baseline"/>
        <w:rPr>
          <w:rFonts w:eastAsia="Times New Roman" w:cs="Arial"/>
          <w:sz w:val="21"/>
          <w:szCs w:val="21"/>
          <w:lang w:val="fr-FR"/>
        </w:rPr>
      </w:pPr>
    </w:p>
    <w:p w14:paraId="34BB6D4F"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155D3037"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330F7085"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725C5D2E"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5C6F96C2"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3FF783CB"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1587CB21"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1588764D"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2F2F1C20"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3D56BB49"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435BBA2F"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31026EAC"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455C8EE8"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sz w:val="21"/>
          <w:szCs w:val="21"/>
          <w:lang w:val="fr-FR"/>
        </w:rPr>
      </w:pPr>
    </w:p>
    <w:p w14:paraId="0AE32CA2" w14:textId="77777777" w:rsidR="007C1D5C" w:rsidRPr="009D4EA7" w:rsidRDefault="007C1D5C">
      <w:pPr>
        <w:widowControl w:val="0"/>
        <w:tabs>
          <w:tab w:val="left" w:pos="7245"/>
        </w:tabs>
        <w:suppressAutoHyphens/>
        <w:autoSpaceDE w:val="0"/>
        <w:autoSpaceDN w:val="0"/>
        <w:spacing w:after="0" w:line="240" w:lineRule="auto"/>
        <w:jc w:val="both"/>
        <w:textAlignment w:val="baseline"/>
        <w:rPr>
          <w:rFonts w:eastAsia="Times New Roman" w:cs="Arial"/>
          <w:sz w:val="21"/>
          <w:szCs w:val="21"/>
          <w:lang w:val="fr-FR"/>
        </w:rPr>
      </w:pPr>
    </w:p>
    <w:p w14:paraId="4833E7DE"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lang w:val="fr-FR"/>
        </w:rPr>
      </w:pPr>
    </w:p>
    <w:p w14:paraId="0A52FF27" w14:textId="77777777" w:rsidR="007C1D5C" w:rsidRPr="009D4EA7" w:rsidRDefault="007C1D5C">
      <w:pPr>
        <w:widowControl w:val="0"/>
        <w:suppressAutoHyphens/>
        <w:autoSpaceDE w:val="0"/>
        <w:autoSpaceDN w:val="0"/>
        <w:spacing w:after="0" w:line="240" w:lineRule="auto"/>
        <w:jc w:val="both"/>
        <w:textAlignment w:val="baseline"/>
        <w:rPr>
          <w:rFonts w:eastAsia="Times New Roman" w:cs="Arial"/>
          <w:lang w:val="fr-FR"/>
        </w:rPr>
      </w:pPr>
    </w:p>
    <w:p w14:paraId="2D1323EE" w14:textId="77777777" w:rsidR="007C1D5C" w:rsidRPr="009D4EA7" w:rsidRDefault="007C1D5C">
      <w:pPr>
        <w:spacing w:after="0" w:line="240" w:lineRule="auto"/>
        <w:jc w:val="both"/>
        <w:rPr>
          <w:lang w:val="fr-FR"/>
        </w:rPr>
      </w:pPr>
    </w:p>
    <w:p w14:paraId="5256341B" w14:textId="77777777" w:rsidR="007C1D5C" w:rsidRPr="009D4EA7" w:rsidRDefault="007C1D5C">
      <w:pPr>
        <w:spacing w:after="0" w:line="240" w:lineRule="auto"/>
        <w:jc w:val="both"/>
        <w:rPr>
          <w:lang w:val="fr-FR"/>
        </w:rPr>
      </w:pPr>
    </w:p>
    <w:p w14:paraId="5019D70F" w14:textId="77777777" w:rsidR="007C1D5C" w:rsidRPr="009D4EA7" w:rsidRDefault="007C1D5C">
      <w:pPr>
        <w:spacing w:after="0" w:line="240" w:lineRule="auto"/>
        <w:jc w:val="both"/>
        <w:rPr>
          <w:lang w:val="fr-FR"/>
        </w:rPr>
      </w:pPr>
    </w:p>
    <w:p w14:paraId="0A5C3FD5" w14:textId="77777777" w:rsidR="007C1D5C" w:rsidRPr="009D4EA7" w:rsidRDefault="007C1D5C">
      <w:pPr>
        <w:spacing w:after="0" w:line="240" w:lineRule="auto"/>
        <w:jc w:val="both"/>
        <w:rPr>
          <w:lang w:val="fr-FR"/>
        </w:rPr>
      </w:pPr>
    </w:p>
    <w:p w14:paraId="100978A4" w14:textId="77777777" w:rsidR="007C1D5C" w:rsidRPr="009D4EA7" w:rsidRDefault="007C1D5C">
      <w:pPr>
        <w:spacing w:after="0" w:line="240" w:lineRule="auto"/>
        <w:jc w:val="both"/>
        <w:rPr>
          <w:lang w:val="fr-FR"/>
        </w:rPr>
      </w:pPr>
    </w:p>
    <w:p w14:paraId="5665F023" w14:textId="77777777" w:rsidR="007C1D5C" w:rsidRPr="009D4EA7" w:rsidRDefault="007C1D5C">
      <w:pPr>
        <w:spacing w:after="0" w:line="240" w:lineRule="auto"/>
        <w:jc w:val="both"/>
        <w:rPr>
          <w:lang w:val="fr-FR"/>
        </w:rPr>
      </w:pPr>
    </w:p>
    <w:p w14:paraId="1FBA5046" w14:textId="77777777" w:rsidR="007C1D5C" w:rsidRPr="009D4EA7" w:rsidRDefault="007C1D5C">
      <w:pPr>
        <w:spacing w:after="0" w:line="240" w:lineRule="auto"/>
        <w:jc w:val="both"/>
        <w:rPr>
          <w:lang w:val="fr-FR"/>
        </w:rPr>
      </w:pPr>
    </w:p>
    <w:p w14:paraId="49A653F0" w14:textId="77777777" w:rsidR="007C1D5C" w:rsidRPr="009D4EA7" w:rsidRDefault="007C1D5C">
      <w:pPr>
        <w:spacing w:after="0" w:line="240" w:lineRule="auto"/>
        <w:jc w:val="both"/>
        <w:rPr>
          <w:lang w:val="fr-FR"/>
        </w:rPr>
      </w:pPr>
    </w:p>
    <w:p w14:paraId="0CEEF51C" w14:textId="77777777" w:rsidR="007C1D5C" w:rsidRPr="009D4EA7" w:rsidRDefault="007C1D5C">
      <w:pPr>
        <w:spacing w:after="0" w:line="240" w:lineRule="auto"/>
        <w:jc w:val="both"/>
        <w:rPr>
          <w:lang w:val="fr-FR"/>
        </w:rPr>
      </w:pPr>
    </w:p>
    <w:p w14:paraId="463DDB42" w14:textId="77777777" w:rsidR="007C1D5C" w:rsidRPr="009D4EA7" w:rsidRDefault="007C1D5C">
      <w:pPr>
        <w:spacing w:after="0" w:line="240" w:lineRule="auto"/>
        <w:jc w:val="both"/>
        <w:rPr>
          <w:lang w:val="fr-FR"/>
        </w:rPr>
      </w:pPr>
    </w:p>
    <w:p w14:paraId="4E1153A2" w14:textId="77777777" w:rsidR="007C1D5C" w:rsidRPr="009D4EA7" w:rsidRDefault="006B775D">
      <w:pPr>
        <w:jc w:val="both"/>
        <w:rPr>
          <w:lang w:val="fr-FR"/>
        </w:rPr>
      </w:pPr>
      <w:r w:rsidRPr="009D4EA7">
        <w:rPr>
          <w:lang w:val="fr-FR"/>
        </w:rPr>
        <w:br w:type="page"/>
      </w:r>
    </w:p>
    <w:p w14:paraId="09C253D5" w14:textId="77777777" w:rsidR="007C1D5C" w:rsidRPr="009D4EA7" w:rsidRDefault="006B775D">
      <w:pPr>
        <w:widowControl w:val="0"/>
        <w:suppressAutoHyphens/>
        <w:autoSpaceDE w:val="0"/>
        <w:autoSpaceDN w:val="0"/>
        <w:spacing w:after="0" w:line="240" w:lineRule="auto"/>
        <w:jc w:val="center"/>
        <w:textAlignment w:val="baseline"/>
        <w:rPr>
          <w:rFonts w:eastAsia="Times New Roman" w:cs="Arial"/>
          <w:b/>
          <w:bCs/>
          <w:lang w:val="fr-FR"/>
        </w:rPr>
      </w:pPr>
      <w:r w:rsidRPr="009D4EA7">
        <w:rPr>
          <w:rFonts w:eastAsia="Times New Roman" w:cs="Arial"/>
          <w:b/>
          <w:bCs/>
          <w:lang w:val="fr-FR"/>
        </w:rPr>
        <w:lastRenderedPageBreak/>
        <w:t xml:space="preserve">PLAN D’ACTION MONDIAL POUR LA CONSERVATION DE L’AIGLE DES STEPPES </w:t>
      </w:r>
    </w:p>
    <w:p w14:paraId="7F16CE05" w14:textId="77777777" w:rsidR="007C1D5C" w:rsidRPr="009D4EA7" w:rsidRDefault="006B775D">
      <w:pPr>
        <w:widowControl w:val="0"/>
        <w:suppressAutoHyphens/>
        <w:autoSpaceDE w:val="0"/>
        <w:autoSpaceDN w:val="0"/>
        <w:spacing w:after="0" w:line="240" w:lineRule="auto"/>
        <w:jc w:val="center"/>
        <w:textAlignment w:val="baseline"/>
        <w:rPr>
          <w:rFonts w:eastAsia="Times New Roman" w:cs="Arial"/>
          <w:b/>
          <w:bCs/>
          <w:lang w:val="fr-FR"/>
        </w:rPr>
      </w:pPr>
      <w:r w:rsidRPr="009D4EA7">
        <w:rPr>
          <w:rFonts w:eastAsia="Times New Roman" w:cs="Arial"/>
          <w:b/>
          <w:bCs/>
          <w:lang w:val="fr-FR"/>
        </w:rPr>
        <w:t xml:space="preserve">(Aquila nipalensis) (2025 - 2035) </w:t>
      </w:r>
    </w:p>
    <w:p w14:paraId="28EA8623" w14:textId="77777777" w:rsidR="007C1D5C" w:rsidRPr="009D4EA7" w:rsidRDefault="007C1D5C">
      <w:pPr>
        <w:spacing w:after="0" w:line="240" w:lineRule="auto"/>
        <w:jc w:val="both"/>
        <w:rPr>
          <w:lang w:val="fr-FR"/>
        </w:rPr>
      </w:pPr>
    </w:p>
    <w:p w14:paraId="4828AAFB" w14:textId="77777777" w:rsidR="007C1D5C" w:rsidRPr="009D4EA7" w:rsidRDefault="007C1D5C">
      <w:pPr>
        <w:spacing w:after="0" w:line="240" w:lineRule="auto"/>
        <w:jc w:val="both"/>
        <w:rPr>
          <w:lang w:val="fr-FR"/>
        </w:rPr>
      </w:pPr>
    </w:p>
    <w:p w14:paraId="5B3436D9" w14:textId="77777777" w:rsidR="007C1D5C" w:rsidRPr="009D4EA7" w:rsidRDefault="006B775D">
      <w:pPr>
        <w:ind w:left="567" w:hanging="567"/>
        <w:contextualSpacing/>
        <w:jc w:val="both"/>
        <w:rPr>
          <w:rFonts w:eastAsia="Times New Roman" w:cs="Arial"/>
          <w:snapToGrid w:val="0"/>
          <w:u w:val="single"/>
          <w:lang w:val="fr-FR"/>
        </w:rPr>
      </w:pPr>
      <w:r w:rsidRPr="009D4EA7">
        <w:rPr>
          <w:rFonts w:eastAsia="Times New Roman" w:cs="Arial"/>
          <w:snapToGrid w:val="0"/>
          <w:u w:val="single"/>
          <w:lang w:val="fr-FR"/>
        </w:rPr>
        <w:t>Contexte</w:t>
      </w:r>
    </w:p>
    <w:p w14:paraId="7D291099" w14:textId="77777777" w:rsidR="007C1D5C" w:rsidRPr="009D4EA7" w:rsidRDefault="007C1D5C">
      <w:pPr>
        <w:ind w:left="567" w:hanging="567"/>
        <w:contextualSpacing/>
        <w:jc w:val="both"/>
        <w:rPr>
          <w:rFonts w:eastAsia="Times New Roman" w:cs="Arial"/>
          <w:snapToGrid w:val="0"/>
          <w:u w:val="single"/>
          <w:lang w:val="fr-FR"/>
        </w:rPr>
      </w:pPr>
    </w:p>
    <w:p w14:paraId="2B6EC1C2" w14:textId="2E358C1D" w:rsidR="007C1D5C" w:rsidRPr="009D4EA7" w:rsidRDefault="006B775D">
      <w:pPr>
        <w:numPr>
          <w:ilvl w:val="0"/>
          <w:numId w:val="11"/>
        </w:numPr>
        <w:spacing w:after="0" w:line="240" w:lineRule="auto"/>
        <w:ind w:left="567" w:hanging="567"/>
        <w:jc w:val="both"/>
        <w:rPr>
          <w:rFonts w:eastAsia="Times New Roman" w:cs="Arial"/>
          <w:snapToGrid w:val="0"/>
          <w:lang w:val="fr-FR"/>
        </w:rPr>
      </w:pPr>
      <w:r w:rsidRPr="009D4EA7">
        <w:rPr>
          <w:rFonts w:eastAsia="Times New Roman" w:cs="Arial"/>
          <w:snapToGrid w:val="0"/>
          <w:lang w:val="fr-FR"/>
        </w:rPr>
        <w:t>L’aigle des steppes (</w:t>
      </w:r>
      <w:r w:rsidRPr="009D4EA7">
        <w:rPr>
          <w:rFonts w:eastAsia="Times New Roman" w:cs="Arial"/>
          <w:i/>
          <w:iCs/>
          <w:snapToGrid w:val="0"/>
          <w:lang w:val="fr-FR"/>
        </w:rPr>
        <w:t>Aquila nipalensis</w:t>
      </w:r>
      <w:r w:rsidRPr="009D4EA7">
        <w:rPr>
          <w:rFonts w:eastAsia="Times New Roman" w:cs="Arial"/>
          <w:snapToGrid w:val="0"/>
          <w:lang w:val="fr-FR"/>
        </w:rPr>
        <w:t>) est une espèce inscrite aux Annexes</w:t>
      </w:r>
      <w:r w:rsidR="007B4F52" w:rsidRPr="009D4EA7">
        <w:rPr>
          <w:rFonts w:eastAsia="Times New Roman" w:cs="Arial"/>
          <w:snapToGrid w:val="0"/>
          <w:lang w:val="fr-FR"/>
        </w:rPr>
        <w:t> </w:t>
      </w:r>
      <w:r w:rsidRPr="009D4EA7">
        <w:rPr>
          <w:rFonts w:eastAsia="Times New Roman" w:cs="Arial"/>
          <w:snapToGrid w:val="0"/>
          <w:lang w:val="fr-FR"/>
        </w:rPr>
        <w:t>I et</w:t>
      </w:r>
      <w:r w:rsidR="007B4F52" w:rsidRPr="009D4EA7">
        <w:rPr>
          <w:rFonts w:eastAsia="Times New Roman" w:cs="Arial"/>
          <w:snapToGrid w:val="0"/>
          <w:lang w:val="fr-FR"/>
        </w:rPr>
        <w:t> </w:t>
      </w:r>
      <w:r w:rsidRPr="009D4EA7">
        <w:rPr>
          <w:rFonts w:eastAsia="Times New Roman" w:cs="Arial"/>
          <w:snapToGrid w:val="0"/>
          <w:lang w:val="fr-FR"/>
        </w:rPr>
        <w:t>II de la</w:t>
      </w:r>
      <w:r w:rsidR="007B4F52" w:rsidRPr="009D4EA7">
        <w:rPr>
          <w:rFonts w:eastAsia="Times New Roman" w:cs="Arial"/>
          <w:snapToGrid w:val="0"/>
          <w:lang w:val="fr-FR"/>
        </w:rPr>
        <w:t> </w:t>
      </w:r>
      <w:r w:rsidRPr="009D4EA7">
        <w:rPr>
          <w:rFonts w:eastAsia="Times New Roman" w:cs="Arial"/>
          <w:snapToGrid w:val="0"/>
          <w:lang w:val="fr-FR"/>
        </w:rPr>
        <w:t xml:space="preserve">CMS et classée </w:t>
      </w:r>
      <w:r w:rsidRPr="009D4EA7">
        <w:rPr>
          <w:rFonts w:eastAsia="Times New Roman" w:cs="Arial"/>
          <w:snapToGrid w:val="0"/>
          <w:color w:val="000000" w:themeColor="text1"/>
          <w:lang w:val="fr-FR"/>
        </w:rPr>
        <w:t>comme espèce de catégorie</w:t>
      </w:r>
      <w:r w:rsidR="007B4F52" w:rsidRPr="009D4EA7">
        <w:rPr>
          <w:rFonts w:eastAsia="Times New Roman" w:cs="Arial"/>
          <w:snapToGrid w:val="0"/>
          <w:color w:val="000000" w:themeColor="text1"/>
          <w:lang w:val="fr-FR"/>
        </w:rPr>
        <w:t> </w:t>
      </w:r>
      <w:r w:rsidRPr="009D4EA7">
        <w:rPr>
          <w:rFonts w:eastAsia="Times New Roman" w:cs="Arial"/>
          <w:snapToGrid w:val="0"/>
          <w:color w:val="000000" w:themeColor="text1"/>
          <w:lang w:val="fr-FR"/>
        </w:rPr>
        <w:t xml:space="preserve">1 </w:t>
      </w:r>
      <w:r w:rsidRPr="009D4EA7">
        <w:rPr>
          <w:rFonts w:eastAsia="Times New Roman" w:cs="Arial"/>
          <w:snapToGrid w:val="0"/>
          <w:lang w:val="fr-FR"/>
        </w:rPr>
        <w:t>dans le cadre du Mémorandum d’entente sur la conservation des oiseaux de proie migrateurs d’Afrique et d’Eurasie (MdE</w:t>
      </w:r>
      <w:r w:rsidR="007B4F52" w:rsidRPr="009D4EA7">
        <w:rPr>
          <w:rFonts w:eastAsia="Times New Roman" w:cs="Arial"/>
          <w:snapToGrid w:val="0"/>
          <w:lang w:val="fr-FR"/>
        </w:rPr>
        <w:t> </w:t>
      </w:r>
      <w:r w:rsidRPr="009D4EA7">
        <w:rPr>
          <w:rFonts w:eastAsia="Times New Roman" w:cs="Arial"/>
          <w:snapToGrid w:val="0"/>
          <w:lang w:val="fr-FR"/>
        </w:rPr>
        <w:t>Rapaces). Ses populations subissent un déclin important dans la majeure partie de son aire de répartition, et c’est pourquoi l’espèce est classée dans la catégorie «</w:t>
      </w:r>
      <w:r w:rsidR="007B4F52" w:rsidRPr="009D4EA7">
        <w:rPr>
          <w:rFonts w:eastAsia="Times New Roman" w:cs="Arial"/>
          <w:snapToGrid w:val="0"/>
          <w:lang w:val="fr-FR"/>
        </w:rPr>
        <w:t> </w:t>
      </w:r>
      <w:r w:rsidRPr="009D4EA7">
        <w:rPr>
          <w:rFonts w:eastAsia="Times New Roman" w:cs="Arial"/>
          <w:snapToGrid w:val="0"/>
          <w:lang w:val="fr-FR"/>
        </w:rPr>
        <w:t>en danger</w:t>
      </w:r>
      <w:r w:rsidR="007B4F52" w:rsidRPr="009D4EA7">
        <w:rPr>
          <w:rFonts w:eastAsia="Times New Roman" w:cs="Arial"/>
          <w:snapToGrid w:val="0"/>
          <w:lang w:val="fr-FR"/>
        </w:rPr>
        <w:t> </w:t>
      </w:r>
      <w:r w:rsidRPr="009D4EA7">
        <w:rPr>
          <w:rFonts w:eastAsia="Times New Roman" w:cs="Arial"/>
          <w:snapToGrid w:val="0"/>
          <w:lang w:val="fr-FR"/>
        </w:rPr>
        <w:t>» de la Liste rouge de l’Union internationale pour la conservation de la nature (UICN).</w:t>
      </w:r>
    </w:p>
    <w:p w14:paraId="530BF2D6" w14:textId="77777777" w:rsidR="007C1D5C" w:rsidRPr="009D4EA7" w:rsidRDefault="007C1D5C">
      <w:pPr>
        <w:spacing w:after="0" w:line="240" w:lineRule="auto"/>
        <w:ind w:left="567"/>
        <w:jc w:val="both"/>
        <w:rPr>
          <w:rFonts w:eastAsia="Times New Roman" w:cs="Arial"/>
          <w:snapToGrid w:val="0"/>
          <w:lang w:val="fr-FR"/>
        </w:rPr>
      </w:pPr>
    </w:p>
    <w:p w14:paraId="0C6FE0E6" w14:textId="41B76FD9" w:rsidR="007C1D5C" w:rsidRPr="009D4EA7" w:rsidRDefault="006B775D">
      <w:pPr>
        <w:numPr>
          <w:ilvl w:val="0"/>
          <w:numId w:val="11"/>
        </w:numPr>
        <w:spacing w:after="0" w:line="240" w:lineRule="auto"/>
        <w:ind w:left="567" w:hanging="567"/>
        <w:jc w:val="both"/>
        <w:rPr>
          <w:rFonts w:eastAsia="Times New Roman" w:cs="Arial"/>
          <w:snapToGrid w:val="0"/>
          <w:lang w:val="fr-FR"/>
        </w:rPr>
      </w:pPr>
      <w:r w:rsidRPr="009D4EA7">
        <w:rPr>
          <w:rFonts w:eastAsia="Times New Roman" w:cs="Arial"/>
          <w:snapToGrid w:val="0"/>
          <w:lang w:val="fr-FR"/>
        </w:rPr>
        <w:t>Le Groupe technique consultatif du MdE</w:t>
      </w:r>
      <w:r w:rsidR="007B4F52" w:rsidRPr="009D4EA7">
        <w:rPr>
          <w:rFonts w:eastAsia="Times New Roman" w:cs="Arial"/>
          <w:snapToGrid w:val="0"/>
          <w:lang w:val="fr-FR"/>
        </w:rPr>
        <w:t> </w:t>
      </w:r>
      <w:r w:rsidRPr="009D4EA7">
        <w:rPr>
          <w:rFonts w:eastAsia="Times New Roman" w:cs="Arial"/>
          <w:snapToGrid w:val="0"/>
          <w:lang w:val="fr-FR"/>
        </w:rPr>
        <w:t>Rapaces a déterminé que l’élaboration d’un plan d’action mondial pour l’aigle des steppes constituait une priorité afin d’inverser son statut actuel «</w:t>
      </w:r>
      <w:r w:rsidR="007B4F52" w:rsidRPr="009D4EA7">
        <w:rPr>
          <w:rFonts w:eastAsia="Times New Roman" w:cs="Arial"/>
          <w:snapToGrid w:val="0"/>
          <w:lang w:val="fr-FR"/>
        </w:rPr>
        <w:t> </w:t>
      </w:r>
      <w:r w:rsidRPr="009D4EA7">
        <w:rPr>
          <w:rFonts w:eastAsia="Times New Roman" w:cs="Arial"/>
          <w:snapToGrid w:val="0"/>
          <w:lang w:val="fr-FR"/>
        </w:rPr>
        <w:t>en danger</w:t>
      </w:r>
      <w:r w:rsidR="007B4F52" w:rsidRPr="009D4EA7">
        <w:rPr>
          <w:rFonts w:eastAsia="Times New Roman" w:cs="Arial"/>
          <w:snapToGrid w:val="0"/>
          <w:lang w:val="fr-FR"/>
        </w:rPr>
        <w:t> </w:t>
      </w:r>
      <w:r w:rsidRPr="009D4EA7">
        <w:rPr>
          <w:rFonts w:eastAsia="Times New Roman" w:cs="Arial"/>
          <w:snapToGrid w:val="0"/>
          <w:lang w:val="fr-FR"/>
        </w:rPr>
        <w:t>» sur la Liste rouge de l’UICN.</w:t>
      </w:r>
    </w:p>
    <w:p w14:paraId="3B139346" w14:textId="77777777" w:rsidR="007C1D5C" w:rsidRPr="009D4EA7" w:rsidRDefault="007C1D5C">
      <w:pPr>
        <w:spacing w:after="0" w:line="240" w:lineRule="auto"/>
        <w:ind w:left="567" w:hanging="567"/>
        <w:jc w:val="both"/>
        <w:rPr>
          <w:rFonts w:eastAsia="Times New Roman" w:cs="Arial"/>
          <w:snapToGrid w:val="0"/>
          <w:lang w:val="fr-FR"/>
        </w:rPr>
      </w:pPr>
    </w:p>
    <w:p w14:paraId="7905B559" w14:textId="496F44A8" w:rsidR="007C1D5C" w:rsidRPr="009D4EA7" w:rsidRDefault="006B775D">
      <w:pPr>
        <w:numPr>
          <w:ilvl w:val="0"/>
          <w:numId w:val="11"/>
        </w:numPr>
        <w:spacing w:after="0" w:line="240" w:lineRule="auto"/>
        <w:ind w:left="567" w:hanging="567"/>
        <w:jc w:val="both"/>
        <w:rPr>
          <w:rFonts w:eastAsia="Times New Roman" w:cs="Arial"/>
          <w:snapToGrid w:val="0"/>
          <w:lang w:val="fr-FR"/>
        </w:rPr>
      </w:pPr>
      <w:r w:rsidRPr="009D4EA7">
        <w:rPr>
          <w:rFonts w:eastAsia="Times New Roman" w:cs="Arial"/>
          <w:snapToGrid w:val="0"/>
          <w:lang w:val="fr-FR"/>
        </w:rPr>
        <w:t>Lors de la 14</w:t>
      </w:r>
      <w:r w:rsidRPr="009D4EA7">
        <w:rPr>
          <w:rFonts w:eastAsia="Times New Roman" w:cs="Arial"/>
          <w:snapToGrid w:val="0"/>
          <w:vertAlign w:val="superscript"/>
          <w:lang w:val="fr-FR"/>
        </w:rPr>
        <w:t>e</w:t>
      </w:r>
      <w:r w:rsidR="007B4F52" w:rsidRPr="009D4EA7">
        <w:rPr>
          <w:rFonts w:eastAsia="Times New Roman" w:cs="Arial"/>
          <w:snapToGrid w:val="0"/>
          <w:lang w:val="fr-FR"/>
        </w:rPr>
        <w:t> </w:t>
      </w:r>
      <w:r w:rsidR="007B6B9A" w:rsidRPr="009D4EA7">
        <w:rPr>
          <w:rFonts w:eastAsia="Times New Roman" w:cs="Arial"/>
          <w:snapToGrid w:val="0"/>
          <w:lang w:val="fr-FR"/>
        </w:rPr>
        <w:t>session</w:t>
      </w:r>
      <w:r w:rsidRPr="009D4EA7">
        <w:rPr>
          <w:rFonts w:eastAsia="Times New Roman" w:cs="Arial"/>
          <w:snapToGrid w:val="0"/>
          <w:lang w:val="fr-FR"/>
        </w:rPr>
        <w:t xml:space="preserve"> de la Conférence des Parties à la CMS (COP14) en février</w:t>
      </w:r>
      <w:r w:rsidR="007B4F52" w:rsidRPr="009D4EA7">
        <w:rPr>
          <w:rFonts w:eastAsia="Times New Roman" w:cs="Arial"/>
          <w:snapToGrid w:val="0"/>
          <w:lang w:val="fr-FR"/>
        </w:rPr>
        <w:t> </w:t>
      </w:r>
      <w:r w:rsidRPr="009D4EA7">
        <w:rPr>
          <w:rFonts w:eastAsia="Times New Roman" w:cs="Arial"/>
          <w:snapToGrid w:val="0"/>
          <w:lang w:val="fr-FR"/>
        </w:rPr>
        <w:t xml:space="preserve">2024, le besoin urgent de coopération internationale ainsi que d’élaboration d’un plan d’action mondial pour l’espèce </w:t>
      </w:r>
      <w:r w:rsidR="007B4F52" w:rsidRPr="009D4EA7">
        <w:rPr>
          <w:rFonts w:eastAsia="Times New Roman" w:cs="Arial"/>
          <w:snapToGrid w:val="0"/>
          <w:lang w:val="fr-FR"/>
        </w:rPr>
        <w:t>a</w:t>
      </w:r>
      <w:r w:rsidRPr="009D4EA7">
        <w:rPr>
          <w:rFonts w:eastAsia="Times New Roman" w:cs="Arial"/>
          <w:snapToGrid w:val="0"/>
          <w:lang w:val="fr-FR"/>
        </w:rPr>
        <w:t xml:space="preserve"> été souligné dans la </w:t>
      </w:r>
      <w:hyperlink r:id="rId12" w:tooltip="https://url.uk.m.mimecastprotect.com/s/ARxhCrkAkSN2WQMc7fBc4mNNk" w:history="1">
        <w:r w:rsidR="007C1D5C" w:rsidRPr="009D4EA7">
          <w:rPr>
            <w:rStyle w:val="Hyperlink"/>
            <w:rFonts w:eastAsia="Times New Roman" w:cs="Arial"/>
            <w:snapToGrid w:val="0"/>
            <w:lang w:val="fr-FR"/>
          </w:rPr>
          <w:t>Résolution 12.12 (Rev.COP14)</w:t>
        </w:r>
      </w:hyperlink>
      <w:r w:rsidRPr="009D4EA7">
        <w:rPr>
          <w:rFonts w:eastAsia="Times New Roman" w:cs="Arial"/>
          <w:snapToGrid w:val="0"/>
          <w:lang w:val="fr-FR"/>
        </w:rPr>
        <w:t xml:space="preserve"> </w:t>
      </w:r>
      <w:r w:rsidRPr="009D4EA7">
        <w:rPr>
          <w:rFonts w:eastAsia="Times New Roman" w:cs="Arial"/>
          <w:i/>
          <w:iCs/>
          <w:snapToGrid w:val="0"/>
          <w:lang w:val="fr-FR"/>
        </w:rPr>
        <w:t>Plans d’action pour les oiseaux</w:t>
      </w:r>
      <w:r w:rsidRPr="009D4EA7">
        <w:rPr>
          <w:rFonts w:eastAsia="Times New Roman" w:cs="Arial"/>
          <w:snapToGrid w:val="0"/>
          <w:lang w:val="fr-FR"/>
        </w:rPr>
        <w:t xml:space="preserve">. En outre, dans la </w:t>
      </w:r>
      <w:hyperlink r:id="rId13" w:history="1">
        <w:r w:rsidR="00BC0F4A" w:rsidRPr="00BC0F4A">
          <w:rPr>
            <w:rStyle w:val="Hyperlink"/>
            <w:rFonts w:eastAsia="Times New Roman" w:cs="Arial"/>
            <w:snapToGrid w:val="0"/>
            <w:lang w:val="fr-FR"/>
          </w:rPr>
          <w:t>D</w:t>
        </w:r>
        <w:r w:rsidR="007C1D5C" w:rsidRPr="009D4EA7">
          <w:rPr>
            <w:rStyle w:val="Hyperlink"/>
            <w:rFonts w:eastAsia="Times New Roman" w:cs="Arial"/>
            <w:snapToGrid w:val="0"/>
            <w:lang w:val="fr-FR"/>
          </w:rPr>
          <w:t>écision 14.145</w:t>
        </w:r>
      </w:hyperlink>
      <w:r w:rsidRPr="009D4EA7">
        <w:rPr>
          <w:rFonts w:eastAsia="Times New Roman" w:cs="Arial"/>
          <w:snapToGrid w:val="0"/>
          <w:lang w:val="fr-FR"/>
        </w:rPr>
        <w:t>, la</w:t>
      </w:r>
      <w:r w:rsidR="002D7A59" w:rsidRPr="009D4EA7">
        <w:rPr>
          <w:rFonts w:eastAsia="Times New Roman" w:cs="Arial"/>
          <w:snapToGrid w:val="0"/>
          <w:lang w:val="fr-FR"/>
        </w:rPr>
        <w:t> </w:t>
      </w:r>
      <w:r w:rsidRPr="009D4EA7">
        <w:rPr>
          <w:rFonts w:eastAsia="Times New Roman" w:cs="Arial"/>
          <w:snapToGrid w:val="0"/>
          <w:lang w:val="fr-FR"/>
        </w:rPr>
        <w:t xml:space="preserve">COP a invité les Parties et les non-Parties, les organisations intergouvernementales et non gouvernementales et les autres parties prenantes concernées à progresser rapidement dans l’élaboration d’un Plan d’action par espèce </w:t>
      </w:r>
      <w:r w:rsidRPr="009D4EA7">
        <w:rPr>
          <w:rFonts w:eastAsia="Times New Roman" w:cs="Arial"/>
          <w:snapToGrid w:val="0"/>
          <w:color w:val="000000" w:themeColor="text1"/>
          <w:lang w:val="fr-FR"/>
        </w:rPr>
        <w:t>pour</w:t>
      </w:r>
      <w:r w:rsidRPr="009D4EA7">
        <w:rPr>
          <w:rFonts w:eastAsia="Times New Roman" w:cs="Arial"/>
          <w:snapToGrid w:val="0"/>
          <w:lang w:val="fr-FR"/>
        </w:rPr>
        <w:t xml:space="preserve"> adoption à la</w:t>
      </w:r>
      <w:r w:rsidR="002D7A59" w:rsidRPr="009D4EA7">
        <w:rPr>
          <w:rFonts w:eastAsia="Times New Roman" w:cs="Arial"/>
          <w:snapToGrid w:val="0"/>
          <w:lang w:val="fr-FR"/>
        </w:rPr>
        <w:t> </w:t>
      </w:r>
      <w:r w:rsidRPr="009D4EA7">
        <w:rPr>
          <w:rFonts w:eastAsia="Times New Roman" w:cs="Arial"/>
          <w:snapToGrid w:val="0"/>
          <w:lang w:val="fr-FR"/>
        </w:rPr>
        <w:t>COP15.</w:t>
      </w:r>
    </w:p>
    <w:p w14:paraId="248FA923" w14:textId="77777777" w:rsidR="007C1D5C" w:rsidRPr="009D4EA7" w:rsidRDefault="007C1D5C">
      <w:pPr>
        <w:spacing w:after="0" w:line="240" w:lineRule="auto"/>
        <w:ind w:left="567" w:hanging="567"/>
        <w:jc w:val="both"/>
        <w:rPr>
          <w:rFonts w:eastAsia="Times New Roman" w:cs="Arial"/>
          <w:snapToGrid w:val="0"/>
          <w:lang w:val="fr-FR"/>
        </w:rPr>
      </w:pPr>
    </w:p>
    <w:p w14:paraId="365872C4" w14:textId="1385916D" w:rsidR="007C1D5C" w:rsidRPr="009D4EA7" w:rsidRDefault="006B775D">
      <w:pPr>
        <w:numPr>
          <w:ilvl w:val="0"/>
          <w:numId w:val="11"/>
        </w:numPr>
        <w:spacing w:after="0" w:line="240" w:lineRule="auto"/>
        <w:ind w:left="567" w:hanging="567"/>
        <w:jc w:val="both"/>
        <w:rPr>
          <w:rFonts w:eastAsia="Times New Roman" w:cs="Arial"/>
          <w:snapToGrid w:val="0"/>
          <w:lang w:val="fr-FR"/>
        </w:rPr>
      </w:pPr>
      <w:r w:rsidRPr="009D4EA7">
        <w:rPr>
          <w:rFonts w:eastAsia="Times New Roman" w:cs="Arial"/>
          <w:snapToGrid w:val="0"/>
          <w:lang w:val="fr-FR"/>
        </w:rPr>
        <w:t>En réponse, le Secrétariat, en collaboration avec la Royal Society for the Protection of Birds du Royaume-Uni, qui a apporté son soutien sous forme de ressources et d’expertise technique, a élaboré le Plan d’action mondial pour l’aigle des steppes. Le Secrétariat, par l’intermédiaire de l’Unité de coordination du MdE</w:t>
      </w:r>
      <w:r w:rsidR="002D7A59" w:rsidRPr="009D4EA7">
        <w:rPr>
          <w:rFonts w:eastAsia="Times New Roman" w:cs="Arial"/>
          <w:snapToGrid w:val="0"/>
          <w:lang w:val="fr-FR"/>
        </w:rPr>
        <w:t> </w:t>
      </w:r>
      <w:r w:rsidRPr="009D4EA7">
        <w:rPr>
          <w:rFonts w:eastAsia="Times New Roman" w:cs="Arial"/>
          <w:snapToGrid w:val="0"/>
          <w:lang w:val="fr-FR"/>
        </w:rPr>
        <w:t>Rapaces, a mis en place un groupe de travail restreint composé d’experts de premier plan dans l’ensemble de l’aire de répartition géographique de l’espèce. Un appel à rejoindre le groupe de travail a été diffusé à tous les États de l’aire de répartition, notamment les Parties à la</w:t>
      </w:r>
      <w:r w:rsidR="002D7A59" w:rsidRPr="009D4EA7">
        <w:rPr>
          <w:rFonts w:eastAsia="Times New Roman" w:cs="Arial"/>
          <w:snapToGrid w:val="0"/>
          <w:lang w:val="fr-FR"/>
        </w:rPr>
        <w:t> </w:t>
      </w:r>
      <w:r w:rsidRPr="009D4EA7">
        <w:rPr>
          <w:rFonts w:eastAsia="Times New Roman" w:cs="Arial"/>
          <w:snapToGrid w:val="0"/>
          <w:lang w:val="fr-FR"/>
        </w:rPr>
        <w:t>CMS et les Signataires du MdE</w:t>
      </w:r>
      <w:r w:rsidR="002D7A59" w:rsidRPr="009D4EA7">
        <w:rPr>
          <w:rFonts w:eastAsia="Times New Roman" w:cs="Arial"/>
          <w:snapToGrid w:val="0"/>
          <w:lang w:val="fr-FR"/>
        </w:rPr>
        <w:t> </w:t>
      </w:r>
      <w:r w:rsidRPr="009D4EA7">
        <w:rPr>
          <w:rFonts w:eastAsia="Times New Roman" w:cs="Arial"/>
          <w:snapToGrid w:val="0"/>
          <w:lang w:val="fr-FR"/>
        </w:rPr>
        <w:t>Rapaces le 8</w:t>
      </w:r>
      <w:r w:rsidR="007B4F52" w:rsidRPr="009D4EA7">
        <w:rPr>
          <w:rFonts w:eastAsia="Times New Roman" w:cs="Arial"/>
          <w:snapToGrid w:val="0"/>
          <w:lang w:val="fr-FR"/>
        </w:rPr>
        <w:t> </w:t>
      </w:r>
      <w:r w:rsidRPr="009D4EA7">
        <w:rPr>
          <w:rFonts w:eastAsia="Times New Roman" w:cs="Arial"/>
          <w:snapToGrid w:val="0"/>
          <w:lang w:val="fr-FR"/>
        </w:rPr>
        <w:t>avril</w:t>
      </w:r>
      <w:r w:rsidR="002D7A59" w:rsidRPr="009D4EA7">
        <w:rPr>
          <w:rFonts w:eastAsia="Times New Roman" w:cs="Arial"/>
          <w:snapToGrid w:val="0"/>
          <w:lang w:val="fr-FR"/>
        </w:rPr>
        <w:t> </w:t>
      </w:r>
      <w:r w:rsidRPr="009D4EA7">
        <w:rPr>
          <w:rFonts w:eastAsia="Times New Roman" w:cs="Arial"/>
          <w:snapToGrid w:val="0"/>
          <w:lang w:val="fr-FR"/>
        </w:rPr>
        <w:t>2025, en même temps qu’un questionnaire sur l’espèce.</w:t>
      </w:r>
    </w:p>
    <w:p w14:paraId="7A3794E1" w14:textId="77777777" w:rsidR="007C1D5C" w:rsidRPr="009D4EA7" w:rsidRDefault="007C1D5C">
      <w:pPr>
        <w:pStyle w:val="ListParagraph"/>
        <w:spacing w:after="0" w:line="240" w:lineRule="auto"/>
        <w:ind w:left="927" w:hanging="567"/>
        <w:jc w:val="both"/>
        <w:rPr>
          <w:rFonts w:eastAsia="Times New Roman" w:cs="Arial"/>
          <w:snapToGrid w:val="0"/>
          <w:lang w:val="fr-FR"/>
        </w:rPr>
      </w:pPr>
    </w:p>
    <w:p w14:paraId="4157671C" w14:textId="0628CB18" w:rsidR="007C1D5C" w:rsidRPr="009D4EA7" w:rsidRDefault="006B775D">
      <w:pPr>
        <w:numPr>
          <w:ilvl w:val="0"/>
          <w:numId w:val="11"/>
        </w:numPr>
        <w:spacing w:after="0" w:line="240" w:lineRule="auto"/>
        <w:ind w:left="567" w:hanging="567"/>
        <w:jc w:val="both"/>
        <w:rPr>
          <w:rFonts w:eastAsia="Times New Roman" w:cs="Arial"/>
          <w:snapToGrid w:val="0"/>
          <w:lang w:val="fr-FR"/>
        </w:rPr>
      </w:pPr>
      <w:r w:rsidRPr="009D4EA7">
        <w:rPr>
          <w:rFonts w:eastAsia="Times New Roman" w:cs="Arial"/>
          <w:snapToGrid w:val="0"/>
          <w:lang w:val="fr-FR"/>
        </w:rPr>
        <w:t>Un groupe d’experts a également contribué à la rédaction du Plan d’action lors d’un atelier organisé à Astana (Kazakhstan) en mai</w:t>
      </w:r>
      <w:r w:rsidR="002D7A59" w:rsidRPr="009D4EA7">
        <w:rPr>
          <w:rFonts w:eastAsia="Times New Roman" w:cs="Arial"/>
          <w:snapToGrid w:val="0"/>
          <w:lang w:val="fr-FR"/>
        </w:rPr>
        <w:t> </w:t>
      </w:r>
      <w:r w:rsidRPr="009D4EA7">
        <w:rPr>
          <w:rFonts w:eastAsia="Times New Roman" w:cs="Arial"/>
          <w:snapToGrid w:val="0"/>
          <w:lang w:val="fr-FR"/>
        </w:rPr>
        <w:t>2025. Au cours de cet atelier, un arbre des problèmes, un classement des menaces et un cadre d’action pour la conservation ont été élaborés. Ceux-ci ont depuis été affinés par le coordinateur et le groupe de travail restreint, en étroite consultation avec les participants à l’atelier.</w:t>
      </w:r>
    </w:p>
    <w:p w14:paraId="511B8240" w14:textId="77777777" w:rsidR="007C1D5C" w:rsidRPr="009D4EA7" w:rsidRDefault="007C1D5C">
      <w:pPr>
        <w:pStyle w:val="ListParagraph"/>
        <w:spacing w:after="0" w:line="240" w:lineRule="auto"/>
        <w:ind w:left="927" w:hanging="567"/>
        <w:jc w:val="both"/>
        <w:rPr>
          <w:rFonts w:eastAsia="Times New Roman" w:cs="Arial"/>
          <w:snapToGrid w:val="0"/>
          <w:lang w:val="fr-FR"/>
        </w:rPr>
      </w:pPr>
    </w:p>
    <w:p w14:paraId="2760AC5D" w14:textId="01DFC18E" w:rsidR="007C1D5C" w:rsidRPr="009D4EA7" w:rsidRDefault="006B775D">
      <w:pPr>
        <w:numPr>
          <w:ilvl w:val="0"/>
          <w:numId w:val="11"/>
        </w:numPr>
        <w:spacing w:after="0" w:line="240" w:lineRule="auto"/>
        <w:ind w:left="567" w:hanging="567"/>
        <w:jc w:val="both"/>
        <w:rPr>
          <w:rFonts w:eastAsia="Times New Roman" w:cs="Arial"/>
          <w:snapToGrid w:val="0"/>
          <w:lang w:val="fr-FR"/>
        </w:rPr>
      </w:pPr>
      <w:r w:rsidRPr="009D4EA7">
        <w:rPr>
          <w:rFonts w:eastAsia="Times New Roman" w:cs="Arial"/>
          <w:snapToGrid w:val="0"/>
          <w:lang w:val="fr-FR"/>
        </w:rPr>
        <w:t xml:space="preserve">L’aigle des steppes est également une espèce phare de la Voie de migration d’Asie centrale établie par la </w:t>
      </w:r>
      <w:hyperlink r:id="rId14" w:history="1">
        <w:r w:rsidR="007C1D5C" w:rsidRPr="009D4EA7">
          <w:rPr>
            <w:rStyle w:val="Hyperlink"/>
            <w:rFonts w:eastAsia="Times New Roman" w:cs="Arial"/>
            <w:snapToGrid w:val="0"/>
            <w:lang w:val="fr-FR"/>
          </w:rPr>
          <w:t>Résolution 14.13</w:t>
        </w:r>
      </w:hyperlink>
      <w:r w:rsidRPr="009D4EA7">
        <w:rPr>
          <w:rFonts w:eastAsia="Times New Roman" w:cs="Arial"/>
          <w:snapToGrid w:val="0"/>
          <w:lang w:val="fr-FR"/>
        </w:rPr>
        <w:t xml:space="preserve"> </w:t>
      </w:r>
      <w:r w:rsidRPr="009D4EA7">
        <w:rPr>
          <w:rFonts w:eastAsia="Times New Roman" w:cs="Arial"/>
          <w:i/>
          <w:iCs/>
          <w:snapToGrid w:val="0"/>
          <w:lang w:val="fr-FR"/>
        </w:rPr>
        <w:t xml:space="preserve">Initiative pour la Voie de migration d’Asie centrale. </w:t>
      </w:r>
      <w:r w:rsidRPr="009D4EA7">
        <w:rPr>
          <w:rFonts w:eastAsia="Times New Roman" w:cs="Arial"/>
          <w:snapToGrid w:val="0"/>
          <w:lang w:val="fr-FR"/>
        </w:rPr>
        <w:t>La Voie de migration d’Asie Centrale sert de «</w:t>
      </w:r>
      <w:r w:rsidR="007B4F52" w:rsidRPr="009D4EA7">
        <w:rPr>
          <w:rFonts w:eastAsia="Times New Roman" w:cs="Arial"/>
          <w:snapToGrid w:val="0"/>
          <w:lang w:val="fr-FR"/>
        </w:rPr>
        <w:t> </w:t>
      </w:r>
      <w:r w:rsidRPr="009D4EA7">
        <w:rPr>
          <w:rFonts w:eastAsia="Times New Roman" w:cs="Arial"/>
          <w:snapToGrid w:val="0"/>
          <w:lang w:val="fr-FR"/>
        </w:rPr>
        <w:t>plateforme de coopération internationale sous l’égide de la</w:t>
      </w:r>
      <w:r w:rsidR="002D7A59" w:rsidRPr="009D4EA7">
        <w:rPr>
          <w:rFonts w:eastAsia="Times New Roman" w:cs="Arial"/>
          <w:snapToGrid w:val="0"/>
          <w:lang w:val="fr-FR"/>
        </w:rPr>
        <w:t> </w:t>
      </w:r>
      <w:r w:rsidRPr="009D4EA7">
        <w:rPr>
          <w:rFonts w:eastAsia="Times New Roman" w:cs="Arial"/>
          <w:snapToGrid w:val="0"/>
          <w:lang w:val="fr-FR"/>
        </w:rPr>
        <w:t>CMS pour renforcer la coopération régionale à des fins d’application de la Convention, ainsi que les instruments relatifs aux voies de migration de la Famille CMS</w:t>
      </w:r>
      <w:r w:rsidR="007B4F52" w:rsidRPr="009D4EA7">
        <w:rPr>
          <w:rFonts w:eastAsia="Times New Roman" w:cs="Arial"/>
          <w:snapToGrid w:val="0"/>
          <w:lang w:val="fr-FR"/>
        </w:rPr>
        <w:t> </w:t>
      </w:r>
      <w:r w:rsidRPr="009D4EA7">
        <w:rPr>
          <w:rFonts w:eastAsia="Times New Roman" w:cs="Arial"/>
          <w:snapToGrid w:val="0"/>
          <w:lang w:val="fr-FR"/>
        </w:rPr>
        <w:t>».</w:t>
      </w:r>
    </w:p>
    <w:p w14:paraId="0AE0E514" w14:textId="77777777" w:rsidR="007C1D5C" w:rsidRPr="009D4EA7" w:rsidRDefault="007C1D5C">
      <w:pPr>
        <w:spacing w:after="0" w:line="240" w:lineRule="auto"/>
        <w:ind w:left="567" w:hanging="567"/>
        <w:jc w:val="both"/>
        <w:rPr>
          <w:rFonts w:eastAsia="Times New Roman" w:cs="Arial"/>
          <w:snapToGrid w:val="0"/>
          <w:lang w:val="fr-FR"/>
        </w:rPr>
      </w:pPr>
    </w:p>
    <w:p w14:paraId="70C0DE7E" w14:textId="77777777" w:rsidR="007C1D5C" w:rsidRPr="009D4EA7" w:rsidRDefault="006B775D">
      <w:pPr>
        <w:spacing w:after="0" w:line="240" w:lineRule="auto"/>
        <w:ind w:left="567" w:hanging="567"/>
        <w:jc w:val="both"/>
        <w:rPr>
          <w:rFonts w:cs="Arial"/>
          <w:iCs/>
          <w:u w:val="single"/>
          <w:lang w:val="fr-FR"/>
        </w:rPr>
      </w:pPr>
      <w:r w:rsidRPr="009D4EA7">
        <w:rPr>
          <w:rFonts w:cs="Arial"/>
          <w:iCs/>
          <w:u w:val="single"/>
          <w:lang w:val="fr-FR"/>
        </w:rPr>
        <w:t>Discussion et analyse</w:t>
      </w:r>
    </w:p>
    <w:p w14:paraId="32248AC0" w14:textId="77777777" w:rsidR="007C1D5C" w:rsidRPr="009D4EA7" w:rsidRDefault="007C1D5C">
      <w:pPr>
        <w:widowControl w:val="0"/>
        <w:tabs>
          <w:tab w:val="left" w:pos="2288"/>
        </w:tabs>
        <w:spacing w:after="0" w:line="240" w:lineRule="auto"/>
        <w:ind w:left="567" w:hanging="567"/>
        <w:jc w:val="both"/>
        <w:rPr>
          <w:rFonts w:eastAsia="Times New Roman" w:cs="Arial"/>
          <w:snapToGrid w:val="0"/>
          <w:lang w:val="fr-FR"/>
        </w:rPr>
      </w:pPr>
    </w:p>
    <w:p w14:paraId="3EEBAEB5" w14:textId="169F391D" w:rsidR="007C1D5C" w:rsidRPr="009D4EA7" w:rsidRDefault="006B775D">
      <w:pPr>
        <w:numPr>
          <w:ilvl w:val="0"/>
          <w:numId w:val="11"/>
        </w:numPr>
        <w:spacing w:after="80" w:line="240" w:lineRule="auto"/>
        <w:ind w:left="567" w:hanging="567"/>
        <w:jc w:val="both"/>
        <w:rPr>
          <w:rFonts w:eastAsia="Times New Roman" w:cs="Arial"/>
          <w:snapToGrid w:val="0"/>
          <w:lang w:val="fr-FR"/>
        </w:rPr>
      </w:pPr>
      <w:r w:rsidRPr="009D4EA7">
        <w:rPr>
          <w:rFonts w:eastAsia="Times New Roman" w:cs="Arial"/>
          <w:snapToGrid w:val="0"/>
          <w:lang w:val="fr-FR"/>
        </w:rPr>
        <w:t xml:space="preserve">Un résumé du Plan d’action mondial pour l’aigle des steppes figure à l’annexe du présent document. Le plan complet est fourni en tant que document d’information (UNEP/CMS/COP15/Inf.26.4.3, en anglais uniquement). Le Plan d’action mondial pour </w:t>
      </w:r>
      <w:r w:rsidRPr="009D4EA7">
        <w:rPr>
          <w:rFonts w:eastAsia="Times New Roman" w:cs="Arial"/>
          <w:snapToGrid w:val="0"/>
          <w:lang w:val="fr-FR"/>
        </w:rPr>
        <w:lastRenderedPageBreak/>
        <w:t>l’aigle des steppes est le résultat d’un vaste processus de recherche et de consultation qui a inclus</w:t>
      </w:r>
      <w:r w:rsidR="007B4F52" w:rsidRPr="009D4EA7">
        <w:rPr>
          <w:rFonts w:eastAsia="Times New Roman" w:cs="Arial"/>
          <w:snapToGrid w:val="0"/>
          <w:lang w:val="fr-FR"/>
        </w:rPr>
        <w:t xml:space="preserve"> les actions suivantes </w:t>
      </w:r>
      <w:r w:rsidRPr="009D4EA7">
        <w:rPr>
          <w:rFonts w:eastAsia="Times New Roman" w:cs="Arial"/>
          <w:snapToGrid w:val="0"/>
          <w:lang w:val="fr-FR"/>
        </w:rPr>
        <w:t>:</w:t>
      </w:r>
    </w:p>
    <w:p w14:paraId="729A301D" w14:textId="15FE82D0" w:rsidR="007C1D5C" w:rsidRPr="009D4EA7" w:rsidRDefault="006B775D">
      <w:pPr>
        <w:numPr>
          <w:ilvl w:val="0"/>
          <w:numId w:val="12"/>
        </w:numPr>
        <w:spacing w:after="80" w:line="240" w:lineRule="auto"/>
        <w:ind w:left="993" w:hanging="426"/>
        <w:jc w:val="both"/>
        <w:rPr>
          <w:rFonts w:eastAsia="Times New Roman" w:cs="Arial"/>
          <w:snapToGrid w:val="0"/>
          <w:lang w:val="fr-FR"/>
        </w:rPr>
      </w:pPr>
      <w:r w:rsidRPr="009D4EA7">
        <w:rPr>
          <w:rFonts w:eastAsia="Times New Roman" w:cs="Arial"/>
          <w:snapToGrid w:val="0"/>
          <w:lang w:val="fr-FR"/>
        </w:rPr>
        <w:t xml:space="preserve">un examen de la littérature récemment publiée afin de rassembler les meilleures informations scientifiques disponibles sur la biologie, l’écologie et l’état de conservation de l’aigle des steppes ainsi que </w:t>
      </w:r>
      <w:r w:rsidR="007B4F52" w:rsidRPr="009D4EA7">
        <w:rPr>
          <w:rFonts w:eastAsia="Times New Roman" w:cs="Arial"/>
          <w:snapToGrid w:val="0"/>
          <w:lang w:val="fr-FR"/>
        </w:rPr>
        <w:t xml:space="preserve">sur </w:t>
      </w:r>
      <w:r w:rsidRPr="009D4EA7">
        <w:rPr>
          <w:rFonts w:eastAsia="Times New Roman" w:cs="Arial"/>
          <w:snapToGrid w:val="0"/>
          <w:lang w:val="fr-FR"/>
        </w:rPr>
        <w:t>les menaces auxquelles il est confronté dans son aire de répartition</w:t>
      </w:r>
      <w:r w:rsidR="007B4F52" w:rsidRPr="009D4EA7">
        <w:rPr>
          <w:rFonts w:eastAsia="Times New Roman" w:cs="Arial"/>
          <w:snapToGrid w:val="0"/>
          <w:lang w:val="fr-FR"/>
        </w:rPr>
        <w:t> </w:t>
      </w:r>
      <w:r w:rsidRPr="009D4EA7">
        <w:rPr>
          <w:rFonts w:eastAsia="Times New Roman" w:cs="Arial"/>
          <w:snapToGrid w:val="0"/>
          <w:lang w:val="fr-FR"/>
        </w:rPr>
        <w:t>;</w:t>
      </w:r>
    </w:p>
    <w:p w14:paraId="2034CAFD" w14:textId="68E3799A" w:rsidR="007C1D5C" w:rsidRPr="009D4EA7" w:rsidRDefault="006B775D">
      <w:pPr>
        <w:numPr>
          <w:ilvl w:val="0"/>
          <w:numId w:val="12"/>
        </w:numPr>
        <w:spacing w:after="80" w:line="240" w:lineRule="auto"/>
        <w:ind w:left="993" w:hanging="426"/>
        <w:jc w:val="both"/>
        <w:rPr>
          <w:rFonts w:eastAsia="Times New Roman" w:cs="Arial"/>
          <w:snapToGrid w:val="0"/>
          <w:lang w:val="fr-FR"/>
        </w:rPr>
      </w:pPr>
      <w:r w:rsidRPr="009D4EA7">
        <w:rPr>
          <w:rFonts w:eastAsia="Times New Roman" w:cs="Arial"/>
          <w:snapToGrid w:val="0"/>
          <w:lang w:val="fr-FR"/>
        </w:rPr>
        <w:t>une analyse des données de répartition disponibles dans les bases de données aviaires</w:t>
      </w:r>
      <w:r w:rsidR="007B4F52" w:rsidRPr="009D4EA7">
        <w:rPr>
          <w:rFonts w:eastAsia="Times New Roman" w:cs="Arial"/>
          <w:snapToGrid w:val="0"/>
          <w:lang w:val="fr-FR"/>
        </w:rPr>
        <w:t> </w:t>
      </w:r>
      <w:r w:rsidRPr="009D4EA7">
        <w:rPr>
          <w:rFonts w:eastAsia="Times New Roman" w:cs="Arial"/>
          <w:snapToGrid w:val="0"/>
          <w:lang w:val="fr-FR"/>
        </w:rPr>
        <w:t>;</w:t>
      </w:r>
    </w:p>
    <w:p w14:paraId="245C0887" w14:textId="621ADF3C" w:rsidR="007C1D5C" w:rsidRPr="009D4EA7" w:rsidRDefault="006B775D" w:rsidP="002D7A59">
      <w:pPr>
        <w:numPr>
          <w:ilvl w:val="0"/>
          <w:numId w:val="12"/>
        </w:numPr>
        <w:spacing w:after="80" w:line="240" w:lineRule="auto"/>
        <w:ind w:left="993" w:hanging="426"/>
        <w:jc w:val="both"/>
        <w:rPr>
          <w:rFonts w:eastAsia="Times New Roman" w:cs="Arial"/>
          <w:snapToGrid w:val="0"/>
          <w:lang w:val="fr-FR"/>
        </w:rPr>
      </w:pPr>
      <w:r w:rsidRPr="009D4EA7">
        <w:rPr>
          <w:rFonts w:eastAsia="Times New Roman" w:cs="Arial"/>
          <w:snapToGrid w:val="0"/>
          <w:lang w:val="fr-FR"/>
        </w:rPr>
        <w:t>une analyse des réponses à un questionnaire distribué afin de recueillir des informations au niveau national sur la taille et les tendances des populations reproductrices, migratrices et hivernantes, les sites importants pour l’espèce, les menaces et les mesures de conservation mises en œuvre</w:t>
      </w:r>
      <w:r w:rsidR="007B4F52" w:rsidRPr="009D4EA7">
        <w:rPr>
          <w:rFonts w:eastAsia="Times New Roman" w:cs="Arial"/>
          <w:snapToGrid w:val="0"/>
          <w:lang w:val="fr-FR"/>
        </w:rPr>
        <w:t> </w:t>
      </w:r>
      <w:r w:rsidRPr="009D4EA7">
        <w:rPr>
          <w:rFonts w:eastAsia="Times New Roman" w:cs="Arial"/>
          <w:snapToGrid w:val="0"/>
          <w:lang w:val="fr-FR"/>
        </w:rPr>
        <w:t>;</w:t>
      </w:r>
    </w:p>
    <w:p w14:paraId="79BFFADB" w14:textId="48BEBC65" w:rsidR="007C1D5C" w:rsidRPr="009D4EA7" w:rsidRDefault="006B775D">
      <w:pPr>
        <w:numPr>
          <w:ilvl w:val="0"/>
          <w:numId w:val="12"/>
        </w:numPr>
        <w:spacing w:after="80" w:line="240" w:lineRule="auto"/>
        <w:ind w:left="993" w:hanging="426"/>
        <w:jc w:val="both"/>
        <w:rPr>
          <w:rFonts w:eastAsia="Times New Roman" w:cs="Arial"/>
          <w:snapToGrid w:val="0"/>
          <w:lang w:val="fr-FR"/>
        </w:rPr>
      </w:pPr>
      <w:r w:rsidRPr="009D4EA7">
        <w:rPr>
          <w:rFonts w:eastAsia="Times New Roman" w:cs="Arial"/>
          <w:snapToGrid w:val="0"/>
          <w:color w:val="000000" w:themeColor="text1"/>
          <w:lang w:val="fr-FR"/>
        </w:rPr>
        <w:t xml:space="preserve">une consultation avec </w:t>
      </w:r>
      <w:r w:rsidRPr="009D4EA7">
        <w:rPr>
          <w:rFonts w:eastAsia="Times New Roman" w:cs="Arial"/>
          <w:snapToGrid w:val="0"/>
          <w:lang w:val="fr-FR"/>
        </w:rPr>
        <w:t>le Groupe de travail sur l’aigle des steppes en vue de l’obtention de conseils techniques, un examen des versions préliminaires du Plan d’action pour l’aigle des steppes</w:t>
      </w:r>
      <w:r w:rsidRPr="009D4EA7">
        <w:rPr>
          <w:rFonts w:eastAsia="Times New Roman" w:cs="Arial"/>
          <w:snapToGrid w:val="0"/>
          <w:color w:val="000000" w:themeColor="text1"/>
          <w:lang w:val="fr-FR"/>
        </w:rPr>
        <w:t xml:space="preserve"> et un partage des données.</w:t>
      </w:r>
    </w:p>
    <w:p w14:paraId="55079F44" w14:textId="77777777" w:rsidR="007C1D5C" w:rsidRPr="009D4EA7" w:rsidRDefault="007C1D5C">
      <w:pPr>
        <w:widowControl w:val="0"/>
        <w:spacing w:after="0" w:line="240" w:lineRule="auto"/>
        <w:ind w:left="1134" w:hanging="567"/>
        <w:jc w:val="both"/>
        <w:rPr>
          <w:rFonts w:eastAsia="Times New Roman" w:cs="Arial"/>
          <w:snapToGrid w:val="0"/>
          <w:lang w:val="fr-FR"/>
        </w:rPr>
      </w:pPr>
    </w:p>
    <w:p w14:paraId="2075C959" w14:textId="69372D55" w:rsidR="007C1D5C" w:rsidRPr="009D4EA7" w:rsidRDefault="006B775D">
      <w:pPr>
        <w:numPr>
          <w:ilvl w:val="0"/>
          <w:numId w:val="11"/>
        </w:numPr>
        <w:spacing w:line="240" w:lineRule="auto"/>
        <w:ind w:left="567" w:hanging="567"/>
        <w:jc w:val="both"/>
        <w:rPr>
          <w:rFonts w:eastAsia="Times New Roman" w:cs="Arial"/>
          <w:snapToGrid w:val="0"/>
          <w:lang w:val="fr-FR"/>
        </w:rPr>
      </w:pPr>
      <w:r w:rsidRPr="009D4EA7">
        <w:rPr>
          <w:rFonts w:eastAsia="Times New Roman" w:cs="Arial"/>
          <w:snapToGrid w:val="0"/>
          <w:lang w:val="fr-FR"/>
        </w:rPr>
        <w:t>Le Plan d’action mondial pour l’aigle des steppes fixe les six objectifs suivants</w:t>
      </w:r>
      <w:r w:rsidR="007B4F52" w:rsidRPr="009D4EA7">
        <w:rPr>
          <w:rFonts w:eastAsia="Times New Roman" w:cs="Arial"/>
          <w:snapToGrid w:val="0"/>
          <w:lang w:val="fr-FR"/>
        </w:rPr>
        <w:t> </w:t>
      </w:r>
      <w:r w:rsidRPr="009D4EA7">
        <w:rPr>
          <w:rFonts w:eastAsia="Times New Roman" w:cs="Arial"/>
          <w:snapToGrid w:val="0"/>
          <w:lang w:val="fr-FR"/>
        </w:rPr>
        <w:t>:</w:t>
      </w:r>
    </w:p>
    <w:p w14:paraId="61BA2669" w14:textId="73E4B565" w:rsidR="007C1D5C" w:rsidRPr="009D4EA7" w:rsidRDefault="006B775D">
      <w:pPr>
        <w:pStyle w:val="ListParagraph"/>
        <w:numPr>
          <w:ilvl w:val="0"/>
          <w:numId w:val="14"/>
        </w:numPr>
        <w:spacing w:after="80" w:line="240" w:lineRule="auto"/>
        <w:ind w:left="993" w:hanging="426"/>
        <w:contextualSpacing w:val="0"/>
        <w:jc w:val="both"/>
        <w:rPr>
          <w:rFonts w:eastAsia="Times New Roman" w:cs="Arial"/>
          <w:snapToGrid w:val="0"/>
          <w:lang w:val="fr-FR"/>
        </w:rPr>
      </w:pPr>
      <w:r w:rsidRPr="009D4EA7">
        <w:rPr>
          <w:rFonts w:eastAsia="Times New Roman" w:cs="Arial"/>
          <w:snapToGrid w:val="0"/>
          <w:lang w:val="fr-FR"/>
        </w:rPr>
        <w:t>réduire l’impact des infrastructures énergétiques sur les aigles des steppes le long de la voie de migration</w:t>
      </w:r>
      <w:r w:rsidR="007B4F52" w:rsidRPr="009D4EA7">
        <w:rPr>
          <w:rFonts w:eastAsia="Times New Roman" w:cs="Arial"/>
          <w:snapToGrid w:val="0"/>
          <w:lang w:val="fr-FR"/>
        </w:rPr>
        <w:t> </w:t>
      </w:r>
      <w:r w:rsidRPr="009D4EA7">
        <w:rPr>
          <w:rFonts w:eastAsia="Times New Roman" w:cs="Arial"/>
          <w:snapToGrid w:val="0"/>
          <w:lang w:val="fr-FR"/>
        </w:rPr>
        <w:t>;</w:t>
      </w:r>
    </w:p>
    <w:p w14:paraId="3D606422" w14:textId="5307645F" w:rsidR="007C1D5C" w:rsidRPr="009D4EA7" w:rsidRDefault="006B775D">
      <w:pPr>
        <w:pStyle w:val="ListParagraph"/>
        <w:numPr>
          <w:ilvl w:val="0"/>
          <w:numId w:val="14"/>
        </w:numPr>
        <w:spacing w:after="80" w:line="240" w:lineRule="auto"/>
        <w:ind w:left="993" w:hanging="426"/>
        <w:contextualSpacing w:val="0"/>
        <w:jc w:val="both"/>
        <w:rPr>
          <w:rFonts w:eastAsia="Times New Roman" w:cs="Arial"/>
          <w:snapToGrid w:val="0"/>
          <w:lang w:val="fr-FR"/>
        </w:rPr>
      </w:pPr>
      <w:r w:rsidRPr="009D4EA7">
        <w:rPr>
          <w:rFonts w:cs="Calibri"/>
          <w:lang w:val="fr-FR"/>
        </w:rPr>
        <w:t>réduire de manière significative la mortalité due à l’impact de la prise et du commerce légaux et illégaux</w:t>
      </w:r>
      <w:r w:rsidR="007B4F52" w:rsidRPr="009D4EA7">
        <w:rPr>
          <w:rFonts w:eastAsia="Times New Roman" w:cs="Arial"/>
          <w:snapToGrid w:val="0"/>
          <w:lang w:val="fr-FR"/>
        </w:rPr>
        <w:t> </w:t>
      </w:r>
      <w:r w:rsidRPr="009D4EA7">
        <w:rPr>
          <w:rFonts w:eastAsia="Times New Roman" w:cs="Arial"/>
          <w:snapToGrid w:val="0"/>
          <w:lang w:val="fr-FR"/>
        </w:rPr>
        <w:t>;</w:t>
      </w:r>
    </w:p>
    <w:p w14:paraId="35EE4BF6" w14:textId="5DA26E78" w:rsidR="007C1D5C" w:rsidRPr="009D4EA7" w:rsidRDefault="006B775D">
      <w:pPr>
        <w:pStyle w:val="ListParagraph"/>
        <w:numPr>
          <w:ilvl w:val="0"/>
          <w:numId w:val="14"/>
        </w:numPr>
        <w:spacing w:after="80" w:line="240" w:lineRule="auto"/>
        <w:ind w:left="993" w:hanging="426"/>
        <w:contextualSpacing w:val="0"/>
        <w:jc w:val="both"/>
        <w:rPr>
          <w:rFonts w:eastAsia="Times New Roman" w:cs="Arial"/>
          <w:snapToGrid w:val="0"/>
          <w:lang w:val="fr-FR"/>
        </w:rPr>
      </w:pPr>
      <w:r w:rsidRPr="009D4EA7">
        <w:rPr>
          <w:rFonts w:eastAsia="Times New Roman" w:cs="Arial"/>
          <w:snapToGrid w:val="0"/>
          <w:lang w:val="fr-FR"/>
        </w:rPr>
        <w:t>comprendre et atténuer l’impact de l’empoisonnement accidentel sur les populations d’aigles des steppes</w:t>
      </w:r>
      <w:r w:rsidR="007B4F52" w:rsidRPr="009D4EA7">
        <w:rPr>
          <w:rFonts w:eastAsia="Times New Roman" w:cs="Arial"/>
          <w:snapToGrid w:val="0"/>
          <w:lang w:val="fr-FR"/>
        </w:rPr>
        <w:t> </w:t>
      </w:r>
      <w:r w:rsidRPr="009D4EA7">
        <w:rPr>
          <w:rFonts w:eastAsia="Times New Roman" w:cs="Arial"/>
          <w:snapToGrid w:val="0"/>
          <w:lang w:val="fr-FR"/>
        </w:rPr>
        <w:t>;</w:t>
      </w:r>
    </w:p>
    <w:p w14:paraId="11E4ED85" w14:textId="3B74E941" w:rsidR="007C1D5C" w:rsidRPr="009D4EA7" w:rsidRDefault="006B775D">
      <w:pPr>
        <w:pStyle w:val="ListParagraph"/>
        <w:numPr>
          <w:ilvl w:val="0"/>
          <w:numId w:val="14"/>
        </w:numPr>
        <w:spacing w:after="80" w:line="240" w:lineRule="auto"/>
        <w:ind w:left="993" w:hanging="426"/>
        <w:contextualSpacing w:val="0"/>
        <w:jc w:val="both"/>
        <w:rPr>
          <w:rFonts w:eastAsia="Times New Roman" w:cs="Arial"/>
          <w:snapToGrid w:val="0"/>
          <w:lang w:val="fr-FR"/>
        </w:rPr>
      </w:pPr>
      <w:r w:rsidRPr="009D4EA7">
        <w:rPr>
          <w:rFonts w:eastAsia="Times New Roman" w:cs="Arial"/>
          <w:snapToGrid w:val="0"/>
          <w:color w:val="000000" w:themeColor="text1"/>
          <w:lang w:val="fr-FR"/>
        </w:rPr>
        <w:t>atteindre</w:t>
      </w:r>
      <w:r w:rsidRPr="009D4EA7">
        <w:rPr>
          <w:rFonts w:eastAsia="Times New Roman" w:cs="Arial"/>
          <w:snapToGrid w:val="0"/>
          <w:lang w:val="fr-FR"/>
        </w:rPr>
        <w:t xml:space="preserve"> des habitats de bonne qualité qui soutiennent les populations d’aigles des steppes dans l’ensemble de l’aire de répartition de l’espèce</w:t>
      </w:r>
      <w:r w:rsidR="007B4F52" w:rsidRPr="009D4EA7">
        <w:rPr>
          <w:rFonts w:eastAsia="Times New Roman" w:cs="Arial"/>
          <w:snapToGrid w:val="0"/>
          <w:lang w:val="fr-FR"/>
        </w:rPr>
        <w:t> </w:t>
      </w:r>
      <w:r w:rsidRPr="009D4EA7">
        <w:rPr>
          <w:rFonts w:eastAsia="Times New Roman" w:cs="Arial"/>
          <w:snapToGrid w:val="0"/>
          <w:lang w:val="fr-FR"/>
        </w:rPr>
        <w:t>;</w:t>
      </w:r>
    </w:p>
    <w:p w14:paraId="2F02022C" w14:textId="0F253F87" w:rsidR="007C1D5C" w:rsidRPr="009D4EA7" w:rsidRDefault="006B775D">
      <w:pPr>
        <w:pStyle w:val="ListParagraph"/>
        <w:numPr>
          <w:ilvl w:val="0"/>
          <w:numId w:val="14"/>
        </w:numPr>
        <w:spacing w:after="80" w:line="240" w:lineRule="auto"/>
        <w:ind w:left="993" w:hanging="426"/>
        <w:contextualSpacing w:val="0"/>
        <w:jc w:val="both"/>
        <w:rPr>
          <w:rFonts w:eastAsia="Times New Roman" w:cs="Arial"/>
          <w:snapToGrid w:val="0"/>
          <w:lang w:val="fr-FR"/>
        </w:rPr>
      </w:pPr>
      <w:r w:rsidRPr="009D4EA7">
        <w:rPr>
          <w:rFonts w:eastAsia="Times New Roman" w:cs="Arial"/>
          <w:snapToGrid w:val="0"/>
          <w:lang w:val="fr-FR"/>
        </w:rPr>
        <w:t>combler les principales lacunes en matière de connaissances sur la répartition et les déplacements de l’aigle des steppes ainsi que sur les menaces qui pèsent sur l’espèce grâce à une collaboration renforcée et à une recherche coordonnée, afin d’orienter les actions de conservation à travers l’ensemble de son aire de répartition mondiale</w:t>
      </w:r>
      <w:r w:rsidR="007B4F52" w:rsidRPr="009D4EA7">
        <w:rPr>
          <w:rFonts w:eastAsia="Times New Roman" w:cs="Arial"/>
          <w:snapToGrid w:val="0"/>
          <w:lang w:val="fr-FR"/>
        </w:rPr>
        <w:t> </w:t>
      </w:r>
      <w:r w:rsidRPr="009D4EA7">
        <w:rPr>
          <w:rFonts w:eastAsia="Times New Roman" w:cs="Arial"/>
          <w:snapToGrid w:val="0"/>
          <w:lang w:val="fr-FR"/>
        </w:rPr>
        <w:t>;</w:t>
      </w:r>
    </w:p>
    <w:p w14:paraId="7B1A1B1C" w14:textId="77777777" w:rsidR="007C1D5C" w:rsidRPr="009D4EA7" w:rsidRDefault="006B775D">
      <w:pPr>
        <w:pStyle w:val="ListParagraph"/>
        <w:numPr>
          <w:ilvl w:val="0"/>
          <w:numId w:val="14"/>
        </w:numPr>
        <w:spacing w:after="0" w:line="240" w:lineRule="auto"/>
        <w:ind w:left="993" w:hanging="426"/>
        <w:jc w:val="both"/>
        <w:rPr>
          <w:rFonts w:eastAsia="Times New Roman" w:cs="Arial"/>
          <w:snapToGrid w:val="0"/>
          <w:lang w:val="fr-FR"/>
        </w:rPr>
      </w:pPr>
      <w:r w:rsidRPr="009D4EA7">
        <w:rPr>
          <w:rFonts w:eastAsia="Times New Roman" w:cs="Arial"/>
          <w:snapToGrid w:val="0"/>
          <w:lang w:val="fr-FR"/>
        </w:rPr>
        <w:t>assurer la validation et la mise en œuvre effective du Plan d’action mondial pour l’aigle des steppes dans tous les États de l’aire de répartition, au moyen d’actions de sensibilisation auprès des communautés clés et de toutes les principales parties prenantes.</w:t>
      </w:r>
    </w:p>
    <w:p w14:paraId="338F0C2A" w14:textId="77777777" w:rsidR="007C1D5C" w:rsidRPr="009D4EA7" w:rsidRDefault="007C1D5C">
      <w:pPr>
        <w:spacing w:after="0" w:line="240" w:lineRule="auto"/>
        <w:ind w:left="567"/>
        <w:jc w:val="both"/>
        <w:rPr>
          <w:rFonts w:eastAsia="Times New Roman" w:cs="Arial"/>
          <w:snapToGrid w:val="0"/>
          <w:lang w:val="fr-FR"/>
        </w:rPr>
      </w:pPr>
    </w:p>
    <w:p w14:paraId="11D27F01" w14:textId="77777777" w:rsidR="007C1D5C" w:rsidRPr="009D4EA7" w:rsidRDefault="006B775D">
      <w:pPr>
        <w:numPr>
          <w:ilvl w:val="0"/>
          <w:numId w:val="11"/>
        </w:numPr>
        <w:spacing w:after="0" w:line="240" w:lineRule="auto"/>
        <w:ind w:left="567" w:hanging="567"/>
        <w:jc w:val="both"/>
        <w:rPr>
          <w:rFonts w:eastAsia="Times New Roman" w:cs="Arial"/>
          <w:snapToGrid w:val="0"/>
          <w:lang w:val="fr-FR"/>
        </w:rPr>
      </w:pPr>
      <w:r w:rsidRPr="009D4EA7">
        <w:rPr>
          <w:rFonts w:eastAsia="Times New Roman" w:cs="Arial"/>
          <w:snapToGrid w:val="0"/>
          <w:lang w:val="fr-FR"/>
        </w:rPr>
        <w:t>Chaque action du Plan est accompagnée d’une liste des parties prenantes, des priorités de mise en œuvre, des pays cibles et des échéances. Tous les États de l’aire de répartition de l’aigle des steppes sont priés de mettre en œuvre le Plan.</w:t>
      </w:r>
    </w:p>
    <w:p w14:paraId="535EF160" w14:textId="77777777" w:rsidR="007C1D5C" w:rsidRPr="009D4EA7" w:rsidRDefault="007C1D5C">
      <w:pPr>
        <w:widowControl w:val="0"/>
        <w:spacing w:after="0" w:line="240" w:lineRule="auto"/>
        <w:ind w:left="567" w:hanging="567"/>
        <w:jc w:val="both"/>
        <w:rPr>
          <w:rFonts w:eastAsia="Times New Roman" w:cs="Arial"/>
          <w:snapToGrid w:val="0"/>
          <w:lang w:val="fr-FR"/>
        </w:rPr>
      </w:pPr>
    </w:p>
    <w:p w14:paraId="7C5EC990" w14:textId="3F859D78" w:rsidR="007C1D5C" w:rsidRPr="009D4EA7" w:rsidRDefault="006B775D">
      <w:pPr>
        <w:numPr>
          <w:ilvl w:val="0"/>
          <w:numId w:val="11"/>
        </w:numPr>
        <w:spacing w:after="0" w:line="240" w:lineRule="auto"/>
        <w:ind w:left="567" w:hanging="567"/>
        <w:jc w:val="both"/>
        <w:rPr>
          <w:rFonts w:eastAsia="Times New Roman" w:cs="Arial"/>
          <w:snapToGrid w:val="0"/>
          <w:lang w:val="fr-FR"/>
        </w:rPr>
      </w:pPr>
      <w:r w:rsidRPr="009D4EA7">
        <w:rPr>
          <w:rFonts w:eastAsia="Times New Roman" w:cs="Arial"/>
          <w:snapToGrid w:val="0"/>
          <w:lang w:val="fr-FR"/>
        </w:rPr>
        <w:t>Il est recommandé de procéder à un examen à mi-parcours de la mise en œuvre du Plan après une période de cinq ans, suivi d’un examen final et d’une mise à jour en</w:t>
      </w:r>
      <w:r w:rsidR="002D7A59" w:rsidRPr="009D4EA7">
        <w:rPr>
          <w:rFonts w:eastAsia="Times New Roman" w:cs="Arial"/>
          <w:snapToGrid w:val="0"/>
          <w:lang w:val="fr-FR"/>
        </w:rPr>
        <w:t> </w:t>
      </w:r>
      <w:r w:rsidRPr="009D4EA7">
        <w:rPr>
          <w:rFonts w:eastAsia="Times New Roman" w:cs="Arial"/>
          <w:snapToGrid w:val="0"/>
          <w:lang w:val="fr-FR"/>
        </w:rPr>
        <w:t>2036. Pour coordonner, superviser et rendre compte de l’avancement de la mise en œuvre, la mise en place d’une entité de coordination dédiée est également recommandée dans le Plan.</w:t>
      </w:r>
    </w:p>
    <w:p w14:paraId="5B678369" w14:textId="77777777" w:rsidR="007C1D5C" w:rsidRPr="009D4EA7" w:rsidRDefault="007C1D5C">
      <w:pPr>
        <w:spacing w:after="0" w:line="240" w:lineRule="auto"/>
        <w:jc w:val="both"/>
        <w:rPr>
          <w:rFonts w:cs="Arial"/>
          <w:lang w:val="fr-FR"/>
        </w:rPr>
      </w:pPr>
    </w:p>
    <w:p w14:paraId="2D2934C7" w14:textId="77777777" w:rsidR="007C1D5C" w:rsidRPr="009D4EA7" w:rsidRDefault="006B775D">
      <w:pPr>
        <w:spacing w:after="0" w:line="240" w:lineRule="auto"/>
        <w:ind w:left="567" w:hanging="567"/>
        <w:jc w:val="both"/>
        <w:rPr>
          <w:rFonts w:cs="Arial"/>
          <w:u w:val="single"/>
          <w:lang w:val="fr-FR"/>
        </w:rPr>
      </w:pPr>
      <w:r w:rsidRPr="009D4EA7">
        <w:rPr>
          <w:rFonts w:cs="Arial"/>
          <w:u w:val="single"/>
          <w:lang w:val="fr-FR"/>
        </w:rPr>
        <w:t>Actions recommandées</w:t>
      </w:r>
    </w:p>
    <w:p w14:paraId="20DA83C5" w14:textId="77777777" w:rsidR="007C1D5C" w:rsidRPr="009D4EA7" w:rsidRDefault="007C1D5C">
      <w:pPr>
        <w:spacing w:after="0" w:line="240" w:lineRule="auto"/>
        <w:ind w:left="567" w:hanging="567"/>
        <w:jc w:val="both"/>
        <w:rPr>
          <w:rFonts w:cs="Arial"/>
          <w:b/>
          <w:bCs/>
          <w:lang w:val="fr-FR"/>
        </w:rPr>
      </w:pPr>
    </w:p>
    <w:p w14:paraId="79FDEF5C" w14:textId="314FD388" w:rsidR="007C1D5C" w:rsidRPr="009D4EA7" w:rsidRDefault="006B775D">
      <w:pPr>
        <w:numPr>
          <w:ilvl w:val="0"/>
          <w:numId w:val="11"/>
        </w:numPr>
        <w:spacing w:after="0" w:line="240" w:lineRule="auto"/>
        <w:ind w:left="567" w:hanging="567"/>
        <w:jc w:val="both"/>
        <w:rPr>
          <w:lang w:val="fr-FR"/>
        </w:rPr>
      </w:pPr>
      <w:r w:rsidRPr="009D4EA7">
        <w:rPr>
          <w:rFonts w:eastAsia="Times New Roman" w:cs="Arial"/>
          <w:snapToGrid w:val="0"/>
          <w:lang w:val="fr-FR"/>
        </w:rPr>
        <w:t xml:space="preserve">Il est recommandé à la Conférence des Parties </w:t>
      </w:r>
      <w:r w:rsidRPr="009D4EA7">
        <w:rPr>
          <w:lang w:val="fr-FR"/>
        </w:rPr>
        <w:t>d’examiner et d’envisager d’adopter, dans le cadre des projets d’amendements à la Résolution</w:t>
      </w:r>
      <w:r w:rsidR="007B4F52" w:rsidRPr="009D4EA7">
        <w:rPr>
          <w:lang w:val="fr-FR"/>
        </w:rPr>
        <w:t> </w:t>
      </w:r>
      <w:r w:rsidRPr="009D4EA7">
        <w:rPr>
          <w:lang w:val="fr-FR"/>
        </w:rPr>
        <w:t>12.12</w:t>
      </w:r>
      <w:r w:rsidR="002D7A59" w:rsidRPr="009D4EA7">
        <w:rPr>
          <w:lang w:val="fr-FR"/>
        </w:rPr>
        <w:t> </w:t>
      </w:r>
      <w:r w:rsidRPr="009D4EA7">
        <w:rPr>
          <w:lang w:val="fr-FR"/>
        </w:rPr>
        <w:t>(Rev.COP14), le Plan d’action mondial pour la conservation de l’aigle des steppes (</w:t>
      </w:r>
      <w:r w:rsidRPr="009D4EA7">
        <w:rPr>
          <w:i/>
          <w:iCs/>
          <w:lang w:val="fr-FR"/>
        </w:rPr>
        <w:t>Aquila nipalensis</w:t>
      </w:r>
      <w:r w:rsidRPr="009D4EA7">
        <w:rPr>
          <w:lang w:val="fr-FR"/>
        </w:rPr>
        <w:t>) (2025–2035).</w:t>
      </w:r>
    </w:p>
    <w:p w14:paraId="1590A257" w14:textId="3661621C" w:rsidR="007C1D5C" w:rsidRPr="009D4EA7" w:rsidRDefault="007C1D5C">
      <w:pPr>
        <w:rPr>
          <w:lang w:val="fr-FR"/>
        </w:rPr>
        <w:sectPr w:rsidR="007C1D5C" w:rsidRPr="009D4EA7">
          <w:headerReference w:type="even" r:id="rId15"/>
          <w:headerReference w:type="default" r:id="rId16"/>
          <w:footerReference w:type="even" r:id="rId17"/>
          <w:footerReference w:type="default" r:id="rId18"/>
          <w:headerReference w:type="first" r:id="rId19"/>
          <w:pgSz w:w="11906" w:h="16838" w:code="9"/>
          <w:pgMar w:top="1440" w:right="1440" w:bottom="1440" w:left="1440" w:header="720" w:footer="720" w:gutter="0"/>
          <w:cols w:space="720"/>
          <w:titlePg/>
          <w:docGrid w:linePitch="360"/>
        </w:sectPr>
      </w:pPr>
    </w:p>
    <w:p w14:paraId="51A83B67" w14:textId="1913E44D" w:rsidR="00017409" w:rsidRPr="00017409" w:rsidRDefault="00017409" w:rsidP="00017409">
      <w:pPr>
        <w:pStyle w:val="Title"/>
        <w:jc w:val="right"/>
        <w:rPr>
          <w:rFonts w:ascii="Arial" w:hAnsi="Arial" w:cs="Arial"/>
          <w:sz w:val="22"/>
          <w:szCs w:val="22"/>
          <w:lang w:val="fr-FR"/>
        </w:rPr>
      </w:pPr>
      <w:r w:rsidRPr="00017409">
        <w:rPr>
          <w:rFonts w:ascii="Arial" w:hAnsi="Arial" w:cs="Arial"/>
          <w:sz w:val="22"/>
          <w:szCs w:val="22"/>
          <w:lang w:val="fr-FR"/>
        </w:rPr>
        <w:lastRenderedPageBreak/>
        <w:t>ANNEX</w:t>
      </w:r>
    </w:p>
    <w:p w14:paraId="54DCA63D" w14:textId="77777777" w:rsidR="00017409" w:rsidRPr="00017409" w:rsidRDefault="00017409" w:rsidP="00871D8A">
      <w:pPr>
        <w:pStyle w:val="Title"/>
        <w:jc w:val="center"/>
        <w:rPr>
          <w:rFonts w:ascii="Arial" w:hAnsi="Arial" w:cs="Arial"/>
          <w:sz w:val="22"/>
          <w:szCs w:val="22"/>
          <w:lang w:val="fr-FR"/>
        </w:rPr>
      </w:pPr>
    </w:p>
    <w:p w14:paraId="04C63613" w14:textId="1366411D" w:rsidR="00871D8A" w:rsidRPr="00414183" w:rsidRDefault="00871D8A" w:rsidP="00871D8A">
      <w:pPr>
        <w:pStyle w:val="Title"/>
        <w:jc w:val="center"/>
        <w:rPr>
          <w:rFonts w:ascii="Arial" w:hAnsi="Arial" w:cs="Arial"/>
          <w:sz w:val="40"/>
          <w:szCs w:val="40"/>
          <w:lang w:val="fr-FR"/>
        </w:rPr>
      </w:pPr>
      <w:r w:rsidRPr="00414183">
        <w:rPr>
          <w:rFonts w:ascii="Arial" w:hAnsi="Arial" w:cs="Arial"/>
          <w:sz w:val="40"/>
          <w:szCs w:val="40"/>
          <w:lang w:val="fr-FR"/>
        </w:rPr>
        <w:t>Plan d’action mondial pour la conservation de l’aigle des steppes (</w:t>
      </w:r>
      <w:r w:rsidRPr="00414183">
        <w:rPr>
          <w:rFonts w:ascii="Arial" w:hAnsi="Arial" w:cs="Arial"/>
          <w:i/>
          <w:iCs/>
          <w:sz w:val="40"/>
          <w:szCs w:val="40"/>
          <w:lang w:val="fr-FR"/>
        </w:rPr>
        <w:t>Aquila nipalensis</w:t>
      </w:r>
      <w:r w:rsidRPr="00414183">
        <w:rPr>
          <w:rFonts w:ascii="Arial" w:hAnsi="Arial" w:cs="Arial"/>
          <w:sz w:val="40"/>
          <w:szCs w:val="40"/>
          <w:lang w:val="fr-FR"/>
        </w:rPr>
        <w:t>)</w:t>
      </w:r>
    </w:p>
    <w:p w14:paraId="4315200A" w14:textId="77777777" w:rsidR="00871D8A" w:rsidRPr="00414183" w:rsidRDefault="00871D8A" w:rsidP="00871D8A">
      <w:pPr>
        <w:pStyle w:val="Title"/>
        <w:jc w:val="center"/>
        <w:rPr>
          <w:rFonts w:ascii="Arial" w:hAnsi="Arial" w:cs="Arial"/>
          <w:sz w:val="40"/>
          <w:szCs w:val="40"/>
        </w:rPr>
      </w:pPr>
      <w:r w:rsidRPr="00414183">
        <w:rPr>
          <w:rFonts w:ascii="Arial" w:hAnsi="Arial" w:cs="Arial"/>
          <w:sz w:val="40"/>
          <w:szCs w:val="40"/>
        </w:rPr>
        <w:t>(2026-2035)</w:t>
      </w:r>
    </w:p>
    <w:p w14:paraId="33265B20" w14:textId="77777777" w:rsidR="00871D8A" w:rsidRPr="00414183" w:rsidRDefault="00871D8A" w:rsidP="00871D8A">
      <w:pPr>
        <w:rPr>
          <w:rFonts w:cs="Arial"/>
          <w:lang w:val="fr-FR"/>
        </w:rPr>
      </w:pPr>
      <w:r w:rsidRPr="00414183">
        <w:rPr>
          <w:rFonts w:cs="Arial"/>
          <w:noProof/>
          <w:lang w:val="fr-FR"/>
        </w:rPr>
        <w:drawing>
          <wp:inline distT="0" distB="0" distL="0" distR="0" wp14:anchorId="7921EF53" wp14:editId="25E74A8D">
            <wp:extent cx="5731510" cy="3820795"/>
            <wp:effectExtent l="0" t="0" r="2540" b="8255"/>
            <wp:docPr id="349011397" name="Picture 1" descr="A bird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011397" name="Picture 1" descr="A bird flying in the sky&#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61829B83" w14:textId="77777777" w:rsidR="00871D8A" w:rsidRPr="00414183" w:rsidRDefault="00871D8A" w:rsidP="00871D8A">
      <w:pPr>
        <w:pStyle w:val="IntenseQuote"/>
        <w:rPr>
          <w:rFonts w:ascii="Arial" w:hAnsi="Arial" w:cs="Arial"/>
          <w:lang w:val="fr-FR"/>
        </w:rPr>
      </w:pPr>
      <w:r w:rsidRPr="00414183">
        <w:rPr>
          <w:rFonts w:ascii="Arial" w:hAnsi="Arial" w:cs="Arial"/>
          <w:lang w:val="fr-FR"/>
        </w:rPr>
        <w:t>Stopper et inverser le déclin des aigles des steppes en mettant en œuvre des actions innovantes basées sur la science dans le domaine de la conservation et de l’engagement communautaire dans l’ensemble de leur aire de répartition.</w:t>
      </w:r>
    </w:p>
    <w:p w14:paraId="6AE15BB7" w14:textId="44CB6247" w:rsidR="00871D8A" w:rsidRPr="00931FAC" w:rsidRDefault="00871D8A" w:rsidP="00871D8A">
      <w:pPr>
        <w:rPr>
          <w:rStyle w:val="Emphasis"/>
          <w:rFonts w:cs="Arial"/>
          <w:i w:val="0"/>
          <w:iCs w:val="0"/>
          <w:lang w:val="fr-FR"/>
        </w:rPr>
      </w:pPr>
      <w:r w:rsidRPr="00414183">
        <w:rPr>
          <w:rFonts w:cs="Arial"/>
          <w:lang w:val="fr-FR"/>
        </w:rPr>
        <w:t>Ce document reproduit les sections clés du Plan d’action mondial pour la conservation de l’aigle des steppes (</w:t>
      </w:r>
      <w:r w:rsidRPr="00414183">
        <w:rPr>
          <w:rFonts w:cs="Arial"/>
          <w:i/>
          <w:iCs/>
          <w:lang w:val="fr-FR"/>
        </w:rPr>
        <w:t>Aquila nipalensis)</w:t>
      </w:r>
    </w:p>
    <w:p w14:paraId="25CD5F0D" w14:textId="1DEAB3D9" w:rsidR="00871D8A" w:rsidRPr="00931FAC" w:rsidRDefault="00871D8A" w:rsidP="00871D8A">
      <w:pPr>
        <w:rPr>
          <w:rStyle w:val="Emphasis"/>
          <w:rFonts w:cs="Arial"/>
          <w:lang w:val="fr-FR"/>
        </w:rPr>
      </w:pPr>
      <w:r w:rsidRPr="00414183">
        <w:rPr>
          <w:rStyle w:val="Emphasis"/>
          <w:rFonts w:cs="Arial"/>
          <w:lang w:val="fr-FR"/>
        </w:rPr>
        <w:t>Jenny Weston, Márton Horvárth, Igor Karyakin, Suresh Kumar, Elvira Nikolenko, Martin Odino, Mohammed Shobrak et Umberto Gallo-Orsi</w:t>
      </w:r>
    </w:p>
    <w:p w14:paraId="4E52CE53" w14:textId="056DE1B0" w:rsidR="00871D8A" w:rsidRPr="00414183" w:rsidRDefault="00871D8A" w:rsidP="00871D8A">
      <w:pPr>
        <w:rPr>
          <w:rFonts w:cs="Arial"/>
          <w:lang w:val="fr-FR"/>
        </w:rPr>
      </w:pPr>
      <w:r w:rsidRPr="00414183">
        <w:rPr>
          <w:rStyle w:val="Emphasis"/>
          <w:rFonts w:cs="Arial"/>
          <w:lang w:val="fr-FR"/>
        </w:rPr>
        <w:t>Septembre 2025</w:t>
      </w:r>
    </w:p>
    <w:p w14:paraId="59C214FA" w14:textId="77777777" w:rsidR="00871D8A" w:rsidRPr="00414183" w:rsidRDefault="00871D8A" w:rsidP="00871D8A">
      <w:pPr>
        <w:rPr>
          <w:rFonts w:cs="Arial"/>
          <w:lang w:val="fr-FR"/>
        </w:rPr>
      </w:pPr>
      <w:r w:rsidRPr="00414183">
        <w:rPr>
          <w:rFonts w:eastAsiaTheme="majorEastAsia" w:cs="Arial"/>
          <w:noProof/>
          <w:color w:val="2F5496" w:themeColor="accent1" w:themeShade="BF"/>
          <w:sz w:val="40"/>
          <w:szCs w:val="40"/>
          <w:lang w:val="fr-FR"/>
        </w:rPr>
        <w:drawing>
          <wp:anchor distT="0" distB="0" distL="114300" distR="114300" simplePos="0" relativeHeight="251665408" behindDoc="0" locked="0" layoutInCell="1" allowOverlap="1" wp14:anchorId="3523BF64" wp14:editId="3FB29AE3">
            <wp:simplePos x="0" y="0"/>
            <wp:positionH relativeFrom="column">
              <wp:posOffset>2688580</wp:posOffset>
            </wp:positionH>
            <wp:positionV relativeFrom="paragraph">
              <wp:posOffset>8739</wp:posOffset>
            </wp:positionV>
            <wp:extent cx="1261110" cy="777240"/>
            <wp:effectExtent l="0" t="0" r="0" b="3810"/>
            <wp:wrapSquare wrapText="bothSides"/>
            <wp:docPr id="977589369" name="Picture 1"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589369" name="Picture 1" descr="A logo of a company&#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1110" cy="777240"/>
                    </a:xfrm>
                    <a:prstGeom prst="rect">
                      <a:avLst/>
                    </a:prstGeom>
                  </pic:spPr>
                </pic:pic>
              </a:graphicData>
            </a:graphic>
            <wp14:sizeRelH relativeFrom="margin">
              <wp14:pctWidth>0</wp14:pctWidth>
            </wp14:sizeRelH>
            <wp14:sizeRelV relativeFrom="margin">
              <wp14:pctHeight>0</wp14:pctHeight>
            </wp14:sizeRelV>
          </wp:anchor>
        </w:drawing>
      </w:r>
      <w:r w:rsidRPr="00414183">
        <w:rPr>
          <w:rFonts w:cs="Arial"/>
          <w:noProof/>
          <w:lang w:val="fr-FR"/>
        </w:rPr>
        <w:drawing>
          <wp:anchor distT="0" distB="0" distL="114300" distR="114300" simplePos="0" relativeHeight="251664384" behindDoc="0" locked="0" layoutInCell="1" allowOverlap="1" wp14:anchorId="333621BC" wp14:editId="0181FD10">
            <wp:simplePos x="0" y="0"/>
            <wp:positionH relativeFrom="margin">
              <wp:posOffset>996315</wp:posOffset>
            </wp:positionH>
            <wp:positionV relativeFrom="paragraph">
              <wp:posOffset>8255</wp:posOffset>
            </wp:positionV>
            <wp:extent cx="602615" cy="845820"/>
            <wp:effectExtent l="0" t="0" r="6985" b="0"/>
            <wp:wrapNone/>
            <wp:docPr id="1610601202" name="Picture 7" descr="A blu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601202" name="Picture 7" descr="A blue logo with white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2615" cy="845820"/>
                    </a:xfrm>
                    <a:prstGeom prst="rect">
                      <a:avLst/>
                    </a:prstGeom>
                  </pic:spPr>
                </pic:pic>
              </a:graphicData>
            </a:graphic>
            <wp14:sizeRelH relativeFrom="margin">
              <wp14:pctWidth>0</wp14:pctWidth>
            </wp14:sizeRelH>
            <wp14:sizeRelV relativeFrom="margin">
              <wp14:pctHeight>0</wp14:pctHeight>
            </wp14:sizeRelV>
          </wp:anchor>
        </w:drawing>
      </w:r>
      <w:r w:rsidRPr="00414183">
        <w:rPr>
          <w:rFonts w:cs="Arial"/>
          <w:b/>
          <w:noProof/>
          <w:color w:val="70AD47" w:themeColor="accent6"/>
          <w:sz w:val="48"/>
          <w:szCs w:val="48"/>
          <w:lang w:val="fr-FR"/>
        </w:rPr>
        <w:drawing>
          <wp:anchor distT="0" distB="0" distL="114300" distR="114300" simplePos="0" relativeHeight="251660288" behindDoc="0" locked="0" layoutInCell="0" allowOverlap="1" wp14:anchorId="59C012A3" wp14:editId="3897DDDE">
            <wp:simplePos x="0" y="0"/>
            <wp:positionH relativeFrom="margin">
              <wp:posOffset>1909625</wp:posOffset>
            </wp:positionH>
            <wp:positionV relativeFrom="paragraph">
              <wp:posOffset>7620</wp:posOffset>
            </wp:positionV>
            <wp:extent cx="672465" cy="811530"/>
            <wp:effectExtent l="0" t="0" r="0" b="7620"/>
            <wp:wrapSquare wrapText="bothSides"/>
            <wp:docPr id="1" name="image1.jpg" descr="C:\Users\aurelie.cousergue\AppData\Local\Microsoft\Windows\Temporary Internet Files\Content.Outlook\7JIZ7VNE\Raptors_LargeFormat_RGB_logo_AW (1094x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C:\Users\aurelie.cousergue\AppData\Local\Microsoft\Windows\Temporary Internet Files\Content.Outlook\7JIZ7VNE\Raptors_LargeFormat_RGB_logo_AW (1094x1280).jpg"/>
                    <pic:cNvPicPr>
                      <a:picLocks noChangeAspect="1" noChangeArrowheads="1"/>
                    </pic:cNvPicPr>
                  </pic:nvPicPr>
                  <pic:blipFill>
                    <a:blip r:embed="rId23"/>
                    <a:stretch>
                      <a:fillRect/>
                    </a:stretch>
                  </pic:blipFill>
                  <pic:spPr bwMode="auto">
                    <a:xfrm>
                      <a:off x="0" y="0"/>
                      <a:ext cx="672465" cy="811530"/>
                    </a:xfrm>
                    <a:prstGeom prst="rect">
                      <a:avLst/>
                    </a:prstGeom>
                  </pic:spPr>
                </pic:pic>
              </a:graphicData>
            </a:graphic>
            <wp14:sizeRelH relativeFrom="margin">
              <wp14:pctWidth>0</wp14:pctWidth>
            </wp14:sizeRelH>
            <wp14:sizeRelV relativeFrom="margin">
              <wp14:pctHeight>0</wp14:pctHeight>
            </wp14:sizeRelV>
          </wp:anchor>
        </w:drawing>
      </w:r>
      <w:r w:rsidRPr="00414183">
        <w:rPr>
          <w:rFonts w:cs="Arial"/>
          <w:noProof/>
          <w:lang w:val="fr-FR"/>
        </w:rPr>
        <w:drawing>
          <wp:anchor distT="0" distB="0" distL="114300" distR="114300" simplePos="0" relativeHeight="251661312" behindDoc="0" locked="0" layoutInCell="1" allowOverlap="1" wp14:anchorId="352761A5" wp14:editId="42D9C22B">
            <wp:simplePos x="0" y="0"/>
            <wp:positionH relativeFrom="margin">
              <wp:posOffset>-673</wp:posOffset>
            </wp:positionH>
            <wp:positionV relativeFrom="paragraph">
              <wp:posOffset>6985</wp:posOffset>
            </wp:positionV>
            <wp:extent cx="798195" cy="798195"/>
            <wp:effectExtent l="0" t="0" r="1905" b="1905"/>
            <wp:wrapNone/>
            <wp:docPr id="1504886646" name="Picture 1" descr="A logo with a bird head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86646" name="Picture 1" descr="A logo with a bird head and tex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98195" cy="798195"/>
                    </a:xfrm>
                    <a:prstGeom prst="rect">
                      <a:avLst/>
                    </a:prstGeom>
                  </pic:spPr>
                </pic:pic>
              </a:graphicData>
            </a:graphic>
            <wp14:sizeRelH relativeFrom="margin">
              <wp14:pctWidth>0</wp14:pctWidth>
            </wp14:sizeRelH>
            <wp14:sizeRelV relativeFrom="margin">
              <wp14:pctHeight>0</wp14:pctHeight>
            </wp14:sizeRelV>
          </wp:anchor>
        </w:drawing>
      </w:r>
      <w:r w:rsidRPr="00414183">
        <w:rPr>
          <w:rFonts w:cs="Arial"/>
          <w:noProof/>
          <w:lang w:val="fr-FR"/>
        </w:rPr>
        <w:drawing>
          <wp:anchor distT="0" distB="0" distL="114300" distR="114300" simplePos="0" relativeHeight="251662336" behindDoc="0" locked="0" layoutInCell="1" allowOverlap="1" wp14:anchorId="36FAD38C" wp14:editId="4F92793A">
            <wp:simplePos x="0" y="0"/>
            <wp:positionH relativeFrom="column">
              <wp:posOffset>4039131</wp:posOffset>
            </wp:positionH>
            <wp:positionV relativeFrom="paragraph">
              <wp:posOffset>7459</wp:posOffset>
            </wp:positionV>
            <wp:extent cx="770976" cy="757450"/>
            <wp:effectExtent l="0" t="0" r="0" b="5080"/>
            <wp:wrapNone/>
            <wp:docPr id="1592551639" name="Picture 4" descr="A green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51639" name="Picture 4" descr="A green square with white tex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70976" cy="757450"/>
                    </a:xfrm>
                    <a:prstGeom prst="rect">
                      <a:avLst/>
                    </a:prstGeom>
                  </pic:spPr>
                </pic:pic>
              </a:graphicData>
            </a:graphic>
            <wp14:sizeRelH relativeFrom="margin">
              <wp14:pctWidth>0</wp14:pctWidth>
            </wp14:sizeRelH>
            <wp14:sizeRelV relativeFrom="margin">
              <wp14:pctHeight>0</wp14:pctHeight>
            </wp14:sizeRelV>
          </wp:anchor>
        </w:drawing>
      </w:r>
      <w:r w:rsidRPr="00414183">
        <w:rPr>
          <w:rFonts w:cs="Arial"/>
          <w:noProof/>
          <w:lang w:val="fr-FR"/>
        </w:rPr>
        <w:drawing>
          <wp:anchor distT="0" distB="0" distL="114300" distR="114300" simplePos="0" relativeHeight="251663360" behindDoc="0" locked="0" layoutInCell="1" allowOverlap="1" wp14:anchorId="414177F8" wp14:editId="07A42D07">
            <wp:simplePos x="0" y="0"/>
            <wp:positionH relativeFrom="margin">
              <wp:align>right</wp:align>
            </wp:positionH>
            <wp:positionV relativeFrom="paragraph">
              <wp:posOffset>6985</wp:posOffset>
            </wp:positionV>
            <wp:extent cx="756920" cy="756920"/>
            <wp:effectExtent l="0" t="0" r="5080" b="5080"/>
            <wp:wrapNone/>
            <wp:docPr id="1122864419" name="Picture 6"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864419" name="Picture 6" descr="A blue background with white text&#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6920" cy="756920"/>
                    </a:xfrm>
                    <a:prstGeom prst="rect">
                      <a:avLst/>
                    </a:prstGeom>
                  </pic:spPr>
                </pic:pic>
              </a:graphicData>
            </a:graphic>
            <wp14:sizeRelH relativeFrom="margin">
              <wp14:pctWidth>0</wp14:pctWidth>
            </wp14:sizeRelH>
            <wp14:sizeRelV relativeFrom="margin">
              <wp14:pctHeight>0</wp14:pctHeight>
            </wp14:sizeRelV>
          </wp:anchor>
        </w:drawing>
      </w:r>
    </w:p>
    <w:p w14:paraId="05AB97F6" w14:textId="77777777" w:rsidR="00871D8A" w:rsidRPr="00414183" w:rsidRDefault="00871D8A" w:rsidP="00871D8A">
      <w:pPr>
        <w:rPr>
          <w:rFonts w:eastAsiaTheme="majorEastAsia" w:cs="Arial"/>
          <w:color w:val="2F5496" w:themeColor="accent1" w:themeShade="BF"/>
          <w:sz w:val="40"/>
          <w:szCs w:val="40"/>
          <w:lang w:val="fr-FR"/>
        </w:rPr>
      </w:pPr>
      <w:r w:rsidRPr="00414183">
        <w:rPr>
          <w:rFonts w:cs="Arial"/>
          <w:lang w:val="fr-FR"/>
        </w:rPr>
        <w:br w:type="page"/>
      </w:r>
    </w:p>
    <w:p w14:paraId="22F16361" w14:textId="77777777" w:rsidR="00871D8A" w:rsidRPr="00414183" w:rsidRDefault="00871D8A" w:rsidP="00931FAC">
      <w:pPr>
        <w:pStyle w:val="Heading1"/>
        <w:spacing w:before="0" w:line="240" w:lineRule="auto"/>
        <w:rPr>
          <w:rFonts w:ascii="Arial" w:hAnsi="Arial" w:cs="Arial"/>
          <w:b/>
          <w:bCs/>
          <w:color w:val="auto"/>
          <w:sz w:val="22"/>
          <w:szCs w:val="22"/>
          <w:lang w:val="fr-FR"/>
        </w:rPr>
      </w:pPr>
      <w:r w:rsidRPr="00414183">
        <w:rPr>
          <w:rFonts w:ascii="Arial" w:hAnsi="Arial" w:cs="Arial"/>
          <w:b/>
          <w:bCs/>
          <w:color w:val="auto"/>
          <w:sz w:val="22"/>
          <w:szCs w:val="22"/>
          <w:lang w:val="fr-FR"/>
        </w:rPr>
        <w:lastRenderedPageBreak/>
        <w:t>Introduction</w:t>
      </w:r>
    </w:p>
    <w:p w14:paraId="217E3DC2" w14:textId="77777777" w:rsidR="00871D8A" w:rsidRPr="00414183" w:rsidRDefault="00871D8A" w:rsidP="00931FAC">
      <w:pPr>
        <w:spacing w:after="0" w:line="240" w:lineRule="auto"/>
        <w:rPr>
          <w:lang w:val="fr-FR"/>
        </w:rPr>
      </w:pPr>
    </w:p>
    <w:p w14:paraId="0313F3D4" w14:textId="77777777" w:rsidR="00871D8A" w:rsidRPr="00414183" w:rsidRDefault="00871D8A" w:rsidP="00931FAC">
      <w:pPr>
        <w:spacing w:after="0" w:line="240" w:lineRule="auto"/>
        <w:jc w:val="both"/>
        <w:rPr>
          <w:rFonts w:cs="Arial"/>
          <w:lang w:val="fr-FR"/>
        </w:rPr>
      </w:pPr>
      <w:r w:rsidRPr="00414183">
        <w:rPr>
          <w:rFonts w:cs="Arial"/>
          <w:lang w:val="fr-FR"/>
        </w:rPr>
        <w:t>L’aigle des steppes (</w:t>
      </w:r>
      <w:r w:rsidRPr="00414183">
        <w:rPr>
          <w:rFonts w:cs="Arial"/>
          <w:i/>
          <w:iCs/>
          <w:lang w:val="fr-FR"/>
        </w:rPr>
        <w:t>Aquila nipalensis</w:t>
      </w:r>
      <w:r w:rsidRPr="00414183">
        <w:rPr>
          <w:rFonts w:cs="Arial"/>
          <w:lang w:val="fr-FR"/>
        </w:rPr>
        <w:t xml:space="preserve">) est un grand rapace migrateur des steppes et des prairies du paléarctique occidental, et un emblème des voies de migration d’Asie centrale et d’Afrique de l’Est-Eurasie. Le déclin de cette espèce, autrefois considérée comme le plus commun des grands rapaces (McGrady et al., 2021), a été observé dans presque toute son aire de répartition et représente désormais un thème central de la collaboration internationale et des efforts de conservation, comme le présente ce Plan d’action mondial. Considéré comme une espèce en danger depuis 2015 (dernière évaluation en 2021) (UICN, 2021), l’aigle des steppes est inscrit aux Annexes I et II de la Convention sur les espèces migratrices (CMS) et classé dans la catégorie 1 du Mémorandum d’entente sur la conservation des oiseaux de proie migrateurs d’Afrique et d’Eurasie (MdE Rapaces). </w:t>
      </w:r>
    </w:p>
    <w:p w14:paraId="2F7DAFE8" w14:textId="77777777" w:rsidR="00871D8A" w:rsidRPr="00414183" w:rsidRDefault="00871D8A" w:rsidP="00931FAC">
      <w:pPr>
        <w:spacing w:after="0" w:line="240" w:lineRule="auto"/>
        <w:jc w:val="both"/>
        <w:rPr>
          <w:rFonts w:cs="Arial"/>
          <w:lang w:val="fr-FR"/>
        </w:rPr>
      </w:pPr>
    </w:p>
    <w:p w14:paraId="03D2315A" w14:textId="77777777" w:rsidR="00871D8A" w:rsidRPr="00414183" w:rsidRDefault="00871D8A" w:rsidP="00931FAC">
      <w:pPr>
        <w:spacing w:after="0" w:line="240" w:lineRule="auto"/>
        <w:jc w:val="both"/>
        <w:rPr>
          <w:rFonts w:cs="Arial"/>
          <w:lang w:val="fr-FR"/>
        </w:rPr>
      </w:pPr>
      <w:r w:rsidRPr="00414183">
        <w:rPr>
          <w:rFonts w:cs="Arial"/>
          <w:lang w:val="fr-FR"/>
        </w:rPr>
        <w:t>Un appel à la coopération internationale a été lancé lors de la IIIe Conférence des aigles du paléarctique au Kazakhstan, et la Déclaration d’Almaty (BRCC, 2023) a souligné le besoin urgent d’un plan d’action mondial pour l’espèce. Lors de la 14</w:t>
      </w:r>
      <w:r w:rsidRPr="00414183">
        <w:rPr>
          <w:rFonts w:cs="Arial"/>
          <w:vertAlign w:val="superscript"/>
          <w:lang w:val="fr-FR"/>
        </w:rPr>
        <w:t>e</w:t>
      </w:r>
      <w:r w:rsidRPr="00414183">
        <w:rPr>
          <w:rFonts w:cs="Arial"/>
          <w:lang w:val="fr-FR"/>
        </w:rPr>
        <w:t xml:space="preserve"> session de la Conférence des Parties à la CMS (COP14) en février 2024, le besoin urgent de coopération internationale ainsi que d’élaboration d’un plan d’action mondial pour l’espèce a été souligné. </w:t>
      </w:r>
      <w:hyperlink r:id="rId27">
        <w:r w:rsidRPr="00414183">
          <w:rPr>
            <w:rStyle w:val="Hyperlink"/>
            <w:rFonts w:cs="Arial"/>
            <w:lang w:val="fr-FR"/>
          </w:rPr>
          <w:t>La résolution 12.12 (Rev.COP14)</w:t>
        </w:r>
      </w:hyperlink>
      <w:r w:rsidRPr="00414183">
        <w:rPr>
          <w:rFonts w:cs="Arial"/>
          <w:lang w:val="fr-FR"/>
        </w:rPr>
        <w:t xml:space="preserve"> et la </w:t>
      </w:r>
      <w:hyperlink r:id="rId28">
        <w:r w:rsidRPr="00414183">
          <w:rPr>
            <w:rStyle w:val="Hyperlink"/>
            <w:rFonts w:cs="Arial"/>
            <w:lang w:val="fr-FR"/>
          </w:rPr>
          <w:t>décision 14 145</w:t>
        </w:r>
        <w:r w:rsidRPr="00414183">
          <w:rPr>
            <w:rStyle w:val="Hyperlink"/>
            <w:rFonts w:cs="Arial"/>
            <w:color w:val="auto"/>
            <w:u w:val="none"/>
            <w:lang w:val="fr-FR"/>
          </w:rPr>
          <w:t xml:space="preserve"> sur les Plans d’action pour les oiseaux</w:t>
        </w:r>
      </w:hyperlink>
      <w:r w:rsidRPr="00414183">
        <w:rPr>
          <w:rFonts w:cs="Arial"/>
          <w:lang w:val="fr-FR"/>
        </w:rPr>
        <w:t xml:space="preserve"> ont encouragé les Parties et les non-Parties, les organisations intergouvernementales et les organisations non gouvernementales, ainsi que les autres parties prenantes concernées, à progresser rapidement dans l’élaboration d’un Plan d’action par espèce, qui devra être approuvé par la COP15 de la CMS au début de l’année 2026. Pour les rapaces migrateurs, tels que l’aigle des steppes, la coopération internationale revêt une importance particulière. Les plans d’action internationaux conçus et adoptés en collaboration fournissent un cadre permettant aux acteurs étatiques et non étatiques des États de l’aire de répartition de travailler ensemble pour améliorer l’état de conservation d’une espèce (Lees et al., 2021 ; McClure et al., 2018).</w:t>
      </w:r>
    </w:p>
    <w:p w14:paraId="31BBFA8D" w14:textId="77777777" w:rsidR="00871D8A" w:rsidRPr="00414183" w:rsidRDefault="00871D8A" w:rsidP="00931FAC">
      <w:pPr>
        <w:spacing w:after="0" w:line="240" w:lineRule="auto"/>
        <w:jc w:val="both"/>
        <w:rPr>
          <w:rFonts w:cs="Arial"/>
          <w:lang w:val="fr-FR"/>
        </w:rPr>
      </w:pPr>
    </w:p>
    <w:p w14:paraId="1387B730" w14:textId="77777777" w:rsidR="00871D8A" w:rsidRPr="00414183" w:rsidRDefault="00871D8A" w:rsidP="00931FAC">
      <w:pPr>
        <w:pStyle w:val="Heading1"/>
        <w:spacing w:before="0" w:line="240" w:lineRule="auto"/>
        <w:rPr>
          <w:rFonts w:ascii="Arial" w:hAnsi="Arial" w:cs="Arial"/>
          <w:b/>
          <w:bCs/>
          <w:color w:val="auto"/>
          <w:sz w:val="22"/>
          <w:szCs w:val="22"/>
          <w:lang w:val="fr-FR"/>
        </w:rPr>
      </w:pPr>
      <w:r w:rsidRPr="00414183">
        <w:rPr>
          <w:rFonts w:ascii="Arial" w:hAnsi="Arial" w:cs="Arial"/>
          <w:b/>
          <w:bCs/>
          <w:color w:val="auto"/>
          <w:sz w:val="22"/>
          <w:szCs w:val="22"/>
          <w:lang w:val="fr-FR"/>
        </w:rPr>
        <w:t>Aperçu de l’espèce</w:t>
      </w:r>
    </w:p>
    <w:p w14:paraId="588B563F" w14:textId="77777777" w:rsidR="00871D8A" w:rsidRPr="00414183" w:rsidRDefault="00871D8A" w:rsidP="00931FAC">
      <w:pPr>
        <w:spacing w:after="0" w:line="240" w:lineRule="auto"/>
        <w:rPr>
          <w:lang w:val="fr-FR"/>
        </w:rPr>
      </w:pPr>
    </w:p>
    <w:p w14:paraId="7478965C" w14:textId="77777777" w:rsidR="00871D8A" w:rsidRPr="00414183" w:rsidRDefault="00871D8A" w:rsidP="00931FAC">
      <w:pPr>
        <w:spacing w:after="0" w:line="240" w:lineRule="auto"/>
        <w:jc w:val="both"/>
        <w:rPr>
          <w:rFonts w:cs="Arial"/>
          <w:lang w:val="fr-FR"/>
        </w:rPr>
      </w:pPr>
      <w:r w:rsidRPr="00414183">
        <w:rPr>
          <w:rFonts w:cs="Arial"/>
          <w:lang w:val="fr-FR"/>
        </w:rPr>
        <w:t>Alors qu’ils étaient autrefois considérés comme une seule espèce, l’aigle des steppes a été distingué de l’aigle ravisseur (</w:t>
      </w:r>
      <w:r w:rsidRPr="00414183">
        <w:rPr>
          <w:rFonts w:cs="Arial"/>
          <w:i/>
          <w:iCs/>
          <w:lang w:val="fr-FR"/>
        </w:rPr>
        <w:t>Aquila rapax</w:t>
      </w:r>
      <w:r w:rsidRPr="00414183">
        <w:rPr>
          <w:rFonts w:cs="Arial"/>
          <w:lang w:val="fr-FR"/>
        </w:rPr>
        <w:t xml:space="preserve">) au début du siècle (Clark, 1992 ; Sangster et al., 2002). Deux sous-espèces sont reconnues : </w:t>
      </w:r>
      <w:r w:rsidRPr="00414183">
        <w:rPr>
          <w:rFonts w:cs="Arial"/>
          <w:i/>
          <w:iCs/>
          <w:lang w:val="fr-FR"/>
        </w:rPr>
        <w:t xml:space="preserve">A. n. nipalensis, </w:t>
      </w:r>
      <w:r w:rsidRPr="00414183">
        <w:rPr>
          <w:rFonts w:cs="Arial"/>
          <w:lang w:val="fr-FR"/>
        </w:rPr>
        <w:t xml:space="preserve">présent dans la partie orientale de l’aire de reproduction et généralement en hivernage en Asie du Sud et du Sud-Est ; et </w:t>
      </w:r>
      <w:r w:rsidRPr="00414183">
        <w:rPr>
          <w:rFonts w:cs="Arial"/>
          <w:i/>
          <w:iCs/>
          <w:lang w:val="fr-FR"/>
        </w:rPr>
        <w:t>A. n. orientalis,</w:t>
      </w:r>
      <w:r w:rsidRPr="00414183">
        <w:rPr>
          <w:rFonts w:cs="Arial"/>
          <w:lang w:val="fr-FR"/>
        </w:rPr>
        <w:t xml:space="preserve"> qui se reproduit dans la partie occidentale de l’aire de reproduction et hiverne généralement au Moyen-Orient, en Arabie, en Afrique de l’Est et en Afrique australe. </w:t>
      </w:r>
    </w:p>
    <w:p w14:paraId="512D41B4" w14:textId="77777777" w:rsidR="00871D8A" w:rsidRPr="00414183" w:rsidRDefault="00871D8A" w:rsidP="00931FAC">
      <w:pPr>
        <w:spacing w:after="0" w:line="240" w:lineRule="auto"/>
        <w:jc w:val="both"/>
        <w:rPr>
          <w:rFonts w:cs="Arial"/>
          <w:lang w:val="fr-FR"/>
        </w:rPr>
      </w:pPr>
    </w:p>
    <w:p w14:paraId="503E8103" w14:textId="77777777" w:rsidR="00871D8A" w:rsidRPr="00414183" w:rsidRDefault="00871D8A" w:rsidP="00931FAC">
      <w:pPr>
        <w:spacing w:after="0" w:line="240" w:lineRule="auto"/>
        <w:jc w:val="both"/>
        <w:rPr>
          <w:rFonts w:cs="Arial"/>
          <w:lang w:val="fr-FR"/>
        </w:rPr>
      </w:pPr>
      <w:r w:rsidRPr="00414183">
        <w:rPr>
          <w:rFonts w:cs="Arial"/>
          <w:lang w:val="fr-FR"/>
        </w:rPr>
        <w:t>L’estimation la plus récente de la population mondiale publiée est de 50 000 à 75 000 individus matures, ce qui équivaut à 31 372 (26 014 à 36 731) couples (UICN, 2021). Cependant, ce chiffre date de 2015 et, à ce moment-là, la population était considérée comme ayant diminué d’au moins 50 % sur trois générations [soit 42 ans (Bird et al. 2020)]. Il est donc raisonnable de supposer que la population mondiale actuelle est probablement de 30 000 couples ou moins, les observations sur le terrain confirmant de nouveaux déclins (Pulikova et al., 2023).</w:t>
      </w:r>
    </w:p>
    <w:p w14:paraId="08E83C24" w14:textId="77777777" w:rsidR="00871D8A" w:rsidRPr="00414183" w:rsidRDefault="00871D8A" w:rsidP="00931FAC">
      <w:pPr>
        <w:spacing w:after="0" w:line="240" w:lineRule="auto"/>
        <w:jc w:val="both"/>
        <w:rPr>
          <w:rFonts w:cs="Arial"/>
          <w:lang w:val="fr-FR"/>
        </w:rPr>
      </w:pPr>
    </w:p>
    <w:p w14:paraId="5057E1B5" w14:textId="77777777" w:rsidR="00871D8A" w:rsidRPr="00414183" w:rsidRDefault="00871D8A" w:rsidP="00931FAC">
      <w:pPr>
        <w:pStyle w:val="Heading4"/>
        <w:spacing w:before="0" w:line="240" w:lineRule="auto"/>
        <w:rPr>
          <w:rFonts w:ascii="Arial" w:hAnsi="Arial" w:cs="Arial"/>
          <w:color w:val="auto"/>
          <w:lang w:val="fr-FR"/>
        </w:rPr>
      </w:pPr>
      <w:r w:rsidRPr="00414183">
        <w:rPr>
          <w:rFonts w:ascii="Arial" w:hAnsi="Arial" w:cs="Arial"/>
          <w:color w:val="auto"/>
          <w:lang w:val="fr-FR"/>
        </w:rPr>
        <w:t>Aire de reproduction</w:t>
      </w:r>
    </w:p>
    <w:p w14:paraId="567AB22C" w14:textId="77777777" w:rsidR="00871D8A" w:rsidRPr="00414183" w:rsidRDefault="00871D8A" w:rsidP="00931FAC">
      <w:pPr>
        <w:spacing w:after="0" w:line="240" w:lineRule="auto"/>
        <w:rPr>
          <w:lang w:val="fr-FR"/>
        </w:rPr>
      </w:pPr>
    </w:p>
    <w:p w14:paraId="3C121E85" w14:textId="77777777" w:rsidR="00871D8A" w:rsidRPr="00414183" w:rsidRDefault="00871D8A" w:rsidP="00931FAC">
      <w:pPr>
        <w:spacing w:after="0" w:line="240" w:lineRule="auto"/>
        <w:jc w:val="both"/>
        <w:rPr>
          <w:rFonts w:cs="Arial"/>
          <w:lang w:val="fr-FR"/>
        </w:rPr>
      </w:pPr>
      <w:r w:rsidRPr="00414183">
        <w:rPr>
          <w:rFonts w:cs="Arial"/>
          <w:lang w:val="fr-FR"/>
        </w:rPr>
        <w:t>Les aigles des steppes sont des oiseaux évoluant dans des habitats ouverts qui s’étendent de l’Europe de l’Est à l’Asie de l’Est en passant par l’Asie centrale (</w:t>
      </w:r>
      <w:r w:rsidRPr="00414183">
        <w:rPr>
          <w:rFonts w:cs="Arial"/>
          <w:lang w:val="fr-FR"/>
        </w:rPr>
        <w:fldChar w:fldCharType="begin"/>
      </w:r>
      <w:r w:rsidRPr="00414183">
        <w:rPr>
          <w:rFonts w:cs="Arial"/>
          <w:lang w:val="fr-FR"/>
        </w:rPr>
        <w:instrText xml:space="preserve"> REF _Ref210303278 \h  \* MERGEFORMAT </w:instrText>
      </w:r>
      <w:r w:rsidRPr="00414183">
        <w:rPr>
          <w:rFonts w:cs="Arial"/>
          <w:lang w:val="fr-FR"/>
        </w:rPr>
      </w:r>
      <w:r w:rsidRPr="00414183">
        <w:rPr>
          <w:rFonts w:cs="Arial"/>
          <w:lang w:val="fr-FR"/>
        </w:rPr>
        <w:fldChar w:fldCharType="separate"/>
      </w:r>
      <w:r w:rsidRPr="00414183">
        <w:rPr>
          <w:rFonts w:cs="Arial"/>
          <w:lang w:val="fr-FR"/>
        </w:rPr>
        <w:t>Figure 1</w:t>
      </w:r>
      <w:r w:rsidRPr="00414183">
        <w:rPr>
          <w:rFonts w:cs="Arial"/>
          <w:lang w:val="fr-FR"/>
        </w:rPr>
        <w:fldChar w:fldCharType="end"/>
      </w:r>
      <w:r w:rsidRPr="00414183">
        <w:rPr>
          <w:rFonts w:cs="Arial"/>
          <w:lang w:val="fr-FR"/>
        </w:rPr>
        <w:t>). Le Kazakhstan constitue le bastion des aigles des steppes nicheurs et abrite entre 68 % et 82 % de la population mondiale (Karyakin et al., 2018). Pulikova et al. (2023) ont fourni l’estimation nationale la plus récente : entre 16 750 et 28 070 couples, ce qui indique un déclin supérieur à 10 % en cinq ans. Les autres États clés de l’aire de répartition sont la Russie [entre 2 500 et 3 700 couples, estimés par Karyakin et al. (2016)], la Mongolie [entre 1 500 et 2 000 couples (Bold &amp; Boldbaatar 1999)] et la Chine [entre 400 et 600 couples, Karyakin et al. (2016)].</w:t>
      </w:r>
    </w:p>
    <w:p w14:paraId="1E29BAAC" w14:textId="77777777" w:rsidR="00871D8A" w:rsidRPr="00414183" w:rsidRDefault="00871D8A" w:rsidP="00931FAC">
      <w:pPr>
        <w:spacing w:line="240" w:lineRule="auto"/>
        <w:jc w:val="center"/>
        <w:rPr>
          <w:rFonts w:cs="Arial"/>
          <w:lang w:val="fr-FR"/>
        </w:rPr>
      </w:pPr>
      <w:r w:rsidRPr="00414183">
        <w:rPr>
          <w:rFonts w:cs="Arial"/>
          <w:noProof/>
          <w:lang w:val="fr-FR"/>
        </w:rPr>
        <w:lastRenderedPageBreak/>
        <w:drawing>
          <wp:inline distT="0" distB="0" distL="0" distR="0" wp14:anchorId="40602768" wp14:editId="3495B6CB">
            <wp:extent cx="5350872" cy="3783685"/>
            <wp:effectExtent l="0" t="0" r="2540" b="7620"/>
            <wp:docPr id="390900739" name="Picture 1" descr="A map of the wor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00739" name="Picture 1" descr="A map of the worl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50872" cy="3783685"/>
                    </a:xfrm>
                    <a:prstGeom prst="rect">
                      <a:avLst/>
                    </a:prstGeom>
                  </pic:spPr>
                </pic:pic>
              </a:graphicData>
            </a:graphic>
          </wp:inline>
        </w:drawing>
      </w:r>
    </w:p>
    <w:p w14:paraId="41EB109B" w14:textId="77777777" w:rsidR="00871D8A" w:rsidRPr="00414183" w:rsidRDefault="00871D8A" w:rsidP="00931FAC">
      <w:pPr>
        <w:pStyle w:val="Caption"/>
        <w:rPr>
          <w:rFonts w:ascii="Arial" w:hAnsi="Arial" w:cs="Arial"/>
          <w:lang w:val="fr-FR"/>
        </w:rPr>
      </w:pPr>
      <w:bookmarkStart w:id="4" w:name="_Ref210303278"/>
      <w:r w:rsidRPr="00414183">
        <w:rPr>
          <w:rFonts w:ascii="Arial" w:hAnsi="Arial" w:cs="Arial"/>
          <w:lang w:val="fr-FR"/>
        </w:rPr>
        <w:t xml:space="preserve">Figure </w:t>
      </w:r>
      <w:r w:rsidRPr="00414183">
        <w:rPr>
          <w:rFonts w:ascii="Arial" w:hAnsi="Arial" w:cs="Arial"/>
          <w:lang w:val="fr-FR"/>
        </w:rPr>
        <w:fldChar w:fldCharType="begin"/>
      </w:r>
      <w:r w:rsidRPr="00414183">
        <w:rPr>
          <w:rFonts w:ascii="Arial" w:hAnsi="Arial" w:cs="Arial"/>
          <w:lang w:val="fr-FR"/>
        </w:rPr>
        <w:instrText xml:space="preserve"> SEQ Figure \* ARABIC </w:instrText>
      </w:r>
      <w:r w:rsidRPr="00414183">
        <w:rPr>
          <w:rFonts w:ascii="Arial" w:hAnsi="Arial" w:cs="Arial"/>
          <w:lang w:val="fr-FR"/>
        </w:rPr>
        <w:fldChar w:fldCharType="separate"/>
      </w:r>
      <w:r w:rsidRPr="00414183">
        <w:rPr>
          <w:rFonts w:ascii="Arial" w:hAnsi="Arial" w:cs="Arial"/>
          <w:lang w:val="fr-FR"/>
        </w:rPr>
        <w:t>1</w:t>
      </w:r>
      <w:r w:rsidRPr="00414183">
        <w:rPr>
          <w:rFonts w:ascii="Arial" w:hAnsi="Arial" w:cs="Arial"/>
          <w:lang w:val="fr-FR"/>
        </w:rPr>
        <w:fldChar w:fldCharType="end"/>
      </w:r>
      <w:bookmarkEnd w:id="4"/>
      <w:r w:rsidRPr="00414183">
        <w:rPr>
          <w:rFonts w:ascii="Arial" w:hAnsi="Arial" w:cs="Arial"/>
          <w:lang w:val="fr-FR"/>
        </w:rPr>
        <w:t xml:space="preserve"> — Carte des zones de reproduction (rouge), de passage (vert) et de non-reproduction (bleu) de l’aigle des steppes</w:t>
      </w:r>
    </w:p>
    <w:p w14:paraId="71E8E605" w14:textId="77777777" w:rsidR="00871D8A" w:rsidRPr="00414183" w:rsidRDefault="00871D8A" w:rsidP="00880E49">
      <w:pPr>
        <w:spacing w:after="0" w:line="240" w:lineRule="auto"/>
        <w:jc w:val="both"/>
        <w:rPr>
          <w:rFonts w:cs="Arial"/>
          <w:lang w:val="fr-FR"/>
        </w:rPr>
      </w:pPr>
      <w:r w:rsidRPr="00414183">
        <w:rPr>
          <w:rFonts w:cs="Arial"/>
          <w:lang w:val="fr-FR"/>
        </w:rPr>
        <w:t>Auparavant, l’aire de reproduction s’étendait au sud-est de l’Europe et à l’Ukraine ainsi qu’à l’ouest de la Chine (Dementiev, 1951), mais cette aire autrefois vaste s’est considérablement réduite. La reproduction en Europe a diminué au cours des quatre dernières décennies, à l’exception d’une population reproductrice satellite dont la découverte récente en Türkiye a été confirmée au milieu des années 2010 (Horváth et al., 2018 ; Horváth et al., 2023 ; Horváth et al., 2022), bien que cette population ait pu être présente mais non détectée depuis un certain temps. La reproduction a cessé en Roumanie, en Moldavie, en Bulgarie (dernière reproduction enregistrée dans les années 1940) et en Ukraine [dernière reproduction enregistrée dans les années 1980, bien que des oiseaux immatures en dispersion soient régulièrement observés (Angelov, 2015 ; Cramp &amp; Simmons, 1980)].</w:t>
      </w:r>
    </w:p>
    <w:p w14:paraId="0ECD343F" w14:textId="77777777" w:rsidR="00871D8A" w:rsidRPr="00414183" w:rsidRDefault="00871D8A" w:rsidP="00880E49">
      <w:pPr>
        <w:spacing w:after="0" w:line="240" w:lineRule="auto"/>
        <w:jc w:val="both"/>
        <w:rPr>
          <w:rFonts w:cs="Arial"/>
          <w:lang w:val="fr-FR"/>
        </w:rPr>
      </w:pPr>
    </w:p>
    <w:p w14:paraId="715A140C" w14:textId="77777777" w:rsidR="00871D8A" w:rsidRPr="00414183" w:rsidRDefault="00871D8A" w:rsidP="00880E49">
      <w:pPr>
        <w:pStyle w:val="Heading4"/>
        <w:spacing w:before="0" w:line="240" w:lineRule="auto"/>
        <w:jc w:val="both"/>
        <w:rPr>
          <w:rFonts w:ascii="Arial" w:hAnsi="Arial" w:cs="Arial"/>
          <w:color w:val="auto"/>
          <w:lang w:val="fr-FR"/>
        </w:rPr>
      </w:pPr>
      <w:r w:rsidRPr="00414183">
        <w:rPr>
          <w:rFonts w:ascii="Arial" w:hAnsi="Arial" w:cs="Arial"/>
          <w:color w:val="auto"/>
          <w:lang w:val="fr-FR"/>
        </w:rPr>
        <w:t>Aire de non-reproduction</w:t>
      </w:r>
    </w:p>
    <w:p w14:paraId="27C01549" w14:textId="77777777" w:rsidR="00871D8A" w:rsidRPr="00414183" w:rsidRDefault="00871D8A" w:rsidP="00880E49">
      <w:pPr>
        <w:spacing w:after="0" w:line="240" w:lineRule="auto"/>
        <w:rPr>
          <w:lang w:val="fr-FR"/>
        </w:rPr>
      </w:pPr>
    </w:p>
    <w:p w14:paraId="0EFD4DFD" w14:textId="77777777" w:rsidR="00871D8A" w:rsidRPr="00414183" w:rsidRDefault="00871D8A" w:rsidP="00880E49">
      <w:pPr>
        <w:spacing w:after="0" w:line="240" w:lineRule="auto"/>
        <w:jc w:val="both"/>
        <w:rPr>
          <w:rFonts w:cs="Arial"/>
          <w:lang w:val="fr-FR"/>
        </w:rPr>
      </w:pPr>
      <w:r w:rsidRPr="00414183">
        <w:rPr>
          <w:rFonts w:cs="Arial"/>
          <w:lang w:val="fr-FR"/>
        </w:rPr>
        <w:t>Certains individus restent toute l’année dans les limites de l’aire de reproduction, dans des endroits disposant de bonnes ressources, tels qu’une décharge dans le sud-est du Kazakhstan (McGrady et al., 2021) et des zones de Mongolie avec de fortes densités de rongeurs (Bold &amp; Boldbaatar, 1999), mais la grande majorité des oiseaux migrent chaque année. La migration suit un certain nombre de corridors depuis l’aire de reproduction vers les zones d’hivernage (Batbayar &amp; Lee, 2017 ; McGrady et al., 2021 ; Pande et al., 2013) (</w:t>
      </w:r>
      <w:r w:rsidRPr="00414183">
        <w:rPr>
          <w:rFonts w:cs="Arial"/>
          <w:lang w:val="fr-FR"/>
        </w:rPr>
        <w:fldChar w:fldCharType="begin"/>
      </w:r>
      <w:r w:rsidRPr="00414183">
        <w:rPr>
          <w:rFonts w:cs="Arial"/>
          <w:lang w:val="fr-FR"/>
        </w:rPr>
        <w:instrText xml:space="preserve"> REF _Ref210303278 \h  \* MERGEFORMAT </w:instrText>
      </w:r>
      <w:r w:rsidRPr="00414183">
        <w:rPr>
          <w:rFonts w:cs="Arial"/>
          <w:lang w:val="fr-FR"/>
        </w:rPr>
      </w:r>
      <w:r w:rsidRPr="00414183">
        <w:rPr>
          <w:rFonts w:cs="Arial"/>
          <w:lang w:val="fr-FR"/>
        </w:rPr>
        <w:fldChar w:fldCharType="separate"/>
      </w:r>
      <w:r w:rsidRPr="00414183">
        <w:rPr>
          <w:rFonts w:cs="Arial"/>
          <w:lang w:val="fr-FR"/>
        </w:rPr>
        <w:t>Figure 1</w:t>
      </w:r>
      <w:r w:rsidRPr="00414183">
        <w:rPr>
          <w:rFonts w:cs="Arial"/>
          <w:lang w:val="fr-FR"/>
        </w:rPr>
        <w:fldChar w:fldCharType="end"/>
      </w:r>
      <w:r w:rsidRPr="00414183">
        <w:rPr>
          <w:rFonts w:cs="Arial"/>
          <w:lang w:val="fr-FR"/>
        </w:rPr>
        <w:t xml:space="preserve">). </w:t>
      </w:r>
    </w:p>
    <w:p w14:paraId="26A5ACCB" w14:textId="77777777" w:rsidR="00871D8A" w:rsidRPr="00414183" w:rsidRDefault="00871D8A" w:rsidP="00880E49">
      <w:pPr>
        <w:spacing w:after="0" w:line="240" w:lineRule="auto"/>
        <w:jc w:val="both"/>
        <w:rPr>
          <w:rFonts w:cs="Arial"/>
          <w:lang w:val="fr-FR"/>
        </w:rPr>
      </w:pPr>
      <w:r w:rsidRPr="00414183">
        <w:rPr>
          <w:rFonts w:cs="Arial"/>
          <w:lang w:val="fr-FR"/>
        </w:rPr>
        <w:t>Les aigles des steppes hivernent dans quatre régions : l’Afrique subsaharienne, la péninsule arabique, l’Asie du Sud et l’Asie du Sud-Est (</w:t>
      </w:r>
      <w:r w:rsidRPr="00414183">
        <w:rPr>
          <w:rFonts w:cs="Arial"/>
          <w:lang w:val="fr-FR"/>
        </w:rPr>
        <w:fldChar w:fldCharType="begin"/>
      </w:r>
      <w:r w:rsidRPr="00414183">
        <w:rPr>
          <w:rFonts w:cs="Arial"/>
          <w:lang w:val="fr-FR"/>
        </w:rPr>
        <w:instrText xml:space="preserve"> REF _Ref210303278 \h  \* MERGEFORMAT </w:instrText>
      </w:r>
      <w:r w:rsidRPr="00414183">
        <w:rPr>
          <w:rFonts w:cs="Arial"/>
          <w:lang w:val="fr-FR"/>
        </w:rPr>
      </w:r>
      <w:r w:rsidRPr="00414183">
        <w:rPr>
          <w:rFonts w:cs="Arial"/>
          <w:lang w:val="fr-FR"/>
        </w:rPr>
        <w:fldChar w:fldCharType="separate"/>
      </w:r>
      <w:r w:rsidRPr="00414183">
        <w:rPr>
          <w:rFonts w:cs="Arial"/>
          <w:lang w:val="fr-FR"/>
        </w:rPr>
        <w:t>Figure 1</w:t>
      </w:r>
      <w:r w:rsidRPr="00414183">
        <w:rPr>
          <w:rFonts w:cs="Arial"/>
          <w:lang w:val="fr-FR"/>
        </w:rPr>
        <w:fldChar w:fldCharType="end"/>
      </w:r>
      <w:r w:rsidRPr="00414183">
        <w:rPr>
          <w:rFonts w:cs="Arial"/>
          <w:lang w:val="fr-FR"/>
        </w:rPr>
        <w:t xml:space="preserve">). Les oiseaux hivernants peuvent avoir une aire de répartition plus étendue que dans les zones de reproduction, mais leur aire d’hivernage se réduira dans les endroits où la nourriture est concentrée (McGrady et al., 2021). En Afrique, les zones d’hivernage s’étendent vers le sud à partir du Soudan, certains individus atteignant l’Afrique du Sud et la Namibie (Meyburg et al., 2003). Les données provenant d’oisillons équipés d’émetteurs GPS en Türkiye ont montré que leur hivernage s’étendait plus à l’ouest, jusqu’au Tchad et au Cameroun, ce qui suggère que les zones </w:t>
      </w:r>
      <w:r w:rsidRPr="00414183">
        <w:rPr>
          <w:rFonts w:cs="Arial"/>
          <w:lang w:val="fr-FR"/>
        </w:rPr>
        <w:lastRenderedPageBreak/>
        <w:t>d’hivernage se déplacent vers l’ouest parallèlement au déplacement vers l’ouest des zones de reproduction (données non publiées de B. Tatar &amp; M. Horvath et al.). Des déclins allant de 56 % à 96 % sur trois générations (médiane de 91 %) ont été observés sur tout le continent (Shaw et al., 2024) ; le Kenya à lui seul a perdu 76 % des aigles des steppes en 30 à 40 ans (Ogada et al., 2022).</w:t>
      </w:r>
    </w:p>
    <w:p w14:paraId="3CE29EF8" w14:textId="77777777" w:rsidR="00871D8A" w:rsidRPr="00414183" w:rsidRDefault="00871D8A" w:rsidP="00880E49">
      <w:pPr>
        <w:pStyle w:val="Heading1"/>
        <w:spacing w:before="0" w:line="240" w:lineRule="auto"/>
        <w:jc w:val="both"/>
        <w:rPr>
          <w:rFonts w:ascii="Arial" w:hAnsi="Arial" w:cs="Arial"/>
          <w:lang w:val="fr-FR"/>
        </w:rPr>
        <w:sectPr w:rsidR="00871D8A" w:rsidRPr="00414183" w:rsidSect="00871D8A">
          <w:headerReference w:type="even" r:id="rId30"/>
          <w:headerReference w:type="default" r:id="rId31"/>
          <w:footerReference w:type="even" r:id="rId32"/>
          <w:footerReference w:type="default" r:id="rId33"/>
          <w:headerReference w:type="first" r:id="rId34"/>
          <w:footerReference w:type="first" r:id="rId35"/>
          <w:type w:val="continuous"/>
          <w:pgSz w:w="11906" w:h="16838"/>
          <w:pgMar w:top="1440" w:right="1440" w:bottom="1440" w:left="1440" w:header="708" w:footer="708" w:gutter="0"/>
          <w:cols w:space="708"/>
          <w:titlePg/>
          <w:docGrid w:linePitch="360"/>
        </w:sectPr>
      </w:pPr>
    </w:p>
    <w:p w14:paraId="5CF964E9" w14:textId="77777777" w:rsidR="00871D8A" w:rsidRPr="00414183" w:rsidRDefault="00871D8A" w:rsidP="00871D8A">
      <w:pPr>
        <w:pStyle w:val="Heading1"/>
        <w:tabs>
          <w:tab w:val="center" w:pos="6979"/>
        </w:tabs>
        <w:spacing w:after="120"/>
        <w:rPr>
          <w:rFonts w:ascii="Arial" w:hAnsi="Arial" w:cs="Arial"/>
          <w:b/>
          <w:bCs/>
          <w:color w:val="auto"/>
          <w:sz w:val="22"/>
          <w:szCs w:val="22"/>
          <w:lang w:val="fr-FR"/>
        </w:rPr>
      </w:pPr>
      <w:r w:rsidRPr="00414183">
        <w:rPr>
          <w:rFonts w:ascii="Arial" w:hAnsi="Arial" w:cs="Arial"/>
          <w:b/>
          <w:bCs/>
          <w:color w:val="auto"/>
          <w:sz w:val="22"/>
          <w:szCs w:val="22"/>
          <w:lang w:val="fr-FR"/>
        </w:rPr>
        <w:lastRenderedPageBreak/>
        <w:t>CADRE D’ACTION POUR LA CONSERVATION</w:t>
      </w:r>
    </w:p>
    <w:tbl>
      <w:tblPr>
        <w:tblStyle w:val="TableGrid"/>
        <w:tblW w:w="13944" w:type="dxa"/>
        <w:tblLayout w:type="fixed"/>
        <w:tblLook w:val="04A0" w:firstRow="1" w:lastRow="0" w:firstColumn="1" w:lastColumn="0" w:noHBand="0" w:noVBand="1"/>
      </w:tblPr>
      <w:tblGrid>
        <w:gridCol w:w="792"/>
        <w:gridCol w:w="5499"/>
        <w:gridCol w:w="2493"/>
        <w:gridCol w:w="1559"/>
        <w:gridCol w:w="1276"/>
        <w:gridCol w:w="1276"/>
        <w:gridCol w:w="1049"/>
      </w:tblGrid>
      <w:tr w:rsidR="00871D8A" w:rsidRPr="00414183" w14:paraId="3D0EE747" w14:textId="77777777" w:rsidTr="00B66A42">
        <w:trPr>
          <w:cantSplit/>
          <w:trHeight w:val="288"/>
          <w:tblHeader/>
        </w:trPr>
        <w:tc>
          <w:tcPr>
            <w:tcW w:w="792" w:type="dxa"/>
            <w:shd w:val="clear" w:color="auto" w:fill="E7E6E6" w:themeFill="background2"/>
            <w:hideMark/>
          </w:tcPr>
          <w:p w14:paraId="66A13029" w14:textId="77777777" w:rsidR="00871D8A" w:rsidRPr="00414183" w:rsidRDefault="00871D8A" w:rsidP="00B66A42">
            <w:pPr>
              <w:spacing w:before="40" w:after="40"/>
              <w:rPr>
                <w:rFonts w:cs="Arial"/>
                <w:sz w:val="20"/>
                <w:szCs w:val="20"/>
              </w:rPr>
            </w:pPr>
            <w:r w:rsidRPr="00414183">
              <w:rPr>
                <w:rFonts w:cs="Arial"/>
                <w:sz w:val="20"/>
                <w:szCs w:val="20"/>
              </w:rPr>
              <w:t>Action</w:t>
            </w:r>
          </w:p>
        </w:tc>
        <w:tc>
          <w:tcPr>
            <w:tcW w:w="5499" w:type="dxa"/>
            <w:shd w:val="clear" w:color="auto" w:fill="E7E6E6" w:themeFill="background2"/>
            <w:hideMark/>
          </w:tcPr>
          <w:p w14:paraId="50C175DA" w14:textId="77777777" w:rsidR="00871D8A" w:rsidRPr="00414183" w:rsidRDefault="00871D8A" w:rsidP="00B66A42">
            <w:pPr>
              <w:spacing w:before="40" w:after="40"/>
              <w:rPr>
                <w:rFonts w:cs="Arial"/>
                <w:sz w:val="20"/>
                <w:szCs w:val="20"/>
              </w:rPr>
            </w:pPr>
            <w:r w:rsidRPr="00414183">
              <w:rPr>
                <w:rFonts w:cs="Arial"/>
                <w:sz w:val="20"/>
                <w:szCs w:val="20"/>
              </w:rPr>
              <w:t>Description</w:t>
            </w:r>
          </w:p>
        </w:tc>
        <w:tc>
          <w:tcPr>
            <w:tcW w:w="2493" w:type="dxa"/>
            <w:shd w:val="clear" w:color="auto" w:fill="E7E6E6" w:themeFill="background2"/>
            <w:hideMark/>
          </w:tcPr>
          <w:p w14:paraId="28D307A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Parties intéressées</w:t>
            </w:r>
          </w:p>
        </w:tc>
        <w:tc>
          <w:tcPr>
            <w:tcW w:w="1559" w:type="dxa"/>
            <w:shd w:val="clear" w:color="auto" w:fill="E7E6E6" w:themeFill="background2"/>
            <w:hideMark/>
          </w:tcPr>
          <w:p w14:paraId="42DA9619"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Dépendances</w:t>
            </w:r>
          </w:p>
        </w:tc>
        <w:tc>
          <w:tcPr>
            <w:tcW w:w="1276" w:type="dxa"/>
            <w:shd w:val="clear" w:color="auto" w:fill="E7E6E6" w:themeFill="background2"/>
            <w:hideMark/>
          </w:tcPr>
          <w:p w14:paraId="56BD0889"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Priorité</w:t>
            </w:r>
          </w:p>
        </w:tc>
        <w:tc>
          <w:tcPr>
            <w:tcW w:w="1276" w:type="dxa"/>
            <w:shd w:val="clear" w:color="auto" w:fill="E7E6E6" w:themeFill="background2"/>
            <w:hideMark/>
          </w:tcPr>
          <w:p w14:paraId="2CFD463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Lieux concernés</w:t>
            </w:r>
          </w:p>
        </w:tc>
        <w:tc>
          <w:tcPr>
            <w:tcW w:w="1049" w:type="dxa"/>
            <w:shd w:val="clear" w:color="auto" w:fill="E7E6E6" w:themeFill="background2"/>
          </w:tcPr>
          <w:p w14:paraId="0B7C5D2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Délai</w:t>
            </w:r>
          </w:p>
        </w:tc>
      </w:tr>
      <w:tr w:rsidR="00871D8A" w:rsidRPr="001622FB" w14:paraId="3AF54F74" w14:textId="77777777" w:rsidTr="00B66A42">
        <w:trPr>
          <w:cantSplit/>
          <w:trHeight w:val="340"/>
        </w:trPr>
        <w:tc>
          <w:tcPr>
            <w:tcW w:w="13944" w:type="dxa"/>
            <w:gridSpan w:val="7"/>
            <w:shd w:val="clear" w:color="auto" w:fill="00B0F0"/>
          </w:tcPr>
          <w:p w14:paraId="7FCB7285" w14:textId="77777777" w:rsidR="00871D8A" w:rsidRPr="00414183" w:rsidRDefault="00871D8A" w:rsidP="00B66A42">
            <w:pPr>
              <w:spacing w:before="40" w:after="40"/>
              <w:rPr>
                <w:rFonts w:cs="Arial"/>
                <w:b/>
                <w:bCs/>
                <w:sz w:val="20"/>
                <w:szCs w:val="20"/>
                <w:lang w:val="fr-FR"/>
              </w:rPr>
            </w:pPr>
            <w:r w:rsidRPr="00414183">
              <w:rPr>
                <w:rFonts w:cs="Arial"/>
                <w:b/>
                <w:bCs/>
                <w:sz w:val="20"/>
                <w:szCs w:val="20"/>
                <w:lang w:val="fr-FR"/>
              </w:rPr>
              <w:t>Objectif 1 — Réduire l’impact des infrastructures énergétiques sur les aigles des steppes le long de la voie de migration</w:t>
            </w:r>
          </w:p>
        </w:tc>
      </w:tr>
      <w:tr w:rsidR="00871D8A" w:rsidRPr="001622FB" w14:paraId="47C9F145" w14:textId="77777777" w:rsidTr="00B66A42">
        <w:trPr>
          <w:cantSplit/>
          <w:trHeight w:val="340"/>
        </w:trPr>
        <w:tc>
          <w:tcPr>
            <w:tcW w:w="13944" w:type="dxa"/>
            <w:gridSpan w:val="7"/>
            <w:shd w:val="clear" w:color="auto" w:fill="FFE599" w:themeFill="accent4" w:themeFillTint="66"/>
          </w:tcPr>
          <w:p w14:paraId="6FF5E7C9" w14:textId="77777777" w:rsidR="00871D8A" w:rsidRPr="00414183" w:rsidRDefault="00871D8A" w:rsidP="00B66A42">
            <w:pPr>
              <w:spacing w:before="40" w:after="40"/>
              <w:rPr>
                <w:rFonts w:cs="Arial"/>
                <w:i/>
                <w:iCs/>
                <w:sz w:val="20"/>
                <w:szCs w:val="20"/>
                <w:lang w:val="fr-FR"/>
              </w:rPr>
            </w:pPr>
            <w:r w:rsidRPr="00414183">
              <w:rPr>
                <w:rFonts w:cs="Arial"/>
                <w:i/>
                <w:iCs/>
                <w:sz w:val="20"/>
                <w:szCs w:val="20"/>
                <w:lang w:val="fr-FR"/>
              </w:rPr>
              <w:t>Objectif 1.1 — Améliorer les méthodes de détection et le partage des données concernant l’impact des infrastructures énergétiques</w:t>
            </w:r>
          </w:p>
        </w:tc>
      </w:tr>
      <w:tr w:rsidR="00871D8A" w:rsidRPr="00414183" w14:paraId="66DA792E" w14:textId="77777777" w:rsidTr="00B66A42">
        <w:trPr>
          <w:cantSplit/>
          <w:trHeight w:val="864"/>
        </w:trPr>
        <w:tc>
          <w:tcPr>
            <w:tcW w:w="792" w:type="dxa"/>
            <w:hideMark/>
          </w:tcPr>
          <w:p w14:paraId="2939C999" w14:textId="77777777" w:rsidR="00871D8A" w:rsidRPr="00414183" w:rsidRDefault="00871D8A" w:rsidP="00B66A42">
            <w:pPr>
              <w:spacing w:before="40" w:after="40"/>
              <w:rPr>
                <w:rFonts w:cs="Arial"/>
                <w:sz w:val="20"/>
                <w:szCs w:val="20"/>
              </w:rPr>
            </w:pPr>
            <w:r w:rsidRPr="00414183">
              <w:rPr>
                <w:rFonts w:cs="Arial"/>
                <w:sz w:val="20"/>
                <w:szCs w:val="20"/>
              </w:rPr>
              <w:t>1.1.1</w:t>
            </w:r>
          </w:p>
        </w:tc>
        <w:tc>
          <w:tcPr>
            <w:tcW w:w="5499" w:type="dxa"/>
            <w:hideMark/>
          </w:tcPr>
          <w:p w14:paraId="28F7AAC8"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Examiner, approuver et adopter des méthodes d’enquête et des protocoles normalisés pour surveiller les cas d’électrocution et de collisions avec les infrastructures de transmission et de production d’énergie dans l’ensemble de l’aire de répartition. </w:t>
            </w:r>
          </w:p>
        </w:tc>
        <w:tc>
          <w:tcPr>
            <w:tcW w:w="2493" w:type="dxa"/>
            <w:hideMark/>
          </w:tcPr>
          <w:p w14:paraId="6A53B7FA" w14:textId="77777777" w:rsidR="00871D8A" w:rsidRDefault="00871D8A" w:rsidP="00B66A42">
            <w:pPr>
              <w:spacing w:before="40" w:after="40"/>
              <w:rPr>
                <w:rFonts w:cs="Arial"/>
                <w:sz w:val="20"/>
                <w:szCs w:val="20"/>
                <w:lang w:val="fr-FR"/>
              </w:rPr>
            </w:pPr>
            <w:r w:rsidRPr="00414183">
              <w:rPr>
                <w:rFonts w:cs="Arial"/>
                <w:sz w:val="20"/>
                <w:szCs w:val="20"/>
                <w:lang w:val="fr-FR"/>
              </w:rPr>
              <w:t>Établissements d’enseignement, agences de recherche, ONG actives dans le domaine de la conservation, services publics d’énergie, autorités nationales</w:t>
            </w:r>
          </w:p>
          <w:p w14:paraId="405F76F9" w14:textId="77777777" w:rsidR="00754207" w:rsidRPr="00414183" w:rsidRDefault="00754207" w:rsidP="00B66A42">
            <w:pPr>
              <w:spacing w:before="40" w:after="40"/>
              <w:rPr>
                <w:rFonts w:cs="Arial"/>
                <w:sz w:val="20"/>
                <w:szCs w:val="20"/>
                <w:lang w:val="fr-FR"/>
              </w:rPr>
            </w:pPr>
          </w:p>
        </w:tc>
        <w:tc>
          <w:tcPr>
            <w:tcW w:w="1559" w:type="dxa"/>
            <w:hideMark/>
          </w:tcPr>
          <w:p w14:paraId="296410C4" w14:textId="77777777" w:rsidR="00871D8A" w:rsidRPr="00414183" w:rsidRDefault="00871D8A" w:rsidP="00B66A42">
            <w:pPr>
              <w:spacing w:before="40" w:after="40"/>
              <w:rPr>
                <w:rFonts w:cs="Arial"/>
                <w:sz w:val="20"/>
                <w:szCs w:val="20"/>
                <w:lang w:val="fr-FR"/>
              </w:rPr>
            </w:pPr>
          </w:p>
        </w:tc>
        <w:tc>
          <w:tcPr>
            <w:tcW w:w="1276" w:type="dxa"/>
            <w:hideMark/>
          </w:tcPr>
          <w:p w14:paraId="7EE3EEAA"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0947EA3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26F02C2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Immédiat</w:t>
            </w:r>
          </w:p>
        </w:tc>
      </w:tr>
      <w:tr w:rsidR="00871D8A" w:rsidRPr="00414183" w14:paraId="45410C4A" w14:textId="77777777" w:rsidTr="00B66A42">
        <w:trPr>
          <w:cantSplit/>
          <w:trHeight w:val="864"/>
        </w:trPr>
        <w:tc>
          <w:tcPr>
            <w:tcW w:w="792" w:type="dxa"/>
            <w:hideMark/>
          </w:tcPr>
          <w:p w14:paraId="6667CF92" w14:textId="77777777" w:rsidR="00871D8A" w:rsidRPr="00414183" w:rsidRDefault="00871D8A" w:rsidP="00B66A42">
            <w:pPr>
              <w:spacing w:before="40" w:after="40"/>
              <w:rPr>
                <w:rFonts w:cs="Arial"/>
                <w:sz w:val="20"/>
                <w:szCs w:val="20"/>
              </w:rPr>
            </w:pPr>
            <w:r w:rsidRPr="00414183">
              <w:rPr>
                <w:rFonts w:cs="Arial"/>
                <w:sz w:val="20"/>
                <w:szCs w:val="20"/>
              </w:rPr>
              <w:t>1.1.2</w:t>
            </w:r>
          </w:p>
        </w:tc>
        <w:tc>
          <w:tcPr>
            <w:tcW w:w="5499" w:type="dxa"/>
            <w:hideMark/>
          </w:tcPr>
          <w:p w14:paraId="37930987"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Entreprendre des enquêtes normalisées dans des zones clés pour comprendre pleinement l’impact des infrastructures énergétiques sur la mortalité des aigles des steppes afin d’élaborer des mesures d’atténuation appropriées.</w:t>
            </w:r>
          </w:p>
        </w:tc>
        <w:tc>
          <w:tcPr>
            <w:tcW w:w="2493" w:type="dxa"/>
            <w:hideMark/>
          </w:tcPr>
          <w:p w14:paraId="30B761FC" w14:textId="77777777" w:rsidR="00754207" w:rsidRDefault="00871D8A" w:rsidP="00B66A42">
            <w:pPr>
              <w:spacing w:before="40" w:after="40"/>
              <w:rPr>
                <w:rFonts w:cs="Arial"/>
                <w:sz w:val="20"/>
                <w:szCs w:val="20"/>
                <w:lang w:val="fr-FR"/>
              </w:rPr>
            </w:pPr>
            <w:r w:rsidRPr="00414183">
              <w:rPr>
                <w:rFonts w:cs="Arial"/>
                <w:sz w:val="20"/>
                <w:szCs w:val="20"/>
                <w:lang w:val="fr-FR"/>
              </w:rPr>
              <w:t>Autorités nationales (gestion de la faune sauvage et énergie), établissements d’enseignement, agences de recherche, services publics d’énergie, ONG actives dans le domaine de la conservation</w:t>
            </w:r>
          </w:p>
          <w:p w14:paraId="1EE152B1" w14:textId="28E88CAB" w:rsidR="00754207" w:rsidRPr="00414183" w:rsidRDefault="00754207" w:rsidP="00B66A42">
            <w:pPr>
              <w:spacing w:before="40" w:after="40"/>
              <w:rPr>
                <w:rFonts w:cs="Arial"/>
                <w:sz w:val="20"/>
                <w:szCs w:val="20"/>
                <w:lang w:val="fr-FR"/>
              </w:rPr>
            </w:pPr>
          </w:p>
        </w:tc>
        <w:tc>
          <w:tcPr>
            <w:tcW w:w="1559" w:type="dxa"/>
            <w:hideMark/>
          </w:tcPr>
          <w:p w14:paraId="452E1130" w14:textId="77777777" w:rsidR="00871D8A" w:rsidRPr="00414183" w:rsidRDefault="00871D8A" w:rsidP="00B66A42">
            <w:pPr>
              <w:spacing w:before="40" w:after="40"/>
              <w:rPr>
                <w:rFonts w:cs="Arial"/>
                <w:sz w:val="20"/>
                <w:szCs w:val="20"/>
              </w:rPr>
            </w:pPr>
            <w:r w:rsidRPr="00414183">
              <w:rPr>
                <w:rFonts w:cs="Arial"/>
                <w:sz w:val="20"/>
                <w:szCs w:val="20"/>
              </w:rPr>
              <w:t>1.1.1</w:t>
            </w:r>
          </w:p>
        </w:tc>
        <w:tc>
          <w:tcPr>
            <w:tcW w:w="1276" w:type="dxa"/>
            <w:hideMark/>
          </w:tcPr>
          <w:p w14:paraId="135643D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6F74798C"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6267DAC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77045E2C" w14:textId="77777777" w:rsidTr="00B66A42">
        <w:trPr>
          <w:cantSplit/>
          <w:trHeight w:val="864"/>
        </w:trPr>
        <w:tc>
          <w:tcPr>
            <w:tcW w:w="792" w:type="dxa"/>
            <w:hideMark/>
          </w:tcPr>
          <w:p w14:paraId="6B81405B" w14:textId="77777777" w:rsidR="00871D8A" w:rsidRPr="00414183" w:rsidRDefault="00871D8A" w:rsidP="00B66A42">
            <w:pPr>
              <w:spacing w:before="40" w:after="40"/>
              <w:rPr>
                <w:rFonts w:cs="Arial"/>
                <w:sz w:val="20"/>
                <w:szCs w:val="20"/>
              </w:rPr>
            </w:pPr>
            <w:r w:rsidRPr="00414183">
              <w:rPr>
                <w:rFonts w:cs="Arial"/>
                <w:sz w:val="20"/>
                <w:szCs w:val="20"/>
              </w:rPr>
              <w:t>1.1.3</w:t>
            </w:r>
          </w:p>
        </w:tc>
        <w:tc>
          <w:tcPr>
            <w:tcW w:w="5499" w:type="dxa"/>
            <w:hideMark/>
          </w:tcPr>
          <w:p w14:paraId="588EDC37"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Favoriser la transparence et l’échange régulier (ou la publication) des données recueillies concernant la présence et la mortalité des aigles des steppes provenant des promoteurs, des propriétaires d’infrastructures et d’autres parties prenantes clés, notamment les agences de financement de l’énergie.</w:t>
            </w:r>
          </w:p>
        </w:tc>
        <w:tc>
          <w:tcPr>
            <w:tcW w:w="2493" w:type="dxa"/>
            <w:hideMark/>
          </w:tcPr>
          <w:p w14:paraId="69877E34" w14:textId="19A0BF2F" w:rsidR="00754207" w:rsidRDefault="00871D8A" w:rsidP="00B66A42">
            <w:pPr>
              <w:spacing w:before="40" w:after="40"/>
              <w:rPr>
                <w:rFonts w:cs="Arial"/>
                <w:sz w:val="20"/>
                <w:szCs w:val="20"/>
                <w:lang w:val="fr-FR"/>
              </w:rPr>
            </w:pPr>
            <w:r w:rsidRPr="00414183">
              <w:rPr>
                <w:rFonts w:cs="Arial"/>
                <w:sz w:val="20"/>
                <w:szCs w:val="20"/>
                <w:lang w:val="fr-FR"/>
              </w:rPr>
              <w:t>Groupe d’étude de l’énergie de la CMS, autorités nationales, ONG actives dans le domaine de la conservation, services publics d’énergie.</w:t>
            </w:r>
          </w:p>
          <w:p w14:paraId="7BA31F3D" w14:textId="77777777" w:rsidR="00754207" w:rsidRPr="00414183" w:rsidRDefault="00754207" w:rsidP="00B66A42">
            <w:pPr>
              <w:spacing w:before="40" w:after="40"/>
              <w:rPr>
                <w:rFonts w:cs="Arial"/>
                <w:sz w:val="20"/>
                <w:szCs w:val="20"/>
                <w:lang w:val="fr-FR"/>
              </w:rPr>
            </w:pPr>
          </w:p>
        </w:tc>
        <w:tc>
          <w:tcPr>
            <w:tcW w:w="1559" w:type="dxa"/>
            <w:hideMark/>
          </w:tcPr>
          <w:p w14:paraId="3BF271A1" w14:textId="77777777" w:rsidR="00871D8A" w:rsidRPr="00414183" w:rsidRDefault="00871D8A" w:rsidP="00B66A42">
            <w:pPr>
              <w:spacing w:before="40" w:after="40"/>
              <w:rPr>
                <w:rFonts w:cs="Arial"/>
                <w:sz w:val="20"/>
                <w:szCs w:val="20"/>
                <w:lang w:val="fr-FR"/>
              </w:rPr>
            </w:pPr>
          </w:p>
        </w:tc>
        <w:tc>
          <w:tcPr>
            <w:tcW w:w="1276" w:type="dxa"/>
            <w:hideMark/>
          </w:tcPr>
          <w:p w14:paraId="5EFDFAB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508908EA"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3427D43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1622FB" w14:paraId="27E68591" w14:textId="77777777" w:rsidTr="00B66A42">
        <w:trPr>
          <w:cantSplit/>
          <w:trHeight w:val="340"/>
        </w:trPr>
        <w:tc>
          <w:tcPr>
            <w:tcW w:w="13944" w:type="dxa"/>
            <w:gridSpan w:val="7"/>
            <w:shd w:val="clear" w:color="auto" w:fill="FFE599" w:themeFill="accent4" w:themeFillTint="66"/>
          </w:tcPr>
          <w:p w14:paraId="7D9DC048"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lastRenderedPageBreak/>
              <w:t>Objectif 1.2 — Promouvoir des infrastructures et des solutions sûres pour les oiseaux (aigles)</w:t>
            </w:r>
          </w:p>
        </w:tc>
      </w:tr>
      <w:tr w:rsidR="00871D8A" w:rsidRPr="00414183" w14:paraId="7C9D61E2" w14:textId="77777777" w:rsidTr="00B66A42">
        <w:trPr>
          <w:cantSplit/>
          <w:trHeight w:val="1152"/>
        </w:trPr>
        <w:tc>
          <w:tcPr>
            <w:tcW w:w="792" w:type="dxa"/>
            <w:hideMark/>
          </w:tcPr>
          <w:p w14:paraId="519EC572" w14:textId="77777777" w:rsidR="00871D8A" w:rsidRPr="00414183" w:rsidRDefault="00871D8A" w:rsidP="00B66A42">
            <w:pPr>
              <w:spacing w:before="40" w:after="40"/>
              <w:rPr>
                <w:rFonts w:cs="Arial"/>
                <w:sz w:val="20"/>
                <w:szCs w:val="20"/>
              </w:rPr>
            </w:pPr>
            <w:r w:rsidRPr="00414183">
              <w:rPr>
                <w:rFonts w:cs="Arial"/>
                <w:sz w:val="20"/>
                <w:szCs w:val="20"/>
              </w:rPr>
              <w:t>1.2.1</w:t>
            </w:r>
          </w:p>
        </w:tc>
        <w:tc>
          <w:tcPr>
            <w:tcW w:w="5499" w:type="dxa"/>
            <w:hideMark/>
          </w:tcPr>
          <w:p w14:paraId="530981FA"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Faciliter l’intégration des lignes directrices et de la législation nationales pour qu’elles reflètent les normes internationales et la mise en œuvre de la Résolution 10.11 de la CMS par tous les États de l’aire de répartition, et promouvoir la mise en place d’infrastructures respectueuses des oiseaux ainsi que la mise en œuvre des actions d’atténuation, en collaboration notamment avec le Groupe d’étude de l’énergie de la CMS.</w:t>
            </w:r>
          </w:p>
        </w:tc>
        <w:tc>
          <w:tcPr>
            <w:tcW w:w="2493" w:type="dxa"/>
            <w:hideMark/>
          </w:tcPr>
          <w:p w14:paraId="2ECC2C50"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 xml:space="preserve">Autorités nationales, Groupe d’étude de l’énergie de la CMS </w:t>
            </w:r>
          </w:p>
        </w:tc>
        <w:tc>
          <w:tcPr>
            <w:tcW w:w="1559" w:type="dxa"/>
            <w:hideMark/>
          </w:tcPr>
          <w:p w14:paraId="69CCC064" w14:textId="77777777" w:rsidR="00871D8A" w:rsidRPr="00414183" w:rsidRDefault="00871D8A" w:rsidP="00B66A42">
            <w:pPr>
              <w:spacing w:before="40" w:after="40"/>
              <w:rPr>
                <w:rFonts w:cs="Arial"/>
                <w:sz w:val="20"/>
                <w:szCs w:val="20"/>
                <w:lang w:val="fr-FR"/>
              </w:rPr>
            </w:pPr>
          </w:p>
        </w:tc>
        <w:tc>
          <w:tcPr>
            <w:tcW w:w="1276" w:type="dxa"/>
            <w:hideMark/>
          </w:tcPr>
          <w:p w14:paraId="6EFDB98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16C38441"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65B5702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0A1A5AE4" w14:textId="77777777" w:rsidTr="00B66A42">
        <w:trPr>
          <w:cantSplit/>
          <w:trHeight w:val="1152"/>
        </w:trPr>
        <w:tc>
          <w:tcPr>
            <w:tcW w:w="792" w:type="dxa"/>
          </w:tcPr>
          <w:p w14:paraId="3CC11EC0" w14:textId="77777777" w:rsidR="00871D8A" w:rsidRPr="00414183" w:rsidRDefault="00871D8A" w:rsidP="00B66A42">
            <w:pPr>
              <w:spacing w:before="40" w:after="40"/>
              <w:rPr>
                <w:rFonts w:cs="Arial"/>
                <w:sz w:val="20"/>
                <w:szCs w:val="20"/>
              </w:rPr>
            </w:pPr>
            <w:r w:rsidRPr="00414183">
              <w:rPr>
                <w:rFonts w:cs="Arial"/>
                <w:sz w:val="20"/>
                <w:szCs w:val="20"/>
              </w:rPr>
              <w:t>1.2.2</w:t>
            </w:r>
          </w:p>
        </w:tc>
        <w:tc>
          <w:tcPr>
            <w:tcW w:w="5499" w:type="dxa"/>
          </w:tcPr>
          <w:p w14:paraId="57C58B22"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Veiller à ce qu’il existe des cadres juridiques nationaux efficaces pour réduire les impacts des infrastructures dangereuses dans tous les États de l’aire de répartition.</w:t>
            </w:r>
          </w:p>
        </w:tc>
        <w:tc>
          <w:tcPr>
            <w:tcW w:w="2493" w:type="dxa"/>
          </w:tcPr>
          <w:p w14:paraId="507779F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Groupe d’étude de l’énergie de la CMS, services publics d’énergie</w:t>
            </w:r>
          </w:p>
        </w:tc>
        <w:tc>
          <w:tcPr>
            <w:tcW w:w="1559" w:type="dxa"/>
          </w:tcPr>
          <w:p w14:paraId="128E8758" w14:textId="77777777" w:rsidR="00871D8A" w:rsidRPr="00414183" w:rsidRDefault="00871D8A" w:rsidP="00B66A42">
            <w:pPr>
              <w:spacing w:before="40" w:after="40"/>
              <w:rPr>
                <w:rFonts w:cs="Arial"/>
                <w:sz w:val="20"/>
                <w:szCs w:val="20"/>
                <w:lang w:val="fr-FR"/>
              </w:rPr>
            </w:pPr>
          </w:p>
        </w:tc>
        <w:tc>
          <w:tcPr>
            <w:tcW w:w="1276" w:type="dxa"/>
          </w:tcPr>
          <w:p w14:paraId="00EAFE8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tcPr>
          <w:p w14:paraId="5234614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3E84DCE0"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Long terme</w:t>
            </w:r>
          </w:p>
        </w:tc>
      </w:tr>
      <w:tr w:rsidR="00871D8A" w:rsidRPr="00414183" w14:paraId="2DB9D97A" w14:textId="77777777" w:rsidTr="00B66A42">
        <w:trPr>
          <w:cantSplit/>
          <w:trHeight w:val="576"/>
        </w:trPr>
        <w:tc>
          <w:tcPr>
            <w:tcW w:w="792" w:type="dxa"/>
            <w:hideMark/>
          </w:tcPr>
          <w:p w14:paraId="301D8451" w14:textId="77777777" w:rsidR="00871D8A" w:rsidRPr="00414183" w:rsidRDefault="00871D8A" w:rsidP="00B66A42">
            <w:pPr>
              <w:spacing w:before="40" w:after="40"/>
              <w:rPr>
                <w:rFonts w:cs="Arial"/>
                <w:sz w:val="20"/>
                <w:szCs w:val="20"/>
              </w:rPr>
            </w:pPr>
            <w:r w:rsidRPr="00414183">
              <w:rPr>
                <w:rFonts w:cs="Arial"/>
                <w:sz w:val="20"/>
                <w:szCs w:val="20"/>
              </w:rPr>
              <w:t>1.2.3</w:t>
            </w:r>
          </w:p>
        </w:tc>
        <w:tc>
          <w:tcPr>
            <w:tcW w:w="5499" w:type="dxa"/>
            <w:hideMark/>
          </w:tcPr>
          <w:p w14:paraId="7769E6B2"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Sensibiliser les communautés et les économies susceptibles d’être touchées par les infrastructures énergétiques dangereuses aux risques et aux implications de ces dernières.</w:t>
            </w:r>
          </w:p>
        </w:tc>
        <w:tc>
          <w:tcPr>
            <w:tcW w:w="2493" w:type="dxa"/>
            <w:hideMark/>
          </w:tcPr>
          <w:p w14:paraId="34C4419C"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Services publics d’énergie, Groupe d’étude de l’énergie de la CMS, autorités nationales</w:t>
            </w:r>
          </w:p>
        </w:tc>
        <w:tc>
          <w:tcPr>
            <w:tcW w:w="1559" w:type="dxa"/>
            <w:hideMark/>
          </w:tcPr>
          <w:p w14:paraId="6815DCC1" w14:textId="77777777" w:rsidR="00871D8A" w:rsidRPr="00414183" w:rsidRDefault="00871D8A" w:rsidP="00B66A42">
            <w:pPr>
              <w:spacing w:before="40" w:after="40"/>
              <w:rPr>
                <w:rFonts w:cs="Arial"/>
                <w:sz w:val="20"/>
                <w:szCs w:val="20"/>
                <w:lang w:val="fr-FR"/>
              </w:rPr>
            </w:pPr>
          </w:p>
        </w:tc>
        <w:tc>
          <w:tcPr>
            <w:tcW w:w="1276" w:type="dxa"/>
            <w:hideMark/>
          </w:tcPr>
          <w:p w14:paraId="29C2C53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30146E14"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1ACFB75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1622FB" w14:paraId="17CB0EDA" w14:textId="77777777" w:rsidTr="00B66A42">
        <w:trPr>
          <w:cantSplit/>
          <w:trHeight w:val="340"/>
        </w:trPr>
        <w:tc>
          <w:tcPr>
            <w:tcW w:w="13944" w:type="dxa"/>
            <w:gridSpan w:val="7"/>
            <w:shd w:val="clear" w:color="auto" w:fill="FFE599" w:themeFill="accent4" w:themeFillTint="66"/>
          </w:tcPr>
          <w:p w14:paraId="4DD8F8BB"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t>Objectif 1.3 — Prévenir et atténuer les risques liés aux infrastructures énergétiques dangereuses dans les zones à haut risque</w:t>
            </w:r>
          </w:p>
        </w:tc>
      </w:tr>
      <w:tr w:rsidR="00871D8A" w:rsidRPr="00414183" w14:paraId="03CAE2C9" w14:textId="77777777" w:rsidTr="00B66A42">
        <w:trPr>
          <w:cantSplit/>
          <w:trHeight w:val="864"/>
        </w:trPr>
        <w:tc>
          <w:tcPr>
            <w:tcW w:w="792" w:type="dxa"/>
            <w:hideMark/>
          </w:tcPr>
          <w:p w14:paraId="640590C4" w14:textId="77777777" w:rsidR="00871D8A" w:rsidRPr="00414183" w:rsidRDefault="00871D8A" w:rsidP="00B66A42">
            <w:pPr>
              <w:spacing w:before="40" w:after="40"/>
              <w:rPr>
                <w:rFonts w:cs="Arial"/>
                <w:sz w:val="20"/>
                <w:szCs w:val="20"/>
              </w:rPr>
            </w:pPr>
            <w:r w:rsidRPr="00414183">
              <w:rPr>
                <w:rFonts w:cs="Arial"/>
                <w:sz w:val="20"/>
                <w:szCs w:val="20"/>
              </w:rPr>
              <w:t>1.3.1</w:t>
            </w:r>
          </w:p>
        </w:tc>
        <w:tc>
          <w:tcPr>
            <w:tcW w:w="5499" w:type="dxa"/>
            <w:hideMark/>
          </w:tcPr>
          <w:p w14:paraId="448FABA9"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Recenser les zones les plus à risque en favorisant une couverture plus étendue des outils de cartographie de sensibilité (tels qu’Avistep, etc.) et en portant une attention particulière aux goulets d’étranglement et aux sites de rassemblement, en donnant la priorité aux évaluations des lignes électriques et des parcs éoliens en matière de risques d’électrocution et de collision dans ces zones clés.</w:t>
            </w:r>
          </w:p>
        </w:tc>
        <w:tc>
          <w:tcPr>
            <w:tcW w:w="2493" w:type="dxa"/>
            <w:hideMark/>
          </w:tcPr>
          <w:p w14:paraId="56B940E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Services publics d’énergie</w:t>
            </w:r>
          </w:p>
        </w:tc>
        <w:tc>
          <w:tcPr>
            <w:tcW w:w="1559" w:type="dxa"/>
            <w:hideMark/>
          </w:tcPr>
          <w:p w14:paraId="1BFC5F00" w14:textId="77777777" w:rsidR="00871D8A" w:rsidRPr="00871D8A" w:rsidRDefault="00871D8A" w:rsidP="00B66A42">
            <w:pPr>
              <w:spacing w:before="40" w:after="40"/>
              <w:rPr>
                <w:rFonts w:cs="Arial"/>
                <w:sz w:val="20"/>
                <w:szCs w:val="20"/>
                <w:lang w:val="fr-FR"/>
              </w:rPr>
            </w:pPr>
            <w:r w:rsidRPr="00871D8A">
              <w:rPr>
                <w:rFonts w:cs="Arial"/>
                <w:sz w:val="20"/>
                <w:szCs w:val="20"/>
                <w:lang w:val="fr-FR"/>
              </w:rPr>
              <w:t>1.1.2</w:t>
            </w:r>
            <w:r w:rsidRPr="00871D8A">
              <w:rPr>
                <w:rFonts w:cs="Arial"/>
                <w:sz w:val="20"/>
                <w:szCs w:val="20"/>
                <w:lang w:val="fr-FR"/>
              </w:rPr>
              <w:br/>
              <w:t>1.1.3</w:t>
            </w:r>
          </w:p>
          <w:p w14:paraId="3BD53E7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Liste des sites importants (voir la liste de 2025 en annexe)</w:t>
            </w:r>
          </w:p>
        </w:tc>
        <w:tc>
          <w:tcPr>
            <w:tcW w:w="1276" w:type="dxa"/>
            <w:hideMark/>
          </w:tcPr>
          <w:p w14:paraId="7ECB4A2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CRITIQUE</w:t>
            </w:r>
          </w:p>
        </w:tc>
        <w:tc>
          <w:tcPr>
            <w:tcW w:w="1276" w:type="dxa"/>
            <w:hideMark/>
          </w:tcPr>
          <w:p w14:paraId="57E8A6F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135A21A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6F50A750" w14:textId="77777777" w:rsidTr="00B66A42">
        <w:trPr>
          <w:cantSplit/>
          <w:trHeight w:val="629"/>
        </w:trPr>
        <w:tc>
          <w:tcPr>
            <w:tcW w:w="792" w:type="dxa"/>
            <w:hideMark/>
          </w:tcPr>
          <w:p w14:paraId="196AF2F1" w14:textId="77777777" w:rsidR="00871D8A" w:rsidRPr="00414183" w:rsidRDefault="00871D8A" w:rsidP="00B66A42">
            <w:pPr>
              <w:spacing w:before="40" w:after="40"/>
              <w:rPr>
                <w:rFonts w:cs="Arial"/>
                <w:sz w:val="20"/>
                <w:szCs w:val="20"/>
              </w:rPr>
            </w:pPr>
            <w:r w:rsidRPr="00414183">
              <w:rPr>
                <w:rFonts w:cs="Arial"/>
                <w:sz w:val="20"/>
                <w:szCs w:val="20"/>
              </w:rPr>
              <w:lastRenderedPageBreak/>
              <w:t>1.3.2</w:t>
            </w:r>
          </w:p>
        </w:tc>
        <w:tc>
          <w:tcPr>
            <w:tcW w:w="5499" w:type="dxa"/>
            <w:hideMark/>
          </w:tcPr>
          <w:p w14:paraId="36F6CAB0"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Veiller à ce que toutes les principales zones de reproduction, les goulets d’étranglement et les lieux de rassemblement (tels que les décharges et les sites d’enfouissement) soient dotés d’infrastructures de transport d’électricité sûres, grâce au remplacement et à la modernisation des infrastructures dangereuses (en les enterrant, en les isolant, en les équipant de déviateurs, etc.), et à ce que les nouvelles infrastructures respectent également ces normes.</w:t>
            </w:r>
          </w:p>
        </w:tc>
        <w:tc>
          <w:tcPr>
            <w:tcW w:w="2493" w:type="dxa"/>
            <w:hideMark/>
          </w:tcPr>
          <w:p w14:paraId="34CA9230"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(gestion de la faune sauvage et de l’énergie), services publics d’énergie, ONG actives dans le domaine de la conservation</w:t>
            </w:r>
          </w:p>
        </w:tc>
        <w:tc>
          <w:tcPr>
            <w:tcW w:w="1559" w:type="dxa"/>
            <w:hideMark/>
          </w:tcPr>
          <w:p w14:paraId="5A570384" w14:textId="77777777" w:rsidR="00871D8A" w:rsidRPr="00414183" w:rsidRDefault="00871D8A" w:rsidP="00B66A42">
            <w:pPr>
              <w:spacing w:before="40" w:after="40"/>
              <w:rPr>
                <w:rFonts w:cs="Arial"/>
                <w:sz w:val="20"/>
                <w:szCs w:val="20"/>
              </w:rPr>
            </w:pPr>
            <w:r w:rsidRPr="00414183">
              <w:rPr>
                <w:rFonts w:cs="Arial"/>
                <w:sz w:val="20"/>
                <w:szCs w:val="20"/>
              </w:rPr>
              <w:t>1.1.3</w:t>
            </w:r>
          </w:p>
          <w:p w14:paraId="572ED51D" w14:textId="77777777" w:rsidR="00871D8A" w:rsidRPr="00414183" w:rsidRDefault="00871D8A" w:rsidP="00B66A42">
            <w:pPr>
              <w:spacing w:before="40" w:after="40"/>
              <w:rPr>
                <w:rFonts w:cs="Arial"/>
                <w:sz w:val="20"/>
                <w:szCs w:val="20"/>
              </w:rPr>
            </w:pPr>
            <w:r w:rsidRPr="00414183">
              <w:rPr>
                <w:rFonts w:cs="Arial"/>
                <w:sz w:val="20"/>
                <w:szCs w:val="20"/>
              </w:rPr>
              <w:t>1.3.1</w:t>
            </w:r>
          </w:p>
          <w:p w14:paraId="3AB2A489" w14:textId="77777777" w:rsidR="00871D8A" w:rsidRPr="00414183" w:rsidRDefault="00871D8A" w:rsidP="00B66A42">
            <w:pPr>
              <w:spacing w:before="40" w:after="40"/>
              <w:rPr>
                <w:rFonts w:cs="Arial"/>
                <w:sz w:val="20"/>
                <w:szCs w:val="20"/>
                <w:lang w:val="fr-FR"/>
              </w:rPr>
            </w:pPr>
          </w:p>
        </w:tc>
        <w:tc>
          <w:tcPr>
            <w:tcW w:w="1276" w:type="dxa"/>
            <w:hideMark/>
          </w:tcPr>
          <w:p w14:paraId="725EDDE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CRITIQUE</w:t>
            </w:r>
          </w:p>
        </w:tc>
        <w:tc>
          <w:tcPr>
            <w:tcW w:w="1276" w:type="dxa"/>
            <w:hideMark/>
          </w:tcPr>
          <w:p w14:paraId="3C74DC3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6A30DB0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5200BB8D" w14:textId="77777777" w:rsidTr="00B66A42">
        <w:trPr>
          <w:cantSplit/>
          <w:trHeight w:val="487"/>
        </w:trPr>
        <w:tc>
          <w:tcPr>
            <w:tcW w:w="792" w:type="dxa"/>
            <w:hideMark/>
          </w:tcPr>
          <w:p w14:paraId="042F923D" w14:textId="77777777" w:rsidR="00871D8A" w:rsidRPr="00414183" w:rsidRDefault="00871D8A" w:rsidP="00B66A42">
            <w:pPr>
              <w:spacing w:before="40" w:after="40"/>
              <w:rPr>
                <w:rFonts w:cs="Arial"/>
                <w:sz w:val="20"/>
                <w:szCs w:val="20"/>
              </w:rPr>
            </w:pPr>
            <w:r w:rsidRPr="00414183">
              <w:rPr>
                <w:rFonts w:cs="Arial"/>
                <w:sz w:val="20"/>
                <w:szCs w:val="20"/>
              </w:rPr>
              <w:t>1.3.3</w:t>
            </w:r>
          </w:p>
        </w:tc>
        <w:tc>
          <w:tcPr>
            <w:tcW w:w="5499" w:type="dxa"/>
            <w:hideMark/>
          </w:tcPr>
          <w:p w14:paraId="3009F079"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Améliorer les procédures d’évaluation de l’impact sur l’environnement afin de garantir que les progrès dans des domaines cruciaux pour l’aigle des steppes soient pris en considération dans ces procédures.</w:t>
            </w:r>
          </w:p>
        </w:tc>
        <w:tc>
          <w:tcPr>
            <w:tcW w:w="2493" w:type="dxa"/>
            <w:hideMark/>
          </w:tcPr>
          <w:p w14:paraId="085B2249"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w:t>
            </w:r>
          </w:p>
        </w:tc>
        <w:tc>
          <w:tcPr>
            <w:tcW w:w="1559" w:type="dxa"/>
            <w:hideMark/>
          </w:tcPr>
          <w:p w14:paraId="2B3EF335" w14:textId="77777777" w:rsidR="00871D8A" w:rsidRPr="00414183" w:rsidRDefault="00871D8A" w:rsidP="00B66A42">
            <w:pPr>
              <w:spacing w:before="40" w:after="40"/>
              <w:rPr>
                <w:rFonts w:cs="Arial"/>
                <w:sz w:val="20"/>
                <w:szCs w:val="20"/>
              </w:rPr>
            </w:pPr>
            <w:r w:rsidRPr="00414183">
              <w:rPr>
                <w:rFonts w:cs="Arial"/>
                <w:sz w:val="20"/>
                <w:szCs w:val="20"/>
              </w:rPr>
              <w:t>1.1.3</w:t>
            </w:r>
          </w:p>
          <w:p w14:paraId="290503EF" w14:textId="77777777" w:rsidR="00871D8A" w:rsidRPr="00414183" w:rsidRDefault="00871D8A" w:rsidP="00B66A42">
            <w:pPr>
              <w:spacing w:before="40" w:after="40"/>
              <w:rPr>
                <w:rFonts w:cs="Arial"/>
                <w:sz w:val="20"/>
                <w:szCs w:val="20"/>
              </w:rPr>
            </w:pPr>
            <w:r w:rsidRPr="00414183">
              <w:rPr>
                <w:rFonts w:cs="Arial"/>
                <w:sz w:val="20"/>
                <w:szCs w:val="20"/>
              </w:rPr>
              <w:t>1.3.1</w:t>
            </w:r>
          </w:p>
        </w:tc>
        <w:tc>
          <w:tcPr>
            <w:tcW w:w="1276" w:type="dxa"/>
            <w:hideMark/>
          </w:tcPr>
          <w:p w14:paraId="4074ACD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57174C6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33DA1FB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1622FB" w14:paraId="742B6F65" w14:textId="77777777" w:rsidTr="00B66A42">
        <w:trPr>
          <w:cantSplit/>
          <w:trHeight w:val="340"/>
        </w:trPr>
        <w:tc>
          <w:tcPr>
            <w:tcW w:w="13944" w:type="dxa"/>
            <w:gridSpan w:val="7"/>
            <w:shd w:val="clear" w:color="auto" w:fill="00B0F0"/>
          </w:tcPr>
          <w:p w14:paraId="0127EFE9" w14:textId="77777777" w:rsidR="00871D8A" w:rsidRPr="00414183" w:rsidRDefault="00871D8A" w:rsidP="00B66A42">
            <w:pPr>
              <w:spacing w:before="40" w:after="40"/>
              <w:rPr>
                <w:rFonts w:cs="Arial"/>
                <w:b/>
                <w:bCs/>
                <w:sz w:val="20"/>
                <w:szCs w:val="20"/>
                <w:lang w:val="fr-FR"/>
              </w:rPr>
            </w:pPr>
            <w:r w:rsidRPr="00414183">
              <w:rPr>
                <w:rFonts w:cs="Arial"/>
                <w:b/>
                <w:bCs/>
                <w:sz w:val="20"/>
                <w:szCs w:val="20"/>
                <w:lang w:val="fr-FR"/>
              </w:rPr>
              <w:t>Objectif 2 — Réduire de manière significative la mortalité due à l’impact du prélèvement et du commerce légaux et illégaux</w:t>
            </w:r>
          </w:p>
        </w:tc>
      </w:tr>
      <w:tr w:rsidR="00871D8A" w:rsidRPr="001622FB" w14:paraId="3741C958" w14:textId="77777777" w:rsidTr="00B66A42">
        <w:trPr>
          <w:cantSplit/>
          <w:trHeight w:val="340"/>
        </w:trPr>
        <w:tc>
          <w:tcPr>
            <w:tcW w:w="13944" w:type="dxa"/>
            <w:gridSpan w:val="7"/>
            <w:shd w:val="clear" w:color="auto" w:fill="FFE599" w:themeFill="accent4" w:themeFillTint="66"/>
          </w:tcPr>
          <w:p w14:paraId="415D66E9" w14:textId="77777777" w:rsidR="00871D8A" w:rsidRPr="00414183" w:rsidRDefault="00871D8A" w:rsidP="00B66A42">
            <w:pPr>
              <w:spacing w:before="40" w:after="40"/>
              <w:rPr>
                <w:rFonts w:cs="Arial"/>
                <w:i/>
                <w:iCs/>
                <w:sz w:val="20"/>
                <w:szCs w:val="20"/>
                <w:lang w:val="fr-FR"/>
              </w:rPr>
            </w:pPr>
            <w:r w:rsidRPr="00414183">
              <w:rPr>
                <w:rFonts w:cs="Arial"/>
                <w:i/>
                <w:iCs/>
                <w:sz w:val="20"/>
                <w:szCs w:val="20"/>
                <w:lang w:val="fr-FR"/>
              </w:rPr>
              <w:t>Objectif 2.1 — Comprendre l’ampleur et les facteurs socio-économiques du prélèvement illégal et du prélèvement légal non durable, en partageant les informations dans l’ensemble de l’aire de répartition</w:t>
            </w:r>
          </w:p>
        </w:tc>
      </w:tr>
      <w:tr w:rsidR="00871D8A" w:rsidRPr="00414183" w14:paraId="154583FC" w14:textId="77777777" w:rsidTr="00B66A42">
        <w:trPr>
          <w:cantSplit/>
          <w:trHeight w:val="867"/>
        </w:trPr>
        <w:tc>
          <w:tcPr>
            <w:tcW w:w="792" w:type="dxa"/>
            <w:hideMark/>
          </w:tcPr>
          <w:p w14:paraId="71D6007E" w14:textId="77777777" w:rsidR="00871D8A" w:rsidRPr="00414183" w:rsidRDefault="00871D8A" w:rsidP="00B66A42">
            <w:pPr>
              <w:spacing w:before="40" w:after="40"/>
              <w:rPr>
                <w:rFonts w:cs="Arial"/>
                <w:sz w:val="20"/>
                <w:szCs w:val="20"/>
              </w:rPr>
            </w:pPr>
            <w:r w:rsidRPr="00414183">
              <w:rPr>
                <w:rFonts w:cs="Arial"/>
                <w:sz w:val="20"/>
                <w:szCs w:val="20"/>
              </w:rPr>
              <w:t>2.1.1</w:t>
            </w:r>
          </w:p>
        </w:tc>
        <w:tc>
          <w:tcPr>
            <w:tcW w:w="5499" w:type="dxa"/>
            <w:hideMark/>
          </w:tcPr>
          <w:p w14:paraId="39DDE593"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Adopter une méthodologie commune à l’ensemble de l’aire de répartition, basée sur les bonnes pratiques existantes, pour la collecte et la gestion des données concernant les prélèvements illégaux et légaux ainsi que le commerce en personne (y compris les questionnaires, la structure standard des bases de données, etc.), afin d’identifier les points sensibles et les méthodes à employer.</w:t>
            </w:r>
          </w:p>
        </w:tc>
        <w:tc>
          <w:tcPr>
            <w:tcW w:w="2493" w:type="dxa"/>
            <w:hideMark/>
          </w:tcPr>
          <w:p w14:paraId="10BCFF5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Établissements d’enseignement, autorités de la CITES, agences de recherche, ONG actives dans le domaine de la conservation, MIKT, SWAITB, ITTEA</w:t>
            </w:r>
          </w:p>
        </w:tc>
        <w:tc>
          <w:tcPr>
            <w:tcW w:w="1559" w:type="dxa"/>
            <w:hideMark/>
          </w:tcPr>
          <w:p w14:paraId="3D9D46C9" w14:textId="77777777" w:rsidR="00871D8A" w:rsidRPr="00414183" w:rsidRDefault="00871D8A" w:rsidP="00B66A42">
            <w:pPr>
              <w:spacing w:before="40" w:after="40"/>
              <w:rPr>
                <w:rFonts w:cs="Arial"/>
                <w:sz w:val="20"/>
                <w:szCs w:val="20"/>
                <w:lang w:val="fr-FR"/>
              </w:rPr>
            </w:pPr>
          </w:p>
        </w:tc>
        <w:tc>
          <w:tcPr>
            <w:tcW w:w="1276" w:type="dxa"/>
            <w:hideMark/>
          </w:tcPr>
          <w:p w14:paraId="55B1691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121A13B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0D73245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Immédiat</w:t>
            </w:r>
          </w:p>
        </w:tc>
      </w:tr>
      <w:tr w:rsidR="00871D8A" w:rsidRPr="00414183" w14:paraId="05424CAB" w14:textId="77777777" w:rsidTr="00B66A42">
        <w:trPr>
          <w:cantSplit/>
          <w:trHeight w:val="875"/>
        </w:trPr>
        <w:tc>
          <w:tcPr>
            <w:tcW w:w="792" w:type="dxa"/>
            <w:hideMark/>
          </w:tcPr>
          <w:p w14:paraId="26E50961" w14:textId="77777777" w:rsidR="00871D8A" w:rsidRPr="00414183" w:rsidRDefault="00871D8A" w:rsidP="00B66A42">
            <w:pPr>
              <w:spacing w:before="40" w:after="40"/>
              <w:rPr>
                <w:rFonts w:cs="Arial"/>
                <w:sz w:val="20"/>
                <w:szCs w:val="20"/>
              </w:rPr>
            </w:pPr>
            <w:r w:rsidRPr="00414183">
              <w:rPr>
                <w:rFonts w:cs="Arial"/>
                <w:sz w:val="20"/>
                <w:szCs w:val="20"/>
              </w:rPr>
              <w:t>2.1.2</w:t>
            </w:r>
          </w:p>
        </w:tc>
        <w:tc>
          <w:tcPr>
            <w:tcW w:w="5499" w:type="dxa"/>
            <w:hideMark/>
          </w:tcPr>
          <w:p w14:paraId="3BA595DF"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Adopter des méthodes communes de suivi du commerce et des ventes en ligne de l’aigle des steppes, notamment via les médias sociaux et les plateformes de contenu, sur la base des bonnes pratiques existantes.</w:t>
            </w:r>
          </w:p>
        </w:tc>
        <w:tc>
          <w:tcPr>
            <w:tcW w:w="2493" w:type="dxa"/>
            <w:hideMark/>
          </w:tcPr>
          <w:p w14:paraId="5A73585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Établissements d’enseignement, autorités de la CITES, agences de recherche, ONG actives dans le domaine de la conservation, MIKT, SWAITB, ITTEA</w:t>
            </w:r>
          </w:p>
        </w:tc>
        <w:tc>
          <w:tcPr>
            <w:tcW w:w="1559" w:type="dxa"/>
            <w:hideMark/>
          </w:tcPr>
          <w:p w14:paraId="1611C526" w14:textId="77777777" w:rsidR="00871D8A" w:rsidRPr="00414183" w:rsidRDefault="00871D8A" w:rsidP="00B66A42">
            <w:pPr>
              <w:spacing w:before="40" w:after="40"/>
              <w:rPr>
                <w:rFonts w:cs="Arial"/>
                <w:sz w:val="20"/>
                <w:szCs w:val="20"/>
              </w:rPr>
            </w:pPr>
            <w:r w:rsidRPr="00414183">
              <w:rPr>
                <w:rFonts w:cs="Arial"/>
                <w:sz w:val="20"/>
                <w:szCs w:val="20"/>
              </w:rPr>
              <w:t>2.1.1</w:t>
            </w:r>
          </w:p>
        </w:tc>
        <w:tc>
          <w:tcPr>
            <w:tcW w:w="1276" w:type="dxa"/>
            <w:hideMark/>
          </w:tcPr>
          <w:p w14:paraId="42C502B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1B06245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55ADBD41"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Immédiat</w:t>
            </w:r>
          </w:p>
        </w:tc>
      </w:tr>
      <w:tr w:rsidR="00871D8A" w:rsidRPr="00414183" w14:paraId="7DBF2992" w14:textId="77777777" w:rsidTr="00B66A42">
        <w:trPr>
          <w:cantSplit/>
          <w:trHeight w:val="844"/>
        </w:trPr>
        <w:tc>
          <w:tcPr>
            <w:tcW w:w="792" w:type="dxa"/>
            <w:hideMark/>
          </w:tcPr>
          <w:p w14:paraId="5B83FEBB" w14:textId="77777777" w:rsidR="00871D8A" w:rsidRPr="00414183" w:rsidRDefault="00871D8A" w:rsidP="00B66A42">
            <w:pPr>
              <w:spacing w:before="40" w:after="40"/>
              <w:rPr>
                <w:rFonts w:cs="Arial"/>
                <w:sz w:val="20"/>
                <w:szCs w:val="20"/>
              </w:rPr>
            </w:pPr>
            <w:r w:rsidRPr="00414183">
              <w:rPr>
                <w:rFonts w:cs="Arial"/>
                <w:sz w:val="20"/>
                <w:szCs w:val="20"/>
              </w:rPr>
              <w:lastRenderedPageBreak/>
              <w:t>2.1.3</w:t>
            </w:r>
          </w:p>
        </w:tc>
        <w:tc>
          <w:tcPr>
            <w:tcW w:w="5499" w:type="dxa"/>
            <w:hideMark/>
          </w:tcPr>
          <w:p w14:paraId="71D03821"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Fournir un appui et des données en vue d’un examen international de l’ampleur des captures illégales et légales ainsi que du commerce des aigles des steppes (et d’autres rapaces, le cas échéant) dans l’ensemble de l’aire de répartition de l’espèce.</w:t>
            </w:r>
          </w:p>
        </w:tc>
        <w:tc>
          <w:tcPr>
            <w:tcW w:w="2493" w:type="dxa"/>
            <w:hideMark/>
          </w:tcPr>
          <w:p w14:paraId="5C062EEA"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Établissements d’enseignement, agences de recherche, ONG actives dans le domaine de la conservation, MIKT, SWAITB, ITTEA, CITES, CMS</w:t>
            </w:r>
          </w:p>
        </w:tc>
        <w:tc>
          <w:tcPr>
            <w:tcW w:w="1559" w:type="dxa"/>
            <w:hideMark/>
          </w:tcPr>
          <w:p w14:paraId="7442BA9F" w14:textId="77777777" w:rsidR="00871D8A" w:rsidRPr="00414183" w:rsidRDefault="00871D8A" w:rsidP="00B66A42">
            <w:pPr>
              <w:spacing w:before="40" w:after="40"/>
              <w:rPr>
                <w:rFonts w:cs="Arial"/>
                <w:sz w:val="20"/>
                <w:szCs w:val="20"/>
              </w:rPr>
            </w:pPr>
            <w:r w:rsidRPr="00414183">
              <w:rPr>
                <w:rFonts w:cs="Arial"/>
                <w:sz w:val="20"/>
                <w:szCs w:val="20"/>
              </w:rPr>
              <w:t>2.1.1</w:t>
            </w:r>
            <w:r w:rsidRPr="00414183">
              <w:rPr>
                <w:rFonts w:cs="Arial"/>
                <w:sz w:val="20"/>
                <w:szCs w:val="20"/>
              </w:rPr>
              <w:br/>
              <w:t>2.1.2</w:t>
            </w:r>
          </w:p>
        </w:tc>
        <w:tc>
          <w:tcPr>
            <w:tcW w:w="1276" w:type="dxa"/>
            <w:hideMark/>
          </w:tcPr>
          <w:p w14:paraId="3EFE4A04"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3C6A56C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56906D5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r>
      <w:tr w:rsidR="00871D8A" w:rsidRPr="00414183" w14:paraId="64C16BB8" w14:textId="77777777" w:rsidTr="00B66A42">
        <w:trPr>
          <w:cantSplit/>
          <w:trHeight w:val="1152"/>
        </w:trPr>
        <w:tc>
          <w:tcPr>
            <w:tcW w:w="792" w:type="dxa"/>
            <w:hideMark/>
          </w:tcPr>
          <w:p w14:paraId="29AAC21F" w14:textId="77777777" w:rsidR="00871D8A" w:rsidRPr="00414183" w:rsidRDefault="00871D8A" w:rsidP="00B66A42">
            <w:pPr>
              <w:spacing w:before="40" w:after="40"/>
              <w:rPr>
                <w:rFonts w:cs="Arial"/>
                <w:sz w:val="20"/>
                <w:szCs w:val="20"/>
              </w:rPr>
            </w:pPr>
            <w:r w:rsidRPr="00414183">
              <w:rPr>
                <w:rFonts w:cs="Arial"/>
                <w:sz w:val="20"/>
                <w:szCs w:val="20"/>
              </w:rPr>
              <w:t>2.1.4</w:t>
            </w:r>
          </w:p>
        </w:tc>
        <w:tc>
          <w:tcPr>
            <w:tcW w:w="5499" w:type="dxa"/>
            <w:hideMark/>
          </w:tcPr>
          <w:p w14:paraId="16E5F150"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Entreprendre des recherches socio-économiques afin de recenser les moteurs des prélèvements et du commerce illégaux (par exemple, la chasse au trophée par le tir récréatif, la protection du bétail ou l’élevage d’oiseaux en captivité) parmi les groupes d’acteurs clés, en utilisant différentes techniques.</w:t>
            </w:r>
          </w:p>
        </w:tc>
        <w:tc>
          <w:tcPr>
            <w:tcW w:w="2493" w:type="dxa"/>
            <w:hideMark/>
          </w:tcPr>
          <w:p w14:paraId="0E67399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 xml:space="preserve">Établissements d’enseignement, autorités de la CITES, agences de recherche, en particulier les chercheurs en sciences sociales </w:t>
            </w:r>
          </w:p>
        </w:tc>
        <w:tc>
          <w:tcPr>
            <w:tcW w:w="1559" w:type="dxa"/>
            <w:hideMark/>
          </w:tcPr>
          <w:p w14:paraId="29184FA9" w14:textId="77777777" w:rsidR="00871D8A" w:rsidRPr="00414183" w:rsidRDefault="00871D8A" w:rsidP="00B66A42">
            <w:pPr>
              <w:spacing w:before="40" w:after="40"/>
              <w:rPr>
                <w:rFonts w:cs="Arial"/>
                <w:sz w:val="20"/>
                <w:szCs w:val="20"/>
              </w:rPr>
            </w:pPr>
            <w:r w:rsidRPr="00414183">
              <w:rPr>
                <w:rFonts w:cs="Arial"/>
                <w:sz w:val="20"/>
                <w:szCs w:val="20"/>
              </w:rPr>
              <w:t>2.1.2</w:t>
            </w:r>
          </w:p>
        </w:tc>
        <w:tc>
          <w:tcPr>
            <w:tcW w:w="1276" w:type="dxa"/>
            <w:hideMark/>
          </w:tcPr>
          <w:p w14:paraId="24B4D40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4836A48C"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73537BC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67C89A99" w14:textId="77777777" w:rsidTr="00B66A42">
        <w:trPr>
          <w:cantSplit/>
          <w:trHeight w:val="908"/>
        </w:trPr>
        <w:tc>
          <w:tcPr>
            <w:tcW w:w="792" w:type="dxa"/>
            <w:hideMark/>
          </w:tcPr>
          <w:p w14:paraId="6B4E629C" w14:textId="77777777" w:rsidR="00871D8A" w:rsidRPr="00414183" w:rsidRDefault="00871D8A" w:rsidP="00B66A42">
            <w:pPr>
              <w:spacing w:before="40" w:after="40"/>
              <w:rPr>
                <w:rFonts w:cs="Arial"/>
                <w:sz w:val="20"/>
                <w:szCs w:val="20"/>
              </w:rPr>
            </w:pPr>
            <w:r w:rsidRPr="00414183">
              <w:rPr>
                <w:rFonts w:cs="Arial"/>
                <w:sz w:val="20"/>
                <w:szCs w:val="20"/>
              </w:rPr>
              <w:t>2.1.5</w:t>
            </w:r>
          </w:p>
        </w:tc>
        <w:tc>
          <w:tcPr>
            <w:tcW w:w="5499" w:type="dxa"/>
            <w:hideMark/>
          </w:tcPr>
          <w:p w14:paraId="3929E2AC"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Recenser les groupes d’acteurs clés et les principaux canaux de communication concernant le prélèvement et le commerce, qu’ils soient illégaux ou légaux, des aigles des steppes, notamment les groupes chargés de l’application de la loi à l’échelle nationale.</w:t>
            </w:r>
          </w:p>
        </w:tc>
        <w:tc>
          <w:tcPr>
            <w:tcW w:w="2493" w:type="dxa"/>
            <w:hideMark/>
          </w:tcPr>
          <w:p w14:paraId="16E9BED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Établissements d’enseignement, agences de recherche, MIKT, SWAITB, ITTEA, CITES</w:t>
            </w:r>
          </w:p>
        </w:tc>
        <w:tc>
          <w:tcPr>
            <w:tcW w:w="1559" w:type="dxa"/>
            <w:hideMark/>
          </w:tcPr>
          <w:p w14:paraId="204A4C11" w14:textId="77777777" w:rsidR="00871D8A" w:rsidRPr="00414183" w:rsidRDefault="00871D8A" w:rsidP="00B66A42">
            <w:pPr>
              <w:spacing w:before="40" w:after="40"/>
              <w:rPr>
                <w:rFonts w:cs="Arial"/>
                <w:sz w:val="20"/>
                <w:szCs w:val="20"/>
              </w:rPr>
            </w:pPr>
            <w:r w:rsidRPr="00414183">
              <w:rPr>
                <w:rFonts w:cs="Arial"/>
                <w:sz w:val="20"/>
                <w:szCs w:val="20"/>
              </w:rPr>
              <w:t>2.1.2</w:t>
            </w:r>
          </w:p>
          <w:p w14:paraId="5D54F07B" w14:textId="77777777" w:rsidR="00871D8A" w:rsidRPr="00414183" w:rsidRDefault="00871D8A" w:rsidP="00B66A42">
            <w:pPr>
              <w:spacing w:before="40" w:after="40"/>
              <w:rPr>
                <w:rFonts w:cs="Arial"/>
                <w:sz w:val="20"/>
                <w:szCs w:val="20"/>
              </w:rPr>
            </w:pPr>
            <w:r w:rsidRPr="00414183">
              <w:rPr>
                <w:rFonts w:cs="Arial"/>
                <w:sz w:val="20"/>
                <w:szCs w:val="20"/>
              </w:rPr>
              <w:t>2.1.3</w:t>
            </w:r>
          </w:p>
          <w:p w14:paraId="1E9A8364" w14:textId="77777777" w:rsidR="00871D8A" w:rsidRPr="00414183" w:rsidRDefault="00871D8A" w:rsidP="00B66A42">
            <w:pPr>
              <w:spacing w:before="40" w:after="40"/>
              <w:rPr>
                <w:rFonts w:cs="Arial"/>
                <w:sz w:val="20"/>
                <w:szCs w:val="20"/>
              </w:rPr>
            </w:pPr>
            <w:r w:rsidRPr="00414183">
              <w:rPr>
                <w:rFonts w:cs="Arial"/>
                <w:sz w:val="20"/>
                <w:szCs w:val="20"/>
              </w:rPr>
              <w:t>2.1.4</w:t>
            </w:r>
          </w:p>
        </w:tc>
        <w:tc>
          <w:tcPr>
            <w:tcW w:w="1276" w:type="dxa"/>
            <w:hideMark/>
          </w:tcPr>
          <w:p w14:paraId="28AF4B9A"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67F4163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1A05B39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1622FB" w14:paraId="473483BA" w14:textId="77777777" w:rsidTr="00B66A42">
        <w:trPr>
          <w:cantSplit/>
          <w:trHeight w:val="340"/>
        </w:trPr>
        <w:tc>
          <w:tcPr>
            <w:tcW w:w="13944" w:type="dxa"/>
            <w:gridSpan w:val="7"/>
            <w:shd w:val="clear" w:color="auto" w:fill="FFE599" w:themeFill="accent4" w:themeFillTint="66"/>
          </w:tcPr>
          <w:p w14:paraId="15DFD67F"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t>Objectif 2.2 — Renforcer la législation et l’application de la loi afin de réduire le prélèvement et le commerce illégaux et non durables</w:t>
            </w:r>
          </w:p>
        </w:tc>
      </w:tr>
      <w:tr w:rsidR="00871D8A" w:rsidRPr="00414183" w14:paraId="26DABE3E" w14:textId="77777777" w:rsidTr="00B66A42">
        <w:trPr>
          <w:cantSplit/>
          <w:trHeight w:val="864"/>
        </w:trPr>
        <w:tc>
          <w:tcPr>
            <w:tcW w:w="792" w:type="dxa"/>
            <w:hideMark/>
          </w:tcPr>
          <w:p w14:paraId="44AE5C3F" w14:textId="77777777" w:rsidR="00871D8A" w:rsidRPr="00414183" w:rsidRDefault="00871D8A" w:rsidP="00B66A42">
            <w:pPr>
              <w:spacing w:before="40" w:after="40"/>
              <w:rPr>
                <w:rFonts w:cs="Arial"/>
                <w:sz w:val="20"/>
                <w:szCs w:val="20"/>
              </w:rPr>
            </w:pPr>
            <w:r w:rsidRPr="00414183">
              <w:rPr>
                <w:rFonts w:cs="Arial"/>
                <w:sz w:val="20"/>
                <w:szCs w:val="20"/>
              </w:rPr>
              <w:t>2.2.1</w:t>
            </w:r>
          </w:p>
        </w:tc>
        <w:tc>
          <w:tcPr>
            <w:tcW w:w="5499" w:type="dxa"/>
            <w:hideMark/>
          </w:tcPr>
          <w:p w14:paraId="7015C961"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Obtenir un statut de protection complet, assorti de sanctions appropriées en cas de violation, pour l’aigle des steppes dans tous les États de son aire de répartition, après examen des niveaux actuels, y compris les responsabilités internationales dans le cadre de la CMS et de la CITES.</w:t>
            </w:r>
          </w:p>
        </w:tc>
        <w:tc>
          <w:tcPr>
            <w:tcW w:w="2493" w:type="dxa"/>
            <w:hideMark/>
          </w:tcPr>
          <w:p w14:paraId="0EDB8F0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(gestion de la faune sauvage)</w:t>
            </w:r>
          </w:p>
        </w:tc>
        <w:tc>
          <w:tcPr>
            <w:tcW w:w="1559" w:type="dxa"/>
            <w:hideMark/>
          </w:tcPr>
          <w:p w14:paraId="180B55C4" w14:textId="77777777" w:rsidR="00871D8A" w:rsidRPr="00414183" w:rsidRDefault="00871D8A" w:rsidP="00B66A42">
            <w:pPr>
              <w:spacing w:before="40" w:after="40"/>
              <w:rPr>
                <w:rFonts w:cs="Arial"/>
                <w:sz w:val="20"/>
                <w:szCs w:val="20"/>
                <w:lang w:val="fr-FR"/>
              </w:rPr>
            </w:pPr>
          </w:p>
        </w:tc>
        <w:tc>
          <w:tcPr>
            <w:tcW w:w="1276" w:type="dxa"/>
            <w:hideMark/>
          </w:tcPr>
          <w:p w14:paraId="05E5FF99"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CRITIQUE</w:t>
            </w:r>
          </w:p>
        </w:tc>
        <w:tc>
          <w:tcPr>
            <w:tcW w:w="1276" w:type="dxa"/>
            <w:hideMark/>
          </w:tcPr>
          <w:p w14:paraId="638B3751"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6ED61B1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Immédiat</w:t>
            </w:r>
          </w:p>
        </w:tc>
      </w:tr>
      <w:tr w:rsidR="00871D8A" w:rsidRPr="001622FB" w14:paraId="77FCC315" w14:textId="77777777" w:rsidTr="00B66A42">
        <w:trPr>
          <w:cantSplit/>
          <w:trHeight w:val="340"/>
        </w:trPr>
        <w:tc>
          <w:tcPr>
            <w:tcW w:w="13944" w:type="dxa"/>
            <w:gridSpan w:val="7"/>
            <w:shd w:val="clear" w:color="auto" w:fill="FFE599" w:themeFill="accent4" w:themeFillTint="66"/>
          </w:tcPr>
          <w:p w14:paraId="30C10580"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t>Objectif 2.3 — Accroître la sensibilisation et les capacités des principales parties prenantes afin de réduire le prélèvement illégal et légal d’aigles des steppes</w:t>
            </w:r>
          </w:p>
        </w:tc>
      </w:tr>
      <w:tr w:rsidR="00871D8A" w:rsidRPr="00414183" w14:paraId="0B00E236" w14:textId="77777777" w:rsidTr="00B66A42">
        <w:trPr>
          <w:cantSplit/>
          <w:trHeight w:val="771"/>
        </w:trPr>
        <w:tc>
          <w:tcPr>
            <w:tcW w:w="792" w:type="dxa"/>
            <w:hideMark/>
          </w:tcPr>
          <w:p w14:paraId="36D4F6B0" w14:textId="77777777" w:rsidR="00871D8A" w:rsidRPr="00414183" w:rsidRDefault="00871D8A" w:rsidP="00B66A42">
            <w:pPr>
              <w:spacing w:before="40" w:after="40"/>
              <w:rPr>
                <w:rFonts w:cs="Arial"/>
                <w:sz w:val="20"/>
                <w:szCs w:val="20"/>
              </w:rPr>
            </w:pPr>
            <w:r w:rsidRPr="00414183">
              <w:rPr>
                <w:rFonts w:cs="Arial"/>
                <w:sz w:val="20"/>
                <w:szCs w:val="20"/>
              </w:rPr>
              <w:t>2.3.1</w:t>
            </w:r>
          </w:p>
        </w:tc>
        <w:tc>
          <w:tcPr>
            <w:tcW w:w="5499" w:type="dxa"/>
            <w:hideMark/>
          </w:tcPr>
          <w:p w14:paraId="230893BC"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Améliorer l’application des lois sur le prélèvement et le commerce illégaux dans les zones sensibles en renforçant les capacités des organisations de conservation (qu’elles soient gouvernementales ou non gouvernementales) et des organismes chargés de l’application de la loi et la coopération entre ces organisations et organismes.</w:t>
            </w:r>
          </w:p>
        </w:tc>
        <w:tc>
          <w:tcPr>
            <w:tcW w:w="2493" w:type="dxa"/>
            <w:hideMark/>
          </w:tcPr>
          <w:p w14:paraId="1B1845F3"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ONG actives dans le domaine de la conservation, MIKT, SWAITB</w:t>
            </w:r>
          </w:p>
        </w:tc>
        <w:tc>
          <w:tcPr>
            <w:tcW w:w="1559" w:type="dxa"/>
            <w:hideMark/>
          </w:tcPr>
          <w:p w14:paraId="0D404D07" w14:textId="77777777" w:rsidR="00871D8A" w:rsidRPr="00414183" w:rsidRDefault="00871D8A" w:rsidP="00B66A42">
            <w:pPr>
              <w:spacing w:before="40" w:after="40"/>
              <w:rPr>
                <w:rFonts w:cs="Arial"/>
                <w:sz w:val="20"/>
                <w:szCs w:val="20"/>
              </w:rPr>
            </w:pPr>
            <w:r w:rsidRPr="00414183">
              <w:rPr>
                <w:rFonts w:cs="Arial"/>
                <w:sz w:val="20"/>
                <w:szCs w:val="20"/>
              </w:rPr>
              <w:t>2.1.3</w:t>
            </w:r>
          </w:p>
        </w:tc>
        <w:tc>
          <w:tcPr>
            <w:tcW w:w="1276" w:type="dxa"/>
            <w:hideMark/>
          </w:tcPr>
          <w:p w14:paraId="76D7BF89"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4DDBDB3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06767F5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1116A686" w14:textId="77777777" w:rsidTr="00B66A42">
        <w:trPr>
          <w:cantSplit/>
          <w:trHeight w:val="629"/>
        </w:trPr>
        <w:tc>
          <w:tcPr>
            <w:tcW w:w="792" w:type="dxa"/>
            <w:hideMark/>
          </w:tcPr>
          <w:p w14:paraId="3BF2F9C6" w14:textId="77777777" w:rsidR="00871D8A" w:rsidRPr="00414183" w:rsidRDefault="00871D8A" w:rsidP="00B66A42">
            <w:pPr>
              <w:spacing w:before="40" w:after="40"/>
              <w:rPr>
                <w:rFonts w:cs="Arial"/>
                <w:sz w:val="20"/>
                <w:szCs w:val="20"/>
              </w:rPr>
            </w:pPr>
            <w:r w:rsidRPr="00414183">
              <w:rPr>
                <w:rFonts w:cs="Arial"/>
                <w:sz w:val="20"/>
                <w:szCs w:val="20"/>
              </w:rPr>
              <w:lastRenderedPageBreak/>
              <w:t>2.3.2</w:t>
            </w:r>
          </w:p>
        </w:tc>
        <w:tc>
          <w:tcPr>
            <w:tcW w:w="5499" w:type="dxa"/>
            <w:hideMark/>
          </w:tcPr>
          <w:p w14:paraId="7364F7B2"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Préparer, diffuser et adopter des orientations relatives aux bonnes pratiques en matière de mécanismes volontaires et étatiques efficaces pour l’application des dispositions en matière de chasse et de prélèvement, afin de renforcer la sensibilisation des principaux acteurs, y compris l’ensemble du système judiciaire (c’est-à-dire les organismes chargés de l’application de la loi, les procureurs, les juges, etc.). En outre, il convient d’entreprendre de vastes activités de sensibilisation ciblées dans les principaux domaines d’impact, telles que des patrouilles sur des marchés spécifiques, des unités chargées de l’application de la législation sur le commerce électronique, le ciblage d’organisations criminelles connues et le renforcement de la participation des décideurs.</w:t>
            </w:r>
          </w:p>
        </w:tc>
        <w:tc>
          <w:tcPr>
            <w:tcW w:w="2493" w:type="dxa"/>
            <w:hideMark/>
          </w:tcPr>
          <w:p w14:paraId="037F4E8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(forces de l’ordre), ONG actives dans le domaine de la conservation, MIKT, SWAITB, autorités de la CITES</w:t>
            </w:r>
          </w:p>
        </w:tc>
        <w:tc>
          <w:tcPr>
            <w:tcW w:w="1559" w:type="dxa"/>
            <w:hideMark/>
          </w:tcPr>
          <w:p w14:paraId="45F4ED1B" w14:textId="77777777" w:rsidR="00871D8A" w:rsidRPr="00414183" w:rsidRDefault="00871D8A" w:rsidP="00B66A42">
            <w:pPr>
              <w:spacing w:before="40" w:after="40"/>
              <w:rPr>
                <w:rFonts w:cs="Arial"/>
                <w:sz w:val="20"/>
                <w:szCs w:val="20"/>
              </w:rPr>
            </w:pPr>
            <w:r w:rsidRPr="00414183">
              <w:rPr>
                <w:rFonts w:cs="Arial"/>
                <w:sz w:val="20"/>
                <w:szCs w:val="20"/>
              </w:rPr>
              <w:t>2.3.1</w:t>
            </w:r>
          </w:p>
        </w:tc>
        <w:tc>
          <w:tcPr>
            <w:tcW w:w="1276" w:type="dxa"/>
            <w:hideMark/>
          </w:tcPr>
          <w:p w14:paraId="60391101"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084E384C"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3BD2626C"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262E85F2" w14:textId="77777777" w:rsidTr="00B66A42">
        <w:trPr>
          <w:cantSplit/>
          <w:trHeight w:val="1152"/>
        </w:trPr>
        <w:tc>
          <w:tcPr>
            <w:tcW w:w="792" w:type="dxa"/>
            <w:hideMark/>
          </w:tcPr>
          <w:p w14:paraId="2CFF1BA0" w14:textId="77777777" w:rsidR="00871D8A" w:rsidRPr="00414183" w:rsidRDefault="00871D8A" w:rsidP="00B66A42">
            <w:pPr>
              <w:spacing w:before="40" w:after="40"/>
              <w:rPr>
                <w:rFonts w:cs="Arial"/>
                <w:sz w:val="20"/>
                <w:szCs w:val="20"/>
              </w:rPr>
            </w:pPr>
            <w:r w:rsidRPr="00414183">
              <w:rPr>
                <w:rFonts w:cs="Arial"/>
                <w:sz w:val="20"/>
                <w:szCs w:val="20"/>
              </w:rPr>
              <w:t>2.3.3</w:t>
            </w:r>
          </w:p>
        </w:tc>
        <w:tc>
          <w:tcPr>
            <w:tcW w:w="5499" w:type="dxa"/>
            <w:hideMark/>
          </w:tcPr>
          <w:p w14:paraId="51D3A4C3"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Élaborer et mettre en œuvre un programme de travail dans des domaines stratégiques afin de réduire la possession d’aigles des steppes en tant que « symboles de statut », soit en sensibilisant à l’illégalité de cette pratique, soit en promouvant des alternatives légales, afin de cibler la demande des consommateurs. Partager les ressources permettant d’entreprendre des campagnes nationales et internationales pour y intégrer une participation communautaire et une diffusion dans les médias.</w:t>
            </w:r>
          </w:p>
        </w:tc>
        <w:tc>
          <w:tcPr>
            <w:tcW w:w="2493" w:type="dxa"/>
            <w:hideMark/>
          </w:tcPr>
          <w:p w14:paraId="3F64AC4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(forces de l’ordre), ONG actives dans le domaine de la conservation</w:t>
            </w:r>
          </w:p>
        </w:tc>
        <w:tc>
          <w:tcPr>
            <w:tcW w:w="1559" w:type="dxa"/>
            <w:hideMark/>
          </w:tcPr>
          <w:p w14:paraId="1432C930" w14:textId="77777777" w:rsidR="00871D8A" w:rsidRPr="00414183" w:rsidRDefault="00871D8A" w:rsidP="00B66A42">
            <w:pPr>
              <w:spacing w:before="40" w:after="40"/>
              <w:rPr>
                <w:rFonts w:cs="Arial"/>
                <w:sz w:val="20"/>
                <w:szCs w:val="20"/>
                <w:lang w:val="fr-FR"/>
              </w:rPr>
            </w:pPr>
          </w:p>
        </w:tc>
        <w:tc>
          <w:tcPr>
            <w:tcW w:w="1276" w:type="dxa"/>
            <w:hideMark/>
          </w:tcPr>
          <w:p w14:paraId="7B5CE74A"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3621EC3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Moyen-Orient, Asie du Sud et du Sud-Est</w:t>
            </w:r>
          </w:p>
        </w:tc>
        <w:tc>
          <w:tcPr>
            <w:tcW w:w="1049" w:type="dxa"/>
          </w:tcPr>
          <w:p w14:paraId="4E6F7D80"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r>
      <w:tr w:rsidR="00871D8A" w:rsidRPr="001622FB" w14:paraId="5285851D" w14:textId="77777777" w:rsidTr="00B66A42">
        <w:trPr>
          <w:cantSplit/>
          <w:trHeight w:val="340"/>
        </w:trPr>
        <w:tc>
          <w:tcPr>
            <w:tcW w:w="13944" w:type="dxa"/>
            <w:gridSpan w:val="7"/>
            <w:shd w:val="clear" w:color="auto" w:fill="00B0F0"/>
          </w:tcPr>
          <w:p w14:paraId="61D564B6" w14:textId="77777777" w:rsidR="00871D8A" w:rsidRPr="00414183" w:rsidRDefault="00871D8A" w:rsidP="00B66A42">
            <w:pPr>
              <w:spacing w:before="40" w:after="40"/>
              <w:jc w:val="both"/>
              <w:rPr>
                <w:rFonts w:cs="Arial"/>
                <w:b/>
                <w:bCs/>
                <w:sz w:val="20"/>
                <w:szCs w:val="20"/>
                <w:lang w:val="fr-FR"/>
              </w:rPr>
            </w:pPr>
            <w:r w:rsidRPr="00414183">
              <w:rPr>
                <w:rFonts w:cs="Arial"/>
                <w:b/>
                <w:bCs/>
                <w:sz w:val="20"/>
                <w:szCs w:val="20"/>
                <w:lang w:val="fr-FR"/>
              </w:rPr>
              <w:t>Objectif 3 — Comprendre et atténuer l’impact de l’empoisonnement accidentel sur les populations d’aigles des steppes</w:t>
            </w:r>
          </w:p>
        </w:tc>
      </w:tr>
      <w:tr w:rsidR="00871D8A" w:rsidRPr="001622FB" w14:paraId="19003234" w14:textId="77777777" w:rsidTr="00B66A42">
        <w:trPr>
          <w:cantSplit/>
          <w:trHeight w:val="340"/>
        </w:trPr>
        <w:tc>
          <w:tcPr>
            <w:tcW w:w="13944" w:type="dxa"/>
            <w:gridSpan w:val="7"/>
            <w:shd w:val="clear" w:color="auto" w:fill="FFE599" w:themeFill="accent4" w:themeFillTint="66"/>
          </w:tcPr>
          <w:p w14:paraId="6750920F"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t>Objectif 3.1 — Identifier les substances chimiques critiques affectant la survie ou la condition physique de l’aigle des steppes</w:t>
            </w:r>
          </w:p>
        </w:tc>
      </w:tr>
      <w:tr w:rsidR="00871D8A" w:rsidRPr="00414183" w14:paraId="6FD807BB" w14:textId="77777777" w:rsidTr="00B66A42">
        <w:trPr>
          <w:cantSplit/>
          <w:trHeight w:val="864"/>
        </w:trPr>
        <w:tc>
          <w:tcPr>
            <w:tcW w:w="792" w:type="dxa"/>
            <w:hideMark/>
          </w:tcPr>
          <w:p w14:paraId="3792A5D2" w14:textId="77777777" w:rsidR="00871D8A" w:rsidRPr="00414183" w:rsidRDefault="00871D8A" w:rsidP="00B66A42">
            <w:pPr>
              <w:spacing w:before="40" w:after="40"/>
              <w:rPr>
                <w:rFonts w:cs="Arial"/>
                <w:sz w:val="20"/>
                <w:szCs w:val="20"/>
              </w:rPr>
            </w:pPr>
            <w:r w:rsidRPr="00414183">
              <w:rPr>
                <w:rFonts w:cs="Arial"/>
                <w:sz w:val="20"/>
                <w:szCs w:val="20"/>
              </w:rPr>
              <w:t>3.1.1</w:t>
            </w:r>
          </w:p>
        </w:tc>
        <w:tc>
          <w:tcPr>
            <w:tcW w:w="5499" w:type="dxa"/>
            <w:hideMark/>
          </w:tcPr>
          <w:p w14:paraId="0FF03438"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Mener des recherches et diffuser des documents sur les produits chimiques critiques susceptibles d’affecter la condition physique (santé et productivité de la population) ou la survie de l’aigle des steppes dans l’ensemble de son aire de répartition.</w:t>
            </w:r>
          </w:p>
        </w:tc>
        <w:tc>
          <w:tcPr>
            <w:tcW w:w="2493" w:type="dxa"/>
            <w:hideMark/>
          </w:tcPr>
          <w:p w14:paraId="0D10146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établissements d’enseignement, agences de recherche, ONG actives dans le domaine de la conservation</w:t>
            </w:r>
          </w:p>
        </w:tc>
        <w:tc>
          <w:tcPr>
            <w:tcW w:w="1559" w:type="dxa"/>
            <w:hideMark/>
          </w:tcPr>
          <w:p w14:paraId="3CEB4E8B" w14:textId="77777777" w:rsidR="00871D8A" w:rsidRPr="00414183" w:rsidRDefault="00871D8A" w:rsidP="00B66A42">
            <w:pPr>
              <w:spacing w:before="40" w:after="40"/>
              <w:rPr>
                <w:rFonts w:cs="Arial"/>
                <w:sz w:val="20"/>
                <w:szCs w:val="20"/>
                <w:lang w:val="fr-FR"/>
              </w:rPr>
            </w:pPr>
          </w:p>
        </w:tc>
        <w:tc>
          <w:tcPr>
            <w:tcW w:w="1276" w:type="dxa"/>
            <w:hideMark/>
          </w:tcPr>
          <w:p w14:paraId="2A30FAE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3415F93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4A06542C"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3970AFF6" w14:textId="77777777" w:rsidTr="00B66A42">
        <w:trPr>
          <w:cantSplit/>
          <w:trHeight w:val="864"/>
        </w:trPr>
        <w:tc>
          <w:tcPr>
            <w:tcW w:w="792" w:type="dxa"/>
            <w:hideMark/>
          </w:tcPr>
          <w:p w14:paraId="4DAD726A" w14:textId="77777777" w:rsidR="00871D8A" w:rsidRPr="00414183" w:rsidRDefault="00871D8A" w:rsidP="00B66A42">
            <w:pPr>
              <w:spacing w:before="40" w:after="40"/>
              <w:rPr>
                <w:rFonts w:cs="Arial"/>
                <w:sz w:val="20"/>
                <w:szCs w:val="20"/>
              </w:rPr>
            </w:pPr>
            <w:r w:rsidRPr="00414183">
              <w:rPr>
                <w:rFonts w:cs="Arial"/>
                <w:sz w:val="20"/>
                <w:szCs w:val="20"/>
              </w:rPr>
              <w:lastRenderedPageBreak/>
              <w:t>3.1.2</w:t>
            </w:r>
          </w:p>
        </w:tc>
        <w:tc>
          <w:tcPr>
            <w:tcW w:w="5499" w:type="dxa"/>
            <w:hideMark/>
          </w:tcPr>
          <w:p w14:paraId="120B327D"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Comprendre l’étendue de l’utilisation, de l’impact et des voies de contamination des AINS, des produits chimiques antiparasitaires et d’autres contaminants environnementaux (tels que les métaux lourds) sur les sites de reproduction et de rassemblement ou à proximité de ceux-ci, notamment via l’échantillonnage et l’analyse systématiques des ressources alimentaires primaires.</w:t>
            </w:r>
          </w:p>
        </w:tc>
        <w:tc>
          <w:tcPr>
            <w:tcW w:w="2493" w:type="dxa"/>
            <w:hideMark/>
          </w:tcPr>
          <w:p w14:paraId="529CA10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établissements d’enseignement, agences de recherche, ONG actives dans le domaine de la conservation, autorités responsables de la gestion des déchets</w:t>
            </w:r>
          </w:p>
        </w:tc>
        <w:tc>
          <w:tcPr>
            <w:tcW w:w="1559" w:type="dxa"/>
            <w:hideMark/>
          </w:tcPr>
          <w:p w14:paraId="5DDB600A" w14:textId="77777777" w:rsidR="00871D8A" w:rsidRPr="00414183" w:rsidRDefault="00871D8A" w:rsidP="00B66A42">
            <w:pPr>
              <w:spacing w:before="40" w:after="40"/>
              <w:rPr>
                <w:rFonts w:cs="Arial"/>
                <w:sz w:val="20"/>
                <w:szCs w:val="20"/>
              </w:rPr>
            </w:pPr>
            <w:r w:rsidRPr="00414183">
              <w:rPr>
                <w:rFonts w:cs="Arial"/>
                <w:sz w:val="20"/>
                <w:szCs w:val="20"/>
              </w:rPr>
              <w:t>3.1.1</w:t>
            </w:r>
            <w:r w:rsidRPr="00414183">
              <w:rPr>
                <w:rFonts w:cs="Arial"/>
                <w:sz w:val="20"/>
                <w:szCs w:val="20"/>
              </w:rPr>
              <w:br/>
              <w:t>5.2.1</w:t>
            </w:r>
          </w:p>
        </w:tc>
        <w:tc>
          <w:tcPr>
            <w:tcW w:w="1276" w:type="dxa"/>
            <w:hideMark/>
          </w:tcPr>
          <w:p w14:paraId="44004430"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5944B62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3C0C283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Immédiat</w:t>
            </w:r>
          </w:p>
        </w:tc>
      </w:tr>
      <w:tr w:rsidR="00871D8A" w:rsidRPr="00414183" w14:paraId="3C6F0CFB" w14:textId="77777777" w:rsidTr="00B66A42">
        <w:trPr>
          <w:cantSplit/>
          <w:trHeight w:val="864"/>
        </w:trPr>
        <w:tc>
          <w:tcPr>
            <w:tcW w:w="792" w:type="dxa"/>
            <w:hideMark/>
          </w:tcPr>
          <w:p w14:paraId="331B3740" w14:textId="77777777" w:rsidR="00871D8A" w:rsidRPr="00414183" w:rsidRDefault="00871D8A" w:rsidP="00B66A42">
            <w:pPr>
              <w:spacing w:before="40" w:after="40"/>
              <w:rPr>
                <w:rFonts w:cs="Arial"/>
                <w:sz w:val="20"/>
                <w:szCs w:val="20"/>
              </w:rPr>
            </w:pPr>
            <w:r w:rsidRPr="00414183">
              <w:rPr>
                <w:rFonts w:cs="Arial"/>
                <w:sz w:val="20"/>
                <w:szCs w:val="20"/>
              </w:rPr>
              <w:t>3.1.3</w:t>
            </w:r>
          </w:p>
        </w:tc>
        <w:tc>
          <w:tcPr>
            <w:tcW w:w="5499" w:type="dxa"/>
            <w:hideMark/>
          </w:tcPr>
          <w:p w14:paraId="362365A5"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Prélever des échantillons d’aigles des steppes vivants ainsi que de carcasses d’aigles fraîches, de manière opportune et efficace, afin de déterminer la cause de leur mort et la présence de produits chimiques critiques et de maladies, et enregistrer ces informations dans une base de données centralisée pour faciliter le partage des données.</w:t>
            </w:r>
          </w:p>
        </w:tc>
        <w:tc>
          <w:tcPr>
            <w:tcW w:w="2493" w:type="dxa"/>
            <w:hideMark/>
          </w:tcPr>
          <w:p w14:paraId="06FF4B2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(laboratoires d’analyse publics, gestion de la faune sauvage), agences de recherche, ONG actives dans le domaine de la conservation, autorités de la CITES</w:t>
            </w:r>
          </w:p>
        </w:tc>
        <w:tc>
          <w:tcPr>
            <w:tcW w:w="1559" w:type="dxa"/>
            <w:hideMark/>
          </w:tcPr>
          <w:p w14:paraId="0AF2D357" w14:textId="77777777" w:rsidR="00871D8A" w:rsidRPr="00414183" w:rsidRDefault="00871D8A" w:rsidP="00B66A42">
            <w:pPr>
              <w:spacing w:before="40" w:after="40"/>
              <w:rPr>
                <w:rFonts w:cs="Arial"/>
                <w:sz w:val="20"/>
                <w:szCs w:val="20"/>
              </w:rPr>
            </w:pPr>
            <w:r w:rsidRPr="00414183">
              <w:rPr>
                <w:rFonts w:cs="Arial"/>
                <w:sz w:val="20"/>
                <w:szCs w:val="20"/>
              </w:rPr>
              <w:t>3.1.1</w:t>
            </w:r>
          </w:p>
          <w:p w14:paraId="20A25E9D" w14:textId="77777777" w:rsidR="00871D8A" w:rsidRPr="00414183" w:rsidRDefault="00871D8A" w:rsidP="00B66A42">
            <w:pPr>
              <w:spacing w:before="40" w:after="40"/>
              <w:rPr>
                <w:rFonts w:cs="Arial"/>
                <w:sz w:val="20"/>
                <w:szCs w:val="20"/>
              </w:rPr>
            </w:pPr>
            <w:r w:rsidRPr="00414183">
              <w:rPr>
                <w:rFonts w:cs="Arial"/>
                <w:sz w:val="20"/>
                <w:szCs w:val="20"/>
              </w:rPr>
              <w:t>3.1.2</w:t>
            </w:r>
          </w:p>
        </w:tc>
        <w:tc>
          <w:tcPr>
            <w:tcW w:w="1276" w:type="dxa"/>
            <w:hideMark/>
          </w:tcPr>
          <w:p w14:paraId="101474B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7BCF705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6015B93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1622FB" w14:paraId="5D447CE9" w14:textId="77777777" w:rsidTr="00B66A42">
        <w:trPr>
          <w:cantSplit/>
          <w:trHeight w:val="340"/>
        </w:trPr>
        <w:tc>
          <w:tcPr>
            <w:tcW w:w="13944" w:type="dxa"/>
            <w:gridSpan w:val="7"/>
            <w:shd w:val="clear" w:color="auto" w:fill="FFE599" w:themeFill="accent4" w:themeFillTint="66"/>
          </w:tcPr>
          <w:p w14:paraId="0B51D426"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t>Objectif 3.2 — Réduire au minimum l’exposition aux substances chimiques critiques</w:t>
            </w:r>
          </w:p>
        </w:tc>
      </w:tr>
      <w:tr w:rsidR="00871D8A" w:rsidRPr="00414183" w14:paraId="1000E9BD" w14:textId="77777777" w:rsidTr="00B66A42">
        <w:trPr>
          <w:cantSplit/>
          <w:trHeight w:val="1152"/>
        </w:trPr>
        <w:tc>
          <w:tcPr>
            <w:tcW w:w="792" w:type="dxa"/>
            <w:hideMark/>
          </w:tcPr>
          <w:p w14:paraId="2778DEF2" w14:textId="77777777" w:rsidR="00871D8A" w:rsidRPr="00414183" w:rsidRDefault="00871D8A" w:rsidP="00B66A42">
            <w:pPr>
              <w:spacing w:before="40" w:after="40"/>
              <w:rPr>
                <w:rFonts w:cs="Arial"/>
                <w:sz w:val="20"/>
                <w:szCs w:val="20"/>
              </w:rPr>
            </w:pPr>
            <w:r w:rsidRPr="00414183">
              <w:rPr>
                <w:rFonts w:cs="Arial"/>
                <w:sz w:val="20"/>
                <w:szCs w:val="20"/>
              </w:rPr>
              <w:t>3.2.1</w:t>
            </w:r>
          </w:p>
        </w:tc>
        <w:tc>
          <w:tcPr>
            <w:tcW w:w="5499" w:type="dxa"/>
            <w:hideMark/>
          </w:tcPr>
          <w:p w14:paraId="630DBDC2"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Ratifier la législation sur l’utilisation et l’élimination des produits chimiques critiques afin de garantir la mise en œuvre de la Résolution 11.15 (RevCOP14) de la CMS et des lignes directrices associées pour la prévention de l’empoisonnement, ainsi que de la Convention relative à la conservation de la vie sauvage et du milieu naturel de l’Europe (Convention de Berne), afin de s’assurer que l’utilisation des produits chimiques critiques soit interdite ou strictement réglementée dans les États de l’aire de répartition.</w:t>
            </w:r>
          </w:p>
        </w:tc>
        <w:tc>
          <w:tcPr>
            <w:tcW w:w="2493" w:type="dxa"/>
            <w:hideMark/>
          </w:tcPr>
          <w:p w14:paraId="21359F2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w:t>
            </w:r>
          </w:p>
        </w:tc>
        <w:tc>
          <w:tcPr>
            <w:tcW w:w="1559" w:type="dxa"/>
            <w:hideMark/>
          </w:tcPr>
          <w:p w14:paraId="2126A528" w14:textId="77777777" w:rsidR="00871D8A" w:rsidRPr="00414183" w:rsidRDefault="00871D8A" w:rsidP="00B66A42">
            <w:pPr>
              <w:spacing w:before="40" w:after="40"/>
              <w:rPr>
                <w:rFonts w:cs="Arial"/>
                <w:sz w:val="20"/>
                <w:szCs w:val="20"/>
                <w:lang w:val="fr-FR"/>
              </w:rPr>
            </w:pPr>
          </w:p>
        </w:tc>
        <w:tc>
          <w:tcPr>
            <w:tcW w:w="1276" w:type="dxa"/>
            <w:hideMark/>
          </w:tcPr>
          <w:p w14:paraId="629AC62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66B078B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1B15022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Immédiat</w:t>
            </w:r>
          </w:p>
        </w:tc>
      </w:tr>
      <w:tr w:rsidR="00871D8A" w:rsidRPr="00414183" w14:paraId="550F824F" w14:textId="77777777" w:rsidTr="00B66A42">
        <w:trPr>
          <w:cantSplit/>
          <w:trHeight w:val="576"/>
        </w:trPr>
        <w:tc>
          <w:tcPr>
            <w:tcW w:w="792" w:type="dxa"/>
            <w:hideMark/>
          </w:tcPr>
          <w:p w14:paraId="0E13C165" w14:textId="77777777" w:rsidR="00871D8A" w:rsidRPr="00414183" w:rsidRDefault="00871D8A" w:rsidP="00B66A42">
            <w:pPr>
              <w:spacing w:before="40" w:after="40"/>
              <w:rPr>
                <w:rFonts w:cs="Arial"/>
                <w:sz w:val="20"/>
                <w:szCs w:val="20"/>
              </w:rPr>
            </w:pPr>
            <w:r w:rsidRPr="00414183">
              <w:rPr>
                <w:rFonts w:cs="Arial"/>
                <w:sz w:val="20"/>
                <w:szCs w:val="20"/>
              </w:rPr>
              <w:t>3.2.2</w:t>
            </w:r>
          </w:p>
        </w:tc>
        <w:tc>
          <w:tcPr>
            <w:tcW w:w="5499" w:type="dxa"/>
            <w:hideMark/>
          </w:tcPr>
          <w:p w14:paraId="26EEE8FB"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Déterminer les facteurs socio-économiques de l’utilisation des produits chimiques essentiels et appliquer des méthodes permettant de réduire ces facteurs de manière mesurable.</w:t>
            </w:r>
          </w:p>
        </w:tc>
        <w:tc>
          <w:tcPr>
            <w:tcW w:w="2493" w:type="dxa"/>
            <w:hideMark/>
          </w:tcPr>
          <w:p w14:paraId="366C9BE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Établissements d’enseignement, agences de recherche, ONG actives dans le domaine de la conservation</w:t>
            </w:r>
          </w:p>
        </w:tc>
        <w:tc>
          <w:tcPr>
            <w:tcW w:w="1559" w:type="dxa"/>
            <w:hideMark/>
          </w:tcPr>
          <w:p w14:paraId="7FA4F780" w14:textId="77777777" w:rsidR="00871D8A" w:rsidRPr="00414183" w:rsidRDefault="00871D8A" w:rsidP="00B66A42">
            <w:pPr>
              <w:spacing w:before="40" w:after="40"/>
              <w:rPr>
                <w:rFonts w:cs="Arial"/>
                <w:sz w:val="20"/>
                <w:szCs w:val="20"/>
                <w:lang w:val="fr-FR"/>
              </w:rPr>
            </w:pPr>
          </w:p>
        </w:tc>
        <w:tc>
          <w:tcPr>
            <w:tcW w:w="1276" w:type="dxa"/>
            <w:hideMark/>
          </w:tcPr>
          <w:p w14:paraId="76B7F7DC"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FAIBLE</w:t>
            </w:r>
          </w:p>
        </w:tc>
        <w:tc>
          <w:tcPr>
            <w:tcW w:w="1276" w:type="dxa"/>
            <w:hideMark/>
          </w:tcPr>
          <w:p w14:paraId="0AACB7A0"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1F0D1C9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r>
      <w:tr w:rsidR="00871D8A" w:rsidRPr="00414183" w14:paraId="40FD6C37" w14:textId="77777777" w:rsidTr="00B66A42">
        <w:trPr>
          <w:cantSplit/>
          <w:trHeight w:val="576"/>
        </w:trPr>
        <w:tc>
          <w:tcPr>
            <w:tcW w:w="792" w:type="dxa"/>
            <w:hideMark/>
          </w:tcPr>
          <w:p w14:paraId="4F06F148" w14:textId="77777777" w:rsidR="00871D8A" w:rsidRPr="00414183" w:rsidRDefault="00871D8A" w:rsidP="00B66A42">
            <w:pPr>
              <w:spacing w:before="40" w:after="40"/>
              <w:rPr>
                <w:rFonts w:cs="Arial"/>
                <w:sz w:val="20"/>
                <w:szCs w:val="20"/>
              </w:rPr>
            </w:pPr>
            <w:r w:rsidRPr="00414183">
              <w:rPr>
                <w:rFonts w:cs="Arial"/>
                <w:sz w:val="20"/>
                <w:szCs w:val="20"/>
              </w:rPr>
              <w:lastRenderedPageBreak/>
              <w:t>3.2.3</w:t>
            </w:r>
          </w:p>
        </w:tc>
        <w:tc>
          <w:tcPr>
            <w:tcW w:w="5499" w:type="dxa"/>
            <w:hideMark/>
          </w:tcPr>
          <w:p w14:paraId="5863362A"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Mettre au point et adopter des méthodes de gestion et d’élimination sûres des carcasses d’animaux d’élevage, et en faire la promotion auprès des principales parties prenantes, en veillant à ce que les aigles aient toujours accès à des carcasses sûres en tant que ressource alimentaire.</w:t>
            </w:r>
          </w:p>
        </w:tc>
        <w:tc>
          <w:tcPr>
            <w:tcW w:w="2493" w:type="dxa"/>
            <w:hideMark/>
          </w:tcPr>
          <w:p w14:paraId="7121CF6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(agriculture, réglementation des médicaments), ONG actives dans le domaine de la conservation, autorités responsables de la gestion des déchets</w:t>
            </w:r>
          </w:p>
        </w:tc>
        <w:tc>
          <w:tcPr>
            <w:tcW w:w="1559" w:type="dxa"/>
            <w:hideMark/>
          </w:tcPr>
          <w:p w14:paraId="391DD28C" w14:textId="77777777" w:rsidR="00871D8A" w:rsidRPr="00414183" w:rsidRDefault="00871D8A" w:rsidP="00B66A42">
            <w:pPr>
              <w:spacing w:before="40" w:after="40"/>
              <w:rPr>
                <w:rFonts w:cs="Arial"/>
                <w:sz w:val="20"/>
                <w:szCs w:val="20"/>
                <w:lang w:val="fr-FR"/>
              </w:rPr>
            </w:pPr>
          </w:p>
        </w:tc>
        <w:tc>
          <w:tcPr>
            <w:tcW w:w="1276" w:type="dxa"/>
            <w:hideMark/>
          </w:tcPr>
          <w:p w14:paraId="482306B9"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02C5B41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759A716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r>
      <w:tr w:rsidR="00871D8A" w:rsidRPr="00414183" w14:paraId="3A46C303" w14:textId="77777777" w:rsidTr="00B66A42">
        <w:trPr>
          <w:cantSplit/>
          <w:trHeight w:val="576"/>
        </w:trPr>
        <w:tc>
          <w:tcPr>
            <w:tcW w:w="792" w:type="dxa"/>
            <w:hideMark/>
          </w:tcPr>
          <w:p w14:paraId="552D44D5" w14:textId="77777777" w:rsidR="00871D8A" w:rsidRPr="00414183" w:rsidRDefault="00871D8A" w:rsidP="00B66A42">
            <w:pPr>
              <w:spacing w:before="40" w:after="40"/>
              <w:rPr>
                <w:rFonts w:cs="Arial"/>
                <w:sz w:val="20"/>
                <w:szCs w:val="20"/>
              </w:rPr>
            </w:pPr>
            <w:r w:rsidRPr="00414183">
              <w:rPr>
                <w:rFonts w:cs="Arial"/>
                <w:sz w:val="20"/>
                <w:szCs w:val="20"/>
              </w:rPr>
              <w:t>3.2.4</w:t>
            </w:r>
          </w:p>
        </w:tc>
        <w:tc>
          <w:tcPr>
            <w:tcW w:w="5499" w:type="dxa"/>
            <w:hideMark/>
          </w:tcPr>
          <w:p w14:paraId="44B68AD3"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Renforcer l’application de la loi en développant les capacités et en mettant les ressources nécessaires à disposition, afin de garantir un contrôle et une application efficaces de la législation existante et nouvelle concernant les produits chimiques critiques.</w:t>
            </w:r>
          </w:p>
        </w:tc>
        <w:tc>
          <w:tcPr>
            <w:tcW w:w="2493" w:type="dxa"/>
            <w:hideMark/>
          </w:tcPr>
          <w:p w14:paraId="29F8ACA0"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ONG actives dans le domaine de la conservation, CMS</w:t>
            </w:r>
          </w:p>
        </w:tc>
        <w:tc>
          <w:tcPr>
            <w:tcW w:w="1559" w:type="dxa"/>
            <w:hideMark/>
          </w:tcPr>
          <w:p w14:paraId="44034626" w14:textId="77777777" w:rsidR="00871D8A" w:rsidRPr="00414183" w:rsidRDefault="00871D8A" w:rsidP="00B66A42">
            <w:pPr>
              <w:spacing w:before="40" w:after="40"/>
              <w:rPr>
                <w:rFonts w:cs="Arial"/>
                <w:sz w:val="20"/>
                <w:szCs w:val="20"/>
                <w:lang w:val="fr-FR"/>
              </w:rPr>
            </w:pPr>
          </w:p>
        </w:tc>
        <w:tc>
          <w:tcPr>
            <w:tcW w:w="1276" w:type="dxa"/>
            <w:hideMark/>
          </w:tcPr>
          <w:p w14:paraId="4CA6F95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3CB8812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0D3EB8D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r>
      <w:tr w:rsidR="00871D8A" w:rsidRPr="00414183" w14:paraId="67CD91ED" w14:textId="77777777" w:rsidTr="00B66A42">
        <w:trPr>
          <w:cantSplit/>
          <w:trHeight w:val="576"/>
        </w:trPr>
        <w:tc>
          <w:tcPr>
            <w:tcW w:w="792" w:type="dxa"/>
            <w:hideMark/>
          </w:tcPr>
          <w:p w14:paraId="47B423EE" w14:textId="77777777" w:rsidR="00871D8A" w:rsidRPr="00414183" w:rsidRDefault="00871D8A" w:rsidP="00B66A42">
            <w:pPr>
              <w:spacing w:before="40" w:after="40"/>
              <w:rPr>
                <w:rFonts w:cs="Arial"/>
                <w:sz w:val="20"/>
                <w:szCs w:val="20"/>
              </w:rPr>
            </w:pPr>
            <w:r w:rsidRPr="00414183">
              <w:rPr>
                <w:rFonts w:cs="Arial"/>
                <w:sz w:val="20"/>
                <w:szCs w:val="20"/>
              </w:rPr>
              <w:t>3.2.5</w:t>
            </w:r>
          </w:p>
        </w:tc>
        <w:tc>
          <w:tcPr>
            <w:tcW w:w="5499" w:type="dxa"/>
            <w:hideMark/>
          </w:tcPr>
          <w:p w14:paraId="64D33321"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Élaborer un mécanisme de communication et de sensibilisation en collaboration avec l’OMSA afin de soutenir l’interdiction des médicaments dangereux et de promouvoir l’utilisation des alternatives sûres.</w:t>
            </w:r>
          </w:p>
        </w:tc>
        <w:tc>
          <w:tcPr>
            <w:tcW w:w="2493" w:type="dxa"/>
            <w:hideMark/>
          </w:tcPr>
          <w:p w14:paraId="155D78B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(agriculture, réglementation des médicaments), ONG actives dans le domaine de la conservation</w:t>
            </w:r>
          </w:p>
        </w:tc>
        <w:tc>
          <w:tcPr>
            <w:tcW w:w="1559" w:type="dxa"/>
            <w:hideMark/>
          </w:tcPr>
          <w:p w14:paraId="3DEDDF40" w14:textId="77777777" w:rsidR="00871D8A" w:rsidRPr="00414183" w:rsidRDefault="00871D8A" w:rsidP="00B66A42">
            <w:pPr>
              <w:spacing w:before="40" w:after="40"/>
              <w:rPr>
                <w:rFonts w:cs="Arial"/>
                <w:sz w:val="20"/>
                <w:szCs w:val="20"/>
                <w:lang w:val="fr-FR"/>
              </w:rPr>
            </w:pPr>
          </w:p>
        </w:tc>
        <w:tc>
          <w:tcPr>
            <w:tcW w:w="1276" w:type="dxa"/>
            <w:hideMark/>
          </w:tcPr>
          <w:p w14:paraId="699A6600"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6348005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5C41EA7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Long terme</w:t>
            </w:r>
          </w:p>
        </w:tc>
      </w:tr>
      <w:tr w:rsidR="00871D8A" w:rsidRPr="00414183" w14:paraId="4176E7C5" w14:textId="77777777" w:rsidTr="00B66A42">
        <w:trPr>
          <w:cantSplit/>
          <w:trHeight w:val="864"/>
        </w:trPr>
        <w:tc>
          <w:tcPr>
            <w:tcW w:w="792" w:type="dxa"/>
            <w:hideMark/>
          </w:tcPr>
          <w:p w14:paraId="54642D1A" w14:textId="77777777" w:rsidR="00871D8A" w:rsidRPr="00414183" w:rsidRDefault="00871D8A" w:rsidP="00B66A42">
            <w:pPr>
              <w:spacing w:before="40" w:after="40"/>
              <w:rPr>
                <w:rFonts w:cs="Arial"/>
                <w:sz w:val="20"/>
                <w:szCs w:val="20"/>
              </w:rPr>
            </w:pPr>
            <w:r w:rsidRPr="00414183">
              <w:rPr>
                <w:rFonts w:cs="Arial"/>
                <w:sz w:val="20"/>
                <w:szCs w:val="20"/>
              </w:rPr>
              <w:t>3.2.6</w:t>
            </w:r>
          </w:p>
        </w:tc>
        <w:tc>
          <w:tcPr>
            <w:tcW w:w="5499" w:type="dxa"/>
            <w:hideMark/>
          </w:tcPr>
          <w:p w14:paraId="22232FE4"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Sensibiliser à l’impact environnemental de l’utilisation de produits chimiques critiques et promouvoir des alternatives dans les zones essentielles pour l’aigle des steppes (produits chimiques sûrs ou mesures d’atténuation alternatives telles que les clôtures, etc.).</w:t>
            </w:r>
          </w:p>
        </w:tc>
        <w:tc>
          <w:tcPr>
            <w:tcW w:w="2493" w:type="dxa"/>
            <w:hideMark/>
          </w:tcPr>
          <w:p w14:paraId="3AF0F174"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ONG actives dans le domaine de la conservation</w:t>
            </w:r>
          </w:p>
        </w:tc>
        <w:tc>
          <w:tcPr>
            <w:tcW w:w="1559" w:type="dxa"/>
            <w:hideMark/>
          </w:tcPr>
          <w:p w14:paraId="486BCEC0" w14:textId="77777777" w:rsidR="00871D8A" w:rsidRPr="00414183" w:rsidRDefault="00871D8A" w:rsidP="00B66A42">
            <w:pPr>
              <w:spacing w:before="40" w:after="40"/>
              <w:rPr>
                <w:rFonts w:cs="Arial"/>
                <w:sz w:val="20"/>
                <w:szCs w:val="20"/>
                <w:lang w:val="fr-FR"/>
              </w:rPr>
            </w:pPr>
          </w:p>
        </w:tc>
        <w:tc>
          <w:tcPr>
            <w:tcW w:w="1276" w:type="dxa"/>
            <w:hideMark/>
          </w:tcPr>
          <w:p w14:paraId="6AE76CE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4B49828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5E216044"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r>
      <w:tr w:rsidR="00871D8A" w:rsidRPr="001622FB" w14:paraId="4BE3050E" w14:textId="77777777" w:rsidTr="00B66A42">
        <w:trPr>
          <w:cantSplit/>
          <w:trHeight w:val="340"/>
        </w:trPr>
        <w:tc>
          <w:tcPr>
            <w:tcW w:w="13944" w:type="dxa"/>
            <w:gridSpan w:val="7"/>
            <w:shd w:val="clear" w:color="auto" w:fill="00B0F0"/>
          </w:tcPr>
          <w:p w14:paraId="09A64CF5" w14:textId="77777777" w:rsidR="00871D8A" w:rsidRPr="00414183" w:rsidRDefault="00871D8A" w:rsidP="00B66A42">
            <w:pPr>
              <w:spacing w:before="40" w:after="40"/>
              <w:jc w:val="both"/>
              <w:rPr>
                <w:rFonts w:cs="Arial"/>
                <w:b/>
                <w:bCs/>
                <w:sz w:val="20"/>
                <w:szCs w:val="20"/>
                <w:lang w:val="fr-FR"/>
              </w:rPr>
            </w:pPr>
            <w:r w:rsidRPr="00414183">
              <w:rPr>
                <w:rFonts w:cs="Arial"/>
                <w:b/>
                <w:bCs/>
                <w:sz w:val="20"/>
                <w:szCs w:val="20"/>
                <w:lang w:val="fr-FR"/>
              </w:rPr>
              <w:t>Objectif 4 — Atteindre des habitats de bonne qualité qui soutiennent les populations d’aigles des steppes dans l’ensemble de l’aire de répartition de l’espèce</w:t>
            </w:r>
          </w:p>
        </w:tc>
      </w:tr>
      <w:tr w:rsidR="00871D8A" w:rsidRPr="001622FB" w14:paraId="14689687" w14:textId="77777777" w:rsidTr="00B66A42">
        <w:trPr>
          <w:cantSplit/>
          <w:trHeight w:val="340"/>
        </w:trPr>
        <w:tc>
          <w:tcPr>
            <w:tcW w:w="13944" w:type="dxa"/>
            <w:gridSpan w:val="7"/>
            <w:shd w:val="clear" w:color="auto" w:fill="FFE599" w:themeFill="accent4" w:themeFillTint="66"/>
          </w:tcPr>
          <w:p w14:paraId="5F45D0D0"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t>Objectif 4.1 — Identifier et cartographier les habitats clés</w:t>
            </w:r>
          </w:p>
        </w:tc>
      </w:tr>
      <w:tr w:rsidR="00871D8A" w:rsidRPr="00414183" w14:paraId="4DA452EB" w14:textId="77777777" w:rsidTr="00B66A42">
        <w:trPr>
          <w:cantSplit/>
          <w:trHeight w:val="576"/>
        </w:trPr>
        <w:tc>
          <w:tcPr>
            <w:tcW w:w="792" w:type="dxa"/>
            <w:hideMark/>
          </w:tcPr>
          <w:p w14:paraId="0B638027" w14:textId="77777777" w:rsidR="00871D8A" w:rsidRPr="00414183" w:rsidRDefault="00871D8A" w:rsidP="00B66A42">
            <w:pPr>
              <w:spacing w:before="40" w:after="40"/>
              <w:rPr>
                <w:rFonts w:cs="Arial"/>
                <w:sz w:val="20"/>
                <w:szCs w:val="20"/>
              </w:rPr>
            </w:pPr>
            <w:r w:rsidRPr="00414183">
              <w:rPr>
                <w:rFonts w:cs="Arial"/>
                <w:sz w:val="20"/>
                <w:szCs w:val="20"/>
              </w:rPr>
              <w:t>4.1.1</w:t>
            </w:r>
          </w:p>
        </w:tc>
        <w:tc>
          <w:tcPr>
            <w:tcW w:w="5499" w:type="dxa"/>
            <w:hideMark/>
          </w:tcPr>
          <w:p w14:paraId="03381A1C"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Mener des recherches ciblées dans les aires de reproduction, de migration et de non-reproduction sur l’utilisation de l’habitat, la connectivité des sites et le régime alimentaire, afin de combler les principales lacunes en matière de connaissances.</w:t>
            </w:r>
          </w:p>
        </w:tc>
        <w:tc>
          <w:tcPr>
            <w:tcW w:w="2493" w:type="dxa"/>
            <w:hideMark/>
          </w:tcPr>
          <w:p w14:paraId="1A4E51A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Établissements d’enseignement, agences de recherche, ONG actives dans le domaine de la conservation</w:t>
            </w:r>
          </w:p>
        </w:tc>
        <w:tc>
          <w:tcPr>
            <w:tcW w:w="1559" w:type="dxa"/>
            <w:hideMark/>
          </w:tcPr>
          <w:p w14:paraId="499F5753" w14:textId="77777777" w:rsidR="00871D8A" w:rsidRPr="00414183" w:rsidRDefault="00871D8A" w:rsidP="00B66A42">
            <w:pPr>
              <w:spacing w:before="40" w:after="40"/>
              <w:rPr>
                <w:rFonts w:cs="Arial"/>
                <w:sz w:val="20"/>
                <w:szCs w:val="20"/>
                <w:lang w:val="fr-FR"/>
              </w:rPr>
            </w:pPr>
          </w:p>
        </w:tc>
        <w:tc>
          <w:tcPr>
            <w:tcW w:w="1276" w:type="dxa"/>
            <w:hideMark/>
          </w:tcPr>
          <w:p w14:paraId="00E5EBF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CRITIQUE</w:t>
            </w:r>
          </w:p>
        </w:tc>
        <w:tc>
          <w:tcPr>
            <w:tcW w:w="1276" w:type="dxa"/>
            <w:hideMark/>
          </w:tcPr>
          <w:p w14:paraId="0F9A09EC"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237B5623"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59A71A75" w14:textId="77777777" w:rsidTr="00B66A42">
        <w:trPr>
          <w:cantSplit/>
          <w:trHeight w:val="576"/>
        </w:trPr>
        <w:tc>
          <w:tcPr>
            <w:tcW w:w="792" w:type="dxa"/>
            <w:hideMark/>
          </w:tcPr>
          <w:p w14:paraId="340DED88" w14:textId="77777777" w:rsidR="00871D8A" w:rsidRPr="00414183" w:rsidRDefault="00871D8A" w:rsidP="00B66A42">
            <w:pPr>
              <w:spacing w:before="40" w:after="40"/>
              <w:rPr>
                <w:rFonts w:cs="Arial"/>
                <w:sz w:val="20"/>
                <w:szCs w:val="20"/>
              </w:rPr>
            </w:pPr>
            <w:r w:rsidRPr="00414183">
              <w:rPr>
                <w:rFonts w:cs="Arial"/>
                <w:sz w:val="20"/>
                <w:szCs w:val="20"/>
              </w:rPr>
              <w:lastRenderedPageBreak/>
              <w:t>4.1.2</w:t>
            </w:r>
          </w:p>
        </w:tc>
        <w:tc>
          <w:tcPr>
            <w:tcW w:w="5499" w:type="dxa"/>
            <w:hideMark/>
          </w:tcPr>
          <w:p w14:paraId="155E48A2"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Élaborer une carte de l’adéquation de l’habitat pour l’ensemble de l’aire de répartition de l’espèce, en intégrant les couches de sensibilité, les données de télémétrie et les réseaux d’observation afin d’identifier les habitats critiques.</w:t>
            </w:r>
          </w:p>
        </w:tc>
        <w:tc>
          <w:tcPr>
            <w:tcW w:w="2493" w:type="dxa"/>
            <w:hideMark/>
          </w:tcPr>
          <w:p w14:paraId="5D153A9A"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Établissements d’enseignement, agences de recherche, ONG actives dans le domaine de la conservation</w:t>
            </w:r>
          </w:p>
        </w:tc>
        <w:tc>
          <w:tcPr>
            <w:tcW w:w="1559" w:type="dxa"/>
            <w:hideMark/>
          </w:tcPr>
          <w:p w14:paraId="1276184A" w14:textId="77777777" w:rsidR="00871D8A" w:rsidRPr="00414183" w:rsidRDefault="00871D8A" w:rsidP="00B66A42">
            <w:pPr>
              <w:spacing w:before="40" w:after="40"/>
              <w:rPr>
                <w:rFonts w:cs="Arial"/>
                <w:sz w:val="20"/>
                <w:szCs w:val="20"/>
              </w:rPr>
            </w:pPr>
            <w:r w:rsidRPr="00414183">
              <w:rPr>
                <w:rFonts w:cs="Arial"/>
                <w:sz w:val="20"/>
                <w:szCs w:val="20"/>
              </w:rPr>
              <w:t>5.3.2</w:t>
            </w:r>
          </w:p>
        </w:tc>
        <w:tc>
          <w:tcPr>
            <w:tcW w:w="1276" w:type="dxa"/>
            <w:hideMark/>
          </w:tcPr>
          <w:p w14:paraId="578E896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123A08F1"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5775B4D4"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r>
      <w:tr w:rsidR="00871D8A" w:rsidRPr="001622FB" w14:paraId="201AC562" w14:textId="77777777" w:rsidTr="00B66A42">
        <w:trPr>
          <w:cantSplit/>
          <w:trHeight w:val="340"/>
        </w:trPr>
        <w:tc>
          <w:tcPr>
            <w:tcW w:w="13944" w:type="dxa"/>
            <w:gridSpan w:val="7"/>
            <w:shd w:val="clear" w:color="auto" w:fill="FFE599" w:themeFill="accent4" w:themeFillTint="66"/>
          </w:tcPr>
          <w:p w14:paraId="7AAED47D"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t>Objectif 4.2 — Améliorer et préserver la qualité de l’habitat</w:t>
            </w:r>
          </w:p>
        </w:tc>
      </w:tr>
      <w:tr w:rsidR="00871D8A" w:rsidRPr="00414183" w14:paraId="2BB0B3F7" w14:textId="77777777" w:rsidTr="00B66A42">
        <w:trPr>
          <w:cantSplit/>
          <w:trHeight w:val="629"/>
        </w:trPr>
        <w:tc>
          <w:tcPr>
            <w:tcW w:w="792" w:type="dxa"/>
            <w:hideMark/>
          </w:tcPr>
          <w:p w14:paraId="3E1311C0" w14:textId="77777777" w:rsidR="00871D8A" w:rsidRPr="00414183" w:rsidRDefault="00871D8A" w:rsidP="00B66A42">
            <w:pPr>
              <w:spacing w:before="40" w:after="40"/>
              <w:rPr>
                <w:rFonts w:cs="Arial"/>
                <w:sz w:val="20"/>
                <w:szCs w:val="20"/>
              </w:rPr>
            </w:pPr>
            <w:r w:rsidRPr="00414183">
              <w:rPr>
                <w:rFonts w:cs="Arial"/>
                <w:sz w:val="20"/>
                <w:szCs w:val="20"/>
              </w:rPr>
              <w:t>4.2.1</w:t>
            </w:r>
          </w:p>
        </w:tc>
        <w:tc>
          <w:tcPr>
            <w:tcW w:w="5499" w:type="dxa"/>
            <w:hideMark/>
          </w:tcPr>
          <w:p w14:paraId="7C9CC1B9"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Mettre en œuvre la conservation de l’habitat et la gestion durable de l’utilisation des terres (par exemple, restaurer les pratiques traditionnelles de gestion des pâturages) dans les zones de reproduction prioritaires de l’ensemble de l’aire de répartition, y compris des évaluations de base et de suivi de la qualité de l’habitat (c’est-à-dire des sites de nidification et de recherche de nourriture) ainsi que de la disponibilité des proies. Collaborer avec les autorités des zones protégées afin d’intégrer les exigences en matière d’habitat de l’aigle des steppes dans les plans de gestion des sites.</w:t>
            </w:r>
          </w:p>
        </w:tc>
        <w:tc>
          <w:tcPr>
            <w:tcW w:w="2493" w:type="dxa"/>
            <w:hideMark/>
          </w:tcPr>
          <w:p w14:paraId="24C0C14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(aires protégées), ONG actives dans le domaine de la conservation</w:t>
            </w:r>
          </w:p>
        </w:tc>
        <w:tc>
          <w:tcPr>
            <w:tcW w:w="1559" w:type="dxa"/>
            <w:hideMark/>
          </w:tcPr>
          <w:p w14:paraId="11C3B05D" w14:textId="77777777" w:rsidR="00871D8A" w:rsidRPr="00414183" w:rsidRDefault="00871D8A" w:rsidP="00B66A42">
            <w:pPr>
              <w:spacing w:before="40" w:after="40"/>
              <w:rPr>
                <w:rFonts w:cs="Arial"/>
                <w:sz w:val="20"/>
                <w:szCs w:val="20"/>
                <w:lang w:val="fr-FR"/>
              </w:rPr>
            </w:pPr>
          </w:p>
        </w:tc>
        <w:tc>
          <w:tcPr>
            <w:tcW w:w="1276" w:type="dxa"/>
            <w:hideMark/>
          </w:tcPr>
          <w:p w14:paraId="1B51A50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2634845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Zone de reproduction</w:t>
            </w:r>
          </w:p>
        </w:tc>
        <w:tc>
          <w:tcPr>
            <w:tcW w:w="1049" w:type="dxa"/>
          </w:tcPr>
          <w:p w14:paraId="47C6AB91"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r>
      <w:tr w:rsidR="00871D8A" w:rsidRPr="00414183" w14:paraId="7A00BD6D" w14:textId="77777777" w:rsidTr="00B66A42">
        <w:trPr>
          <w:cantSplit/>
          <w:trHeight w:val="1152"/>
        </w:trPr>
        <w:tc>
          <w:tcPr>
            <w:tcW w:w="792" w:type="dxa"/>
            <w:hideMark/>
          </w:tcPr>
          <w:p w14:paraId="34F4DFDA" w14:textId="77777777" w:rsidR="00871D8A" w:rsidRPr="00414183" w:rsidRDefault="00871D8A" w:rsidP="00B66A42">
            <w:pPr>
              <w:spacing w:before="40" w:after="40"/>
              <w:rPr>
                <w:rFonts w:cs="Arial"/>
                <w:sz w:val="20"/>
                <w:szCs w:val="20"/>
              </w:rPr>
            </w:pPr>
            <w:r w:rsidRPr="00414183">
              <w:rPr>
                <w:rFonts w:cs="Arial"/>
                <w:sz w:val="20"/>
                <w:szCs w:val="20"/>
              </w:rPr>
              <w:t>4.2.2</w:t>
            </w:r>
          </w:p>
        </w:tc>
        <w:tc>
          <w:tcPr>
            <w:tcW w:w="5499" w:type="dxa"/>
            <w:hideMark/>
          </w:tcPr>
          <w:p w14:paraId="412A50D5" w14:textId="77777777" w:rsidR="00871D8A" w:rsidRDefault="00871D8A" w:rsidP="00B66A42">
            <w:pPr>
              <w:spacing w:before="40" w:after="40"/>
              <w:jc w:val="both"/>
              <w:rPr>
                <w:rFonts w:cs="Arial"/>
                <w:sz w:val="20"/>
                <w:szCs w:val="20"/>
                <w:lang w:val="fr-FR"/>
              </w:rPr>
            </w:pPr>
            <w:r w:rsidRPr="00414183">
              <w:rPr>
                <w:rFonts w:cs="Arial"/>
                <w:sz w:val="20"/>
                <w:szCs w:val="20"/>
                <w:lang w:val="fr-FR"/>
              </w:rPr>
              <w:t xml:space="preserve">Élaborer et appliquer des politiques de gestion des terres dans les habitats critiques situés le long des voies de migration Afrique-Eurasie et Asie centrale, en se concentrant sur la réduction des perturbations et le maintien des populations de proies. Promouvoir la restauration à une échelle paysagère plus large pour garantir la connectivité le long des voies de migration mondiales, avec pour objectif à plus long terme de revenir à l’aire de répartition historique des populations. </w:t>
            </w:r>
          </w:p>
          <w:p w14:paraId="313C6EDC" w14:textId="77777777" w:rsidR="00D33859" w:rsidRPr="00414183" w:rsidRDefault="00D33859" w:rsidP="00B66A42">
            <w:pPr>
              <w:spacing w:before="40" w:after="40"/>
              <w:jc w:val="both"/>
              <w:rPr>
                <w:rFonts w:cs="Arial"/>
                <w:sz w:val="20"/>
                <w:szCs w:val="20"/>
                <w:lang w:val="fr-FR"/>
              </w:rPr>
            </w:pPr>
          </w:p>
        </w:tc>
        <w:tc>
          <w:tcPr>
            <w:tcW w:w="2493" w:type="dxa"/>
            <w:hideMark/>
          </w:tcPr>
          <w:p w14:paraId="7675BE64"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ONG actives dans le domaine de la conservation, autorités nationales</w:t>
            </w:r>
          </w:p>
        </w:tc>
        <w:tc>
          <w:tcPr>
            <w:tcW w:w="1559" w:type="dxa"/>
            <w:hideMark/>
          </w:tcPr>
          <w:p w14:paraId="1E1605AE" w14:textId="77777777" w:rsidR="00871D8A" w:rsidRPr="00414183" w:rsidRDefault="00871D8A" w:rsidP="00B66A42">
            <w:pPr>
              <w:spacing w:before="40" w:after="40"/>
              <w:rPr>
                <w:rFonts w:cs="Arial"/>
                <w:sz w:val="20"/>
                <w:szCs w:val="20"/>
              </w:rPr>
            </w:pPr>
            <w:r w:rsidRPr="00414183">
              <w:rPr>
                <w:rFonts w:cs="Arial"/>
                <w:sz w:val="20"/>
                <w:szCs w:val="20"/>
              </w:rPr>
              <w:t>4.1.2</w:t>
            </w:r>
          </w:p>
        </w:tc>
        <w:tc>
          <w:tcPr>
            <w:tcW w:w="1276" w:type="dxa"/>
            <w:hideMark/>
          </w:tcPr>
          <w:p w14:paraId="4DE4A7B9"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580330E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0D791AA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Long terme</w:t>
            </w:r>
          </w:p>
        </w:tc>
      </w:tr>
      <w:tr w:rsidR="00871D8A" w:rsidRPr="00414183" w14:paraId="158AC3EF" w14:textId="77777777" w:rsidTr="00B66A42">
        <w:trPr>
          <w:cantSplit/>
          <w:trHeight w:val="1152"/>
        </w:trPr>
        <w:tc>
          <w:tcPr>
            <w:tcW w:w="792" w:type="dxa"/>
          </w:tcPr>
          <w:p w14:paraId="096FFE5B" w14:textId="77777777" w:rsidR="00871D8A" w:rsidRPr="00414183" w:rsidRDefault="00871D8A" w:rsidP="00B66A42">
            <w:pPr>
              <w:spacing w:before="40" w:after="40"/>
              <w:rPr>
                <w:rFonts w:cs="Arial"/>
                <w:sz w:val="20"/>
                <w:szCs w:val="20"/>
              </w:rPr>
            </w:pPr>
            <w:r w:rsidRPr="00414183">
              <w:rPr>
                <w:rFonts w:cs="Arial"/>
                <w:sz w:val="20"/>
                <w:szCs w:val="20"/>
              </w:rPr>
              <w:t>4.2.3</w:t>
            </w:r>
          </w:p>
        </w:tc>
        <w:tc>
          <w:tcPr>
            <w:tcW w:w="5499" w:type="dxa"/>
          </w:tcPr>
          <w:p w14:paraId="77757B47" w14:textId="77777777" w:rsidR="00871D8A" w:rsidRDefault="00871D8A" w:rsidP="00B66A42">
            <w:pPr>
              <w:spacing w:before="40" w:after="40"/>
              <w:jc w:val="both"/>
              <w:rPr>
                <w:rFonts w:cs="Arial"/>
                <w:sz w:val="20"/>
                <w:szCs w:val="20"/>
                <w:lang w:val="fr-FR"/>
              </w:rPr>
            </w:pPr>
            <w:r w:rsidRPr="00414183">
              <w:rPr>
                <w:rFonts w:cs="Arial"/>
                <w:sz w:val="20"/>
                <w:szCs w:val="20"/>
                <w:lang w:val="fr-FR"/>
              </w:rPr>
              <w:t>Veiller à ce que les principaux sites de rassemblement (y compris les décharges) soient gérés de manière à garantir des possibilités sûres de perchoir et de nourrissage pour les aigles des steppes, grâce à des infrastructures énergétiques sécurisées et à l’absence d’accès à des ressources alimentaires empoisonnées.</w:t>
            </w:r>
          </w:p>
          <w:p w14:paraId="287D90FF" w14:textId="77777777" w:rsidR="00D33859" w:rsidRPr="00414183" w:rsidRDefault="00D33859" w:rsidP="00B66A42">
            <w:pPr>
              <w:spacing w:before="40" w:after="40"/>
              <w:jc w:val="both"/>
              <w:rPr>
                <w:rFonts w:cs="Arial"/>
                <w:sz w:val="20"/>
                <w:szCs w:val="20"/>
                <w:lang w:val="fr-FR"/>
              </w:rPr>
            </w:pPr>
          </w:p>
        </w:tc>
        <w:tc>
          <w:tcPr>
            <w:tcW w:w="2493" w:type="dxa"/>
          </w:tcPr>
          <w:p w14:paraId="7430595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autorités de gestion des déchets, sociétés d’électricité</w:t>
            </w:r>
          </w:p>
        </w:tc>
        <w:tc>
          <w:tcPr>
            <w:tcW w:w="1559" w:type="dxa"/>
          </w:tcPr>
          <w:p w14:paraId="7DE0E646" w14:textId="77777777" w:rsidR="00871D8A" w:rsidRPr="00414183" w:rsidRDefault="00871D8A" w:rsidP="00B66A42">
            <w:pPr>
              <w:spacing w:before="40" w:after="40"/>
              <w:rPr>
                <w:rFonts w:cs="Arial"/>
                <w:sz w:val="20"/>
                <w:szCs w:val="20"/>
                <w:lang w:val="fr-FR"/>
              </w:rPr>
            </w:pPr>
          </w:p>
        </w:tc>
        <w:tc>
          <w:tcPr>
            <w:tcW w:w="1276" w:type="dxa"/>
          </w:tcPr>
          <w:p w14:paraId="37EF1320"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CRITIQUE</w:t>
            </w:r>
          </w:p>
        </w:tc>
        <w:tc>
          <w:tcPr>
            <w:tcW w:w="1276" w:type="dxa"/>
          </w:tcPr>
          <w:p w14:paraId="69BD8AAA"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277D860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1622FB" w14:paraId="0AE3ABFF" w14:textId="77777777" w:rsidTr="00B66A42">
        <w:trPr>
          <w:cantSplit/>
          <w:trHeight w:val="340"/>
        </w:trPr>
        <w:tc>
          <w:tcPr>
            <w:tcW w:w="13944" w:type="dxa"/>
            <w:gridSpan w:val="7"/>
            <w:shd w:val="clear" w:color="auto" w:fill="FFE599" w:themeFill="accent4" w:themeFillTint="66"/>
          </w:tcPr>
          <w:p w14:paraId="078B6D10"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lastRenderedPageBreak/>
              <w:t>Objectif 4.3 — Renforcer le soutien à la conservation des habitats</w:t>
            </w:r>
          </w:p>
        </w:tc>
      </w:tr>
      <w:tr w:rsidR="00871D8A" w:rsidRPr="00414183" w14:paraId="58EAEDF2" w14:textId="77777777" w:rsidTr="00B66A42">
        <w:trPr>
          <w:cantSplit/>
          <w:trHeight w:val="576"/>
        </w:trPr>
        <w:tc>
          <w:tcPr>
            <w:tcW w:w="792" w:type="dxa"/>
            <w:hideMark/>
          </w:tcPr>
          <w:p w14:paraId="5B4A1D6B" w14:textId="77777777" w:rsidR="00871D8A" w:rsidRPr="00414183" w:rsidRDefault="00871D8A" w:rsidP="00B66A42">
            <w:pPr>
              <w:spacing w:before="40" w:after="40"/>
              <w:rPr>
                <w:rFonts w:cs="Arial"/>
                <w:sz w:val="20"/>
                <w:szCs w:val="20"/>
              </w:rPr>
            </w:pPr>
            <w:r w:rsidRPr="00414183">
              <w:rPr>
                <w:rFonts w:cs="Arial"/>
                <w:sz w:val="20"/>
                <w:szCs w:val="20"/>
              </w:rPr>
              <w:t>4.3.1</w:t>
            </w:r>
          </w:p>
        </w:tc>
        <w:tc>
          <w:tcPr>
            <w:tcW w:w="5499" w:type="dxa"/>
            <w:hideMark/>
          </w:tcPr>
          <w:p w14:paraId="6A09E844" w14:textId="77777777" w:rsidR="00871D8A" w:rsidRDefault="00871D8A" w:rsidP="00B66A42">
            <w:pPr>
              <w:spacing w:before="40" w:after="40"/>
              <w:jc w:val="both"/>
              <w:rPr>
                <w:rFonts w:cs="Arial"/>
                <w:sz w:val="20"/>
                <w:szCs w:val="20"/>
                <w:lang w:val="fr-FR"/>
              </w:rPr>
            </w:pPr>
            <w:r w:rsidRPr="00414183">
              <w:rPr>
                <w:rFonts w:cs="Arial"/>
                <w:sz w:val="20"/>
                <w:szCs w:val="20"/>
                <w:lang w:val="fr-FR"/>
              </w:rPr>
              <w:t xml:space="preserve">Développer des supports de communication spécifiques et organiser des ateliers avec les décideurs dans tous les États de l’aire de répartition, en utilisant les langues locales, afin de mieux faire connaître les besoins en matière de conservation de l’aigle des steppes. </w:t>
            </w:r>
          </w:p>
          <w:p w14:paraId="45576C29" w14:textId="77777777" w:rsidR="009439E8" w:rsidRPr="00414183" w:rsidRDefault="009439E8" w:rsidP="00B66A42">
            <w:pPr>
              <w:spacing w:before="40" w:after="40"/>
              <w:jc w:val="both"/>
              <w:rPr>
                <w:rFonts w:cs="Arial"/>
                <w:sz w:val="20"/>
                <w:szCs w:val="20"/>
                <w:lang w:val="fr-FR"/>
              </w:rPr>
            </w:pPr>
          </w:p>
        </w:tc>
        <w:tc>
          <w:tcPr>
            <w:tcW w:w="2493" w:type="dxa"/>
            <w:hideMark/>
          </w:tcPr>
          <w:p w14:paraId="45DD3603"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ONG actives dans le domaine de la conservation</w:t>
            </w:r>
          </w:p>
        </w:tc>
        <w:tc>
          <w:tcPr>
            <w:tcW w:w="1559" w:type="dxa"/>
            <w:hideMark/>
          </w:tcPr>
          <w:p w14:paraId="526DF81E" w14:textId="77777777" w:rsidR="00871D8A" w:rsidRPr="00414183" w:rsidRDefault="00871D8A" w:rsidP="00B66A42">
            <w:pPr>
              <w:spacing w:before="40" w:after="40"/>
              <w:rPr>
                <w:rFonts w:cs="Arial"/>
                <w:sz w:val="20"/>
                <w:szCs w:val="20"/>
                <w:lang w:val="fr-FR"/>
              </w:rPr>
            </w:pPr>
          </w:p>
        </w:tc>
        <w:tc>
          <w:tcPr>
            <w:tcW w:w="1276" w:type="dxa"/>
            <w:hideMark/>
          </w:tcPr>
          <w:p w14:paraId="5FD4675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728E847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607DE5E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2FBB6103" w14:textId="77777777" w:rsidTr="00B66A42">
        <w:trPr>
          <w:cantSplit/>
          <w:trHeight w:val="576"/>
        </w:trPr>
        <w:tc>
          <w:tcPr>
            <w:tcW w:w="792" w:type="dxa"/>
            <w:hideMark/>
          </w:tcPr>
          <w:p w14:paraId="47B73AE0" w14:textId="77777777" w:rsidR="00871D8A" w:rsidRPr="00414183" w:rsidRDefault="00871D8A" w:rsidP="00B66A42">
            <w:pPr>
              <w:spacing w:before="40" w:after="40"/>
              <w:rPr>
                <w:rFonts w:cs="Arial"/>
                <w:sz w:val="20"/>
                <w:szCs w:val="20"/>
              </w:rPr>
            </w:pPr>
            <w:r w:rsidRPr="00414183">
              <w:rPr>
                <w:rFonts w:cs="Arial"/>
                <w:sz w:val="20"/>
                <w:szCs w:val="20"/>
              </w:rPr>
              <w:t>4.3.2</w:t>
            </w:r>
          </w:p>
        </w:tc>
        <w:tc>
          <w:tcPr>
            <w:tcW w:w="5499" w:type="dxa"/>
            <w:hideMark/>
          </w:tcPr>
          <w:p w14:paraId="6F82BBC7" w14:textId="77777777" w:rsidR="00871D8A" w:rsidRDefault="00871D8A" w:rsidP="00B66A42">
            <w:pPr>
              <w:spacing w:before="40" w:after="40"/>
              <w:jc w:val="both"/>
              <w:rPr>
                <w:rFonts w:cs="Arial"/>
                <w:sz w:val="20"/>
                <w:szCs w:val="20"/>
                <w:lang w:val="fr-FR"/>
              </w:rPr>
            </w:pPr>
            <w:r w:rsidRPr="00414183">
              <w:rPr>
                <w:rFonts w:cs="Arial"/>
                <w:sz w:val="20"/>
                <w:szCs w:val="20"/>
                <w:lang w:val="fr-FR"/>
              </w:rPr>
              <w:t>Diffuser les principaux documents de sensibilisation aux parties prenantes locales dans les habitats critiques, en utilisant les langues locales et les formats médiatiques appropriés.</w:t>
            </w:r>
          </w:p>
          <w:p w14:paraId="5B5A74AC" w14:textId="77777777" w:rsidR="009439E8" w:rsidRPr="00414183" w:rsidRDefault="009439E8" w:rsidP="00B66A42">
            <w:pPr>
              <w:spacing w:before="40" w:after="40"/>
              <w:jc w:val="both"/>
              <w:rPr>
                <w:rFonts w:cs="Arial"/>
                <w:sz w:val="20"/>
                <w:szCs w:val="20"/>
                <w:lang w:val="fr-FR"/>
              </w:rPr>
            </w:pPr>
          </w:p>
        </w:tc>
        <w:tc>
          <w:tcPr>
            <w:tcW w:w="2493" w:type="dxa"/>
            <w:hideMark/>
          </w:tcPr>
          <w:p w14:paraId="383AC76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ONG actives dans le domaine de la conservation</w:t>
            </w:r>
          </w:p>
        </w:tc>
        <w:tc>
          <w:tcPr>
            <w:tcW w:w="1559" w:type="dxa"/>
            <w:hideMark/>
          </w:tcPr>
          <w:p w14:paraId="42005086" w14:textId="77777777" w:rsidR="00871D8A" w:rsidRPr="00414183" w:rsidRDefault="00871D8A" w:rsidP="00B66A42">
            <w:pPr>
              <w:spacing w:before="40" w:after="40"/>
              <w:rPr>
                <w:rFonts w:cs="Arial"/>
                <w:sz w:val="20"/>
                <w:szCs w:val="20"/>
              </w:rPr>
            </w:pPr>
            <w:r w:rsidRPr="00414183">
              <w:rPr>
                <w:rFonts w:cs="Arial"/>
                <w:sz w:val="20"/>
                <w:szCs w:val="20"/>
              </w:rPr>
              <w:t>4.3.1</w:t>
            </w:r>
          </w:p>
        </w:tc>
        <w:tc>
          <w:tcPr>
            <w:tcW w:w="1276" w:type="dxa"/>
            <w:hideMark/>
          </w:tcPr>
          <w:p w14:paraId="211DEE90" w14:textId="228E4371" w:rsidR="00871D8A" w:rsidRPr="00414183" w:rsidRDefault="001622FB" w:rsidP="00B66A42">
            <w:pPr>
              <w:spacing w:before="40" w:after="40"/>
              <w:rPr>
                <w:rFonts w:cs="Arial"/>
                <w:sz w:val="20"/>
                <w:szCs w:val="20"/>
                <w:lang w:val="fr-FR"/>
              </w:rPr>
            </w:pPr>
            <w:r>
              <w:rPr>
                <w:rFonts w:cs="Arial"/>
                <w:sz w:val="20"/>
                <w:szCs w:val="20"/>
                <w:lang w:val="fr-FR"/>
              </w:rPr>
              <w:t>MOYENNE</w:t>
            </w:r>
          </w:p>
        </w:tc>
        <w:tc>
          <w:tcPr>
            <w:tcW w:w="1276" w:type="dxa"/>
            <w:hideMark/>
          </w:tcPr>
          <w:p w14:paraId="1455C18A"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38EE799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317916C7" w14:textId="77777777" w:rsidTr="00B66A42">
        <w:trPr>
          <w:cantSplit/>
          <w:trHeight w:val="1152"/>
        </w:trPr>
        <w:tc>
          <w:tcPr>
            <w:tcW w:w="792" w:type="dxa"/>
            <w:hideMark/>
          </w:tcPr>
          <w:p w14:paraId="42856AAF" w14:textId="77777777" w:rsidR="00871D8A" w:rsidRPr="00414183" w:rsidRDefault="00871D8A" w:rsidP="00B66A42">
            <w:pPr>
              <w:spacing w:before="40" w:after="40"/>
              <w:rPr>
                <w:rFonts w:cs="Arial"/>
                <w:sz w:val="20"/>
                <w:szCs w:val="20"/>
              </w:rPr>
            </w:pPr>
            <w:r w:rsidRPr="00414183">
              <w:rPr>
                <w:rFonts w:cs="Arial"/>
                <w:sz w:val="20"/>
                <w:szCs w:val="20"/>
              </w:rPr>
              <w:t>4.3.3</w:t>
            </w:r>
          </w:p>
        </w:tc>
        <w:tc>
          <w:tcPr>
            <w:tcW w:w="5499" w:type="dxa"/>
            <w:hideMark/>
          </w:tcPr>
          <w:p w14:paraId="0ADCEFB6" w14:textId="77777777" w:rsidR="00871D8A" w:rsidRDefault="00871D8A" w:rsidP="00B66A42">
            <w:pPr>
              <w:spacing w:before="40" w:after="40"/>
              <w:jc w:val="both"/>
              <w:rPr>
                <w:rFonts w:cs="Arial"/>
                <w:sz w:val="20"/>
                <w:szCs w:val="20"/>
                <w:lang w:val="fr-FR"/>
              </w:rPr>
            </w:pPr>
            <w:r w:rsidRPr="00414183">
              <w:rPr>
                <w:rFonts w:cs="Arial"/>
                <w:sz w:val="20"/>
                <w:szCs w:val="20"/>
                <w:lang w:val="fr-FR"/>
              </w:rPr>
              <w:t>Recenser et désigner un réseau de sites protégés pour l’aigle des steppes en renforçant la protection existante et en créant de nouvelles zones protégées et des zones AMCEZ, tout en assurant la connectivité des voies de migration. Ces zones doivent être gérées efficacement grâce à la production et à la mise en œuvre de plans de gestion appropriés, afin de garantir la conservation de l’espèce et de ses principales proies.</w:t>
            </w:r>
          </w:p>
          <w:p w14:paraId="135A9711" w14:textId="77777777" w:rsidR="009439E8" w:rsidRPr="00414183" w:rsidRDefault="009439E8" w:rsidP="00B66A42">
            <w:pPr>
              <w:spacing w:before="40" w:after="40"/>
              <w:jc w:val="both"/>
              <w:rPr>
                <w:rFonts w:cs="Arial"/>
                <w:sz w:val="20"/>
                <w:szCs w:val="20"/>
                <w:lang w:val="fr-FR"/>
              </w:rPr>
            </w:pPr>
          </w:p>
        </w:tc>
        <w:tc>
          <w:tcPr>
            <w:tcW w:w="2493" w:type="dxa"/>
            <w:hideMark/>
          </w:tcPr>
          <w:p w14:paraId="1562125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ONG actives dans le domaine de la conservation</w:t>
            </w:r>
          </w:p>
        </w:tc>
        <w:tc>
          <w:tcPr>
            <w:tcW w:w="1559" w:type="dxa"/>
            <w:hideMark/>
          </w:tcPr>
          <w:p w14:paraId="6E6638B1" w14:textId="77777777" w:rsidR="00871D8A" w:rsidRPr="00414183" w:rsidRDefault="00871D8A" w:rsidP="00B66A42">
            <w:pPr>
              <w:spacing w:before="40" w:after="40"/>
              <w:rPr>
                <w:rFonts w:cs="Arial"/>
                <w:sz w:val="20"/>
                <w:szCs w:val="20"/>
                <w:lang w:val="fr-FR"/>
              </w:rPr>
            </w:pPr>
          </w:p>
        </w:tc>
        <w:tc>
          <w:tcPr>
            <w:tcW w:w="1276" w:type="dxa"/>
            <w:hideMark/>
          </w:tcPr>
          <w:p w14:paraId="6299DB21"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43787281"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7ECD9FD1"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762A2A05" w14:textId="77777777" w:rsidTr="00B66A42">
        <w:trPr>
          <w:cantSplit/>
          <w:trHeight w:val="1138"/>
        </w:trPr>
        <w:tc>
          <w:tcPr>
            <w:tcW w:w="792" w:type="dxa"/>
          </w:tcPr>
          <w:p w14:paraId="0D6BA1E5" w14:textId="77777777" w:rsidR="00871D8A" w:rsidRPr="00414183" w:rsidRDefault="00871D8A" w:rsidP="00B66A42">
            <w:pPr>
              <w:spacing w:before="40" w:after="40"/>
              <w:rPr>
                <w:rFonts w:cs="Arial"/>
                <w:sz w:val="20"/>
                <w:szCs w:val="20"/>
              </w:rPr>
            </w:pPr>
            <w:r w:rsidRPr="00414183">
              <w:rPr>
                <w:rFonts w:cs="Arial"/>
                <w:sz w:val="20"/>
                <w:szCs w:val="20"/>
              </w:rPr>
              <w:t>4.3.4</w:t>
            </w:r>
          </w:p>
        </w:tc>
        <w:tc>
          <w:tcPr>
            <w:tcW w:w="5499" w:type="dxa"/>
          </w:tcPr>
          <w:p w14:paraId="752E7A3F"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Évaluer la vulnérabilité et la capacité d’adaptation de l’aigle des steppes au changement climatique afin d’éclairer la planification de scénarios et le développement de mesures d’adaptation et de gestion dynamique.</w:t>
            </w:r>
          </w:p>
        </w:tc>
        <w:tc>
          <w:tcPr>
            <w:tcW w:w="2493" w:type="dxa"/>
          </w:tcPr>
          <w:p w14:paraId="5CAF1335" w14:textId="77777777" w:rsidR="00871D8A" w:rsidRDefault="00871D8A" w:rsidP="00B66A42">
            <w:pPr>
              <w:spacing w:before="40" w:after="40"/>
              <w:rPr>
                <w:rFonts w:cs="Arial"/>
                <w:sz w:val="20"/>
                <w:szCs w:val="20"/>
                <w:lang w:val="fr-FR"/>
              </w:rPr>
            </w:pPr>
            <w:r w:rsidRPr="00414183">
              <w:rPr>
                <w:rFonts w:cs="Arial"/>
                <w:sz w:val="20"/>
                <w:szCs w:val="20"/>
                <w:lang w:val="fr-FR"/>
              </w:rPr>
              <w:t>Autorités nationales, établissements d’enseignement, agences de recherche, ONG actives dans le domaine de la conservation</w:t>
            </w:r>
          </w:p>
          <w:p w14:paraId="33A3A5E0" w14:textId="77777777" w:rsidR="009439E8" w:rsidRDefault="009439E8" w:rsidP="00B66A42">
            <w:pPr>
              <w:spacing w:before="40" w:after="40"/>
              <w:rPr>
                <w:rFonts w:cs="Arial"/>
                <w:sz w:val="20"/>
                <w:szCs w:val="20"/>
                <w:lang w:val="fr-FR"/>
              </w:rPr>
            </w:pPr>
          </w:p>
          <w:p w14:paraId="3BEDC8B7" w14:textId="77777777" w:rsidR="00E1132B" w:rsidRDefault="00E1132B" w:rsidP="00B66A42">
            <w:pPr>
              <w:spacing w:before="40" w:after="40"/>
              <w:rPr>
                <w:rFonts w:cs="Arial"/>
                <w:sz w:val="20"/>
                <w:szCs w:val="20"/>
                <w:lang w:val="fr-FR"/>
              </w:rPr>
            </w:pPr>
          </w:p>
          <w:p w14:paraId="1314BB99" w14:textId="77777777" w:rsidR="009439E8" w:rsidRPr="00414183" w:rsidRDefault="009439E8" w:rsidP="00B66A42">
            <w:pPr>
              <w:spacing w:before="40" w:after="40"/>
              <w:rPr>
                <w:rFonts w:cs="Arial"/>
                <w:sz w:val="20"/>
                <w:szCs w:val="20"/>
                <w:lang w:val="fr-FR"/>
              </w:rPr>
            </w:pPr>
          </w:p>
        </w:tc>
        <w:tc>
          <w:tcPr>
            <w:tcW w:w="1559" w:type="dxa"/>
          </w:tcPr>
          <w:p w14:paraId="1D6DA80A" w14:textId="77777777" w:rsidR="00871D8A" w:rsidRPr="00414183" w:rsidRDefault="00871D8A" w:rsidP="00B66A42">
            <w:pPr>
              <w:spacing w:before="40" w:after="40"/>
              <w:rPr>
                <w:rFonts w:cs="Arial"/>
                <w:sz w:val="20"/>
                <w:szCs w:val="20"/>
              </w:rPr>
            </w:pPr>
            <w:r w:rsidRPr="00414183">
              <w:rPr>
                <w:rFonts w:cs="Arial"/>
                <w:sz w:val="20"/>
                <w:szCs w:val="20"/>
              </w:rPr>
              <w:t>4.1.2</w:t>
            </w:r>
          </w:p>
        </w:tc>
        <w:tc>
          <w:tcPr>
            <w:tcW w:w="1276" w:type="dxa"/>
          </w:tcPr>
          <w:p w14:paraId="12D437B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tcPr>
          <w:p w14:paraId="726B18A9"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119E04C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r>
      <w:tr w:rsidR="00871D8A" w:rsidRPr="001622FB" w14:paraId="364D7B4A" w14:textId="77777777" w:rsidTr="00B66A42">
        <w:trPr>
          <w:cantSplit/>
          <w:trHeight w:val="585"/>
        </w:trPr>
        <w:tc>
          <w:tcPr>
            <w:tcW w:w="13944" w:type="dxa"/>
            <w:gridSpan w:val="7"/>
            <w:shd w:val="clear" w:color="auto" w:fill="00B0F0"/>
          </w:tcPr>
          <w:p w14:paraId="4A9AF8F4" w14:textId="77777777" w:rsidR="00871D8A" w:rsidRPr="00414183" w:rsidRDefault="00871D8A" w:rsidP="00B66A42">
            <w:pPr>
              <w:spacing w:before="40" w:after="40"/>
              <w:jc w:val="both"/>
              <w:rPr>
                <w:rFonts w:cs="Arial"/>
                <w:b/>
                <w:bCs/>
                <w:sz w:val="20"/>
                <w:szCs w:val="20"/>
                <w:lang w:val="fr-FR"/>
              </w:rPr>
            </w:pPr>
            <w:r w:rsidRPr="00414183">
              <w:rPr>
                <w:rFonts w:cs="Arial"/>
                <w:b/>
                <w:bCs/>
                <w:sz w:val="20"/>
                <w:szCs w:val="20"/>
                <w:lang w:val="fr-FR"/>
              </w:rPr>
              <w:lastRenderedPageBreak/>
              <w:t>Objectif 5 — Combler les principales lacunes en matière de connaissances sur la répartition et les déplacements de l’aigle des steppes ainsi que sur les menaces qui pèsent sur l’espèce grâce à une collaboration renforcée et à une recherche coordonnée, afin d’orienter les actions de conservation dans l’ensemble de son aire de répartition mondiale</w:t>
            </w:r>
          </w:p>
        </w:tc>
      </w:tr>
      <w:tr w:rsidR="00871D8A" w:rsidRPr="001622FB" w14:paraId="186218F2" w14:textId="77777777" w:rsidTr="00B66A42">
        <w:trPr>
          <w:cantSplit/>
          <w:trHeight w:val="340"/>
        </w:trPr>
        <w:tc>
          <w:tcPr>
            <w:tcW w:w="13944" w:type="dxa"/>
            <w:gridSpan w:val="7"/>
            <w:shd w:val="clear" w:color="auto" w:fill="FFE599" w:themeFill="accent4" w:themeFillTint="66"/>
          </w:tcPr>
          <w:p w14:paraId="557F86C5"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t>Objectif 5.1 — Partager les meilleures pratiques et la collecte de données normalisées, ainsi que les données elles-mêmes lorsque cela s’avère nécessaire</w:t>
            </w:r>
          </w:p>
        </w:tc>
      </w:tr>
      <w:tr w:rsidR="00871D8A" w:rsidRPr="00414183" w14:paraId="680F2FB2" w14:textId="77777777" w:rsidTr="00B66A42">
        <w:trPr>
          <w:cantSplit/>
          <w:trHeight w:val="629"/>
        </w:trPr>
        <w:tc>
          <w:tcPr>
            <w:tcW w:w="792" w:type="dxa"/>
            <w:hideMark/>
          </w:tcPr>
          <w:p w14:paraId="0663CC8A" w14:textId="77777777" w:rsidR="00871D8A" w:rsidRPr="00414183" w:rsidRDefault="00871D8A" w:rsidP="00B66A42">
            <w:pPr>
              <w:spacing w:before="40" w:after="40"/>
              <w:rPr>
                <w:rFonts w:cs="Arial"/>
                <w:sz w:val="20"/>
                <w:szCs w:val="20"/>
              </w:rPr>
            </w:pPr>
            <w:r w:rsidRPr="00414183">
              <w:rPr>
                <w:rFonts w:cs="Arial"/>
                <w:sz w:val="20"/>
                <w:szCs w:val="20"/>
              </w:rPr>
              <w:t>5.1.1</w:t>
            </w:r>
          </w:p>
        </w:tc>
        <w:tc>
          <w:tcPr>
            <w:tcW w:w="5499" w:type="dxa"/>
            <w:hideMark/>
          </w:tcPr>
          <w:p w14:paraId="3DAA8EB1"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 xml:space="preserve">Élaborer et diffuser des protocoles normalisés pour le suivi des aigles des steppes sur les sites de reproduction, au niveau des goulets d’étranglement migratoires et des sites d’escale et dans les zones d’hivernage, en accordant la priorité aux régions à haut risque. </w:t>
            </w:r>
          </w:p>
        </w:tc>
        <w:tc>
          <w:tcPr>
            <w:tcW w:w="2493" w:type="dxa"/>
            <w:hideMark/>
          </w:tcPr>
          <w:p w14:paraId="5330FDD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établissements d’enseignement, agences de recherche, ONG actives dans le domaine de la conservation</w:t>
            </w:r>
          </w:p>
        </w:tc>
        <w:tc>
          <w:tcPr>
            <w:tcW w:w="1559" w:type="dxa"/>
            <w:hideMark/>
          </w:tcPr>
          <w:p w14:paraId="1987A76F" w14:textId="77777777" w:rsidR="00871D8A" w:rsidRPr="00414183" w:rsidRDefault="00871D8A" w:rsidP="00B66A42">
            <w:pPr>
              <w:spacing w:before="40" w:after="40"/>
              <w:rPr>
                <w:rFonts w:cs="Arial"/>
                <w:sz w:val="20"/>
                <w:szCs w:val="20"/>
                <w:lang w:val="fr-FR"/>
              </w:rPr>
            </w:pPr>
          </w:p>
        </w:tc>
        <w:tc>
          <w:tcPr>
            <w:tcW w:w="1276" w:type="dxa"/>
            <w:hideMark/>
          </w:tcPr>
          <w:p w14:paraId="042EFDE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19CE6F31"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1F8C6519"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Immédiat</w:t>
            </w:r>
          </w:p>
        </w:tc>
      </w:tr>
      <w:tr w:rsidR="00871D8A" w:rsidRPr="00414183" w14:paraId="3E1134C2" w14:textId="77777777" w:rsidTr="00B66A42">
        <w:trPr>
          <w:cantSplit/>
          <w:trHeight w:val="629"/>
        </w:trPr>
        <w:tc>
          <w:tcPr>
            <w:tcW w:w="792" w:type="dxa"/>
            <w:hideMark/>
          </w:tcPr>
          <w:p w14:paraId="29A5A1AC" w14:textId="77777777" w:rsidR="00871D8A" w:rsidRPr="00414183" w:rsidRDefault="00871D8A" w:rsidP="00B66A42">
            <w:pPr>
              <w:spacing w:before="40" w:after="40"/>
              <w:rPr>
                <w:rFonts w:cs="Arial"/>
                <w:sz w:val="20"/>
                <w:szCs w:val="20"/>
              </w:rPr>
            </w:pPr>
            <w:r w:rsidRPr="00414183">
              <w:rPr>
                <w:rFonts w:cs="Arial"/>
                <w:sz w:val="20"/>
                <w:szCs w:val="20"/>
              </w:rPr>
              <w:t>5.1.2</w:t>
            </w:r>
          </w:p>
        </w:tc>
        <w:tc>
          <w:tcPr>
            <w:tcW w:w="5499" w:type="dxa"/>
            <w:hideMark/>
          </w:tcPr>
          <w:p w14:paraId="52380D70"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Procéder à une évaluation de base des données existantes concernant la surveillance, la télémétrie et les études sur l’aigle des steppes dans l’ensemble de son aire de répartition, et identifier les principales lacunes en matière de connaissances afin de guider de manière optimale les investissements dans la recherche.</w:t>
            </w:r>
          </w:p>
        </w:tc>
        <w:tc>
          <w:tcPr>
            <w:tcW w:w="2493" w:type="dxa"/>
            <w:hideMark/>
          </w:tcPr>
          <w:p w14:paraId="4B68663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établissements d’enseignement, agences de recherche, ONG actives dans le domaine de la conservation</w:t>
            </w:r>
          </w:p>
        </w:tc>
        <w:tc>
          <w:tcPr>
            <w:tcW w:w="1559" w:type="dxa"/>
            <w:hideMark/>
          </w:tcPr>
          <w:p w14:paraId="7F272938" w14:textId="77777777" w:rsidR="00871D8A" w:rsidRPr="00414183" w:rsidRDefault="00871D8A" w:rsidP="00B66A42">
            <w:pPr>
              <w:spacing w:before="40" w:after="40"/>
              <w:rPr>
                <w:rFonts w:cs="Arial"/>
                <w:sz w:val="20"/>
                <w:szCs w:val="20"/>
                <w:lang w:val="fr-FR"/>
              </w:rPr>
            </w:pPr>
          </w:p>
        </w:tc>
        <w:tc>
          <w:tcPr>
            <w:tcW w:w="1276" w:type="dxa"/>
            <w:hideMark/>
          </w:tcPr>
          <w:p w14:paraId="1C653B3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729E4A3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3D92A6A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Immédiat</w:t>
            </w:r>
          </w:p>
        </w:tc>
      </w:tr>
      <w:tr w:rsidR="00871D8A" w:rsidRPr="001622FB" w14:paraId="6A8CC443" w14:textId="77777777" w:rsidTr="00B66A42">
        <w:trPr>
          <w:cantSplit/>
          <w:trHeight w:val="340"/>
        </w:trPr>
        <w:tc>
          <w:tcPr>
            <w:tcW w:w="13944" w:type="dxa"/>
            <w:gridSpan w:val="7"/>
            <w:shd w:val="clear" w:color="auto" w:fill="FFE599" w:themeFill="accent4" w:themeFillTint="66"/>
          </w:tcPr>
          <w:p w14:paraId="3521BE42"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t>Objectif 5.2 — Surveillance coordonnée sur l’ensemble de l’aire de répartition</w:t>
            </w:r>
          </w:p>
        </w:tc>
      </w:tr>
      <w:tr w:rsidR="00871D8A" w:rsidRPr="00414183" w14:paraId="2AA0A5A7" w14:textId="77777777" w:rsidTr="00B66A42">
        <w:trPr>
          <w:cantSplit/>
          <w:trHeight w:val="576"/>
        </w:trPr>
        <w:tc>
          <w:tcPr>
            <w:tcW w:w="792" w:type="dxa"/>
            <w:hideMark/>
          </w:tcPr>
          <w:p w14:paraId="355239D3" w14:textId="77777777" w:rsidR="00871D8A" w:rsidRPr="00414183" w:rsidRDefault="00871D8A" w:rsidP="00B66A42">
            <w:pPr>
              <w:spacing w:before="40" w:after="40"/>
              <w:rPr>
                <w:rFonts w:cs="Arial"/>
                <w:sz w:val="20"/>
                <w:szCs w:val="20"/>
              </w:rPr>
            </w:pPr>
            <w:r w:rsidRPr="00414183">
              <w:rPr>
                <w:rFonts w:cs="Arial"/>
                <w:sz w:val="20"/>
                <w:szCs w:val="20"/>
              </w:rPr>
              <w:t>5.2.1</w:t>
            </w:r>
          </w:p>
        </w:tc>
        <w:tc>
          <w:tcPr>
            <w:tcW w:w="5499" w:type="dxa"/>
            <w:hideMark/>
          </w:tcPr>
          <w:p w14:paraId="2E811451"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Effectuer un suivi des espèces (à tous les stades de leur cycle de vie) à l’aide de méthodes normalisées afin d’orienter la cartographie de la sensibilité et les mesures de conservation.</w:t>
            </w:r>
          </w:p>
        </w:tc>
        <w:tc>
          <w:tcPr>
            <w:tcW w:w="2493" w:type="dxa"/>
            <w:hideMark/>
          </w:tcPr>
          <w:p w14:paraId="28F537E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ONG actives dans le domaine de la conservation</w:t>
            </w:r>
          </w:p>
        </w:tc>
        <w:tc>
          <w:tcPr>
            <w:tcW w:w="1559" w:type="dxa"/>
            <w:hideMark/>
          </w:tcPr>
          <w:p w14:paraId="626E4F8A" w14:textId="77777777" w:rsidR="00871D8A" w:rsidRPr="00414183" w:rsidRDefault="00871D8A" w:rsidP="00B66A42">
            <w:pPr>
              <w:spacing w:before="40" w:after="40"/>
              <w:rPr>
                <w:rFonts w:cs="Arial"/>
                <w:sz w:val="20"/>
                <w:szCs w:val="20"/>
                <w:lang w:val="fr-FR"/>
              </w:rPr>
            </w:pPr>
          </w:p>
        </w:tc>
        <w:tc>
          <w:tcPr>
            <w:tcW w:w="1276" w:type="dxa"/>
            <w:hideMark/>
          </w:tcPr>
          <w:p w14:paraId="3CEE4AE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CRITIQUE</w:t>
            </w:r>
          </w:p>
        </w:tc>
        <w:tc>
          <w:tcPr>
            <w:tcW w:w="1276" w:type="dxa"/>
            <w:hideMark/>
          </w:tcPr>
          <w:p w14:paraId="1CBD789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2BC7CA1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Immédiat</w:t>
            </w:r>
          </w:p>
        </w:tc>
      </w:tr>
      <w:tr w:rsidR="00871D8A" w:rsidRPr="00414183" w14:paraId="5C7C6FE6" w14:textId="77777777" w:rsidTr="00B66A42">
        <w:trPr>
          <w:cantSplit/>
          <w:trHeight w:val="864"/>
        </w:trPr>
        <w:tc>
          <w:tcPr>
            <w:tcW w:w="792" w:type="dxa"/>
            <w:hideMark/>
          </w:tcPr>
          <w:p w14:paraId="6FFFD494" w14:textId="77777777" w:rsidR="00871D8A" w:rsidRPr="00414183" w:rsidRDefault="00871D8A" w:rsidP="00B66A42">
            <w:pPr>
              <w:spacing w:before="40" w:after="40"/>
              <w:rPr>
                <w:rFonts w:cs="Arial"/>
                <w:sz w:val="20"/>
                <w:szCs w:val="20"/>
              </w:rPr>
            </w:pPr>
            <w:r w:rsidRPr="00414183">
              <w:rPr>
                <w:rFonts w:cs="Arial"/>
                <w:sz w:val="20"/>
                <w:szCs w:val="20"/>
              </w:rPr>
              <w:t>5.2.2</w:t>
            </w:r>
          </w:p>
        </w:tc>
        <w:tc>
          <w:tcPr>
            <w:tcW w:w="5499" w:type="dxa"/>
            <w:hideMark/>
          </w:tcPr>
          <w:p w14:paraId="448B1499"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Créer et maintenir un groupe centralisé et dynamique de partage de données qui préconise l’analyse et la publication d’ensembles de données combinées pour une compréhension globale des espèces et des principales menaces à l’origine de leur déclin.</w:t>
            </w:r>
          </w:p>
        </w:tc>
        <w:tc>
          <w:tcPr>
            <w:tcW w:w="2493" w:type="dxa"/>
            <w:hideMark/>
          </w:tcPr>
          <w:p w14:paraId="26A1FB8A"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établissements d’enseignement, agences de recherche, ONG actives dans le domaine de la conservation, Groupe de travail sur le Plan d’action mondial pour l’aigle des steppes</w:t>
            </w:r>
          </w:p>
        </w:tc>
        <w:tc>
          <w:tcPr>
            <w:tcW w:w="1559" w:type="dxa"/>
            <w:hideMark/>
          </w:tcPr>
          <w:p w14:paraId="2F3B9B53" w14:textId="77777777" w:rsidR="00871D8A" w:rsidRPr="00414183" w:rsidRDefault="00871D8A" w:rsidP="00B66A42">
            <w:pPr>
              <w:spacing w:before="40" w:after="40"/>
              <w:rPr>
                <w:rFonts w:cs="Arial"/>
                <w:sz w:val="20"/>
                <w:szCs w:val="20"/>
                <w:lang w:val="fr-FR"/>
              </w:rPr>
            </w:pPr>
          </w:p>
        </w:tc>
        <w:tc>
          <w:tcPr>
            <w:tcW w:w="1276" w:type="dxa"/>
            <w:hideMark/>
          </w:tcPr>
          <w:p w14:paraId="1CC28FDA"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6F1569B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2385BBA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5AC78F27" w14:textId="77777777" w:rsidTr="00B66A42">
        <w:trPr>
          <w:cantSplit/>
          <w:trHeight w:val="1440"/>
        </w:trPr>
        <w:tc>
          <w:tcPr>
            <w:tcW w:w="792" w:type="dxa"/>
            <w:hideMark/>
          </w:tcPr>
          <w:p w14:paraId="2CDDA4EB" w14:textId="77777777" w:rsidR="00871D8A" w:rsidRPr="00414183" w:rsidRDefault="00871D8A" w:rsidP="00B66A42">
            <w:pPr>
              <w:spacing w:before="40" w:after="40"/>
              <w:rPr>
                <w:rFonts w:cs="Arial"/>
                <w:sz w:val="20"/>
                <w:szCs w:val="20"/>
              </w:rPr>
            </w:pPr>
            <w:r w:rsidRPr="00414183">
              <w:rPr>
                <w:rFonts w:cs="Arial"/>
                <w:sz w:val="20"/>
                <w:szCs w:val="20"/>
              </w:rPr>
              <w:lastRenderedPageBreak/>
              <w:t>5.2.3</w:t>
            </w:r>
          </w:p>
        </w:tc>
        <w:tc>
          <w:tcPr>
            <w:tcW w:w="5499" w:type="dxa"/>
            <w:hideMark/>
          </w:tcPr>
          <w:p w14:paraId="4E0CA775"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 xml:space="preserve">Développer et maintenir un registre centralisé du personnel formé (experts), des chercheurs et des institutions impliqués dans la surveillance, la télémétrie et la conservation de l’aigle des steppes dans l’ensemble de l’aire de répartition de l’espèce. Ce registre devrait inclure les coordonnées des points de contact, leurs domaines d’expertise et leurs zones géographiques afin de favoriser leur coordination, leur collaboration et leur mobilisation, et être régulièrement mis à jour. </w:t>
            </w:r>
          </w:p>
        </w:tc>
        <w:tc>
          <w:tcPr>
            <w:tcW w:w="2493" w:type="dxa"/>
            <w:hideMark/>
          </w:tcPr>
          <w:p w14:paraId="5681166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établissements d’enseignement, agences de recherche, Groupe de travail sur le Plan d’action mondial pour l’aigle des steppes</w:t>
            </w:r>
          </w:p>
        </w:tc>
        <w:tc>
          <w:tcPr>
            <w:tcW w:w="1559" w:type="dxa"/>
            <w:hideMark/>
          </w:tcPr>
          <w:p w14:paraId="31458AFE" w14:textId="77777777" w:rsidR="00871D8A" w:rsidRPr="00414183" w:rsidRDefault="00871D8A" w:rsidP="00B66A42">
            <w:pPr>
              <w:spacing w:before="40" w:after="40"/>
              <w:rPr>
                <w:rFonts w:cs="Arial"/>
                <w:sz w:val="20"/>
                <w:szCs w:val="20"/>
                <w:lang w:val="fr-FR"/>
              </w:rPr>
            </w:pPr>
          </w:p>
        </w:tc>
        <w:tc>
          <w:tcPr>
            <w:tcW w:w="1276" w:type="dxa"/>
            <w:hideMark/>
          </w:tcPr>
          <w:p w14:paraId="53F20BB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07B926DB"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65146730"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217113F5" w14:textId="77777777" w:rsidTr="00B66A42">
        <w:trPr>
          <w:cantSplit/>
          <w:trHeight w:val="576"/>
        </w:trPr>
        <w:tc>
          <w:tcPr>
            <w:tcW w:w="792" w:type="dxa"/>
            <w:hideMark/>
          </w:tcPr>
          <w:p w14:paraId="34CBA888" w14:textId="77777777" w:rsidR="00871D8A" w:rsidRPr="00414183" w:rsidRDefault="00871D8A" w:rsidP="00B66A42">
            <w:pPr>
              <w:spacing w:before="40" w:after="40"/>
              <w:rPr>
                <w:rFonts w:cs="Arial"/>
                <w:sz w:val="20"/>
                <w:szCs w:val="20"/>
              </w:rPr>
            </w:pPr>
            <w:r w:rsidRPr="00414183">
              <w:rPr>
                <w:rFonts w:cs="Arial"/>
                <w:sz w:val="20"/>
                <w:szCs w:val="20"/>
              </w:rPr>
              <w:t>5.2.4</w:t>
            </w:r>
          </w:p>
        </w:tc>
        <w:tc>
          <w:tcPr>
            <w:tcW w:w="5499" w:type="dxa"/>
            <w:hideMark/>
          </w:tcPr>
          <w:p w14:paraId="040D2953"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 xml:space="preserve">Développer et partager des occasions et des sources de financement pour le suivi, l’analyse des données, la recherche et le plaidoyer. </w:t>
            </w:r>
          </w:p>
        </w:tc>
        <w:tc>
          <w:tcPr>
            <w:tcW w:w="2493" w:type="dxa"/>
            <w:hideMark/>
          </w:tcPr>
          <w:p w14:paraId="07F7064F"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Secrétariat de la CMS, Groupe de travail sur le Plan d’action mondial pour l’aigle des steppes</w:t>
            </w:r>
          </w:p>
        </w:tc>
        <w:tc>
          <w:tcPr>
            <w:tcW w:w="1559" w:type="dxa"/>
            <w:hideMark/>
          </w:tcPr>
          <w:p w14:paraId="2AB9BE2C" w14:textId="77777777" w:rsidR="00871D8A" w:rsidRPr="00414183" w:rsidRDefault="00871D8A" w:rsidP="00B66A42">
            <w:pPr>
              <w:spacing w:before="40" w:after="40"/>
              <w:rPr>
                <w:rFonts w:cs="Arial"/>
                <w:sz w:val="20"/>
                <w:szCs w:val="20"/>
                <w:lang w:val="fr-FR"/>
              </w:rPr>
            </w:pPr>
          </w:p>
        </w:tc>
        <w:tc>
          <w:tcPr>
            <w:tcW w:w="1276" w:type="dxa"/>
            <w:hideMark/>
          </w:tcPr>
          <w:p w14:paraId="32C15DA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3F33787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34A10CB4"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1622FB" w14:paraId="3F77A0FF" w14:textId="77777777" w:rsidTr="00B66A42">
        <w:trPr>
          <w:cantSplit/>
          <w:trHeight w:val="247"/>
        </w:trPr>
        <w:tc>
          <w:tcPr>
            <w:tcW w:w="13944" w:type="dxa"/>
            <w:gridSpan w:val="7"/>
            <w:shd w:val="clear" w:color="auto" w:fill="FFE599" w:themeFill="accent4" w:themeFillTint="66"/>
          </w:tcPr>
          <w:p w14:paraId="0A176B2F"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t>Objectif 5.3 — Renforcer la compréhension de l’évolution des dynamiques de population et de l’aire de répartition de l’espèce afin de développer des programmes de conservation efficaces dans tous les États concernés.</w:t>
            </w:r>
          </w:p>
        </w:tc>
      </w:tr>
      <w:tr w:rsidR="00871D8A" w:rsidRPr="00414183" w14:paraId="74C0C8BF" w14:textId="77777777" w:rsidTr="00B66A42">
        <w:trPr>
          <w:cantSplit/>
          <w:trHeight w:val="624"/>
        </w:trPr>
        <w:tc>
          <w:tcPr>
            <w:tcW w:w="792" w:type="dxa"/>
            <w:hideMark/>
          </w:tcPr>
          <w:p w14:paraId="6B6835F1" w14:textId="77777777" w:rsidR="00871D8A" w:rsidRPr="00414183" w:rsidRDefault="00871D8A" w:rsidP="00B66A42">
            <w:pPr>
              <w:spacing w:before="40" w:after="40"/>
              <w:rPr>
                <w:rFonts w:cs="Arial"/>
                <w:sz w:val="20"/>
                <w:szCs w:val="20"/>
              </w:rPr>
            </w:pPr>
            <w:r w:rsidRPr="00414183">
              <w:rPr>
                <w:rFonts w:cs="Arial"/>
                <w:sz w:val="20"/>
                <w:szCs w:val="20"/>
              </w:rPr>
              <w:t>5.3.1</w:t>
            </w:r>
          </w:p>
        </w:tc>
        <w:tc>
          <w:tcPr>
            <w:tcW w:w="5499" w:type="dxa"/>
            <w:hideMark/>
          </w:tcPr>
          <w:p w14:paraId="17EA608E"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Mettre en œuvre une veille régulière pour détecter les menaces émergentes et futures, notamment le long des voies de migration.  </w:t>
            </w:r>
          </w:p>
        </w:tc>
        <w:tc>
          <w:tcPr>
            <w:tcW w:w="2493" w:type="dxa"/>
            <w:hideMark/>
          </w:tcPr>
          <w:p w14:paraId="1586E0C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Établissements d’enseignement, agences de recherche,</w:t>
            </w:r>
          </w:p>
          <w:p w14:paraId="72693CA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Groupe de travail sur le Plan d’action mondial pour l’aigle des steppes</w:t>
            </w:r>
          </w:p>
        </w:tc>
        <w:tc>
          <w:tcPr>
            <w:tcW w:w="1559" w:type="dxa"/>
            <w:hideMark/>
          </w:tcPr>
          <w:p w14:paraId="4A48CC20" w14:textId="77777777" w:rsidR="00871D8A" w:rsidRPr="00414183" w:rsidRDefault="00871D8A" w:rsidP="00B66A42">
            <w:pPr>
              <w:spacing w:before="40" w:after="40"/>
              <w:rPr>
                <w:rFonts w:cs="Arial"/>
                <w:sz w:val="20"/>
                <w:szCs w:val="20"/>
                <w:lang w:val="fr-FR"/>
              </w:rPr>
            </w:pPr>
          </w:p>
        </w:tc>
        <w:tc>
          <w:tcPr>
            <w:tcW w:w="1276" w:type="dxa"/>
            <w:hideMark/>
          </w:tcPr>
          <w:p w14:paraId="65CBD26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575366AC"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3596C999"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Immédiat</w:t>
            </w:r>
          </w:p>
        </w:tc>
      </w:tr>
      <w:tr w:rsidR="00871D8A" w:rsidRPr="00414183" w14:paraId="7E9F3867" w14:textId="77777777" w:rsidTr="00B66A42">
        <w:trPr>
          <w:cantSplit/>
          <w:trHeight w:val="624"/>
        </w:trPr>
        <w:tc>
          <w:tcPr>
            <w:tcW w:w="792" w:type="dxa"/>
          </w:tcPr>
          <w:p w14:paraId="22E2433F" w14:textId="77777777" w:rsidR="00871D8A" w:rsidRPr="00414183" w:rsidRDefault="00871D8A" w:rsidP="00B66A42">
            <w:pPr>
              <w:spacing w:before="40" w:after="40"/>
              <w:rPr>
                <w:rFonts w:cs="Arial"/>
                <w:sz w:val="20"/>
                <w:szCs w:val="20"/>
              </w:rPr>
            </w:pPr>
            <w:r w:rsidRPr="00414183">
              <w:rPr>
                <w:rFonts w:cs="Arial"/>
                <w:sz w:val="20"/>
                <w:szCs w:val="20"/>
              </w:rPr>
              <w:t>5.3.2</w:t>
            </w:r>
          </w:p>
        </w:tc>
        <w:tc>
          <w:tcPr>
            <w:tcW w:w="5499" w:type="dxa"/>
          </w:tcPr>
          <w:p w14:paraId="5D3A851A"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Promouvoir le suivi des oiseaux à des fins scientifiques en suivant les bonnes pratiques et les technologies modernes et en mettant les données à disposition pour des analyses plus larges afin d’identifier les menaces et les habitats clés. Veiller à ce que des ressources soient disponibles pour la récupération rapide des oiseaux morts afin de comprendre les causes de leur mortalité.</w:t>
            </w:r>
          </w:p>
        </w:tc>
        <w:tc>
          <w:tcPr>
            <w:tcW w:w="2493" w:type="dxa"/>
          </w:tcPr>
          <w:p w14:paraId="29111FA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Établissements d’enseignement, agences de recherche, ONG actives dans le domaine de la conservation</w:t>
            </w:r>
          </w:p>
        </w:tc>
        <w:tc>
          <w:tcPr>
            <w:tcW w:w="1559" w:type="dxa"/>
          </w:tcPr>
          <w:p w14:paraId="10F7D7AF" w14:textId="77777777" w:rsidR="00871D8A" w:rsidRPr="00414183" w:rsidRDefault="00871D8A" w:rsidP="00B66A42">
            <w:pPr>
              <w:spacing w:before="40" w:after="40"/>
              <w:rPr>
                <w:rFonts w:cs="Arial"/>
                <w:sz w:val="20"/>
                <w:szCs w:val="20"/>
              </w:rPr>
            </w:pPr>
            <w:r w:rsidRPr="00414183">
              <w:rPr>
                <w:rFonts w:cs="Arial"/>
                <w:sz w:val="20"/>
                <w:szCs w:val="20"/>
              </w:rPr>
              <w:t>4.1.1</w:t>
            </w:r>
          </w:p>
        </w:tc>
        <w:tc>
          <w:tcPr>
            <w:tcW w:w="1276" w:type="dxa"/>
          </w:tcPr>
          <w:p w14:paraId="0F1A06C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tcPr>
          <w:p w14:paraId="7482CE9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593C6FF0"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r>
      <w:tr w:rsidR="00871D8A" w:rsidRPr="00414183" w14:paraId="60393510" w14:textId="77777777" w:rsidTr="00B66A42">
        <w:trPr>
          <w:cantSplit/>
          <w:trHeight w:val="1158"/>
        </w:trPr>
        <w:tc>
          <w:tcPr>
            <w:tcW w:w="792" w:type="dxa"/>
            <w:hideMark/>
          </w:tcPr>
          <w:p w14:paraId="3D43CF0A" w14:textId="77777777" w:rsidR="00871D8A" w:rsidRPr="00414183" w:rsidRDefault="00871D8A" w:rsidP="00B66A42">
            <w:pPr>
              <w:spacing w:before="40" w:after="40"/>
              <w:rPr>
                <w:rFonts w:cs="Arial"/>
                <w:sz w:val="20"/>
                <w:szCs w:val="20"/>
              </w:rPr>
            </w:pPr>
            <w:r w:rsidRPr="00414183">
              <w:rPr>
                <w:rFonts w:cs="Arial"/>
                <w:sz w:val="20"/>
                <w:szCs w:val="20"/>
              </w:rPr>
              <w:t>5.3.3</w:t>
            </w:r>
          </w:p>
        </w:tc>
        <w:tc>
          <w:tcPr>
            <w:tcW w:w="5499" w:type="dxa"/>
            <w:hideMark/>
          </w:tcPr>
          <w:p w14:paraId="6D6A83C7"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 xml:space="preserve">Préciser les frontières et la connectivité entre les populations reproductrices et leur voie de migration (c’est-à-dire la métapopulation), afin d’identifier et de mettre en évidence les populations les plus importantes ou les plus vulnérables. </w:t>
            </w:r>
          </w:p>
        </w:tc>
        <w:tc>
          <w:tcPr>
            <w:tcW w:w="2493" w:type="dxa"/>
            <w:hideMark/>
          </w:tcPr>
          <w:p w14:paraId="2A4E5EA2"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Établissements d’enseignement, agences de recherche</w:t>
            </w:r>
          </w:p>
        </w:tc>
        <w:tc>
          <w:tcPr>
            <w:tcW w:w="1559" w:type="dxa"/>
            <w:hideMark/>
          </w:tcPr>
          <w:p w14:paraId="1B9131B7" w14:textId="77777777" w:rsidR="00871D8A" w:rsidRPr="00414183" w:rsidRDefault="00871D8A" w:rsidP="00B66A42">
            <w:pPr>
              <w:spacing w:before="40" w:after="40"/>
              <w:rPr>
                <w:rFonts w:cs="Arial"/>
                <w:sz w:val="20"/>
                <w:szCs w:val="20"/>
              </w:rPr>
            </w:pPr>
            <w:r w:rsidRPr="00414183">
              <w:rPr>
                <w:rFonts w:cs="Arial"/>
                <w:sz w:val="20"/>
                <w:szCs w:val="20"/>
              </w:rPr>
              <w:t>5.1.2</w:t>
            </w:r>
          </w:p>
          <w:p w14:paraId="2C2CEA2F" w14:textId="77777777" w:rsidR="00871D8A" w:rsidRPr="00414183" w:rsidRDefault="00871D8A" w:rsidP="00B66A42">
            <w:pPr>
              <w:spacing w:before="40" w:after="40"/>
              <w:rPr>
                <w:rFonts w:cs="Arial"/>
                <w:sz w:val="20"/>
                <w:szCs w:val="20"/>
              </w:rPr>
            </w:pPr>
            <w:r w:rsidRPr="00414183">
              <w:rPr>
                <w:rFonts w:cs="Arial"/>
                <w:sz w:val="20"/>
                <w:szCs w:val="20"/>
              </w:rPr>
              <w:t>5.3.2</w:t>
            </w:r>
          </w:p>
        </w:tc>
        <w:tc>
          <w:tcPr>
            <w:tcW w:w="1276" w:type="dxa"/>
            <w:hideMark/>
          </w:tcPr>
          <w:p w14:paraId="5220E976"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53A92C4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1C14ACE3"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r>
      <w:tr w:rsidR="00871D8A" w:rsidRPr="00414183" w14:paraId="61123DF5" w14:textId="77777777" w:rsidTr="00B66A42">
        <w:trPr>
          <w:cantSplit/>
          <w:trHeight w:val="850"/>
        </w:trPr>
        <w:tc>
          <w:tcPr>
            <w:tcW w:w="792" w:type="dxa"/>
            <w:hideMark/>
          </w:tcPr>
          <w:p w14:paraId="0DB59449" w14:textId="77777777" w:rsidR="00871D8A" w:rsidRPr="00414183" w:rsidRDefault="00871D8A" w:rsidP="00B66A42">
            <w:pPr>
              <w:spacing w:before="40" w:after="40"/>
              <w:rPr>
                <w:rFonts w:cs="Arial"/>
                <w:sz w:val="20"/>
                <w:szCs w:val="20"/>
              </w:rPr>
            </w:pPr>
            <w:r w:rsidRPr="00414183">
              <w:rPr>
                <w:rFonts w:cs="Arial"/>
                <w:sz w:val="20"/>
                <w:szCs w:val="20"/>
              </w:rPr>
              <w:lastRenderedPageBreak/>
              <w:t>5.3.4</w:t>
            </w:r>
          </w:p>
        </w:tc>
        <w:tc>
          <w:tcPr>
            <w:tcW w:w="5499" w:type="dxa"/>
            <w:hideMark/>
          </w:tcPr>
          <w:p w14:paraId="0A067676"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Surveiller et étudier l’évolution de la productivité et l’impact de ces changements sur la dynamique des populations et les facteurs de celle-ci, en analysant à la fois les données historiques et les nouvelles données.</w:t>
            </w:r>
          </w:p>
        </w:tc>
        <w:tc>
          <w:tcPr>
            <w:tcW w:w="2493" w:type="dxa"/>
            <w:hideMark/>
          </w:tcPr>
          <w:p w14:paraId="34FB3A5A"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Autorités nationales, établissements d’enseignement, agences de recherche</w:t>
            </w:r>
          </w:p>
        </w:tc>
        <w:tc>
          <w:tcPr>
            <w:tcW w:w="1559" w:type="dxa"/>
            <w:hideMark/>
          </w:tcPr>
          <w:p w14:paraId="24FA4BFD" w14:textId="77777777" w:rsidR="00871D8A" w:rsidRPr="00414183" w:rsidRDefault="00871D8A" w:rsidP="00B66A42">
            <w:pPr>
              <w:spacing w:before="40" w:after="40"/>
              <w:rPr>
                <w:rFonts w:cs="Arial"/>
                <w:sz w:val="20"/>
                <w:szCs w:val="20"/>
                <w:lang w:val="fr-FR"/>
              </w:rPr>
            </w:pPr>
          </w:p>
        </w:tc>
        <w:tc>
          <w:tcPr>
            <w:tcW w:w="1276" w:type="dxa"/>
            <w:hideMark/>
          </w:tcPr>
          <w:p w14:paraId="3141F2B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4A092D19"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5D13F10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1622FB" w14:paraId="0A8192C8" w14:textId="77777777" w:rsidTr="00B66A42">
        <w:trPr>
          <w:cantSplit/>
          <w:trHeight w:val="567"/>
        </w:trPr>
        <w:tc>
          <w:tcPr>
            <w:tcW w:w="13944" w:type="dxa"/>
            <w:gridSpan w:val="7"/>
            <w:shd w:val="clear" w:color="auto" w:fill="00B0F0"/>
          </w:tcPr>
          <w:p w14:paraId="13DFC47C" w14:textId="77777777" w:rsidR="00871D8A" w:rsidRPr="00414183" w:rsidRDefault="00871D8A" w:rsidP="00B66A42">
            <w:pPr>
              <w:spacing w:before="40" w:after="40"/>
              <w:jc w:val="both"/>
              <w:rPr>
                <w:rFonts w:cs="Arial"/>
                <w:b/>
                <w:bCs/>
                <w:sz w:val="20"/>
                <w:szCs w:val="20"/>
                <w:lang w:val="fr-FR"/>
              </w:rPr>
            </w:pPr>
            <w:r w:rsidRPr="00414183">
              <w:rPr>
                <w:rFonts w:cs="Arial"/>
                <w:b/>
                <w:bCs/>
                <w:sz w:val="20"/>
                <w:szCs w:val="20"/>
                <w:lang w:val="fr-FR"/>
              </w:rPr>
              <w:t>Objectif 6 — Assurer la reconnaissance et la mise en œuvre effective du Plan d’action mondial pour l’aigle des steppes dans tous les États de l’aire de répartition, au moyen d’actions de sensibilisation auprès des communautés clés et de toutes les principales parties prenantes</w:t>
            </w:r>
          </w:p>
        </w:tc>
      </w:tr>
      <w:tr w:rsidR="00871D8A" w:rsidRPr="001622FB" w14:paraId="2419199D" w14:textId="77777777" w:rsidTr="00B66A42">
        <w:trPr>
          <w:cantSplit/>
          <w:trHeight w:val="340"/>
        </w:trPr>
        <w:tc>
          <w:tcPr>
            <w:tcW w:w="13944" w:type="dxa"/>
            <w:gridSpan w:val="7"/>
            <w:shd w:val="clear" w:color="auto" w:fill="FFE599" w:themeFill="accent4" w:themeFillTint="66"/>
          </w:tcPr>
          <w:p w14:paraId="27E8ABF2" w14:textId="77777777" w:rsidR="00871D8A" w:rsidRPr="00414183" w:rsidRDefault="00871D8A" w:rsidP="00B66A42">
            <w:pPr>
              <w:spacing w:before="40" w:after="40"/>
              <w:jc w:val="both"/>
              <w:rPr>
                <w:rFonts w:cs="Arial"/>
                <w:i/>
                <w:iCs/>
                <w:sz w:val="20"/>
                <w:szCs w:val="20"/>
                <w:lang w:val="fr-FR"/>
              </w:rPr>
            </w:pPr>
            <w:r w:rsidRPr="00414183">
              <w:rPr>
                <w:rFonts w:cs="Arial"/>
                <w:i/>
                <w:iCs/>
                <w:sz w:val="20"/>
                <w:szCs w:val="20"/>
                <w:lang w:val="fr-FR"/>
              </w:rPr>
              <w:t>Objectif 6.1 — Sensibilisation des principaux groupes de parties prenantes à la valeur des aigles des steppes et aux principales menaces qui pèsent sur eux</w:t>
            </w:r>
          </w:p>
        </w:tc>
      </w:tr>
      <w:tr w:rsidR="00871D8A" w:rsidRPr="00414183" w14:paraId="4914D29F" w14:textId="77777777" w:rsidTr="00B66A42">
        <w:trPr>
          <w:cantSplit/>
          <w:trHeight w:val="567"/>
        </w:trPr>
        <w:tc>
          <w:tcPr>
            <w:tcW w:w="792" w:type="dxa"/>
            <w:hideMark/>
          </w:tcPr>
          <w:p w14:paraId="71F86670" w14:textId="77777777" w:rsidR="00871D8A" w:rsidRPr="00414183" w:rsidRDefault="00871D8A" w:rsidP="00B66A42">
            <w:pPr>
              <w:spacing w:before="40" w:after="40"/>
              <w:rPr>
                <w:rFonts w:cs="Arial"/>
                <w:sz w:val="20"/>
                <w:szCs w:val="20"/>
              </w:rPr>
            </w:pPr>
            <w:r w:rsidRPr="00414183">
              <w:rPr>
                <w:rFonts w:cs="Arial"/>
                <w:sz w:val="20"/>
                <w:szCs w:val="20"/>
              </w:rPr>
              <w:t>6.1.1</w:t>
            </w:r>
          </w:p>
        </w:tc>
        <w:tc>
          <w:tcPr>
            <w:tcW w:w="5499" w:type="dxa"/>
            <w:hideMark/>
          </w:tcPr>
          <w:p w14:paraId="617EBEB0"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Communiquer les principales conclusions sur les problèmes auxquels sont confrontées les populations d’aigles des steppes, ainsi que les solutions potentielles pour obtenir des réponses positives de la part des principaux décideurs et des communautés, afin de générer un soutien aux actions de conservation fondées sur des données probantes.</w:t>
            </w:r>
          </w:p>
        </w:tc>
        <w:tc>
          <w:tcPr>
            <w:tcW w:w="2493" w:type="dxa"/>
            <w:hideMark/>
          </w:tcPr>
          <w:p w14:paraId="56664445"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ONG actives dans le domaine de la conservation, Groupe de travail sur le Plan d’action mondial pour l’aigle des steppes, autorités nationales</w:t>
            </w:r>
          </w:p>
        </w:tc>
        <w:tc>
          <w:tcPr>
            <w:tcW w:w="1559" w:type="dxa"/>
            <w:hideMark/>
          </w:tcPr>
          <w:p w14:paraId="2C55FF35" w14:textId="77777777" w:rsidR="00871D8A" w:rsidRPr="00414183" w:rsidRDefault="00871D8A" w:rsidP="00B66A42">
            <w:pPr>
              <w:spacing w:before="40" w:after="40"/>
              <w:rPr>
                <w:rFonts w:cs="Arial"/>
                <w:sz w:val="20"/>
                <w:szCs w:val="20"/>
                <w:lang w:val="fr-FR"/>
              </w:rPr>
            </w:pPr>
          </w:p>
        </w:tc>
        <w:tc>
          <w:tcPr>
            <w:tcW w:w="1276" w:type="dxa"/>
            <w:hideMark/>
          </w:tcPr>
          <w:p w14:paraId="7A2C5C8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MOYENNE</w:t>
            </w:r>
          </w:p>
        </w:tc>
        <w:tc>
          <w:tcPr>
            <w:tcW w:w="1276" w:type="dxa"/>
            <w:hideMark/>
          </w:tcPr>
          <w:p w14:paraId="12E7BEA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5F89EB4D"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Immédiat</w:t>
            </w:r>
          </w:p>
        </w:tc>
      </w:tr>
      <w:tr w:rsidR="00871D8A" w:rsidRPr="00414183" w14:paraId="675A3094" w14:textId="77777777" w:rsidTr="00B66A42">
        <w:trPr>
          <w:cantSplit/>
          <w:trHeight w:val="864"/>
        </w:trPr>
        <w:tc>
          <w:tcPr>
            <w:tcW w:w="792" w:type="dxa"/>
            <w:hideMark/>
          </w:tcPr>
          <w:p w14:paraId="3EE0FBF2" w14:textId="77777777" w:rsidR="00871D8A" w:rsidRPr="00414183" w:rsidRDefault="00871D8A" w:rsidP="00B66A42">
            <w:pPr>
              <w:spacing w:before="40" w:after="40"/>
              <w:rPr>
                <w:rFonts w:cs="Arial"/>
                <w:sz w:val="20"/>
                <w:szCs w:val="20"/>
              </w:rPr>
            </w:pPr>
            <w:r w:rsidRPr="00414183">
              <w:rPr>
                <w:rFonts w:cs="Arial"/>
                <w:sz w:val="20"/>
                <w:szCs w:val="20"/>
              </w:rPr>
              <w:t>6.1.2</w:t>
            </w:r>
          </w:p>
        </w:tc>
        <w:tc>
          <w:tcPr>
            <w:tcW w:w="5499" w:type="dxa"/>
            <w:hideMark/>
          </w:tcPr>
          <w:p w14:paraId="582E591D"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Mettre en avant et promouvoir l’aigle des steppes en tant qu’espèce emblématique des voies de migration d’Asie centrale et d’Afrique-Eurasie, en utilisant et en soutenant les événements nationaux et internationaux existants pour sensibiliser aux besoins et aux efforts de conservation de l’aigle des steppes à l’échelle mondiale.</w:t>
            </w:r>
          </w:p>
        </w:tc>
        <w:tc>
          <w:tcPr>
            <w:tcW w:w="2493" w:type="dxa"/>
            <w:hideMark/>
          </w:tcPr>
          <w:p w14:paraId="051DA473"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ONG actives dans le domaine de la conservation, CMS, autorités nationales, CAFI</w:t>
            </w:r>
          </w:p>
        </w:tc>
        <w:tc>
          <w:tcPr>
            <w:tcW w:w="1559" w:type="dxa"/>
            <w:hideMark/>
          </w:tcPr>
          <w:p w14:paraId="5D3A8D5E" w14:textId="77777777" w:rsidR="00871D8A" w:rsidRPr="00414183" w:rsidRDefault="00871D8A" w:rsidP="00B66A42">
            <w:pPr>
              <w:spacing w:before="40" w:after="40"/>
              <w:rPr>
                <w:rFonts w:cs="Arial"/>
                <w:sz w:val="20"/>
                <w:szCs w:val="20"/>
                <w:lang w:val="fr-FR"/>
              </w:rPr>
            </w:pPr>
          </w:p>
        </w:tc>
        <w:tc>
          <w:tcPr>
            <w:tcW w:w="1276" w:type="dxa"/>
            <w:hideMark/>
          </w:tcPr>
          <w:p w14:paraId="2A4E34D4"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ÉLEVÉE</w:t>
            </w:r>
          </w:p>
        </w:tc>
        <w:tc>
          <w:tcPr>
            <w:tcW w:w="1276" w:type="dxa"/>
            <w:hideMark/>
          </w:tcPr>
          <w:p w14:paraId="154D6F27"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56ADDF3E"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Court terme</w:t>
            </w:r>
          </w:p>
        </w:tc>
      </w:tr>
      <w:tr w:rsidR="00871D8A" w:rsidRPr="00414183" w14:paraId="25EB670C" w14:textId="77777777" w:rsidTr="00B66A42">
        <w:trPr>
          <w:cantSplit/>
          <w:trHeight w:val="864"/>
        </w:trPr>
        <w:tc>
          <w:tcPr>
            <w:tcW w:w="792" w:type="dxa"/>
            <w:hideMark/>
          </w:tcPr>
          <w:p w14:paraId="0A067C8E" w14:textId="77777777" w:rsidR="00871D8A" w:rsidRPr="00414183" w:rsidRDefault="00871D8A" w:rsidP="00B66A42">
            <w:pPr>
              <w:spacing w:before="40" w:after="40"/>
              <w:rPr>
                <w:rFonts w:cs="Arial"/>
                <w:sz w:val="20"/>
                <w:szCs w:val="20"/>
              </w:rPr>
            </w:pPr>
            <w:r w:rsidRPr="00414183">
              <w:rPr>
                <w:rFonts w:cs="Arial"/>
                <w:sz w:val="20"/>
                <w:szCs w:val="20"/>
              </w:rPr>
              <w:t>6.1.3</w:t>
            </w:r>
          </w:p>
        </w:tc>
        <w:tc>
          <w:tcPr>
            <w:tcW w:w="5499" w:type="dxa"/>
            <w:hideMark/>
          </w:tcPr>
          <w:p w14:paraId="35E4FE72" w14:textId="77777777" w:rsidR="00871D8A" w:rsidRPr="00414183" w:rsidRDefault="00871D8A" w:rsidP="00B66A42">
            <w:pPr>
              <w:spacing w:before="40" w:after="40"/>
              <w:jc w:val="both"/>
              <w:rPr>
                <w:rFonts w:cs="Arial"/>
                <w:sz w:val="20"/>
                <w:szCs w:val="20"/>
                <w:lang w:val="fr-FR"/>
              </w:rPr>
            </w:pPr>
            <w:r w:rsidRPr="00414183">
              <w:rPr>
                <w:rFonts w:cs="Arial"/>
                <w:sz w:val="20"/>
                <w:szCs w:val="20"/>
                <w:lang w:val="fr-FR"/>
              </w:rPr>
              <w:t xml:space="preserve">Établir ou renforcer les organisations de la société civile dans les zones clés le long de la voie de migration d’ici à 2030, en encourageant la gestion locale des habitats de l’aigle des steppes pour aider à atteindre les objectifs internationaux et les objectifs de durabilité. </w:t>
            </w:r>
          </w:p>
        </w:tc>
        <w:tc>
          <w:tcPr>
            <w:tcW w:w="2493" w:type="dxa"/>
            <w:hideMark/>
          </w:tcPr>
          <w:p w14:paraId="2D02315C"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ONG actives dans le domaine de la conservation, autorités nationales (zones protégées, gestion de la faune sauvage, communautés), Groupe de travail sur l’aigle des steppes</w:t>
            </w:r>
          </w:p>
        </w:tc>
        <w:tc>
          <w:tcPr>
            <w:tcW w:w="1559" w:type="dxa"/>
            <w:hideMark/>
          </w:tcPr>
          <w:p w14:paraId="482C5703" w14:textId="77777777" w:rsidR="00871D8A" w:rsidRPr="00414183" w:rsidRDefault="00871D8A" w:rsidP="00B66A42">
            <w:pPr>
              <w:spacing w:before="40" w:after="40"/>
              <w:rPr>
                <w:rFonts w:cs="Arial"/>
                <w:sz w:val="20"/>
                <w:szCs w:val="20"/>
                <w:lang w:val="fr-FR"/>
              </w:rPr>
            </w:pPr>
          </w:p>
        </w:tc>
        <w:tc>
          <w:tcPr>
            <w:tcW w:w="1276" w:type="dxa"/>
            <w:hideMark/>
          </w:tcPr>
          <w:p w14:paraId="6812D798"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FAIBLE</w:t>
            </w:r>
          </w:p>
        </w:tc>
        <w:tc>
          <w:tcPr>
            <w:tcW w:w="1276" w:type="dxa"/>
            <w:hideMark/>
          </w:tcPr>
          <w:p w14:paraId="35E5C354"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Tous</w:t>
            </w:r>
          </w:p>
        </w:tc>
        <w:tc>
          <w:tcPr>
            <w:tcW w:w="1049" w:type="dxa"/>
          </w:tcPr>
          <w:p w14:paraId="4A833093" w14:textId="77777777" w:rsidR="00871D8A" w:rsidRPr="00414183" w:rsidRDefault="00871D8A" w:rsidP="00B66A42">
            <w:pPr>
              <w:spacing w:before="40" w:after="40"/>
              <w:rPr>
                <w:rFonts w:cs="Arial"/>
                <w:sz w:val="20"/>
                <w:szCs w:val="20"/>
                <w:lang w:val="fr-FR"/>
              </w:rPr>
            </w:pPr>
            <w:r w:rsidRPr="00414183">
              <w:rPr>
                <w:rFonts w:cs="Arial"/>
                <w:sz w:val="20"/>
                <w:szCs w:val="20"/>
                <w:lang w:val="fr-FR"/>
              </w:rPr>
              <w:t>Long terme</w:t>
            </w:r>
          </w:p>
        </w:tc>
      </w:tr>
    </w:tbl>
    <w:p w14:paraId="342D620F" w14:textId="77777777" w:rsidR="009439E8" w:rsidRDefault="009439E8" w:rsidP="00871D8A">
      <w:pPr>
        <w:pStyle w:val="Heading4"/>
        <w:rPr>
          <w:rFonts w:ascii="Arial" w:hAnsi="Arial" w:cs="Arial"/>
          <w:b/>
          <w:bCs/>
          <w:color w:val="auto"/>
          <w:lang w:val="fr-FR"/>
        </w:rPr>
      </w:pPr>
      <w:r>
        <w:rPr>
          <w:rFonts w:ascii="Arial" w:hAnsi="Arial" w:cs="Arial"/>
          <w:b/>
          <w:bCs/>
          <w:color w:val="auto"/>
          <w:lang w:val="fr-FR"/>
        </w:rPr>
        <w:br w:type="page"/>
      </w:r>
    </w:p>
    <w:p w14:paraId="52DD0390" w14:textId="32AD0F36" w:rsidR="00871D8A" w:rsidRPr="00414183" w:rsidRDefault="00871D8A" w:rsidP="00871D8A">
      <w:pPr>
        <w:pStyle w:val="Heading4"/>
        <w:rPr>
          <w:rFonts w:ascii="Arial" w:hAnsi="Arial" w:cs="Arial"/>
          <w:b/>
          <w:bCs/>
          <w:color w:val="auto"/>
          <w:lang w:val="fr-FR"/>
        </w:rPr>
      </w:pPr>
      <w:r w:rsidRPr="00414183">
        <w:rPr>
          <w:rFonts w:ascii="Arial" w:hAnsi="Arial" w:cs="Arial"/>
          <w:b/>
          <w:bCs/>
          <w:color w:val="auto"/>
          <w:lang w:val="fr-FR"/>
        </w:rPr>
        <w:lastRenderedPageBreak/>
        <w:t xml:space="preserve">Légende </w:t>
      </w:r>
    </w:p>
    <w:p w14:paraId="03DE7ABE" w14:textId="77777777" w:rsidR="00871D8A" w:rsidRPr="009439E8" w:rsidRDefault="00871D8A" w:rsidP="00871D8A">
      <w:pPr>
        <w:rPr>
          <w:lang w:val="fr-FR"/>
        </w:rPr>
      </w:pPr>
    </w:p>
    <w:p w14:paraId="09176CD2" w14:textId="77777777" w:rsidR="00871D8A" w:rsidRPr="00414183" w:rsidRDefault="00871D8A" w:rsidP="00871D8A">
      <w:pPr>
        <w:pStyle w:val="NoSpacing"/>
        <w:spacing w:after="40"/>
        <w:rPr>
          <w:rFonts w:ascii="Arial" w:hAnsi="Arial" w:cs="Arial"/>
          <w:i/>
          <w:iCs/>
          <w:lang w:val="fr-FR"/>
        </w:rPr>
      </w:pPr>
      <w:r w:rsidRPr="00414183">
        <w:rPr>
          <w:rFonts w:ascii="Arial" w:hAnsi="Arial" w:cs="Arial"/>
          <w:i/>
          <w:iCs/>
          <w:lang w:val="fr-FR"/>
        </w:rPr>
        <w:t>Échelle de priorité des actions</w:t>
      </w:r>
    </w:p>
    <w:p w14:paraId="62B664B1" w14:textId="77777777" w:rsidR="00871D8A" w:rsidRPr="00414183" w:rsidRDefault="00871D8A" w:rsidP="00871D8A">
      <w:pPr>
        <w:pStyle w:val="NoSpacing"/>
        <w:spacing w:after="40"/>
        <w:rPr>
          <w:rFonts w:ascii="Arial" w:hAnsi="Arial" w:cs="Arial"/>
          <w:lang w:val="fr-FR"/>
        </w:rPr>
      </w:pPr>
      <w:r w:rsidRPr="00414183">
        <w:rPr>
          <w:rFonts w:ascii="Arial" w:hAnsi="Arial" w:cs="Arial"/>
          <w:b/>
          <w:bCs/>
          <w:lang w:val="fr-FR"/>
        </w:rPr>
        <w:t>CRITIQUE</w:t>
      </w:r>
      <w:r w:rsidRPr="00414183">
        <w:rPr>
          <w:rFonts w:ascii="Arial" w:hAnsi="Arial" w:cs="Arial"/>
          <w:lang w:val="fr-FR"/>
        </w:rPr>
        <w:t xml:space="preserve"> — action nécessaire pour prévenir un déclin important qui pourrait conduire à l’extinction de l’espèce.</w:t>
      </w:r>
    </w:p>
    <w:p w14:paraId="0A41C12E" w14:textId="77777777" w:rsidR="00871D8A" w:rsidRPr="00414183" w:rsidRDefault="00871D8A" w:rsidP="00871D8A">
      <w:pPr>
        <w:pStyle w:val="NoSpacing"/>
        <w:spacing w:after="40"/>
        <w:rPr>
          <w:rFonts w:ascii="Arial" w:hAnsi="Arial" w:cs="Arial"/>
          <w:lang w:val="fr-FR"/>
        </w:rPr>
      </w:pPr>
      <w:r w:rsidRPr="00414183">
        <w:rPr>
          <w:rFonts w:ascii="Arial" w:hAnsi="Arial" w:cs="Arial"/>
          <w:b/>
          <w:bCs/>
          <w:lang w:val="fr-FR"/>
        </w:rPr>
        <w:t>ÉLEVÉE</w:t>
      </w:r>
      <w:r w:rsidRPr="00414183">
        <w:rPr>
          <w:rFonts w:ascii="Arial" w:hAnsi="Arial" w:cs="Arial"/>
          <w:lang w:val="fr-FR"/>
        </w:rPr>
        <w:t xml:space="preserve"> — action nécessaire pour éviter un déclin de plus de 20 % de la population en moins 20 ans.</w:t>
      </w:r>
    </w:p>
    <w:p w14:paraId="179CC440" w14:textId="77777777" w:rsidR="00871D8A" w:rsidRPr="00414183" w:rsidRDefault="00871D8A" w:rsidP="00871D8A">
      <w:pPr>
        <w:pStyle w:val="NoSpacing"/>
        <w:spacing w:after="40"/>
        <w:rPr>
          <w:rFonts w:ascii="Arial" w:hAnsi="Arial" w:cs="Arial"/>
          <w:lang w:val="fr-FR"/>
        </w:rPr>
      </w:pPr>
      <w:r w:rsidRPr="00414183">
        <w:rPr>
          <w:rFonts w:ascii="Arial" w:hAnsi="Arial" w:cs="Arial"/>
          <w:b/>
          <w:bCs/>
          <w:lang w:val="fr-FR"/>
        </w:rPr>
        <w:t>MOYENNE</w:t>
      </w:r>
      <w:r w:rsidRPr="00414183">
        <w:rPr>
          <w:rFonts w:ascii="Arial" w:hAnsi="Arial" w:cs="Arial"/>
          <w:lang w:val="fr-FR"/>
        </w:rPr>
        <w:t xml:space="preserve"> — action nécessaire pour éviter un déclin de moins de 20 % de la population en moins de 20 ans.</w:t>
      </w:r>
    </w:p>
    <w:p w14:paraId="74218A1D" w14:textId="77777777" w:rsidR="00871D8A" w:rsidRPr="00414183" w:rsidRDefault="00871D8A" w:rsidP="00871D8A">
      <w:pPr>
        <w:pStyle w:val="NoSpacing"/>
        <w:rPr>
          <w:rFonts w:ascii="Arial" w:hAnsi="Arial" w:cs="Arial"/>
          <w:lang w:val="fr-FR"/>
        </w:rPr>
      </w:pPr>
      <w:r w:rsidRPr="00414183">
        <w:rPr>
          <w:rFonts w:ascii="Arial" w:hAnsi="Arial" w:cs="Arial"/>
          <w:b/>
          <w:bCs/>
          <w:lang w:val="fr-FR"/>
        </w:rPr>
        <w:t>FAIBLE</w:t>
      </w:r>
      <w:r w:rsidRPr="00414183">
        <w:rPr>
          <w:rFonts w:ascii="Arial" w:hAnsi="Arial" w:cs="Arial"/>
          <w:lang w:val="fr-FR"/>
        </w:rPr>
        <w:t xml:space="preserve"> — action nécessaire pour prévenir le déclin d’une population locale ou susceptible de n’avoir qu’un faible impact sur l’ensemble de la population.</w:t>
      </w:r>
    </w:p>
    <w:p w14:paraId="45BC6396" w14:textId="77777777" w:rsidR="00871D8A" w:rsidRPr="00414183" w:rsidRDefault="00871D8A" w:rsidP="00871D8A">
      <w:pPr>
        <w:pStyle w:val="NoSpacing"/>
        <w:rPr>
          <w:rFonts w:ascii="Arial" w:hAnsi="Arial" w:cs="Arial"/>
          <w:lang w:val="fr-FR"/>
        </w:rPr>
      </w:pPr>
    </w:p>
    <w:p w14:paraId="67453E71" w14:textId="77777777" w:rsidR="00871D8A" w:rsidRPr="00414183" w:rsidRDefault="00871D8A" w:rsidP="00871D8A">
      <w:pPr>
        <w:pStyle w:val="NoSpacing"/>
        <w:spacing w:after="40"/>
        <w:rPr>
          <w:rFonts w:ascii="Arial" w:hAnsi="Arial" w:cs="Arial"/>
          <w:i/>
          <w:iCs/>
          <w:lang w:val="fr-FR"/>
        </w:rPr>
      </w:pPr>
      <w:r w:rsidRPr="00414183">
        <w:rPr>
          <w:rFonts w:ascii="Arial" w:hAnsi="Arial" w:cs="Arial"/>
          <w:i/>
          <w:iCs/>
          <w:lang w:val="fr-FR"/>
        </w:rPr>
        <w:t>Délai</w:t>
      </w:r>
    </w:p>
    <w:p w14:paraId="667963CB" w14:textId="77777777" w:rsidR="00871D8A" w:rsidRPr="00414183" w:rsidRDefault="00871D8A" w:rsidP="00871D8A">
      <w:pPr>
        <w:pStyle w:val="NoSpacing"/>
        <w:spacing w:after="40"/>
        <w:rPr>
          <w:rFonts w:ascii="Arial" w:hAnsi="Arial" w:cs="Arial"/>
          <w:lang w:val="fr-FR"/>
        </w:rPr>
      </w:pPr>
      <w:r w:rsidRPr="00414183">
        <w:rPr>
          <w:rFonts w:ascii="Arial" w:hAnsi="Arial" w:cs="Arial"/>
          <w:b/>
          <w:bCs/>
          <w:lang w:val="fr-FR"/>
        </w:rPr>
        <w:t>Immédiat</w:t>
      </w:r>
      <w:r w:rsidRPr="00414183">
        <w:rPr>
          <w:rFonts w:ascii="Arial" w:hAnsi="Arial" w:cs="Arial"/>
          <w:lang w:val="fr-FR"/>
        </w:rPr>
        <w:t xml:space="preserve"> — à commencer dans l’année à venir.</w:t>
      </w:r>
    </w:p>
    <w:p w14:paraId="59F64E6B" w14:textId="77777777" w:rsidR="00871D8A" w:rsidRPr="00414183" w:rsidRDefault="00871D8A" w:rsidP="00871D8A">
      <w:pPr>
        <w:pStyle w:val="NoSpacing"/>
        <w:spacing w:after="40"/>
        <w:rPr>
          <w:rFonts w:ascii="Arial" w:hAnsi="Arial" w:cs="Arial"/>
          <w:lang w:val="fr-FR"/>
        </w:rPr>
      </w:pPr>
      <w:r w:rsidRPr="00414183">
        <w:rPr>
          <w:rFonts w:ascii="Arial" w:hAnsi="Arial" w:cs="Arial"/>
          <w:b/>
          <w:bCs/>
          <w:lang w:val="fr-FR"/>
        </w:rPr>
        <w:t>Court</w:t>
      </w:r>
      <w:r w:rsidRPr="00414183">
        <w:rPr>
          <w:rFonts w:ascii="Arial" w:hAnsi="Arial" w:cs="Arial"/>
          <w:lang w:val="fr-FR"/>
        </w:rPr>
        <w:t xml:space="preserve"> — à commencer dans les 3 prochaines années.</w:t>
      </w:r>
    </w:p>
    <w:p w14:paraId="592B3962" w14:textId="77777777" w:rsidR="00871D8A" w:rsidRPr="00414183" w:rsidRDefault="00871D8A" w:rsidP="00871D8A">
      <w:pPr>
        <w:pStyle w:val="NoSpacing"/>
        <w:spacing w:after="40"/>
        <w:rPr>
          <w:rFonts w:ascii="Arial" w:hAnsi="Arial" w:cs="Arial"/>
          <w:lang w:val="fr-FR"/>
        </w:rPr>
      </w:pPr>
      <w:r w:rsidRPr="00414183">
        <w:rPr>
          <w:rFonts w:ascii="Arial" w:hAnsi="Arial" w:cs="Arial"/>
          <w:b/>
          <w:bCs/>
          <w:lang w:val="fr-FR"/>
        </w:rPr>
        <w:t>Moyen</w:t>
      </w:r>
      <w:r w:rsidRPr="00414183">
        <w:rPr>
          <w:rFonts w:ascii="Arial" w:hAnsi="Arial" w:cs="Arial"/>
          <w:lang w:val="fr-FR"/>
        </w:rPr>
        <w:t xml:space="preserve"> — à commencer dans les 5 prochaines années.</w:t>
      </w:r>
    </w:p>
    <w:p w14:paraId="6A454E9F" w14:textId="77777777" w:rsidR="00871D8A" w:rsidRPr="00414183" w:rsidRDefault="00871D8A" w:rsidP="00871D8A">
      <w:pPr>
        <w:pStyle w:val="NoSpacing"/>
        <w:spacing w:after="40"/>
        <w:rPr>
          <w:rFonts w:ascii="Arial" w:hAnsi="Arial" w:cs="Arial"/>
          <w:lang w:val="fr-FR"/>
        </w:rPr>
      </w:pPr>
      <w:r w:rsidRPr="00414183">
        <w:rPr>
          <w:rFonts w:ascii="Arial" w:hAnsi="Arial" w:cs="Arial"/>
          <w:b/>
          <w:bCs/>
          <w:lang w:val="fr-FR"/>
        </w:rPr>
        <w:t>Long</w:t>
      </w:r>
      <w:r w:rsidRPr="00414183">
        <w:rPr>
          <w:rFonts w:ascii="Arial" w:hAnsi="Arial" w:cs="Arial"/>
          <w:lang w:val="fr-FR"/>
        </w:rPr>
        <w:t xml:space="preserve"> — à commencer dans les 10 prochaines années.</w:t>
      </w:r>
    </w:p>
    <w:p w14:paraId="7FE62AC9" w14:textId="77777777" w:rsidR="00871D8A" w:rsidRPr="00414183" w:rsidRDefault="00871D8A" w:rsidP="00871D8A">
      <w:pPr>
        <w:pStyle w:val="NoSpacing"/>
        <w:rPr>
          <w:rFonts w:ascii="Arial" w:hAnsi="Arial" w:cs="Arial"/>
          <w:lang w:val="fr-FR"/>
        </w:rPr>
      </w:pPr>
      <w:r w:rsidRPr="00414183">
        <w:rPr>
          <w:rFonts w:ascii="Arial" w:hAnsi="Arial" w:cs="Arial"/>
          <w:b/>
          <w:bCs/>
          <w:lang w:val="fr-FR"/>
        </w:rPr>
        <w:t>En cours</w:t>
      </w:r>
      <w:r w:rsidRPr="00414183">
        <w:rPr>
          <w:rFonts w:ascii="Arial" w:hAnsi="Arial" w:cs="Arial"/>
          <w:lang w:val="fr-FR"/>
        </w:rPr>
        <w:t xml:space="preserve"> — actuellement en cours de mise en œuvre et qui doit se poursuivre.</w:t>
      </w:r>
    </w:p>
    <w:p w14:paraId="3C0458FB" w14:textId="77777777" w:rsidR="00871D8A" w:rsidRPr="00414183" w:rsidRDefault="00871D8A" w:rsidP="00871D8A">
      <w:pPr>
        <w:pStyle w:val="NoSpacing"/>
        <w:rPr>
          <w:rFonts w:ascii="Arial" w:hAnsi="Arial" w:cs="Arial"/>
          <w:lang w:val="fr-FR"/>
        </w:rPr>
      </w:pPr>
    </w:p>
    <w:p w14:paraId="0DD667AF" w14:textId="77777777" w:rsidR="00871D8A" w:rsidRPr="00414183" w:rsidRDefault="00871D8A" w:rsidP="00871D8A">
      <w:pPr>
        <w:pStyle w:val="NoSpacing"/>
        <w:spacing w:after="40"/>
        <w:rPr>
          <w:rFonts w:ascii="Arial" w:hAnsi="Arial" w:cs="Arial"/>
          <w:i/>
          <w:iCs/>
          <w:lang w:val="fr-FR"/>
        </w:rPr>
      </w:pPr>
      <w:r w:rsidRPr="00414183">
        <w:rPr>
          <w:rFonts w:ascii="Arial" w:hAnsi="Arial" w:cs="Arial"/>
          <w:i/>
          <w:iCs/>
          <w:lang w:val="fr-FR"/>
        </w:rPr>
        <w:t>Aire de répartition géographique</w:t>
      </w:r>
    </w:p>
    <w:p w14:paraId="75545786" w14:textId="77777777" w:rsidR="00871D8A" w:rsidRPr="00414183" w:rsidRDefault="00871D8A" w:rsidP="00871D8A">
      <w:pPr>
        <w:pStyle w:val="NoSpacing"/>
        <w:spacing w:after="40"/>
        <w:rPr>
          <w:rFonts w:ascii="Arial" w:hAnsi="Arial" w:cs="Arial"/>
          <w:lang w:val="fr-FR"/>
        </w:rPr>
      </w:pPr>
      <w:r w:rsidRPr="00414183">
        <w:rPr>
          <w:rFonts w:ascii="Arial" w:hAnsi="Arial" w:cs="Arial"/>
          <w:b/>
          <w:bCs/>
          <w:lang w:val="fr-FR"/>
        </w:rPr>
        <w:t>Aire de reproduction</w:t>
      </w:r>
      <w:r w:rsidRPr="00414183">
        <w:rPr>
          <w:rFonts w:ascii="Arial" w:hAnsi="Arial" w:cs="Arial"/>
          <w:lang w:val="fr-FR"/>
        </w:rPr>
        <w:t xml:space="preserve"> (comprend les oiseaux de l’aire de reproduction qui peuvent ne pas se reproduire, tels que les oiseaux immatures)</w:t>
      </w:r>
    </w:p>
    <w:p w14:paraId="3FAE9D4D" w14:textId="77777777" w:rsidR="00871D8A" w:rsidRPr="00414183" w:rsidRDefault="00871D8A" w:rsidP="00871D8A">
      <w:pPr>
        <w:pStyle w:val="NoSpacing"/>
        <w:spacing w:after="40"/>
        <w:rPr>
          <w:rFonts w:ascii="Arial" w:hAnsi="Arial" w:cs="Arial"/>
          <w:b/>
          <w:bCs/>
          <w:lang w:val="fr-FR"/>
        </w:rPr>
      </w:pPr>
      <w:r w:rsidRPr="00414183">
        <w:rPr>
          <w:rFonts w:ascii="Arial" w:hAnsi="Arial" w:cs="Arial"/>
          <w:b/>
          <w:bCs/>
          <w:lang w:val="fr-FR"/>
        </w:rPr>
        <w:t xml:space="preserve">Moyen-Orient et Afrique du Nord </w:t>
      </w:r>
    </w:p>
    <w:p w14:paraId="28D562EC" w14:textId="77777777" w:rsidR="00871D8A" w:rsidRPr="00414183" w:rsidRDefault="00871D8A" w:rsidP="00871D8A">
      <w:pPr>
        <w:pStyle w:val="NoSpacing"/>
        <w:spacing w:after="40"/>
        <w:rPr>
          <w:rFonts w:ascii="Arial" w:hAnsi="Arial" w:cs="Arial"/>
          <w:b/>
          <w:bCs/>
          <w:lang w:val="fr-FR"/>
        </w:rPr>
      </w:pPr>
      <w:r w:rsidRPr="00414183">
        <w:rPr>
          <w:rFonts w:ascii="Arial" w:hAnsi="Arial" w:cs="Arial"/>
          <w:b/>
          <w:bCs/>
          <w:lang w:val="fr-FR"/>
        </w:rPr>
        <w:t>Asie du Sud et du Sud-Est</w:t>
      </w:r>
    </w:p>
    <w:p w14:paraId="1D40CA4F" w14:textId="77777777" w:rsidR="00871D8A" w:rsidRPr="00414183" w:rsidRDefault="00871D8A" w:rsidP="00871D8A">
      <w:pPr>
        <w:pStyle w:val="NoSpacing"/>
        <w:rPr>
          <w:rFonts w:ascii="Arial" w:hAnsi="Arial" w:cs="Arial"/>
          <w:b/>
          <w:bCs/>
          <w:lang w:val="fr-FR"/>
        </w:rPr>
      </w:pPr>
      <w:r w:rsidRPr="00414183">
        <w:rPr>
          <w:rFonts w:ascii="Arial" w:hAnsi="Arial" w:cs="Arial"/>
          <w:b/>
          <w:bCs/>
          <w:lang w:val="fr-FR"/>
        </w:rPr>
        <w:t>Afrique subsaharienne</w:t>
      </w:r>
    </w:p>
    <w:p w14:paraId="599DF29E" w14:textId="77777777" w:rsidR="00871D8A" w:rsidRPr="00414183" w:rsidRDefault="00871D8A" w:rsidP="00871D8A">
      <w:pPr>
        <w:rPr>
          <w:rFonts w:cs="Arial"/>
          <w:lang w:val="fr-FR"/>
        </w:rPr>
        <w:sectPr w:rsidR="00871D8A" w:rsidRPr="00414183" w:rsidSect="00871D8A">
          <w:pgSz w:w="16838" w:h="11906" w:orient="landscape"/>
          <w:pgMar w:top="1440" w:right="1440" w:bottom="1440" w:left="1440" w:header="708" w:footer="708" w:gutter="0"/>
          <w:cols w:space="708"/>
          <w:docGrid w:linePitch="360"/>
        </w:sectPr>
      </w:pPr>
    </w:p>
    <w:p w14:paraId="1B7180E6" w14:textId="77777777" w:rsidR="00871D8A" w:rsidRPr="00414183" w:rsidRDefault="00871D8A" w:rsidP="004C317E">
      <w:pPr>
        <w:pStyle w:val="Heading1"/>
        <w:spacing w:before="0" w:line="240" w:lineRule="auto"/>
        <w:jc w:val="both"/>
        <w:rPr>
          <w:rFonts w:ascii="Arial" w:hAnsi="Arial" w:cs="Arial"/>
          <w:b/>
          <w:bCs/>
          <w:color w:val="auto"/>
          <w:sz w:val="22"/>
          <w:szCs w:val="22"/>
          <w:lang w:val="fr-FR"/>
        </w:rPr>
      </w:pPr>
      <w:r w:rsidRPr="00414183">
        <w:rPr>
          <w:rFonts w:ascii="Arial" w:hAnsi="Arial" w:cs="Arial"/>
          <w:b/>
          <w:bCs/>
          <w:color w:val="auto"/>
          <w:sz w:val="22"/>
          <w:szCs w:val="22"/>
          <w:lang w:val="fr-FR"/>
        </w:rPr>
        <w:lastRenderedPageBreak/>
        <w:t>ÉVALUATION DE LA MENACE</w:t>
      </w:r>
    </w:p>
    <w:p w14:paraId="6C6AC7CD" w14:textId="77777777" w:rsidR="00871D8A" w:rsidRPr="00871D8A" w:rsidRDefault="00871D8A" w:rsidP="004C317E">
      <w:pPr>
        <w:spacing w:after="0" w:line="240" w:lineRule="auto"/>
        <w:rPr>
          <w:lang w:val="fr-FR"/>
        </w:rPr>
      </w:pPr>
    </w:p>
    <w:p w14:paraId="577FF1EA" w14:textId="77777777" w:rsidR="00871D8A" w:rsidRPr="00414183" w:rsidRDefault="00871D8A" w:rsidP="004C317E">
      <w:pPr>
        <w:keepNext/>
        <w:spacing w:after="0" w:line="240" w:lineRule="auto"/>
        <w:jc w:val="both"/>
        <w:rPr>
          <w:rFonts w:cs="Arial"/>
          <w:lang w:val="fr-FR"/>
        </w:rPr>
      </w:pPr>
      <w:r w:rsidRPr="00414183">
        <w:rPr>
          <w:rFonts w:cs="Arial"/>
          <w:lang w:val="fr-FR"/>
        </w:rPr>
        <w:t xml:space="preserve">Il est essentiel de bien comprendre les facteurs de déclin des populations d’aigles des steppes pour mettre fin à ce déclin et l’inverser. La cartographie et le classement des menaces ont été réalisés dans le cadre d’un atelier d’experts internationaux qui s’est tenu en mai 2025 à Astana, au Kazakhstan. Les réponses à un questionnaire envoyé aux experts des États de l’aire de répartition, aux points focaux de la CMS et aux points de contact du MdE Rapaces ont également été prises en considération. </w:t>
      </w:r>
    </w:p>
    <w:p w14:paraId="62709451" w14:textId="77777777" w:rsidR="00871D8A" w:rsidRPr="00414183" w:rsidRDefault="00871D8A" w:rsidP="004C317E">
      <w:pPr>
        <w:keepNext/>
        <w:spacing w:after="0" w:line="240" w:lineRule="auto"/>
        <w:jc w:val="both"/>
        <w:rPr>
          <w:rFonts w:cs="Arial"/>
          <w:lang w:val="fr-FR"/>
        </w:rPr>
      </w:pPr>
    </w:p>
    <w:p w14:paraId="13F6E05D" w14:textId="77777777" w:rsidR="00871D8A" w:rsidRPr="00414183" w:rsidRDefault="00871D8A" w:rsidP="00871D8A">
      <w:pPr>
        <w:keepNext/>
        <w:jc w:val="both"/>
        <w:rPr>
          <w:rFonts w:cs="Arial"/>
          <w:lang w:val="fr-FR"/>
        </w:rPr>
      </w:pPr>
    </w:p>
    <w:p w14:paraId="010A09B5" w14:textId="77777777" w:rsidR="00871D8A" w:rsidRPr="00414183" w:rsidRDefault="00871D8A" w:rsidP="00871D8A">
      <w:pPr>
        <w:keepNext/>
        <w:jc w:val="both"/>
        <w:rPr>
          <w:rFonts w:cs="Arial"/>
          <w:lang w:val="fr-FR"/>
        </w:rPr>
      </w:pPr>
    </w:p>
    <w:p w14:paraId="792327E3" w14:textId="77777777" w:rsidR="00871D8A" w:rsidRPr="00414183" w:rsidRDefault="00871D8A" w:rsidP="00871D8A">
      <w:pPr>
        <w:pStyle w:val="Caption"/>
        <w:rPr>
          <w:rFonts w:ascii="Arial" w:hAnsi="Arial" w:cs="Arial"/>
          <w:lang w:val="fr-FR"/>
        </w:rPr>
      </w:pPr>
      <w:r w:rsidRPr="00414183">
        <w:rPr>
          <w:rFonts w:ascii="Arial" w:hAnsi="Arial" w:cs="Arial"/>
          <w:lang w:val="fr-FR"/>
        </w:rPr>
        <w:t xml:space="preserve"> </w:t>
      </w:r>
      <w:r w:rsidRPr="00414183">
        <w:rPr>
          <w:rFonts w:ascii="Arial" w:hAnsi="Arial" w:cs="Arial"/>
          <w:noProof/>
          <w:lang w:val="fr-FR"/>
        </w:rPr>
        <w:drawing>
          <wp:inline distT="0" distB="0" distL="0" distR="0" wp14:anchorId="4C4B4DCE" wp14:editId="46BDFC39">
            <wp:extent cx="5718728" cy="3443936"/>
            <wp:effectExtent l="0" t="0" r="0" b="4445"/>
            <wp:docPr id="1338769809"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69809" name="Picture 1" descr="A diagram of a diagram&#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18728" cy="3443936"/>
                    </a:xfrm>
                    <a:prstGeom prst="rect">
                      <a:avLst/>
                    </a:prstGeom>
                  </pic:spPr>
                </pic:pic>
              </a:graphicData>
            </a:graphic>
          </wp:inline>
        </w:drawing>
      </w:r>
      <w:r w:rsidRPr="00414183">
        <w:rPr>
          <w:rFonts w:ascii="Arial" w:hAnsi="Arial" w:cs="Arial"/>
          <w:lang w:val="fr-FR"/>
        </w:rPr>
        <w:t>Figure </w:t>
      </w:r>
      <w:r w:rsidRPr="00414183">
        <w:rPr>
          <w:rFonts w:ascii="Arial" w:hAnsi="Arial" w:cs="Arial"/>
          <w:lang w:val="fr-FR"/>
        </w:rPr>
        <w:fldChar w:fldCharType="begin"/>
      </w:r>
      <w:r w:rsidRPr="00414183">
        <w:rPr>
          <w:rFonts w:ascii="Arial" w:hAnsi="Arial" w:cs="Arial"/>
          <w:lang w:val="fr-FR"/>
        </w:rPr>
        <w:instrText xml:space="preserve"> SEQ Figure \* ARABIC </w:instrText>
      </w:r>
      <w:r w:rsidRPr="00414183">
        <w:rPr>
          <w:rFonts w:ascii="Arial" w:hAnsi="Arial" w:cs="Arial"/>
          <w:lang w:val="fr-FR"/>
        </w:rPr>
        <w:fldChar w:fldCharType="separate"/>
      </w:r>
      <w:r w:rsidRPr="00414183">
        <w:rPr>
          <w:rFonts w:ascii="Arial" w:hAnsi="Arial" w:cs="Arial"/>
          <w:lang w:val="fr-FR"/>
        </w:rPr>
        <w:t>2</w:t>
      </w:r>
      <w:r w:rsidRPr="00414183">
        <w:rPr>
          <w:rFonts w:ascii="Arial" w:hAnsi="Arial" w:cs="Arial"/>
          <w:lang w:val="fr-FR"/>
        </w:rPr>
        <w:fldChar w:fldCharType="end"/>
      </w:r>
      <w:r w:rsidRPr="00414183">
        <w:rPr>
          <w:rFonts w:ascii="Arial" w:hAnsi="Arial" w:cs="Arial"/>
          <w:lang w:val="fr-FR"/>
        </w:rPr>
        <w:t xml:space="preserve"> — Arbre des problèmes et cartographie des menaces pour l’aigle des steppes montrant les </w:t>
      </w:r>
      <w:r w:rsidRPr="00414183">
        <w:rPr>
          <w:rFonts w:ascii="Arial" w:hAnsi="Arial" w:cs="Arial"/>
          <w:color w:val="00B0F0"/>
          <w:lang w:val="fr-FR"/>
        </w:rPr>
        <w:t>facteurs</w:t>
      </w:r>
      <w:r w:rsidRPr="00414183">
        <w:rPr>
          <w:rFonts w:ascii="Arial" w:hAnsi="Arial" w:cs="Arial"/>
          <w:lang w:val="fr-FR"/>
        </w:rPr>
        <w:t>, les</w:t>
      </w:r>
      <w:r w:rsidRPr="00414183">
        <w:rPr>
          <w:rFonts w:ascii="Arial" w:hAnsi="Arial" w:cs="Arial"/>
          <w:color w:val="0070C0"/>
          <w:lang w:val="fr-FR"/>
        </w:rPr>
        <w:t xml:space="preserve"> menaces</w:t>
      </w:r>
      <w:r w:rsidRPr="00414183">
        <w:rPr>
          <w:rFonts w:ascii="Arial" w:hAnsi="Arial" w:cs="Arial"/>
          <w:lang w:val="fr-FR"/>
        </w:rPr>
        <w:t xml:space="preserve">, les </w:t>
      </w:r>
      <w:r w:rsidRPr="00414183">
        <w:rPr>
          <w:rFonts w:ascii="Arial" w:hAnsi="Arial" w:cs="Arial"/>
          <w:color w:val="FF0000"/>
          <w:lang w:val="fr-FR"/>
        </w:rPr>
        <w:t>impacts</w:t>
      </w:r>
      <w:r w:rsidRPr="00414183">
        <w:rPr>
          <w:rFonts w:ascii="Arial" w:hAnsi="Arial" w:cs="Arial"/>
          <w:lang w:val="fr-FR"/>
        </w:rPr>
        <w:t xml:space="preserve"> et le </w:t>
      </w:r>
      <w:r w:rsidRPr="00414183">
        <w:rPr>
          <w:rFonts w:ascii="Arial" w:hAnsi="Arial" w:cs="Arial"/>
          <w:color w:val="auto"/>
          <w:shd w:val="clear" w:color="auto" w:fill="F4B083" w:themeFill="accent2" w:themeFillTint="99"/>
          <w:lang w:val="fr-FR"/>
        </w:rPr>
        <w:t>résultat global</w:t>
      </w:r>
      <w:r w:rsidRPr="00414183">
        <w:rPr>
          <w:rFonts w:ascii="Arial" w:hAnsi="Arial" w:cs="Arial"/>
          <w:color w:val="FF0000"/>
          <w:lang w:val="fr-FR"/>
        </w:rPr>
        <w:t xml:space="preserve"> </w:t>
      </w:r>
      <w:r w:rsidRPr="00414183">
        <w:rPr>
          <w:rFonts w:ascii="Arial" w:hAnsi="Arial" w:cs="Arial"/>
          <w:lang w:val="fr-FR"/>
        </w:rPr>
        <w:t>(déclin). Une ligne en pointillé indique que le facteur ou le lien est moins bien compris.</w:t>
      </w:r>
    </w:p>
    <w:p w14:paraId="54BE2614" w14:textId="77777777" w:rsidR="00871D8A" w:rsidRPr="00414183" w:rsidRDefault="00871D8A" w:rsidP="004C317E">
      <w:pPr>
        <w:keepNext/>
        <w:spacing w:after="0" w:line="240" w:lineRule="auto"/>
        <w:rPr>
          <w:rFonts w:cs="Arial"/>
          <w:lang w:val="fr-FR"/>
        </w:rPr>
      </w:pPr>
      <w:r w:rsidRPr="00414183">
        <w:rPr>
          <w:rFonts w:cs="Arial"/>
          <w:lang w:val="fr-FR"/>
        </w:rPr>
        <w:t xml:space="preserve">La cartographie des menaces qui constituent l’arbre des problèmes dans la figure 2 recense les menaces pesant sur l’aigle des steppes ainsi que les facteurs à l’origine de ces menaces, la manière dont chaque menace affecte l’espèce (par exemple, en réduisant la survie à l’âge adulte ou en impactant la productivité), et si ces liens sont prouvés ou supposés. </w:t>
      </w:r>
    </w:p>
    <w:p w14:paraId="1DC7A0F7" w14:textId="77777777" w:rsidR="00871D8A" w:rsidRPr="00414183" w:rsidRDefault="00871D8A" w:rsidP="00871D8A">
      <w:pPr>
        <w:keepNext/>
        <w:rPr>
          <w:rFonts w:cs="Arial"/>
          <w:highlight w:val="yellow"/>
          <w:lang w:val="fr-FR"/>
        </w:rPr>
      </w:pPr>
    </w:p>
    <w:p w14:paraId="0E76D317" w14:textId="77777777" w:rsidR="00871D8A" w:rsidRPr="00414183" w:rsidRDefault="00871D8A" w:rsidP="00871D8A">
      <w:pPr>
        <w:rPr>
          <w:rFonts w:cs="Arial"/>
          <w:lang w:val="fr-FR"/>
        </w:rPr>
      </w:pPr>
      <w:bookmarkStart w:id="5" w:name="_Ref210034125"/>
    </w:p>
    <w:p w14:paraId="7F8CC509" w14:textId="77777777" w:rsidR="00871D8A" w:rsidRPr="00414183" w:rsidRDefault="00871D8A" w:rsidP="00871D8A">
      <w:pPr>
        <w:pStyle w:val="Caption"/>
        <w:keepNext/>
        <w:rPr>
          <w:rFonts w:ascii="Arial" w:hAnsi="Arial" w:cs="Arial"/>
          <w:lang w:val="fr-FR"/>
        </w:rPr>
      </w:pPr>
    </w:p>
    <w:p w14:paraId="566FE680" w14:textId="77777777" w:rsidR="00871D8A" w:rsidRPr="00414183" w:rsidRDefault="00871D8A" w:rsidP="00871D8A">
      <w:pPr>
        <w:rPr>
          <w:rFonts w:cs="Arial"/>
          <w:lang w:val="fr-FR"/>
        </w:rPr>
      </w:pPr>
      <w:r w:rsidRPr="00414183">
        <w:rPr>
          <w:rFonts w:cs="Arial"/>
          <w:lang w:val="fr-FR"/>
        </w:rPr>
        <w:br w:type="page"/>
      </w:r>
    </w:p>
    <w:bookmarkEnd w:id="5"/>
    <w:p w14:paraId="1DEA9CA3" w14:textId="77777777" w:rsidR="00871D8A" w:rsidRPr="00414183" w:rsidRDefault="00871D8A" w:rsidP="00871D8A">
      <w:pPr>
        <w:rPr>
          <w:rFonts w:cs="Arial"/>
          <w:sz w:val="18"/>
          <w:szCs w:val="18"/>
          <w:lang w:val="fr-FR"/>
        </w:rPr>
      </w:pPr>
    </w:p>
    <w:tbl>
      <w:tblPr>
        <w:tblStyle w:val="TableGrid"/>
        <w:tblW w:w="9351" w:type="dxa"/>
        <w:tblLook w:val="04A0" w:firstRow="1" w:lastRow="0" w:firstColumn="1" w:lastColumn="0" w:noHBand="0" w:noVBand="1"/>
      </w:tblPr>
      <w:tblGrid>
        <w:gridCol w:w="2369"/>
        <w:gridCol w:w="1304"/>
        <w:gridCol w:w="222"/>
        <w:gridCol w:w="1573"/>
        <w:gridCol w:w="1122"/>
        <w:gridCol w:w="1769"/>
        <w:gridCol w:w="1122"/>
      </w:tblGrid>
      <w:tr w:rsidR="00871D8A" w:rsidRPr="001622FB" w14:paraId="79272027" w14:textId="77777777" w:rsidTr="00B66A42">
        <w:tc>
          <w:tcPr>
            <w:tcW w:w="2243" w:type="dxa"/>
          </w:tcPr>
          <w:p w14:paraId="4C87CE6A" w14:textId="77777777" w:rsidR="00871D8A" w:rsidRPr="00414183" w:rsidRDefault="00871D8A" w:rsidP="00B66A42">
            <w:pPr>
              <w:rPr>
                <w:rFonts w:cs="Arial"/>
                <w:b/>
                <w:bCs/>
                <w:lang w:val="fr-FR"/>
              </w:rPr>
            </w:pPr>
            <w:r w:rsidRPr="00414183">
              <w:rPr>
                <w:rFonts w:cs="Arial"/>
                <w:b/>
                <w:bCs/>
                <w:lang w:val="fr-FR"/>
              </w:rPr>
              <w:t>Menace</w:t>
            </w:r>
          </w:p>
        </w:tc>
        <w:tc>
          <w:tcPr>
            <w:tcW w:w="1241" w:type="dxa"/>
          </w:tcPr>
          <w:p w14:paraId="11069100" w14:textId="77777777" w:rsidR="00871D8A" w:rsidRPr="00414183" w:rsidRDefault="00871D8A" w:rsidP="00B66A42">
            <w:pPr>
              <w:rPr>
                <w:rFonts w:cs="Arial"/>
                <w:b/>
                <w:bCs/>
                <w:lang w:val="fr-FR"/>
              </w:rPr>
            </w:pPr>
            <w:r w:rsidRPr="00414183">
              <w:rPr>
                <w:rFonts w:cs="Arial"/>
                <w:b/>
                <w:bCs/>
                <w:lang w:val="fr-FR"/>
              </w:rPr>
              <w:t>Ensemble de l’aire de répartition</w:t>
            </w:r>
          </w:p>
        </w:tc>
        <w:tc>
          <w:tcPr>
            <w:tcW w:w="222" w:type="dxa"/>
          </w:tcPr>
          <w:p w14:paraId="43F57455" w14:textId="77777777" w:rsidR="00871D8A" w:rsidRPr="00414183" w:rsidRDefault="00871D8A" w:rsidP="00B66A42">
            <w:pPr>
              <w:rPr>
                <w:rFonts w:cs="Arial"/>
                <w:b/>
                <w:bCs/>
                <w:lang w:val="fr-FR"/>
              </w:rPr>
            </w:pPr>
          </w:p>
        </w:tc>
        <w:tc>
          <w:tcPr>
            <w:tcW w:w="1494" w:type="dxa"/>
          </w:tcPr>
          <w:p w14:paraId="3A7CB7B9" w14:textId="77777777" w:rsidR="00871D8A" w:rsidRPr="00414183" w:rsidRDefault="00871D8A" w:rsidP="00B66A42">
            <w:pPr>
              <w:rPr>
                <w:rFonts w:cs="Arial"/>
                <w:b/>
                <w:bCs/>
                <w:lang w:val="fr-FR"/>
              </w:rPr>
            </w:pPr>
            <w:r w:rsidRPr="00414183">
              <w:rPr>
                <w:rFonts w:cs="Arial"/>
                <w:b/>
                <w:bCs/>
                <w:lang w:val="fr-FR"/>
              </w:rPr>
              <w:t>Aire de reproduction</w:t>
            </w:r>
          </w:p>
        </w:tc>
        <w:tc>
          <w:tcPr>
            <w:tcW w:w="1069" w:type="dxa"/>
          </w:tcPr>
          <w:p w14:paraId="5DA0FBB0" w14:textId="77777777" w:rsidR="00871D8A" w:rsidRPr="00414183" w:rsidRDefault="00871D8A" w:rsidP="00B66A42">
            <w:pPr>
              <w:rPr>
                <w:rFonts w:cs="Arial"/>
                <w:b/>
                <w:bCs/>
                <w:lang w:val="fr-FR"/>
              </w:rPr>
            </w:pPr>
            <w:r w:rsidRPr="00414183">
              <w:rPr>
                <w:rFonts w:cs="Arial"/>
                <w:b/>
                <w:bCs/>
                <w:lang w:val="fr-FR"/>
              </w:rPr>
              <w:t>Moyen-Orient et Afrique du Nord</w:t>
            </w:r>
          </w:p>
        </w:tc>
        <w:tc>
          <w:tcPr>
            <w:tcW w:w="1678" w:type="dxa"/>
          </w:tcPr>
          <w:p w14:paraId="03E473B8" w14:textId="77777777" w:rsidR="00871D8A" w:rsidRPr="00414183" w:rsidRDefault="00871D8A" w:rsidP="00B66A42">
            <w:pPr>
              <w:rPr>
                <w:rFonts w:cs="Arial"/>
                <w:b/>
                <w:bCs/>
                <w:lang w:val="fr-FR"/>
              </w:rPr>
            </w:pPr>
            <w:r w:rsidRPr="00414183">
              <w:rPr>
                <w:rFonts w:cs="Arial"/>
                <w:b/>
                <w:bCs/>
                <w:lang w:val="fr-FR"/>
              </w:rPr>
              <w:t xml:space="preserve">Afrique subsaharienne </w:t>
            </w:r>
          </w:p>
        </w:tc>
        <w:tc>
          <w:tcPr>
            <w:tcW w:w="1404" w:type="dxa"/>
          </w:tcPr>
          <w:p w14:paraId="6E381915" w14:textId="77777777" w:rsidR="00871D8A" w:rsidRPr="00414183" w:rsidRDefault="00871D8A" w:rsidP="00B66A42">
            <w:pPr>
              <w:rPr>
                <w:rFonts w:cs="Arial"/>
                <w:b/>
                <w:bCs/>
                <w:lang w:val="fr-FR"/>
              </w:rPr>
            </w:pPr>
            <w:r w:rsidRPr="00414183">
              <w:rPr>
                <w:rFonts w:cs="Arial"/>
                <w:b/>
                <w:bCs/>
                <w:lang w:val="fr-FR"/>
              </w:rPr>
              <w:t>Asie du Sud et du Sud-Est</w:t>
            </w:r>
          </w:p>
        </w:tc>
      </w:tr>
      <w:tr w:rsidR="00871D8A" w:rsidRPr="00414183" w14:paraId="20139DFC" w14:textId="77777777" w:rsidTr="00B66A42">
        <w:tc>
          <w:tcPr>
            <w:tcW w:w="9351" w:type="dxa"/>
            <w:gridSpan w:val="7"/>
          </w:tcPr>
          <w:p w14:paraId="6D097D2A" w14:textId="77777777" w:rsidR="00871D8A" w:rsidRPr="00414183" w:rsidRDefault="00871D8A" w:rsidP="00B66A42">
            <w:pPr>
              <w:rPr>
                <w:rFonts w:cs="Arial"/>
                <w:i/>
                <w:iCs/>
                <w:lang w:val="fr-FR"/>
              </w:rPr>
            </w:pPr>
            <w:r w:rsidRPr="00414183">
              <w:rPr>
                <w:rFonts w:cs="Arial"/>
                <w:i/>
                <w:iCs/>
                <w:lang w:val="fr-FR"/>
              </w:rPr>
              <w:t>Infrastructure énergétique</w:t>
            </w:r>
          </w:p>
        </w:tc>
      </w:tr>
      <w:tr w:rsidR="00871D8A" w:rsidRPr="00414183" w14:paraId="7FEB3435" w14:textId="77777777" w:rsidTr="00B66A42">
        <w:tc>
          <w:tcPr>
            <w:tcW w:w="2243" w:type="dxa"/>
          </w:tcPr>
          <w:p w14:paraId="2BA08B6A" w14:textId="77777777" w:rsidR="00871D8A" w:rsidRPr="00414183" w:rsidRDefault="00871D8A" w:rsidP="00B66A42">
            <w:pPr>
              <w:rPr>
                <w:rFonts w:cs="Arial"/>
                <w:lang w:val="fr-FR"/>
              </w:rPr>
            </w:pPr>
            <w:r w:rsidRPr="00414183">
              <w:rPr>
                <w:rFonts w:cs="Arial"/>
                <w:lang w:val="fr-FR"/>
              </w:rPr>
              <w:t>Électrocution</w:t>
            </w:r>
          </w:p>
        </w:tc>
        <w:tc>
          <w:tcPr>
            <w:tcW w:w="1241" w:type="dxa"/>
            <w:shd w:val="clear" w:color="auto" w:fill="C00000"/>
            <w:vAlign w:val="center"/>
          </w:tcPr>
          <w:p w14:paraId="49112432" w14:textId="77777777" w:rsidR="00871D8A" w:rsidRPr="00414183" w:rsidRDefault="00871D8A" w:rsidP="00B66A42">
            <w:pPr>
              <w:jc w:val="center"/>
              <w:rPr>
                <w:rFonts w:cs="Arial"/>
                <w:lang w:val="fr-FR"/>
              </w:rPr>
            </w:pPr>
            <w:r w:rsidRPr="00414183">
              <w:rPr>
                <w:rFonts w:cs="Arial"/>
                <w:lang w:val="fr-FR"/>
              </w:rPr>
              <w:t>Élevée</w:t>
            </w:r>
          </w:p>
        </w:tc>
        <w:tc>
          <w:tcPr>
            <w:tcW w:w="222" w:type="dxa"/>
            <w:vAlign w:val="center"/>
          </w:tcPr>
          <w:p w14:paraId="31A65EF7" w14:textId="77777777" w:rsidR="00871D8A" w:rsidRPr="00414183" w:rsidRDefault="00871D8A" w:rsidP="00B66A42">
            <w:pPr>
              <w:jc w:val="center"/>
              <w:rPr>
                <w:rFonts w:cs="Arial"/>
                <w:lang w:val="fr-FR"/>
              </w:rPr>
            </w:pPr>
          </w:p>
        </w:tc>
        <w:tc>
          <w:tcPr>
            <w:tcW w:w="1494" w:type="dxa"/>
            <w:shd w:val="clear" w:color="auto" w:fill="C00000"/>
            <w:vAlign w:val="center"/>
          </w:tcPr>
          <w:p w14:paraId="56960A89" w14:textId="77777777" w:rsidR="00871D8A" w:rsidRPr="00414183" w:rsidRDefault="00871D8A" w:rsidP="00B66A42">
            <w:pPr>
              <w:jc w:val="center"/>
              <w:rPr>
                <w:rFonts w:cs="Arial"/>
                <w:lang w:val="fr-FR"/>
              </w:rPr>
            </w:pPr>
            <w:r w:rsidRPr="00414183">
              <w:rPr>
                <w:rFonts w:cs="Arial"/>
                <w:lang w:val="fr-FR"/>
              </w:rPr>
              <w:t>Élevée</w:t>
            </w:r>
          </w:p>
        </w:tc>
        <w:tc>
          <w:tcPr>
            <w:tcW w:w="1069" w:type="dxa"/>
            <w:shd w:val="clear" w:color="auto" w:fill="C00000"/>
            <w:vAlign w:val="center"/>
          </w:tcPr>
          <w:p w14:paraId="551F1DAF" w14:textId="77777777" w:rsidR="00871D8A" w:rsidRPr="00414183" w:rsidRDefault="00871D8A" w:rsidP="00B66A42">
            <w:pPr>
              <w:jc w:val="center"/>
              <w:rPr>
                <w:rFonts w:cs="Arial"/>
                <w:lang w:val="fr-FR"/>
              </w:rPr>
            </w:pPr>
            <w:r w:rsidRPr="00414183">
              <w:rPr>
                <w:rFonts w:cs="Arial"/>
                <w:lang w:val="fr-FR"/>
              </w:rPr>
              <w:t>Élevée</w:t>
            </w:r>
          </w:p>
        </w:tc>
        <w:tc>
          <w:tcPr>
            <w:tcW w:w="1678" w:type="dxa"/>
            <w:shd w:val="clear" w:color="auto" w:fill="C00000"/>
            <w:vAlign w:val="center"/>
          </w:tcPr>
          <w:p w14:paraId="25C29C57" w14:textId="77777777" w:rsidR="00871D8A" w:rsidRPr="00414183" w:rsidRDefault="00871D8A" w:rsidP="00B66A42">
            <w:pPr>
              <w:jc w:val="center"/>
              <w:rPr>
                <w:rFonts w:cs="Arial"/>
                <w:lang w:val="fr-FR"/>
              </w:rPr>
            </w:pPr>
            <w:r w:rsidRPr="00414183">
              <w:rPr>
                <w:rFonts w:cs="Arial"/>
                <w:lang w:val="fr-FR"/>
              </w:rPr>
              <w:t>Élevée</w:t>
            </w:r>
          </w:p>
        </w:tc>
        <w:tc>
          <w:tcPr>
            <w:tcW w:w="1404" w:type="dxa"/>
            <w:shd w:val="clear" w:color="auto" w:fill="C00000"/>
            <w:vAlign w:val="center"/>
          </w:tcPr>
          <w:p w14:paraId="35F4804F" w14:textId="77777777" w:rsidR="00871D8A" w:rsidRPr="00414183" w:rsidRDefault="00871D8A" w:rsidP="00B66A42">
            <w:pPr>
              <w:jc w:val="center"/>
              <w:rPr>
                <w:rFonts w:cs="Arial"/>
                <w:lang w:val="fr-FR"/>
              </w:rPr>
            </w:pPr>
            <w:r w:rsidRPr="00414183">
              <w:rPr>
                <w:rFonts w:cs="Arial"/>
                <w:lang w:val="fr-FR"/>
              </w:rPr>
              <w:t>Élevée</w:t>
            </w:r>
          </w:p>
        </w:tc>
      </w:tr>
      <w:tr w:rsidR="00871D8A" w:rsidRPr="00414183" w14:paraId="5BC691BC" w14:textId="77777777" w:rsidTr="00B66A42">
        <w:tc>
          <w:tcPr>
            <w:tcW w:w="2243" w:type="dxa"/>
          </w:tcPr>
          <w:p w14:paraId="7D3EC977" w14:textId="77777777" w:rsidR="00871D8A" w:rsidRPr="00414183" w:rsidRDefault="00871D8A" w:rsidP="00B66A42">
            <w:pPr>
              <w:rPr>
                <w:rFonts w:cs="Arial"/>
                <w:lang w:val="fr-FR"/>
              </w:rPr>
            </w:pPr>
            <w:r w:rsidRPr="00414183">
              <w:rPr>
                <w:rFonts w:cs="Arial"/>
                <w:lang w:val="fr-FR"/>
              </w:rPr>
              <w:t>Parcs éoliens</w:t>
            </w:r>
          </w:p>
        </w:tc>
        <w:tc>
          <w:tcPr>
            <w:tcW w:w="1241" w:type="dxa"/>
            <w:shd w:val="clear" w:color="auto" w:fill="FFC000"/>
            <w:vAlign w:val="center"/>
          </w:tcPr>
          <w:p w14:paraId="6CC3CFF1" w14:textId="77777777" w:rsidR="00871D8A" w:rsidRPr="00414183" w:rsidRDefault="00871D8A" w:rsidP="00B66A42">
            <w:pPr>
              <w:jc w:val="center"/>
              <w:rPr>
                <w:rFonts w:cs="Arial"/>
                <w:lang w:val="fr-FR"/>
              </w:rPr>
            </w:pPr>
            <w:r w:rsidRPr="00414183">
              <w:rPr>
                <w:rFonts w:cs="Arial"/>
                <w:lang w:val="fr-FR"/>
              </w:rPr>
              <w:t>Moyenne</w:t>
            </w:r>
          </w:p>
        </w:tc>
        <w:tc>
          <w:tcPr>
            <w:tcW w:w="222" w:type="dxa"/>
            <w:vAlign w:val="center"/>
          </w:tcPr>
          <w:p w14:paraId="2F0D382E" w14:textId="77777777" w:rsidR="00871D8A" w:rsidRPr="00414183" w:rsidRDefault="00871D8A" w:rsidP="00B66A42">
            <w:pPr>
              <w:jc w:val="center"/>
              <w:rPr>
                <w:rFonts w:cs="Arial"/>
                <w:lang w:val="fr-FR"/>
              </w:rPr>
            </w:pPr>
          </w:p>
        </w:tc>
        <w:tc>
          <w:tcPr>
            <w:tcW w:w="1494" w:type="dxa"/>
            <w:shd w:val="clear" w:color="auto" w:fill="FFC000"/>
            <w:vAlign w:val="center"/>
          </w:tcPr>
          <w:p w14:paraId="2930F848" w14:textId="77777777" w:rsidR="00871D8A" w:rsidRPr="00414183" w:rsidRDefault="00871D8A" w:rsidP="00B66A42">
            <w:pPr>
              <w:jc w:val="center"/>
              <w:rPr>
                <w:rFonts w:cs="Arial"/>
                <w:lang w:val="fr-FR"/>
              </w:rPr>
            </w:pPr>
            <w:r w:rsidRPr="00414183">
              <w:rPr>
                <w:rFonts w:cs="Arial"/>
                <w:lang w:val="fr-FR"/>
              </w:rPr>
              <w:t>Moyenne</w:t>
            </w:r>
          </w:p>
        </w:tc>
        <w:tc>
          <w:tcPr>
            <w:tcW w:w="1069" w:type="dxa"/>
            <w:shd w:val="clear" w:color="auto" w:fill="FFC000"/>
            <w:vAlign w:val="center"/>
          </w:tcPr>
          <w:p w14:paraId="56B1A524" w14:textId="77777777" w:rsidR="00871D8A" w:rsidRPr="00414183" w:rsidRDefault="00871D8A" w:rsidP="00B66A42">
            <w:pPr>
              <w:jc w:val="center"/>
              <w:rPr>
                <w:rFonts w:cs="Arial"/>
                <w:lang w:val="fr-FR"/>
              </w:rPr>
            </w:pPr>
            <w:r w:rsidRPr="00414183">
              <w:rPr>
                <w:rFonts w:cs="Arial"/>
                <w:lang w:val="fr-FR"/>
              </w:rPr>
              <w:t>Moyenne</w:t>
            </w:r>
          </w:p>
        </w:tc>
        <w:tc>
          <w:tcPr>
            <w:tcW w:w="1678" w:type="dxa"/>
            <w:shd w:val="clear" w:color="auto" w:fill="C00000"/>
            <w:vAlign w:val="center"/>
          </w:tcPr>
          <w:p w14:paraId="78193EC0" w14:textId="77777777" w:rsidR="00871D8A" w:rsidRPr="00414183" w:rsidRDefault="00871D8A" w:rsidP="00B66A42">
            <w:pPr>
              <w:jc w:val="center"/>
              <w:rPr>
                <w:rFonts w:cs="Arial"/>
                <w:lang w:val="fr-FR"/>
              </w:rPr>
            </w:pPr>
            <w:r w:rsidRPr="00414183">
              <w:rPr>
                <w:rFonts w:cs="Arial"/>
                <w:lang w:val="fr-FR"/>
              </w:rPr>
              <w:t>Élevée</w:t>
            </w:r>
          </w:p>
        </w:tc>
        <w:tc>
          <w:tcPr>
            <w:tcW w:w="1404" w:type="dxa"/>
            <w:shd w:val="clear" w:color="auto" w:fill="FFC000"/>
            <w:vAlign w:val="center"/>
          </w:tcPr>
          <w:p w14:paraId="7B89426F" w14:textId="77777777" w:rsidR="00871D8A" w:rsidRPr="00414183" w:rsidRDefault="00871D8A" w:rsidP="00B66A42">
            <w:pPr>
              <w:jc w:val="center"/>
              <w:rPr>
                <w:rFonts w:cs="Arial"/>
                <w:lang w:val="fr-FR"/>
              </w:rPr>
            </w:pPr>
            <w:r w:rsidRPr="00414183">
              <w:rPr>
                <w:rFonts w:cs="Arial"/>
                <w:lang w:val="fr-FR"/>
              </w:rPr>
              <w:t>Moyenne</w:t>
            </w:r>
          </w:p>
        </w:tc>
      </w:tr>
      <w:tr w:rsidR="00871D8A" w:rsidRPr="00414183" w14:paraId="258F0D41" w14:textId="77777777" w:rsidTr="00B66A42">
        <w:tc>
          <w:tcPr>
            <w:tcW w:w="2243" w:type="dxa"/>
          </w:tcPr>
          <w:p w14:paraId="6BD1CB69" w14:textId="77777777" w:rsidR="00871D8A" w:rsidRPr="00414183" w:rsidRDefault="00871D8A" w:rsidP="00B66A42">
            <w:pPr>
              <w:rPr>
                <w:rFonts w:cs="Arial"/>
                <w:lang w:val="fr-FR"/>
              </w:rPr>
            </w:pPr>
            <w:r w:rsidRPr="00414183">
              <w:rPr>
                <w:rFonts w:cs="Arial"/>
                <w:lang w:val="fr-FR"/>
              </w:rPr>
              <w:t>Collision (lignes électriques)</w:t>
            </w:r>
          </w:p>
        </w:tc>
        <w:tc>
          <w:tcPr>
            <w:tcW w:w="1241" w:type="dxa"/>
            <w:shd w:val="clear" w:color="auto" w:fill="FFFF00"/>
            <w:vAlign w:val="center"/>
          </w:tcPr>
          <w:p w14:paraId="6A756D7C" w14:textId="77777777" w:rsidR="00871D8A" w:rsidRPr="00414183" w:rsidRDefault="00871D8A" w:rsidP="00B66A42">
            <w:pPr>
              <w:jc w:val="center"/>
              <w:rPr>
                <w:rFonts w:cs="Arial"/>
                <w:lang w:val="fr-FR"/>
              </w:rPr>
            </w:pPr>
            <w:r w:rsidRPr="00414183">
              <w:rPr>
                <w:rFonts w:cs="Arial"/>
                <w:lang w:val="fr-FR"/>
              </w:rPr>
              <w:t>Faible</w:t>
            </w:r>
          </w:p>
        </w:tc>
        <w:tc>
          <w:tcPr>
            <w:tcW w:w="222" w:type="dxa"/>
            <w:vAlign w:val="center"/>
          </w:tcPr>
          <w:p w14:paraId="35F60F14" w14:textId="77777777" w:rsidR="00871D8A" w:rsidRPr="00414183" w:rsidRDefault="00871D8A" w:rsidP="00B66A42">
            <w:pPr>
              <w:jc w:val="center"/>
              <w:rPr>
                <w:rFonts w:cs="Arial"/>
                <w:lang w:val="fr-FR"/>
              </w:rPr>
            </w:pPr>
          </w:p>
        </w:tc>
        <w:tc>
          <w:tcPr>
            <w:tcW w:w="1494" w:type="dxa"/>
            <w:shd w:val="clear" w:color="auto" w:fill="00B0F0"/>
            <w:vAlign w:val="center"/>
          </w:tcPr>
          <w:p w14:paraId="3BAD54B9" w14:textId="77777777" w:rsidR="00871D8A" w:rsidRPr="00414183" w:rsidRDefault="00871D8A" w:rsidP="00B66A42">
            <w:pPr>
              <w:jc w:val="center"/>
              <w:rPr>
                <w:rFonts w:cs="Arial"/>
                <w:lang w:val="fr-FR"/>
              </w:rPr>
            </w:pPr>
            <w:r w:rsidRPr="00414183">
              <w:rPr>
                <w:rFonts w:cs="Arial"/>
                <w:lang w:val="fr-FR"/>
              </w:rPr>
              <w:t>Inconnue</w:t>
            </w:r>
          </w:p>
        </w:tc>
        <w:tc>
          <w:tcPr>
            <w:tcW w:w="1069" w:type="dxa"/>
            <w:shd w:val="clear" w:color="auto" w:fill="FFFF00"/>
            <w:vAlign w:val="center"/>
          </w:tcPr>
          <w:p w14:paraId="03980A9D" w14:textId="77777777" w:rsidR="00871D8A" w:rsidRPr="00414183" w:rsidRDefault="00871D8A" w:rsidP="00B66A42">
            <w:pPr>
              <w:jc w:val="center"/>
              <w:rPr>
                <w:rFonts w:cs="Arial"/>
                <w:lang w:val="fr-FR"/>
              </w:rPr>
            </w:pPr>
            <w:r w:rsidRPr="00414183">
              <w:rPr>
                <w:rFonts w:cs="Arial"/>
                <w:lang w:val="fr-FR"/>
              </w:rPr>
              <w:t>Faible</w:t>
            </w:r>
          </w:p>
        </w:tc>
        <w:tc>
          <w:tcPr>
            <w:tcW w:w="1678" w:type="dxa"/>
            <w:shd w:val="clear" w:color="auto" w:fill="FFFF00"/>
            <w:vAlign w:val="center"/>
          </w:tcPr>
          <w:p w14:paraId="7ADBCE7F" w14:textId="77777777" w:rsidR="00871D8A" w:rsidRPr="00414183" w:rsidRDefault="00871D8A" w:rsidP="00B66A42">
            <w:pPr>
              <w:jc w:val="center"/>
              <w:rPr>
                <w:rFonts w:cs="Arial"/>
                <w:lang w:val="fr-FR"/>
              </w:rPr>
            </w:pPr>
            <w:r w:rsidRPr="00414183">
              <w:rPr>
                <w:rFonts w:cs="Arial"/>
                <w:lang w:val="fr-FR"/>
              </w:rPr>
              <w:t>Faible</w:t>
            </w:r>
          </w:p>
        </w:tc>
        <w:tc>
          <w:tcPr>
            <w:tcW w:w="1404" w:type="dxa"/>
            <w:shd w:val="clear" w:color="auto" w:fill="FFFF00"/>
            <w:vAlign w:val="center"/>
          </w:tcPr>
          <w:p w14:paraId="5D8DD772" w14:textId="77777777" w:rsidR="00871D8A" w:rsidRPr="00414183" w:rsidRDefault="00871D8A" w:rsidP="00B66A42">
            <w:pPr>
              <w:jc w:val="center"/>
              <w:rPr>
                <w:rFonts w:cs="Arial"/>
                <w:lang w:val="fr-FR"/>
              </w:rPr>
            </w:pPr>
            <w:r w:rsidRPr="00414183">
              <w:rPr>
                <w:rFonts w:cs="Arial"/>
                <w:lang w:val="fr-FR"/>
              </w:rPr>
              <w:t>Faible</w:t>
            </w:r>
          </w:p>
        </w:tc>
      </w:tr>
      <w:tr w:rsidR="00871D8A" w:rsidRPr="00414183" w14:paraId="1435228A" w14:textId="77777777" w:rsidTr="00B66A42">
        <w:tc>
          <w:tcPr>
            <w:tcW w:w="9351" w:type="dxa"/>
            <w:gridSpan w:val="7"/>
            <w:vAlign w:val="center"/>
          </w:tcPr>
          <w:p w14:paraId="7BFC2C1C" w14:textId="77777777" w:rsidR="00871D8A" w:rsidRPr="00414183" w:rsidRDefault="00871D8A" w:rsidP="00B66A42">
            <w:pPr>
              <w:rPr>
                <w:rFonts w:cs="Arial"/>
                <w:i/>
                <w:iCs/>
              </w:rPr>
            </w:pPr>
            <w:r w:rsidRPr="00414183">
              <w:rPr>
                <w:rFonts w:cs="Arial"/>
                <w:i/>
                <w:iCs/>
              </w:rPr>
              <w:t>Habitat</w:t>
            </w:r>
          </w:p>
        </w:tc>
      </w:tr>
      <w:tr w:rsidR="00871D8A" w:rsidRPr="00414183" w14:paraId="3FBFFC70" w14:textId="77777777" w:rsidTr="00B66A42">
        <w:tc>
          <w:tcPr>
            <w:tcW w:w="2243" w:type="dxa"/>
          </w:tcPr>
          <w:p w14:paraId="557ABF0E" w14:textId="77777777" w:rsidR="00871D8A" w:rsidRPr="00414183" w:rsidRDefault="00871D8A" w:rsidP="00B66A42">
            <w:pPr>
              <w:rPr>
                <w:rFonts w:cs="Arial"/>
                <w:lang w:val="fr-FR"/>
              </w:rPr>
            </w:pPr>
            <w:r w:rsidRPr="00414183">
              <w:rPr>
                <w:rFonts w:cs="Arial"/>
                <w:lang w:val="fr-FR"/>
              </w:rPr>
              <w:t>Manque de nourriture/disponibilité de proies</w:t>
            </w:r>
          </w:p>
        </w:tc>
        <w:tc>
          <w:tcPr>
            <w:tcW w:w="1241" w:type="dxa"/>
            <w:shd w:val="clear" w:color="auto" w:fill="C00000"/>
            <w:vAlign w:val="center"/>
          </w:tcPr>
          <w:p w14:paraId="61005B65" w14:textId="77777777" w:rsidR="00871D8A" w:rsidRPr="00414183" w:rsidRDefault="00871D8A" w:rsidP="00B66A42">
            <w:pPr>
              <w:jc w:val="center"/>
              <w:rPr>
                <w:rFonts w:cs="Arial"/>
                <w:lang w:val="fr-FR"/>
              </w:rPr>
            </w:pPr>
            <w:r w:rsidRPr="00414183">
              <w:rPr>
                <w:rFonts w:cs="Arial"/>
                <w:lang w:val="fr-FR"/>
              </w:rPr>
              <w:t>Élevée</w:t>
            </w:r>
          </w:p>
        </w:tc>
        <w:tc>
          <w:tcPr>
            <w:tcW w:w="222" w:type="dxa"/>
            <w:vAlign w:val="center"/>
          </w:tcPr>
          <w:p w14:paraId="65BF0D54" w14:textId="77777777" w:rsidR="00871D8A" w:rsidRPr="00414183" w:rsidRDefault="00871D8A" w:rsidP="00B66A42">
            <w:pPr>
              <w:jc w:val="center"/>
              <w:rPr>
                <w:rFonts w:cs="Arial"/>
                <w:lang w:val="fr-FR"/>
              </w:rPr>
            </w:pPr>
          </w:p>
        </w:tc>
        <w:tc>
          <w:tcPr>
            <w:tcW w:w="1494" w:type="dxa"/>
            <w:shd w:val="clear" w:color="auto" w:fill="C00000"/>
            <w:vAlign w:val="center"/>
          </w:tcPr>
          <w:p w14:paraId="6D6F2EF9" w14:textId="77777777" w:rsidR="00871D8A" w:rsidRPr="00414183" w:rsidRDefault="00871D8A" w:rsidP="00B66A42">
            <w:pPr>
              <w:jc w:val="center"/>
              <w:rPr>
                <w:rFonts w:cs="Arial"/>
                <w:lang w:val="fr-FR"/>
              </w:rPr>
            </w:pPr>
            <w:r w:rsidRPr="00414183">
              <w:rPr>
                <w:rFonts w:cs="Arial"/>
                <w:lang w:val="fr-FR"/>
              </w:rPr>
              <w:t>Élevée</w:t>
            </w:r>
          </w:p>
        </w:tc>
        <w:tc>
          <w:tcPr>
            <w:tcW w:w="1069" w:type="dxa"/>
            <w:shd w:val="clear" w:color="auto" w:fill="FFC000"/>
            <w:vAlign w:val="center"/>
          </w:tcPr>
          <w:p w14:paraId="5D69F008" w14:textId="77777777" w:rsidR="00871D8A" w:rsidRPr="00414183" w:rsidRDefault="00871D8A" w:rsidP="00B66A42">
            <w:pPr>
              <w:jc w:val="center"/>
              <w:rPr>
                <w:rFonts w:cs="Arial"/>
                <w:lang w:val="fr-FR"/>
              </w:rPr>
            </w:pPr>
            <w:r w:rsidRPr="00414183">
              <w:rPr>
                <w:rFonts w:cs="Arial"/>
                <w:lang w:val="fr-FR"/>
              </w:rPr>
              <w:t>Moyenne</w:t>
            </w:r>
          </w:p>
          <w:p w14:paraId="442A3A33" w14:textId="77777777" w:rsidR="00871D8A" w:rsidRPr="00414183" w:rsidRDefault="00871D8A" w:rsidP="00B66A42">
            <w:pPr>
              <w:jc w:val="center"/>
              <w:rPr>
                <w:rFonts w:cs="Arial"/>
                <w:lang w:val="fr-FR"/>
              </w:rPr>
            </w:pPr>
          </w:p>
        </w:tc>
        <w:tc>
          <w:tcPr>
            <w:tcW w:w="1678" w:type="dxa"/>
            <w:shd w:val="clear" w:color="auto" w:fill="D0CECE" w:themeFill="background2" w:themeFillShade="E6"/>
            <w:vAlign w:val="center"/>
          </w:tcPr>
          <w:p w14:paraId="23078175" w14:textId="77777777" w:rsidR="00871D8A" w:rsidRPr="00414183" w:rsidRDefault="00871D8A" w:rsidP="00B66A42">
            <w:pPr>
              <w:jc w:val="center"/>
              <w:rPr>
                <w:rFonts w:cs="Arial"/>
                <w:lang w:val="fr-FR"/>
              </w:rPr>
            </w:pPr>
          </w:p>
        </w:tc>
        <w:tc>
          <w:tcPr>
            <w:tcW w:w="1404" w:type="dxa"/>
            <w:shd w:val="clear" w:color="auto" w:fill="D0CECE" w:themeFill="background2" w:themeFillShade="E6"/>
            <w:vAlign w:val="center"/>
          </w:tcPr>
          <w:p w14:paraId="71FE318E" w14:textId="77777777" w:rsidR="00871D8A" w:rsidRPr="00414183" w:rsidRDefault="00871D8A" w:rsidP="00B66A42">
            <w:pPr>
              <w:jc w:val="center"/>
              <w:rPr>
                <w:rFonts w:cs="Arial"/>
                <w:lang w:val="fr-FR"/>
              </w:rPr>
            </w:pPr>
          </w:p>
        </w:tc>
      </w:tr>
      <w:tr w:rsidR="00871D8A" w:rsidRPr="00414183" w14:paraId="5E125D48" w14:textId="77777777" w:rsidTr="00B66A42">
        <w:tc>
          <w:tcPr>
            <w:tcW w:w="2243" w:type="dxa"/>
          </w:tcPr>
          <w:p w14:paraId="4344253C" w14:textId="77777777" w:rsidR="00871D8A" w:rsidRPr="00414183" w:rsidRDefault="00871D8A" w:rsidP="00B66A42">
            <w:pPr>
              <w:rPr>
                <w:rFonts w:cs="Arial"/>
                <w:lang w:val="fr-FR"/>
              </w:rPr>
            </w:pPr>
            <w:r w:rsidRPr="00414183">
              <w:rPr>
                <w:rFonts w:cs="Arial"/>
                <w:lang w:val="fr-FR"/>
              </w:rPr>
              <w:t>Perte d’habitat</w:t>
            </w:r>
          </w:p>
        </w:tc>
        <w:tc>
          <w:tcPr>
            <w:tcW w:w="1241" w:type="dxa"/>
            <w:shd w:val="clear" w:color="auto" w:fill="00B0F0"/>
            <w:vAlign w:val="center"/>
          </w:tcPr>
          <w:p w14:paraId="285552C1" w14:textId="77777777" w:rsidR="00871D8A" w:rsidRPr="00414183" w:rsidRDefault="00871D8A" w:rsidP="00B66A42">
            <w:pPr>
              <w:jc w:val="center"/>
              <w:rPr>
                <w:rFonts w:cs="Arial"/>
                <w:lang w:val="fr-FR"/>
              </w:rPr>
            </w:pPr>
            <w:r w:rsidRPr="00414183">
              <w:rPr>
                <w:rFonts w:cs="Arial"/>
                <w:lang w:val="fr-FR"/>
              </w:rPr>
              <w:t>Inconnue</w:t>
            </w:r>
          </w:p>
        </w:tc>
        <w:tc>
          <w:tcPr>
            <w:tcW w:w="222" w:type="dxa"/>
            <w:vAlign w:val="center"/>
          </w:tcPr>
          <w:p w14:paraId="6C54756D" w14:textId="77777777" w:rsidR="00871D8A" w:rsidRPr="00414183" w:rsidRDefault="00871D8A" w:rsidP="00B66A42">
            <w:pPr>
              <w:jc w:val="center"/>
              <w:rPr>
                <w:rFonts w:cs="Arial"/>
                <w:lang w:val="fr-FR"/>
              </w:rPr>
            </w:pPr>
          </w:p>
        </w:tc>
        <w:tc>
          <w:tcPr>
            <w:tcW w:w="1494" w:type="dxa"/>
            <w:shd w:val="clear" w:color="auto" w:fill="FFFF00"/>
            <w:vAlign w:val="center"/>
          </w:tcPr>
          <w:p w14:paraId="7F29C317" w14:textId="77777777" w:rsidR="00871D8A" w:rsidRPr="00414183" w:rsidRDefault="00871D8A" w:rsidP="00B66A42">
            <w:pPr>
              <w:jc w:val="center"/>
              <w:rPr>
                <w:rFonts w:cs="Arial"/>
                <w:lang w:val="fr-FR"/>
              </w:rPr>
            </w:pPr>
            <w:r w:rsidRPr="00414183">
              <w:rPr>
                <w:rFonts w:cs="Arial"/>
                <w:lang w:val="fr-FR"/>
              </w:rPr>
              <w:t>Faible</w:t>
            </w:r>
          </w:p>
        </w:tc>
        <w:tc>
          <w:tcPr>
            <w:tcW w:w="1069" w:type="dxa"/>
            <w:shd w:val="clear" w:color="auto" w:fill="00B0F0"/>
            <w:vAlign w:val="center"/>
          </w:tcPr>
          <w:p w14:paraId="002E4A29" w14:textId="77777777" w:rsidR="00871D8A" w:rsidRPr="00414183" w:rsidRDefault="00871D8A" w:rsidP="00B66A42">
            <w:pPr>
              <w:jc w:val="center"/>
              <w:rPr>
                <w:rFonts w:cs="Arial"/>
                <w:lang w:val="fr-FR"/>
              </w:rPr>
            </w:pPr>
            <w:r w:rsidRPr="00414183">
              <w:rPr>
                <w:rFonts w:cs="Arial"/>
                <w:lang w:val="fr-FR"/>
              </w:rPr>
              <w:t>Inconnue</w:t>
            </w:r>
          </w:p>
        </w:tc>
        <w:tc>
          <w:tcPr>
            <w:tcW w:w="1678" w:type="dxa"/>
            <w:shd w:val="clear" w:color="auto" w:fill="00B0F0"/>
            <w:vAlign w:val="center"/>
          </w:tcPr>
          <w:p w14:paraId="0ADFC3AA" w14:textId="77777777" w:rsidR="00871D8A" w:rsidRPr="00414183" w:rsidRDefault="00871D8A" w:rsidP="00B66A42">
            <w:pPr>
              <w:jc w:val="center"/>
              <w:rPr>
                <w:rFonts w:cs="Arial"/>
                <w:lang w:val="fr-FR"/>
              </w:rPr>
            </w:pPr>
            <w:r w:rsidRPr="00414183">
              <w:rPr>
                <w:rFonts w:cs="Arial"/>
                <w:lang w:val="fr-FR"/>
              </w:rPr>
              <w:t>Inconnue</w:t>
            </w:r>
          </w:p>
        </w:tc>
        <w:tc>
          <w:tcPr>
            <w:tcW w:w="1404" w:type="dxa"/>
            <w:shd w:val="clear" w:color="auto" w:fill="FFC000"/>
            <w:vAlign w:val="center"/>
          </w:tcPr>
          <w:p w14:paraId="45621026" w14:textId="77777777" w:rsidR="00871D8A" w:rsidRPr="00414183" w:rsidRDefault="00871D8A" w:rsidP="00B66A42">
            <w:pPr>
              <w:jc w:val="center"/>
              <w:rPr>
                <w:rFonts w:cs="Arial"/>
                <w:lang w:val="fr-FR"/>
              </w:rPr>
            </w:pPr>
            <w:r w:rsidRPr="00414183">
              <w:rPr>
                <w:rFonts w:cs="Arial"/>
                <w:lang w:val="fr-FR"/>
              </w:rPr>
              <w:t>Moyenne</w:t>
            </w:r>
          </w:p>
        </w:tc>
      </w:tr>
      <w:tr w:rsidR="00871D8A" w:rsidRPr="00414183" w14:paraId="6B3198A1" w14:textId="77777777" w:rsidTr="00B66A42">
        <w:tc>
          <w:tcPr>
            <w:tcW w:w="2243" w:type="dxa"/>
          </w:tcPr>
          <w:p w14:paraId="01917BC3" w14:textId="77777777" w:rsidR="00871D8A" w:rsidRPr="00414183" w:rsidRDefault="00871D8A" w:rsidP="00B66A42">
            <w:pPr>
              <w:rPr>
                <w:rFonts w:cs="Arial"/>
                <w:lang w:val="fr-FR"/>
              </w:rPr>
            </w:pPr>
            <w:r w:rsidRPr="00414183">
              <w:rPr>
                <w:rFonts w:cs="Arial"/>
                <w:lang w:val="fr-FR"/>
              </w:rPr>
              <w:t xml:space="preserve">Feux de steppe et de brousse </w:t>
            </w:r>
          </w:p>
        </w:tc>
        <w:tc>
          <w:tcPr>
            <w:tcW w:w="1241" w:type="dxa"/>
            <w:shd w:val="clear" w:color="auto" w:fill="FFC000"/>
            <w:vAlign w:val="center"/>
          </w:tcPr>
          <w:p w14:paraId="45458AD5" w14:textId="77777777" w:rsidR="00871D8A" w:rsidRPr="00414183" w:rsidRDefault="00871D8A" w:rsidP="00B66A42">
            <w:pPr>
              <w:jc w:val="center"/>
              <w:rPr>
                <w:rFonts w:cs="Arial"/>
                <w:lang w:val="fr-FR"/>
              </w:rPr>
            </w:pPr>
            <w:r w:rsidRPr="00414183">
              <w:rPr>
                <w:rFonts w:cs="Arial"/>
                <w:lang w:val="fr-FR"/>
              </w:rPr>
              <w:t>Moyenne</w:t>
            </w:r>
          </w:p>
        </w:tc>
        <w:tc>
          <w:tcPr>
            <w:tcW w:w="222" w:type="dxa"/>
            <w:vAlign w:val="center"/>
          </w:tcPr>
          <w:p w14:paraId="17EBE08E" w14:textId="77777777" w:rsidR="00871D8A" w:rsidRPr="00414183" w:rsidRDefault="00871D8A" w:rsidP="00B66A42">
            <w:pPr>
              <w:jc w:val="center"/>
              <w:rPr>
                <w:rFonts w:cs="Arial"/>
                <w:lang w:val="fr-FR"/>
              </w:rPr>
            </w:pPr>
          </w:p>
        </w:tc>
        <w:tc>
          <w:tcPr>
            <w:tcW w:w="1494" w:type="dxa"/>
            <w:shd w:val="clear" w:color="auto" w:fill="FFC000"/>
            <w:vAlign w:val="center"/>
          </w:tcPr>
          <w:p w14:paraId="4F1257FD" w14:textId="77777777" w:rsidR="00871D8A" w:rsidRPr="00414183" w:rsidRDefault="00871D8A" w:rsidP="00B66A42">
            <w:pPr>
              <w:jc w:val="center"/>
              <w:rPr>
                <w:rFonts w:cs="Arial"/>
                <w:lang w:val="fr-FR"/>
              </w:rPr>
            </w:pPr>
            <w:r w:rsidRPr="00414183">
              <w:rPr>
                <w:rFonts w:cs="Arial"/>
                <w:lang w:val="fr-FR"/>
              </w:rPr>
              <w:t>Moyenne</w:t>
            </w:r>
          </w:p>
        </w:tc>
        <w:tc>
          <w:tcPr>
            <w:tcW w:w="1069" w:type="dxa"/>
            <w:shd w:val="clear" w:color="auto" w:fill="D0CECE" w:themeFill="background2" w:themeFillShade="E6"/>
            <w:vAlign w:val="center"/>
          </w:tcPr>
          <w:p w14:paraId="0DC66BCA" w14:textId="77777777" w:rsidR="00871D8A" w:rsidRPr="00414183" w:rsidRDefault="00871D8A" w:rsidP="00B66A42">
            <w:pPr>
              <w:jc w:val="center"/>
              <w:rPr>
                <w:rFonts w:cs="Arial"/>
                <w:lang w:val="fr-FR"/>
              </w:rPr>
            </w:pPr>
          </w:p>
        </w:tc>
        <w:tc>
          <w:tcPr>
            <w:tcW w:w="1678" w:type="dxa"/>
            <w:shd w:val="clear" w:color="auto" w:fill="FFC000"/>
            <w:vAlign w:val="center"/>
          </w:tcPr>
          <w:p w14:paraId="1021E6EC" w14:textId="77777777" w:rsidR="00871D8A" w:rsidRPr="00414183" w:rsidRDefault="00871D8A" w:rsidP="00B66A42">
            <w:pPr>
              <w:jc w:val="center"/>
              <w:rPr>
                <w:rFonts w:cs="Arial"/>
                <w:lang w:val="fr-FR"/>
              </w:rPr>
            </w:pPr>
            <w:r w:rsidRPr="00414183">
              <w:rPr>
                <w:rFonts w:cs="Arial"/>
                <w:lang w:val="fr-FR"/>
              </w:rPr>
              <w:t>Moyenne</w:t>
            </w:r>
          </w:p>
        </w:tc>
        <w:tc>
          <w:tcPr>
            <w:tcW w:w="1404" w:type="dxa"/>
            <w:shd w:val="clear" w:color="auto" w:fill="D0CECE" w:themeFill="background2" w:themeFillShade="E6"/>
            <w:vAlign w:val="center"/>
          </w:tcPr>
          <w:p w14:paraId="7FA4AA98" w14:textId="77777777" w:rsidR="00871D8A" w:rsidRPr="00414183" w:rsidRDefault="00871D8A" w:rsidP="00B66A42">
            <w:pPr>
              <w:jc w:val="center"/>
              <w:rPr>
                <w:rFonts w:cs="Arial"/>
                <w:lang w:val="fr-FR"/>
              </w:rPr>
            </w:pPr>
          </w:p>
        </w:tc>
      </w:tr>
      <w:tr w:rsidR="00871D8A" w:rsidRPr="00414183" w14:paraId="64DBF482" w14:textId="77777777" w:rsidTr="00B66A42">
        <w:tc>
          <w:tcPr>
            <w:tcW w:w="2243" w:type="dxa"/>
          </w:tcPr>
          <w:p w14:paraId="68B94BCD" w14:textId="77777777" w:rsidR="00871D8A" w:rsidRPr="00414183" w:rsidRDefault="00871D8A" w:rsidP="00B66A42">
            <w:pPr>
              <w:rPr>
                <w:rFonts w:cs="Arial"/>
                <w:lang w:val="fr-FR"/>
              </w:rPr>
            </w:pPr>
            <w:r w:rsidRPr="00414183">
              <w:rPr>
                <w:rFonts w:cs="Arial"/>
                <w:lang w:val="fr-FR"/>
              </w:rPr>
              <w:t>Prédation</w:t>
            </w:r>
          </w:p>
        </w:tc>
        <w:tc>
          <w:tcPr>
            <w:tcW w:w="1241" w:type="dxa"/>
            <w:shd w:val="clear" w:color="auto" w:fill="FFFF00"/>
            <w:vAlign w:val="center"/>
          </w:tcPr>
          <w:p w14:paraId="279DE64B" w14:textId="77777777" w:rsidR="00871D8A" w:rsidRPr="00414183" w:rsidRDefault="00871D8A" w:rsidP="00B66A42">
            <w:pPr>
              <w:jc w:val="center"/>
              <w:rPr>
                <w:rFonts w:cs="Arial"/>
                <w:lang w:val="fr-FR"/>
              </w:rPr>
            </w:pPr>
            <w:r w:rsidRPr="00414183">
              <w:rPr>
                <w:rFonts w:cs="Arial"/>
                <w:lang w:val="fr-FR"/>
              </w:rPr>
              <w:t>Faible</w:t>
            </w:r>
          </w:p>
        </w:tc>
        <w:tc>
          <w:tcPr>
            <w:tcW w:w="222" w:type="dxa"/>
            <w:vAlign w:val="center"/>
          </w:tcPr>
          <w:p w14:paraId="6F989785" w14:textId="77777777" w:rsidR="00871D8A" w:rsidRPr="00414183" w:rsidRDefault="00871D8A" w:rsidP="00B66A42">
            <w:pPr>
              <w:jc w:val="center"/>
              <w:rPr>
                <w:rFonts w:cs="Arial"/>
                <w:lang w:val="fr-FR"/>
              </w:rPr>
            </w:pPr>
          </w:p>
        </w:tc>
        <w:tc>
          <w:tcPr>
            <w:tcW w:w="1494" w:type="dxa"/>
            <w:shd w:val="clear" w:color="auto" w:fill="FFFF00"/>
            <w:vAlign w:val="center"/>
          </w:tcPr>
          <w:p w14:paraId="4BF9C612" w14:textId="77777777" w:rsidR="00871D8A" w:rsidRPr="00414183" w:rsidRDefault="00871D8A" w:rsidP="00B66A42">
            <w:pPr>
              <w:jc w:val="center"/>
              <w:rPr>
                <w:rFonts w:cs="Arial"/>
                <w:lang w:val="fr-FR"/>
              </w:rPr>
            </w:pPr>
            <w:r w:rsidRPr="00414183">
              <w:rPr>
                <w:rFonts w:cs="Arial"/>
                <w:lang w:val="fr-FR"/>
              </w:rPr>
              <w:t>Faible</w:t>
            </w:r>
          </w:p>
        </w:tc>
        <w:tc>
          <w:tcPr>
            <w:tcW w:w="1069" w:type="dxa"/>
            <w:shd w:val="clear" w:color="auto" w:fill="D0CECE" w:themeFill="background2" w:themeFillShade="E6"/>
            <w:vAlign w:val="center"/>
          </w:tcPr>
          <w:p w14:paraId="48308B03" w14:textId="77777777" w:rsidR="00871D8A" w:rsidRPr="00414183" w:rsidRDefault="00871D8A" w:rsidP="00B66A42">
            <w:pPr>
              <w:jc w:val="center"/>
              <w:rPr>
                <w:rFonts w:cs="Arial"/>
                <w:lang w:val="fr-FR"/>
              </w:rPr>
            </w:pPr>
          </w:p>
        </w:tc>
        <w:tc>
          <w:tcPr>
            <w:tcW w:w="1678" w:type="dxa"/>
            <w:shd w:val="clear" w:color="auto" w:fill="D0CECE" w:themeFill="background2" w:themeFillShade="E6"/>
            <w:vAlign w:val="center"/>
          </w:tcPr>
          <w:p w14:paraId="0951D034" w14:textId="77777777" w:rsidR="00871D8A" w:rsidRPr="00414183" w:rsidRDefault="00871D8A" w:rsidP="00B66A42">
            <w:pPr>
              <w:jc w:val="center"/>
              <w:rPr>
                <w:rFonts w:cs="Arial"/>
                <w:lang w:val="fr-FR"/>
              </w:rPr>
            </w:pPr>
          </w:p>
        </w:tc>
        <w:tc>
          <w:tcPr>
            <w:tcW w:w="1404" w:type="dxa"/>
            <w:shd w:val="clear" w:color="auto" w:fill="D0CECE" w:themeFill="background2" w:themeFillShade="E6"/>
            <w:vAlign w:val="center"/>
          </w:tcPr>
          <w:p w14:paraId="22AD13C3" w14:textId="77777777" w:rsidR="00871D8A" w:rsidRPr="00414183" w:rsidRDefault="00871D8A" w:rsidP="00B66A42">
            <w:pPr>
              <w:jc w:val="center"/>
              <w:rPr>
                <w:rFonts w:cs="Arial"/>
                <w:lang w:val="fr-FR"/>
              </w:rPr>
            </w:pPr>
          </w:p>
        </w:tc>
      </w:tr>
      <w:tr w:rsidR="00871D8A" w:rsidRPr="00414183" w14:paraId="4581AAE1" w14:textId="77777777" w:rsidTr="00B66A42">
        <w:tc>
          <w:tcPr>
            <w:tcW w:w="2243" w:type="dxa"/>
          </w:tcPr>
          <w:p w14:paraId="654002CE" w14:textId="77777777" w:rsidR="00871D8A" w:rsidRPr="00414183" w:rsidRDefault="00871D8A" w:rsidP="00B66A42">
            <w:pPr>
              <w:rPr>
                <w:rFonts w:cs="Arial"/>
                <w:lang w:val="fr-FR"/>
              </w:rPr>
            </w:pPr>
            <w:r w:rsidRPr="00414183">
              <w:rPr>
                <w:rFonts w:cs="Arial"/>
                <w:lang w:val="fr-FR"/>
              </w:rPr>
              <w:t>Perturbations humaines</w:t>
            </w:r>
          </w:p>
        </w:tc>
        <w:tc>
          <w:tcPr>
            <w:tcW w:w="1241" w:type="dxa"/>
            <w:shd w:val="clear" w:color="auto" w:fill="FFC000"/>
            <w:vAlign w:val="center"/>
          </w:tcPr>
          <w:p w14:paraId="63B88209" w14:textId="77777777" w:rsidR="00871D8A" w:rsidRPr="00414183" w:rsidRDefault="00871D8A" w:rsidP="00B66A42">
            <w:pPr>
              <w:jc w:val="center"/>
              <w:rPr>
                <w:rFonts w:cs="Arial"/>
                <w:lang w:val="fr-FR"/>
              </w:rPr>
            </w:pPr>
            <w:r w:rsidRPr="00414183">
              <w:rPr>
                <w:rFonts w:cs="Arial"/>
                <w:lang w:val="fr-FR"/>
              </w:rPr>
              <w:t>Moyenne</w:t>
            </w:r>
          </w:p>
        </w:tc>
        <w:tc>
          <w:tcPr>
            <w:tcW w:w="222" w:type="dxa"/>
            <w:vAlign w:val="center"/>
          </w:tcPr>
          <w:p w14:paraId="38616E02" w14:textId="77777777" w:rsidR="00871D8A" w:rsidRPr="00414183" w:rsidRDefault="00871D8A" w:rsidP="00B66A42">
            <w:pPr>
              <w:jc w:val="center"/>
              <w:rPr>
                <w:rFonts w:cs="Arial"/>
                <w:lang w:val="fr-FR"/>
              </w:rPr>
            </w:pPr>
          </w:p>
        </w:tc>
        <w:tc>
          <w:tcPr>
            <w:tcW w:w="1494" w:type="dxa"/>
            <w:shd w:val="clear" w:color="auto" w:fill="FFC000"/>
            <w:vAlign w:val="center"/>
          </w:tcPr>
          <w:p w14:paraId="0CC61B4C" w14:textId="77777777" w:rsidR="00871D8A" w:rsidRPr="00414183" w:rsidRDefault="00871D8A" w:rsidP="00B66A42">
            <w:pPr>
              <w:jc w:val="center"/>
              <w:rPr>
                <w:rFonts w:cs="Arial"/>
                <w:lang w:val="fr-FR"/>
              </w:rPr>
            </w:pPr>
            <w:r w:rsidRPr="00414183">
              <w:rPr>
                <w:rFonts w:cs="Arial"/>
                <w:lang w:val="fr-FR"/>
              </w:rPr>
              <w:t>Moyenne</w:t>
            </w:r>
          </w:p>
        </w:tc>
        <w:tc>
          <w:tcPr>
            <w:tcW w:w="1069" w:type="dxa"/>
            <w:shd w:val="clear" w:color="auto" w:fill="D0CECE" w:themeFill="background2" w:themeFillShade="E6"/>
            <w:vAlign w:val="center"/>
          </w:tcPr>
          <w:p w14:paraId="2711DA8C" w14:textId="77777777" w:rsidR="00871D8A" w:rsidRPr="00414183" w:rsidRDefault="00871D8A" w:rsidP="00B66A42">
            <w:pPr>
              <w:jc w:val="center"/>
              <w:rPr>
                <w:rFonts w:cs="Arial"/>
                <w:lang w:val="fr-FR"/>
              </w:rPr>
            </w:pPr>
          </w:p>
        </w:tc>
        <w:tc>
          <w:tcPr>
            <w:tcW w:w="1678" w:type="dxa"/>
            <w:shd w:val="clear" w:color="auto" w:fill="D0CECE" w:themeFill="background2" w:themeFillShade="E6"/>
            <w:vAlign w:val="center"/>
          </w:tcPr>
          <w:p w14:paraId="72F9FF94" w14:textId="77777777" w:rsidR="00871D8A" w:rsidRPr="00414183" w:rsidRDefault="00871D8A" w:rsidP="00B66A42">
            <w:pPr>
              <w:jc w:val="center"/>
              <w:rPr>
                <w:rFonts w:cs="Arial"/>
                <w:lang w:val="fr-FR"/>
              </w:rPr>
            </w:pPr>
          </w:p>
        </w:tc>
        <w:tc>
          <w:tcPr>
            <w:tcW w:w="1404" w:type="dxa"/>
            <w:shd w:val="clear" w:color="auto" w:fill="D0CECE" w:themeFill="background2" w:themeFillShade="E6"/>
            <w:vAlign w:val="center"/>
          </w:tcPr>
          <w:p w14:paraId="7BCEBEFB" w14:textId="77777777" w:rsidR="00871D8A" w:rsidRPr="00414183" w:rsidRDefault="00871D8A" w:rsidP="00B66A42">
            <w:pPr>
              <w:jc w:val="center"/>
              <w:rPr>
                <w:rFonts w:cs="Arial"/>
                <w:lang w:val="fr-FR"/>
              </w:rPr>
            </w:pPr>
          </w:p>
        </w:tc>
      </w:tr>
      <w:tr w:rsidR="00871D8A" w:rsidRPr="00414183" w14:paraId="21D2A926" w14:textId="77777777" w:rsidTr="00B66A42">
        <w:tc>
          <w:tcPr>
            <w:tcW w:w="2243" w:type="dxa"/>
          </w:tcPr>
          <w:p w14:paraId="1A8551C8" w14:textId="77777777" w:rsidR="00871D8A" w:rsidRPr="00414183" w:rsidRDefault="00871D8A" w:rsidP="00B66A42">
            <w:pPr>
              <w:rPr>
                <w:rFonts w:cs="Arial"/>
                <w:lang w:val="fr-FR"/>
              </w:rPr>
            </w:pPr>
            <w:r w:rsidRPr="00414183">
              <w:rPr>
                <w:rFonts w:cs="Arial"/>
                <w:lang w:val="fr-FR"/>
              </w:rPr>
              <w:t>Nid de déchets</w:t>
            </w:r>
          </w:p>
        </w:tc>
        <w:tc>
          <w:tcPr>
            <w:tcW w:w="1241" w:type="dxa"/>
            <w:shd w:val="clear" w:color="auto" w:fill="FFFF00"/>
            <w:vAlign w:val="center"/>
          </w:tcPr>
          <w:p w14:paraId="079F298C" w14:textId="77777777" w:rsidR="00871D8A" w:rsidRPr="00414183" w:rsidRDefault="00871D8A" w:rsidP="00B66A42">
            <w:pPr>
              <w:jc w:val="center"/>
              <w:rPr>
                <w:rFonts w:cs="Arial"/>
                <w:lang w:val="fr-FR"/>
              </w:rPr>
            </w:pPr>
            <w:r w:rsidRPr="00414183">
              <w:rPr>
                <w:rFonts w:cs="Arial"/>
                <w:lang w:val="fr-FR"/>
              </w:rPr>
              <w:t>Faible</w:t>
            </w:r>
          </w:p>
        </w:tc>
        <w:tc>
          <w:tcPr>
            <w:tcW w:w="222" w:type="dxa"/>
            <w:vAlign w:val="center"/>
          </w:tcPr>
          <w:p w14:paraId="000982B5" w14:textId="77777777" w:rsidR="00871D8A" w:rsidRPr="00414183" w:rsidRDefault="00871D8A" w:rsidP="00B66A42">
            <w:pPr>
              <w:jc w:val="center"/>
              <w:rPr>
                <w:rFonts w:cs="Arial"/>
                <w:lang w:val="fr-FR"/>
              </w:rPr>
            </w:pPr>
          </w:p>
        </w:tc>
        <w:tc>
          <w:tcPr>
            <w:tcW w:w="1494" w:type="dxa"/>
            <w:shd w:val="clear" w:color="auto" w:fill="FFFF00"/>
            <w:vAlign w:val="center"/>
          </w:tcPr>
          <w:p w14:paraId="07E7F8A1" w14:textId="77777777" w:rsidR="00871D8A" w:rsidRPr="00414183" w:rsidRDefault="00871D8A" w:rsidP="00B66A42">
            <w:pPr>
              <w:jc w:val="center"/>
              <w:rPr>
                <w:rFonts w:cs="Arial"/>
                <w:lang w:val="fr-FR"/>
              </w:rPr>
            </w:pPr>
            <w:r w:rsidRPr="00414183">
              <w:rPr>
                <w:rFonts w:cs="Arial"/>
                <w:lang w:val="fr-FR"/>
              </w:rPr>
              <w:t>Faible</w:t>
            </w:r>
          </w:p>
        </w:tc>
        <w:tc>
          <w:tcPr>
            <w:tcW w:w="1069" w:type="dxa"/>
            <w:shd w:val="clear" w:color="auto" w:fill="D0CECE" w:themeFill="background2" w:themeFillShade="E6"/>
            <w:vAlign w:val="center"/>
          </w:tcPr>
          <w:p w14:paraId="6939E5AB" w14:textId="77777777" w:rsidR="00871D8A" w:rsidRPr="00414183" w:rsidRDefault="00871D8A" w:rsidP="00B66A42">
            <w:pPr>
              <w:jc w:val="center"/>
              <w:rPr>
                <w:rFonts w:cs="Arial"/>
                <w:lang w:val="fr-FR"/>
              </w:rPr>
            </w:pPr>
          </w:p>
        </w:tc>
        <w:tc>
          <w:tcPr>
            <w:tcW w:w="1678" w:type="dxa"/>
            <w:shd w:val="clear" w:color="auto" w:fill="D0CECE" w:themeFill="background2" w:themeFillShade="E6"/>
            <w:vAlign w:val="center"/>
          </w:tcPr>
          <w:p w14:paraId="6D2CCCEB" w14:textId="77777777" w:rsidR="00871D8A" w:rsidRPr="00414183" w:rsidRDefault="00871D8A" w:rsidP="00B66A42">
            <w:pPr>
              <w:jc w:val="center"/>
              <w:rPr>
                <w:rFonts w:cs="Arial"/>
                <w:lang w:val="fr-FR"/>
              </w:rPr>
            </w:pPr>
          </w:p>
        </w:tc>
        <w:tc>
          <w:tcPr>
            <w:tcW w:w="1404" w:type="dxa"/>
            <w:shd w:val="clear" w:color="auto" w:fill="D0CECE" w:themeFill="background2" w:themeFillShade="E6"/>
            <w:vAlign w:val="center"/>
          </w:tcPr>
          <w:p w14:paraId="6ABE4E67" w14:textId="77777777" w:rsidR="00871D8A" w:rsidRPr="00414183" w:rsidRDefault="00871D8A" w:rsidP="00B66A42">
            <w:pPr>
              <w:jc w:val="center"/>
              <w:rPr>
                <w:rFonts w:cs="Arial"/>
                <w:lang w:val="fr-FR"/>
              </w:rPr>
            </w:pPr>
          </w:p>
        </w:tc>
      </w:tr>
      <w:tr w:rsidR="00871D8A" w:rsidRPr="00414183" w14:paraId="55B91A3F" w14:textId="77777777" w:rsidTr="00B66A42">
        <w:tc>
          <w:tcPr>
            <w:tcW w:w="2243" w:type="dxa"/>
          </w:tcPr>
          <w:p w14:paraId="29AFE794" w14:textId="77777777" w:rsidR="00871D8A" w:rsidRPr="00414183" w:rsidRDefault="00871D8A" w:rsidP="00B66A42">
            <w:pPr>
              <w:rPr>
                <w:rFonts w:cs="Arial"/>
                <w:lang w:val="fr-FR"/>
              </w:rPr>
            </w:pPr>
            <w:r w:rsidRPr="00414183">
              <w:rPr>
                <w:rFonts w:cs="Arial"/>
                <w:lang w:val="fr-FR"/>
              </w:rPr>
              <w:t>Changements climatiques</w:t>
            </w:r>
          </w:p>
        </w:tc>
        <w:tc>
          <w:tcPr>
            <w:tcW w:w="1241" w:type="dxa"/>
            <w:shd w:val="clear" w:color="auto" w:fill="FFC000"/>
            <w:vAlign w:val="center"/>
          </w:tcPr>
          <w:p w14:paraId="5C53EB43" w14:textId="77777777" w:rsidR="00871D8A" w:rsidRPr="00414183" w:rsidRDefault="00871D8A" w:rsidP="00B66A42">
            <w:pPr>
              <w:jc w:val="center"/>
              <w:rPr>
                <w:rFonts w:cs="Arial"/>
                <w:lang w:val="fr-FR"/>
              </w:rPr>
            </w:pPr>
            <w:r w:rsidRPr="00414183">
              <w:rPr>
                <w:rFonts w:cs="Arial"/>
                <w:lang w:val="fr-FR"/>
              </w:rPr>
              <w:t>Moyenne</w:t>
            </w:r>
          </w:p>
        </w:tc>
        <w:tc>
          <w:tcPr>
            <w:tcW w:w="222" w:type="dxa"/>
            <w:vAlign w:val="center"/>
          </w:tcPr>
          <w:p w14:paraId="1A7542A8" w14:textId="77777777" w:rsidR="00871D8A" w:rsidRPr="00414183" w:rsidRDefault="00871D8A" w:rsidP="00B66A42">
            <w:pPr>
              <w:jc w:val="center"/>
              <w:rPr>
                <w:rFonts w:cs="Arial"/>
                <w:lang w:val="fr-FR"/>
              </w:rPr>
            </w:pPr>
          </w:p>
        </w:tc>
        <w:tc>
          <w:tcPr>
            <w:tcW w:w="1494" w:type="dxa"/>
            <w:shd w:val="clear" w:color="auto" w:fill="FFC000"/>
            <w:vAlign w:val="center"/>
          </w:tcPr>
          <w:p w14:paraId="1F8AEE4A" w14:textId="77777777" w:rsidR="00871D8A" w:rsidRPr="00414183" w:rsidRDefault="00871D8A" w:rsidP="00B66A42">
            <w:pPr>
              <w:jc w:val="center"/>
              <w:rPr>
                <w:rFonts w:cs="Arial"/>
                <w:lang w:val="fr-FR"/>
              </w:rPr>
            </w:pPr>
            <w:r w:rsidRPr="00414183">
              <w:rPr>
                <w:rFonts w:cs="Arial"/>
                <w:lang w:val="fr-FR"/>
              </w:rPr>
              <w:t>Moyenne</w:t>
            </w:r>
          </w:p>
        </w:tc>
        <w:tc>
          <w:tcPr>
            <w:tcW w:w="1069" w:type="dxa"/>
            <w:shd w:val="clear" w:color="auto" w:fill="D0CECE" w:themeFill="background2" w:themeFillShade="E6"/>
            <w:vAlign w:val="center"/>
          </w:tcPr>
          <w:p w14:paraId="2FE45CC2" w14:textId="77777777" w:rsidR="00871D8A" w:rsidRPr="00414183" w:rsidRDefault="00871D8A" w:rsidP="00B66A42">
            <w:pPr>
              <w:jc w:val="center"/>
              <w:rPr>
                <w:rFonts w:cs="Arial"/>
                <w:lang w:val="fr-FR"/>
              </w:rPr>
            </w:pPr>
          </w:p>
        </w:tc>
        <w:tc>
          <w:tcPr>
            <w:tcW w:w="1678" w:type="dxa"/>
            <w:shd w:val="clear" w:color="auto" w:fill="FFC000"/>
            <w:vAlign w:val="center"/>
          </w:tcPr>
          <w:p w14:paraId="66C74A14" w14:textId="77777777" w:rsidR="00871D8A" w:rsidRPr="00414183" w:rsidRDefault="00871D8A" w:rsidP="00B66A42">
            <w:pPr>
              <w:jc w:val="center"/>
              <w:rPr>
                <w:rFonts w:cs="Arial"/>
                <w:lang w:val="fr-FR"/>
              </w:rPr>
            </w:pPr>
            <w:r w:rsidRPr="00414183">
              <w:rPr>
                <w:rFonts w:cs="Arial"/>
                <w:lang w:val="fr-FR"/>
              </w:rPr>
              <w:t>Moyenne</w:t>
            </w:r>
          </w:p>
        </w:tc>
        <w:tc>
          <w:tcPr>
            <w:tcW w:w="1404" w:type="dxa"/>
            <w:shd w:val="clear" w:color="auto" w:fill="D0CECE" w:themeFill="background2" w:themeFillShade="E6"/>
            <w:vAlign w:val="center"/>
          </w:tcPr>
          <w:p w14:paraId="0671C5AC" w14:textId="77777777" w:rsidR="00871D8A" w:rsidRPr="00414183" w:rsidRDefault="00871D8A" w:rsidP="00B66A42">
            <w:pPr>
              <w:jc w:val="center"/>
              <w:rPr>
                <w:rFonts w:cs="Arial"/>
                <w:lang w:val="fr-FR"/>
              </w:rPr>
            </w:pPr>
          </w:p>
        </w:tc>
      </w:tr>
      <w:tr w:rsidR="00871D8A" w:rsidRPr="00414183" w14:paraId="1CDC27B8" w14:textId="77777777" w:rsidTr="00B66A42">
        <w:tc>
          <w:tcPr>
            <w:tcW w:w="9351" w:type="dxa"/>
            <w:gridSpan w:val="7"/>
            <w:vAlign w:val="center"/>
          </w:tcPr>
          <w:p w14:paraId="3930B6A8" w14:textId="77777777" w:rsidR="00871D8A" w:rsidRPr="00414183" w:rsidRDefault="00871D8A" w:rsidP="00B66A42">
            <w:pPr>
              <w:rPr>
                <w:rFonts w:cs="Arial"/>
                <w:i/>
                <w:iCs/>
                <w:lang w:val="fr-FR"/>
              </w:rPr>
            </w:pPr>
            <w:r w:rsidRPr="00414183">
              <w:rPr>
                <w:rFonts w:cs="Arial"/>
                <w:i/>
                <w:iCs/>
                <w:lang w:val="fr-FR"/>
              </w:rPr>
              <w:t>Empoisonnement</w:t>
            </w:r>
          </w:p>
        </w:tc>
      </w:tr>
      <w:tr w:rsidR="00871D8A" w:rsidRPr="00414183" w14:paraId="43EB3923" w14:textId="77777777" w:rsidTr="00B66A42">
        <w:tc>
          <w:tcPr>
            <w:tcW w:w="2243" w:type="dxa"/>
          </w:tcPr>
          <w:p w14:paraId="44EC8BC5" w14:textId="77777777" w:rsidR="00871D8A" w:rsidRPr="00414183" w:rsidRDefault="00871D8A" w:rsidP="00B66A42">
            <w:pPr>
              <w:rPr>
                <w:rFonts w:cs="Arial"/>
                <w:lang w:val="fr-FR"/>
              </w:rPr>
            </w:pPr>
            <w:r w:rsidRPr="00414183">
              <w:rPr>
                <w:rFonts w:cs="Arial"/>
                <w:lang w:val="fr-FR"/>
              </w:rPr>
              <w:t>Empoisonnement par les rodenticides</w:t>
            </w:r>
          </w:p>
        </w:tc>
        <w:tc>
          <w:tcPr>
            <w:tcW w:w="1241" w:type="dxa"/>
            <w:shd w:val="clear" w:color="auto" w:fill="C00000"/>
            <w:vAlign w:val="center"/>
          </w:tcPr>
          <w:p w14:paraId="41BADACF" w14:textId="77777777" w:rsidR="00871D8A" w:rsidRPr="00414183" w:rsidRDefault="00871D8A" w:rsidP="00B66A42">
            <w:pPr>
              <w:jc w:val="center"/>
              <w:rPr>
                <w:rFonts w:cs="Arial"/>
                <w:lang w:val="fr-FR"/>
              </w:rPr>
            </w:pPr>
            <w:r w:rsidRPr="00414183">
              <w:rPr>
                <w:rFonts w:cs="Arial"/>
                <w:lang w:val="fr-FR"/>
              </w:rPr>
              <w:t>Élevée</w:t>
            </w:r>
          </w:p>
        </w:tc>
        <w:tc>
          <w:tcPr>
            <w:tcW w:w="222" w:type="dxa"/>
            <w:vAlign w:val="center"/>
          </w:tcPr>
          <w:p w14:paraId="386913A9" w14:textId="77777777" w:rsidR="00871D8A" w:rsidRPr="00414183" w:rsidRDefault="00871D8A" w:rsidP="00B66A42">
            <w:pPr>
              <w:jc w:val="center"/>
              <w:rPr>
                <w:rFonts w:cs="Arial"/>
                <w:lang w:val="fr-FR"/>
              </w:rPr>
            </w:pPr>
          </w:p>
        </w:tc>
        <w:tc>
          <w:tcPr>
            <w:tcW w:w="1494" w:type="dxa"/>
            <w:shd w:val="clear" w:color="auto" w:fill="C00000"/>
            <w:vAlign w:val="center"/>
          </w:tcPr>
          <w:p w14:paraId="322419C8" w14:textId="77777777" w:rsidR="00871D8A" w:rsidRPr="00414183" w:rsidRDefault="00871D8A" w:rsidP="00B66A42">
            <w:pPr>
              <w:jc w:val="center"/>
              <w:rPr>
                <w:rFonts w:cs="Arial"/>
                <w:lang w:val="fr-FR"/>
              </w:rPr>
            </w:pPr>
            <w:r w:rsidRPr="00414183">
              <w:rPr>
                <w:rFonts w:cs="Arial"/>
                <w:lang w:val="fr-FR"/>
              </w:rPr>
              <w:t>Élevée</w:t>
            </w:r>
          </w:p>
        </w:tc>
        <w:tc>
          <w:tcPr>
            <w:tcW w:w="1069" w:type="dxa"/>
            <w:shd w:val="clear" w:color="auto" w:fill="FFC000"/>
            <w:vAlign w:val="center"/>
          </w:tcPr>
          <w:p w14:paraId="2DFDC9E6" w14:textId="77777777" w:rsidR="00871D8A" w:rsidRPr="00414183" w:rsidRDefault="00871D8A" w:rsidP="00B66A42">
            <w:pPr>
              <w:jc w:val="center"/>
              <w:rPr>
                <w:rFonts w:cs="Arial"/>
                <w:lang w:val="fr-FR"/>
              </w:rPr>
            </w:pPr>
            <w:r w:rsidRPr="00414183">
              <w:rPr>
                <w:rFonts w:cs="Arial"/>
                <w:lang w:val="fr-FR"/>
              </w:rPr>
              <w:t>Moyenne</w:t>
            </w:r>
          </w:p>
        </w:tc>
        <w:tc>
          <w:tcPr>
            <w:tcW w:w="1678" w:type="dxa"/>
            <w:shd w:val="clear" w:color="auto" w:fill="FFC000"/>
            <w:vAlign w:val="center"/>
          </w:tcPr>
          <w:p w14:paraId="7C3757E4" w14:textId="77777777" w:rsidR="00871D8A" w:rsidRPr="00414183" w:rsidRDefault="00871D8A" w:rsidP="00B66A42">
            <w:pPr>
              <w:jc w:val="center"/>
              <w:rPr>
                <w:rFonts w:cs="Arial"/>
                <w:lang w:val="fr-FR"/>
              </w:rPr>
            </w:pPr>
            <w:r w:rsidRPr="00414183">
              <w:rPr>
                <w:rFonts w:cs="Arial"/>
                <w:lang w:val="fr-FR"/>
              </w:rPr>
              <w:t>Moyenne</w:t>
            </w:r>
          </w:p>
        </w:tc>
        <w:tc>
          <w:tcPr>
            <w:tcW w:w="1404" w:type="dxa"/>
            <w:shd w:val="clear" w:color="auto" w:fill="FFC000"/>
            <w:vAlign w:val="center"/>
          </w:tcPr>
          <w:p w14:paraId="7233AFC6" w14:textId="77777777" w:rsidR="00871D8A" w:rsidRPr="00414183" w:rsidRDefault="00871D8A" w:rsidP="00B66A42">
            <w:pPr>
              <w:jc w:val="center"/>
              <w:rPr>
                <w:rFonts w:cs="Arial"/>
                <w:lang w:val="fr-FR"/>
              </w:rPr>
            </w:pPr>
            <w:r w:rsidRPr="00414183">
              <w:rPr>
                <w:rFonts w:cs="Arial"/>
                <w:lang w:val="fr-FR"/>
              </w:rPr>
              <w:t>Moyenne</w:t>
            </w:r>
          </w:p>
        </w:tc>
      </w:tr>
      <w:tr w:rsidR="00871D8A" w:rsidRPr="00414183" w14:paraId="6121C5A5" w14:textId="77777777" w:rsidTr="00B66A42">
        <w:tc>
          <w:tcPr>
            <w:tcW w:w="2243" w:type="dxa"/>
          </w:tcPr>
          <w:p w14:paraId="31FBD772" w14:textId="77777777" w:rsidR="00871D8A" w:rsidRPr="00414183" w:rsidRDefault="00871D8A" w:rsidP="00B66A42">
            <w:pPr>
              <w:rPr>
                <w:rFonts w:cs="Arial"/>
                <w:lang w:val="fr-FR"/>
              </w:rPr>
            </w:pPr>
            <w:r w:rsidRPr="00414183">
              <w:rPr>
                <w:rFonts w:cs="Arial"/>
                <w:lang w:val="fr-FR"/>
              </w:rPr>
              <w:t>Empoisonnement dans le cadre des conflits entre l’homme et la faune sauvage, y compris empoisonnement par l’intermédiaire de quéléas, par insecticide et par l’intermédiaire de chiens errants</w:t>
            </w:r>
          </w:p>
        </w:tc>
        <w:tc>
          <w:tcPr>
            <w:tcW w:w="1241" w:type="dxa"/>
            <w:shd w:val="clear" w:color="auto" w:fill="FFC000"/>
            <w:vAlign w:val="center"/>
          </w:tcPr>
          <w:p w14:paraId="25850130" w14:textId="77777777" w:rsidR="00871D8A" w:rsidRPr="00414183" w:rsidRDefault="00871D8A" w:rsidP="00B66A42">
            <w:pPr>
              <w:jc w:val="center"/>
              <w:rPr>
                <w:rFonts w:cs="Arial"/>
                <w:lang w:val="fr-FR"/>
              </w:rPr>
            </w:pPr>
            <w:r w:rsidRPr="00414183">
              <w:rPr>
                <w:rFonts w:cs="Arial"/>
                <w:lang w:val="fr-FR"/>
              </w:rPr>
              <w:t>Moyenne</w:t>
            </w:r>
          </w:p>
        </w:tc>
        <w:tc>
          <w:tcPr>
            <w:tcW w:w="222" w:type="dxa"/>
            <w:vAlign w:val="center"/>
          </w:tcPr>
          <w:p w14:paraId="7A8B60EE" w14:textId="77777777" w:rsidR="00871D8A" w:rsidRPr="00414183" w:rsidRDefault="00871D8A" w:rsidP="00B66A42">
            <w:pPr>
              <w:jc w:val="center"/>
              <w:rPr>
                <w:rFonts w:cs="Arial"/>
                <w:lang w:val="fr-FR"/>
              </w:rPr>
            </w:pPr>
          </w:p>
        </w:tc>
        <w:tc>
          <w:tcPr>
            <w:tcW w:w="1494" w:type="dxa"/>
            <w:shd w:val="clear" w:color="auto" w:fill="D0CECE" w:themeFill="background2" w:themeFillShade="E6"/>
            <w:vAlign w:val="center"/>
          </w:tcPr>
          <w:p w14:paraId="50128A23" w14:textId="77777777" w:rsidR="00871D8A" w:rsidRPr="00414183" w:rsidRDefault="00871D8A" w:rsidP="00B66A42">
            <w:pPr>
              <w:jc w:val="center"/>
              <w:rPr>
                <w:rFonts w:cs="Arial"/>
                <w:lang w:val="fr-FR"/>
              </w:rPr>
            </w:pPr>
          </w:p>
        </w:tc>
        <w:tc>
          <w:tcPr>
            <w:tcW w:w="1069" w:type="dxa"/>
            <w:shd w:val="clear" w:color="auto" w:fill="FFC000"/>
            <w:vAlign w:val="center"/>
          </w:tcPr>
          <w:p w14:paraId="724A4E55" w14:textId="77777777" w:rsidR="00871D8A" w:rsidRPr="00414183" w:rsidRDefault="00871D8A" w:rsidP="00B66A42">
            <w:pPr>
              <w:jc w:val="center"/>
              <w:rPr>
                <w:rFonts w:cs="Arial"/>
                <w:lang w:val="fr-FR"/>
              </w:rPr>
            </w:pPr>
            <w:r w:rsidRPr="00414183">
              <w:rPr>
                <w:rFonts w:cs="Arial"/>
                <w:lang w:val="fr-FR"/>
              </w:rPr>
              <w:t>Moyenne</w:t>
            </w:r>
          </w:p>
        </w:tc>
        <w:tc>
          <w:tcPr>
            <w:tcW w:w="1678" w:type="dxa"/>
            <w:shd w:val="clear" w:color="auto" w:fill="C00000"/>
            <w:vAlign w:val="center"/>
          </w:tcPr>
          <w:p w14:paraId="27AC091E" w14:textId="77777777" w:rsidR="00871D8A" w:rsidRPr="00414183" w:rsidRDefault="00871D8A" w:rsidP="00B66A42">
            <w:pPr>
              <w:jc w:val="center"/>
              <w:rPr>
                <w:rFonts w:cs="Arial"/>
                <w:lang w:val="fr-FR"/>
              </w:rPr>
            </w:pPr>
            <w:r w:rsidRPr="00414183">
              <w:rPr>
                <w:rFonts w:cs="Arial"/>
                <w:lang w:val="fr-FR"/>
              </w:rPr>
              <w:t>Élevée</w:t>
            </w:r>
          </w:p>
        </w:tc>
        <w:tc>
          <w:tcPr>
            <w:tcW w:w="1404" w:type="dxa"/>
            <w:shd w:val="clear" w:color="auto" w:fill="FFC000"/>
            <w:vAlign w:val="center"/>
          </w:tcPr>
          <w:p w14:paraId="0DE68FA8" w14:textId="77777777" w:rsidR="00871D8A" w:rsidRPr="00414183" w:rsidRDefault="00871D8A" w:rsidP="00B66A42">
            <w:pPr>
              <w:jc w:val="center"/>
              <w:rPr>
                <w:rFonts w:cs="Arial"/>
                <w:lang w:val="fr-FR"/>
              </w:rPr>
            </w:pPr>
            <w:r w:rsidRPr="00414183">
              <w:rPr>
                <w:rFonts w:cs="Arial"/>
                <w:lang w:val="fr-FR"/>
              </w:rPr>
              <w:t>Moyenne</w:t>
            </w:r>
          </w:p>
        </w:tc>
      </w:tr>
      <w:tr w:rsidR="00871D8A" w:rsidRPr="00414183" w14:paraId="39D66896" w14:textId="77777777" w:rsidTr="00B66A42">
        <w:tc>
          <w:tcPr>
            <w:tcW w:w="2243" w:type="dxa"/>
          </w:tcPr>
          <w:p w14:paraId="67A82BD2" w14:textId="77777777" w:rsidR="00871D8A" w:rsidRPr="00414183" w:rsidRDefault="00871D8A" w:rsidP="00B66A42">
            <w:pPr>
              <w:rPr>
                <w:rFonts w:cs="Arial"/>
                <w:lang w:val="fr-FR"/>
              </w:rPr>
            </w:pPr>
            <w:r w:rsidRPr="00414183">
              <w:rPr>
                <w:rFonts w:cs="Arial"/>
                <w:lang w:val="fr-FR"/>
              </w:rPr>
              <w:t>Intoxication aux médicaments anti-inflammatoires non stéroïdiens (AINS)</w:t>
            </w:r>
          </w:p>
        </w:tc>
        <w:tc>
          <w:tcPr>
            <w:tcW w:w="1241" w:type="dxa"/>
            <w:shd w:val="clear" w:color="auto" w:fill="00B0F0"/>
            <w:vAlign w:val="center"/>
          </w:tcPr>
          <w:p w14:paraId="39A6122C" w14:textId="77777777" w:rsidR="00871D8A" w:rsidRPr="00414183" w:rsidRDefault="00871D8A" w:rsidP="00B66A42">
            <w:pPr>
              <w:jc w:val="center"/>
              <w:rPr>
                <w:rFonts w:cs="Arial"/>
                <w:lang w:val="fr-FR"/>
              </w:rPr>
            </w:pPr>
            <w:r w:rsidRPr="00414183">
              <w:rPr>
                <w:rFonts w:cs="Arial"/>
                <w:lang w:val="fr-FR"/>
              </w:rPr>
              <w:t>Inconnue</w:t>
            </w:r>
          </w:p>
        </w:tc>
        <w:tc>
          <w:tcPr>
            <w:tcW w:w="222" w:type="dxa"/>
            <w:vAlign w:val="center"/>
          </w:tcPr>
          <w:p w14:paraId="3313F7A1" w14:textId="77777777" w:rsidR="00871D8A" w:rsidRPr="00414183" w:rsidRDefault="00871D8A" w:rsidP="00B66A42">
            <w:pPr>
              <w:jc w:val="center"/>
              <w:rPr>
                <w:rFonts w:cs="Arial"/>
                <w:lang w:val="fr-FR"/>
              </w:rPr>
            </w:pPr>
          </w:p>
        </w:tc>
        <w:tc>
          <w:tcPr>
            <w:tcW w:w="1494" w:type="dxa"/>
            <w:shd w:val="clear" w:color="auto" w:fill="00B0F0"/>
            <w:vAlign w:val="center"/>
          </w:tcPr>
          <w:p w14:paraId="200FA692" w14:textId="77777777" w:rsidR="00871D8A" w:rsidRPr="00414183" w:rsidRDefault="00871D8A" w:rsidP="00B66A42">
            <w:pPr>
              <w:jc w:val="center"/>
              <w:rPr>
                <w:rFonts w:cs="Arial"/>
                <w:lang w:val="fr-FR"/>
              </w:rPr>
            </w:pPr>
            <w:r w:rsidRPr="00414183">
              <w:rPr>
                <w:rFonts w:cs="Arial"/>
                <w:lang w:val="fr-FR"/>
              </w:rPr>
              <w:t>Inconnue</w:t>
            </w:r>
          </w:p>
        </w:tc>
        <w:tc>
          <w:tcPr>
            <w:tcW w:w="1069" w:type="dxa"/>
            <w:shd w:val="clear" w:color="auto" w:fill="00B0F0"/>
            <w:vAlign w:val="center"/>
          </w:tcPr>
          <w:p w14:paraId="1375E2AB" w14:textId="77777777" w:rsidR="00871D8A" w:rsidRPr="00414183" w:rsidRDefault="00871D8A" w:rsidP="00B66A42">
            <w:pPr>
              <w:jc w:val="center"/>
              <w:rPr>
                <w:rFonts w:cs="Arial"/>
                <w:lang w:val="fr-FR"/>
              </w:rPr>
            </w:pPr>
            <w:r w:rsidRPr="00414183">
              <w:rPr>
                <w:rFonts w:cs="Arial"/>
                <w:lang w:val="fr-FR"/>
              </w:rPr>
              <w:t>Inconnue</w:t>
            </w:r>
          </w:p>
        </w:tc>
        <w:tc>
          <w:tcPr>
            <w:tcW w:w="1678" w:type="dxa"/>
            <w:shd w:val="clear" w:color="auto" w:fill="00B0F0"/>
            <w:vAlign w:val="center"/>
          </w:tcPr>
          <w:p w14:paraId="2C85735E" w14:textId="77777777" w:rsidR="00871D8A" w:rsidRPr="00414183" w:rsidRDefault="00871D8A" w:rsidP="00B66A42">
            <w:pPr>
              <w:jc w:val="center"/>
              <w:rPr>
                <w:rFonts w:cs="Arial"/>
                <w:lang w:val="fr-FR"/>
              </w:rPr>
            </w:pPr>
            <w:r w:rsidRPr="00414183">
              <w:rPr>
                <w:rFonts w:cs="Arial"/>
                <w:lang w:val="fr-FR"/>
              </w:rPr>
              <w:t>Inconnue</w:t>
            </w:r>
          </w:p>
        </w:tc>
        <w:tc>
          <w:tcPr>
            <w:tcW w:w="1404" w:type="dxa"/>
            <w:shd w:val="clear" w:color="auto" w:fill="00B0F0"/>
            <w:vAlign w:val="center"/>
          </w:tcPr>
          <w:p w14:paraId="16A7AE4C" w14:textId="77777777" w:rsidR="00871D8A" w:rsidRPr="00414183" w:rsidRDefault="00871D8A" w:rsidP="00B66A42">
            <w:pPr>
              <w:jc w:val="center"/>
              <w:rPr>
                <w:rFonts w:cs="Arial"/>
                <w:lang w:val="fr-FR"/>
              </w:rPr>
            </w:pPr>
            <w:r w:rsidRPr="00414183">
              <w:rPr>
                <w:rFonts w:cs="Arial"/>
                <w:lang w:val="fr-FR"/>
              </w:rPr>
              <w:t>Inconnue</w:t>
            </w:r>
          </w:p>
        </w:tc>
      </w:tr>
      <w:tr w:rsidR="00871D8A" w:rsidRPr="00414183" w14:paraId="09501670" w14:textId="77777777" w:rsidTr="00B66A42">
        <w:tc>
          <w:tcPr>
            <w:tcW w:w="2243" w:type="dxa"/>
          </w:tcPr>
          <w:p w14:paraId="71770733" w14:textId="77777777" w:rsidR="00871D8A" w:rsidRPr="00414183" w:rsidRDefault="00871D8A" w:rsidP="00B66A42">
            <w:pPr>
              <w:rPr>
                <w:rFonts w:cs="Arial"/>
                <w:lang w:val="fr-FR"/>
              </w:rPr>
            </w:pPr>
            <w:r w:rsidRPr="00414183">
              <w:rPr>
                <w:rFonts w:cs="Arial"/>
                <w:lang w:val="fr-FR"/>
              </w:rPr>
              <w:t>Eau insalubre</w:t>
            </w:r>
          </w:p>
        </w:tc>
        <w:tc>
          <w:tcPr>
            <w:tcW w:w="1241" w:type="dxa"/>
            <w:shd w:val="clear" w:color="auto" w:fill="00B0F0"/>
            <w:vAlign w:val="center"/>
          </w:tcPr>
          <w:p w14:paraId="7E5C1F04" w14:textId="77777777" w:rsidR="00871D8A" w:rsidRPr="00414183" w:rsidRDefault="00871D8A" w:rsidP="00B66A42">
            <w:pPr>
              <w:jc w:val="center"/>
              <w:rPr>
                <w:rFonts w:cs="Arial"/>
                <w:lang w:val="fr-FR"/>
              </w:rPr>
            </w:pPr>
            <w:r w:rsidRPr="00414183">
              <w:rPr>
                <w:rFonts w:cs="Arial"/>
                <w:lang w:val="fr-FR"/>
              </w:rPr>
              <w:t>Inconnue</w:t>
            </w:r>
          </w:p>
        </w:tc>
        <w:tc>
          <w:tcPr>
            <w:tcW w:w="222" w:type="dxa"/>
            <w:vAlign w:val="center"/>
          </w:tcPr>
          <w:p w14:paraId="2F1EE772" w14:textId="77777777" w:rsidR="00871D8A" w:rsidRPr="00414183" w:rsidRDefault="00871D8A" w:rsidP="00B66A42">
            <w:pPr>
              <w:jc w:val="center"/>
              <w:rPr>
                <w:rFonts w:cs="Arial"/>
                <w:lang w:val="fr-FR"/>
              </w:rPr>
            </w:pPr>
          </w:p>
        </w:tc>
        <w:tc>
          <w:tcPr>
            <w:tcW w:w="1494" w:type="dxa"/>
            <w:shd w:val="clear" w:color="auto" w:fill="D0CECE" w:themeFill="background2" w:themeFillShade="E6"/>
            <w:vAlign w:val="center"/>
          </w:tcPr>
          <w:p w14:paraId="4FA1D828" w14:textId="77777777" w:rsidR="00871D8A" w:rsidRPr="00414183" w:rsidRDefault="00871D8A" w:rsidP="00B66A42">
            <w:pPr>
              <w:jc w:val="center"/>
              <w:rPr>
                <w:rFonts w:cs="Arial"/>
                <w:lang w:val="fr-FR"/>
              </w:rPr>
            </w:pPr>
          </w:p>
        </w:tc>
        <w:tc>
          <w:tcPr>
            <w:tcW w:w="1069" w:type="dxa"/>
            <w:shd w:val="clear" w:color="auto" w:fill="00B0F0"/>
            <w:vAlign w:val="center"/>
          </w:tcPr>
          <w:p w14:paraId="0EEE44E9" w14:textId="77777777" w:rsidR="00871D8A" w:rsidRPr="00414183" w:rsidRDefault="00871D8A" w:rsidP="00B66A42">
            <w:pPr>
              <w:jc w:val="center"/>
              <w:rPr>
                <w:rFonts w:cs="Arial"/>
                <w:lang w:val="fr-FR"/>
              </w:rPr>
            </w:pPr>
            <w:r w:rsidRPr="00414183">
              <w:rPr>
                <w:rFonts w:cs="Arial"/>
                <w:lang w:val="fr-FR"/>
              </w:rPr>
              <w:t>Inconnue</w:t>
            </w:r>
          </w:p>
        </w:tc>
        <w:tc>
          <w:tcPr>
            <w:tcW w:w="1678" w:type="dxa"/>
            <w:shd w:val="clear" w:color="auto" w:fill="FFC000"/>
            <w:vAlign w:val="center"/>
          </w:tcPr>
          <w:p w14:paraId="65D651F8" w14:textId="77777777" w:rsidR="00871D8A" w:rsidRPr="00414183" w:rsidRDefault="00871D8A" w:rsidP="00B66A42">
            <w:pPr>
              <w:jc w:val="center"/>
              <w:rPr>
                <w:rFonts w:cs="Arial"/>
                <w:lang w:val="fr-FR"/>
              </w:rPr>
            </w:pPr>
            <w:r w:rsidRPr="00414183">
              <w:rPr>
                <w:rFonts w:cs="Arial"/>
                <w:lang w:val="fr-FR"/>
              </w:rPr>
              <w:t>Moyenne</w:t>
            </w:r>
          </w:p>
        </w:tc>
        <w:tc>
          <w:tcPr>
            <w:tcW w:w="1404" w:type="dxa"/>
            <w:shd w:val="clear" w:color="auto" w:fill="00B0F0"/>
            <w:vAlign w:val="center"/>
          </w:tcPr>
          <w:p w14:paraId="6A138131" w14:textId="77777777" w:rsidR="00871D8A" w:rsidRPr="00414183" w:rsidRDefault="00871D8A" w:rsidP="00B66A42">
            <w:pPr>
              <w:jc w:val="center"/>
              <w:rPr>
                <w:rFonts w:cs="Arial"/>
                <w:lang w:val="fr-FR"/>
              </w:rPr>
            </w:pPr>
            <w:r w:rsidRPr="00414183">
              <w:rPr>
                <w:rFonts w:cs="Arial"/>
                <w:lang w:val="fr-FR"/>
              </w:rPr>
              <w:t>Inconnue</w:t>
            </w:r>
          </w:p>
        </w:tc>
      </w:tr>
      <w:tr w:rsidR="00871D8A" w:rsidRPr="001622FB" w14:paraId="2D762445" w14:textId="77777777" w:rsidTr="00B66A42">
        <w:tc>
          <w:tcPr>
            <w:tcW w:w="9351" w:type="dxa"/>
            <w:gridSpan w:val="7"/>
            <w:vAlign w:val="center"/>
          </w:tcPr>
          <w:p w14:paraId="60796DCC" w14:textId="77777777" w:rsidR="00871D8A" w:rsidRPr="00414183" w:rsidRDefault="00871D8A" w:rsidP="00B66A42">
            <w:pPr>
              <w:rPr>
                <w:rFonts w:cs="Arial"/>
                <w:i/>
                <w:iCs/>
                <w:lang w:val="fr-FR"/>
              </w:rPr>
            </w:pPr>
            <w:r w:rsidRPr="00414183">
              <w:rPr>
                <w:rFonts w:cs="Arial"/>
                <w:i/>
                <w:iCs/>
                <w:lang w:val="fr-FR"/>
              </w:rPr>
              <w:t>Prélèvements illégaux et non durables</w:t>
            </w:r>
          </w:p>
        </w:tc>
      </w:tr>
      <w:tr w:rsidR="00871D8A" w:rsidRPr="00414183" w14:paraId="069B20BF" w14:textId="77777777" w:rsidTr="00B66A42">
        <w:tc>
          <w:tcPr>
            <w:tcW w:w="2243" w:type="dxa"/>
          </w:tcPr>
          <w:p w14:paraId="285A39E5" w14:textId="77777777" w:rsidR="00871D8A" w:rsidRPr="00414183" w:rsidRDefault="00871D8A" w:rsidP="00B66A42">
            <w:pPr>
              <w:rPr>
                <w:rFonts w:cs="Arial"/>
                <w:lang w:val="fr-FR"/>
              </w:rPr>
            </w:pPr>
            <w:r w:rsidRPr="00414183">
              <w:rPr>
                <w:rFonts w:cs="Arial"/>
                <w:lang w:val="fr-FR"/>
              </w:rPr>
              <w:t>Chasse (abattage illégal)</w:t>
            </w:r>
          </w:p>
        </w:tc>
        <w:tc>
          <w:tcPr>
            <w:tcW w:w="1241" w:type="dxa"/>
            <w:shd w:val="clear" w:color="auto" w:fill="FFC000"/>
            <w:vAlign w:val="center"/>
          </w:tcPr>
          <w:p w14:paraId="286BBCF7" w14:textId="77777777" w:rsidR="00871D8A" w:rsidRPr="00414183" w:rsidRDefault="00871D8A" w:rsidP="00B66A42">
            <w:pPr>
              <w:jc w:val="center"/>
              <w:rPr>
                <w:rFonts w:cs="Arial"/>
                <w:lang w:val="fr-FR"/>
              </w:rPr>
            </w:pPr>
            <w:r w:rsidRPr="00414183">
              <w:rPr>
                <w:rFonts w:cs="Arial"/>
                <w:lang w:val="fr-FR"/>
              </w:rPr>
              <w:t>Moyenne</w:t>
            </w:r>
          </w:p>
        </w:tc>
        <w:tc>
          <w:tcPr>
            <w:tcW w:w="222" w:type="dxa"/>
            <w:vAlign w:val="center"/>
          </w:tcPr>
          <w:p w14:paraId="483D211A" w14:textId="77777777" w:rsidR="00871D8A" w:rsidRPr="00414183" w:rsidRDefault="00871D8A" w:rsidP="00B66A42">
            <w:pPr>
              <w:jc w:val="center"/>
              <w:rPr>
                <w:rFonts w:cs="Arial"/>
                <w:lang w:val="fr-FR"/>
              </w:rPr>
            </w:pPr>
          </w:p>
        </w:tc>
        <w:tc>
          <w:tcPr>
            <w:tcW w:w="1494" w:type="dxa"/>
            <w:shd w:val="clear" w:color="auto" w:fill="FFFF00"/>
            <w:vAlign w:val="center"/>
          </w:tcPr>
          <w:p w14:paraId="6C2BC653" w14:textId="77777777" w:rsidR="00871D8A" w:rsidRPr="00414183" w:rsidRDefault="00871D8A" w:rsidP="00B66A42">
            <w:pPr>
              <w:jc w:val="center"/>
              <w:rPr>
                <w:rFonts w:cs="Arial"/>
                <w:lang w:val="fr-FR"/>
              </w:rPr>
            </w:pPr>
            <w:r w:rsidRPr="00414183">
              <w:rPr>
                <w:rFonts w:cs="Arial"/>
                <w:lang w:val="fr-FR"/>
              </w:rPr>
              <w:t>Faible</w:t>
            </w:r>
          </w:p>
        </w:tc>
        <w:tc>
          <w:tcPr>
            <w:tcW w:w="1069" w:type="dxa"/>
            <w:shd w:val="clear" w:color="auto" w:fill="C00000"/>
            <w:vAlign w:val="center"/>
          </w:tcPr>
          <w:p w14:paraId="66643CDC" w14:textId="77777777" w:rsidR="00871D8A" w:rsidRPr="00414183" w:rsidRDefault="00871D8A" w:rsidP="00B66A42">
            <w:pPr>
              <w:jc w:val="center"/>
              <w:rPr>
                <w:rFonts w:cs="Arial"/>
                <w:lang w:val="fr-FR"/>
              </w:rPr>
            </w:pPr>
            <w:r w:rsidRPr="00414183">
              <w:rPr>
                <w:rFonts w:cs="Arial"/>
                <w:lang w:val="fr-FR"/>
              </w:rPr>
              <w:t>Élevée</w:t>
            </w:r>
          </w:p>
        </w:tc>
        <w:tc>
          <w:tcPr>
            <w:tcW w:w="1678" w:type="dxa"/>
            <w:shd w:val="clear" w:color="auto" w:fill="FFC000"/>
            <w:vAlign w:val="center"/>
          </w:tcPr>
          <w:p w14:paraId="2E7FB48A" w14:textId="77777777" w:rsidR="00871D8A" w:rsidRPr="00414183" w:rsidRDefault="00871D8A" w:rsidP="00B66A42">
            <w:pPr>
              <w:jc w:val="center"/>
              <w:rPr>
                <w:rFonts w:cs="Arial"/>
                <w:lang w:val="fr-FR"/>
              </w:rPr>
            </w:pPr>
            <w:r w:rsidRPr="00414183">
              <w:rPr>
                <w:rFonts w:cs="Arial"/>
                <w:lang w:val="fr-FR"/>
              </w:rPr>
              <w:t>Moyenne</w:t>
            </w:r>
          </w:p>
        </w:tc>
        <w:tc>
          <w:tcPr>
            <w:tcW w:w="1404" w:type="dxa"/>
            <w:shd w:val="clear" w:color="auto" w:fill="FFC000"/>
            <w:vAlign w:val="center"/>
          </w:tcPr>
          <w:p w14:paraId="743DEC32" w14:textId="77777777" w:rsidR="00871D8A" w:rsidRPr="00414183" w:rsidRDefault="00871D8A" w:rsidP="00B66A42">
            <w:pPr>
              <w:jc w:val="center"/>
              <w:rPr>
                <w:rFonts w:cs="Arial"/>
                <w:lang w:val="fr-FR"/>
              </w:rPr>
            </w:pPr>
            <w:r w:rsidRPr="00414183">
              <w:rPr>
                <w:rFonts w:cs="Arial"/>
                <w:lang w:val="fr-FR"/>
              </w:rPr>
              <w:t>Moyenne</w:t>
            </w:r>
          </w:p>
        </w:tc>
      </w:tr>
      <w:tr w:rsidR="00871D8A" w:rsidRPr="00414183" w14:paraId="68D2E17F" w14:textId="77777777" w:rsidTr="00B66A42">
        <w:tc>
          <w:tcPr>
            <w:tcW w:w="2243" w:type="dxa"/>
          </w:tcPr>
          <w:p w14:paraId="0843E621" w14:textId="77777777" w:rsidR="00871D8A" w:rsidRPr="00414183" w:rsidRDefault="00871D8A" w:rsidP="00B66A42">
            <w:pPr>
              <w:rPr>
                <w:rFonts w:cs="Arial"/>
                <w:lang w:val="fr-FR"/>
              </w:rPr>
            </w:pPr>
            <w:r w:rsidRPr="00414183">
              <w:rPr>
                <w:rFonts w:cs="Arial"/>
                <w:lang w:val="fr-FR"/>
              </w:rPr>
              <w:t>Piégeage/commerce</w:t>
            </w:r>
          </w:p>
        </w:tc>
        <w:tc>
          <w:tcPr>
            <w:tcW w:w="1241" w:type="dxa"/>
            <w:shd w:val="clear" w:color="auto" w:fill="FFC000"/>
            <w:vAlign w:val="center"/>
          </w:tcPr>
          <w:p w14:paraId="2FE02FF2" w14:textId="77777777" w:rsidR="00871D8A" w:rsidRPr="00414183" w:rsidRDefault="00871D8A" w:rsidP="00B66A42">
            <w:pPr>
              <w:jc w:val="center"/>
              <w:rPr>
                <w:rFonts w:cs="Arial"/>
                <w:lang w:val="fr-FR"/>
              </w:rPr>
            </w:pPr>
            <w:r w:rsidRPr="00414183">
              <w:rPr>
                <w:rFonts w:cs="Arial"/>
                <w:lang w:val="fr-FR"/>
              </w:rPr>
              <w:t>Moyenne</w:t>
            </w:r>
          </w:p>
        </w:tc>
        <w:tc>
          <w:tcPr>
            <w:tcW w:w="222" w:type="dxa"/>
            <w:vAlign w:val="center"/>
          </w:tcPr>
          <w:p w14:paraId="469C13FB" w14:textId="77777777" w:rsidR="00871D8A" w:rsidRPr="00414183" w:rsidRDefault="00871D8A" w:rsidP="00B66A42">
            <w:pPr>
              <w:jc w:val="center"/>
              <w:rPr>
                <w:rFonts w:cs="Arial"/>
                <w:lang w:val="fr-FR"/>
              </w:rPr>
            </w:pPr>
          </w:p>
        </w:tc>
        <w:tc>
          <w:tcPr>
            <w:tcW w:w="1494" w:type="dxa"/>
            <w:shd w:val="clear" w:color="auto" w:fill="FFFF00"/>
            <w:vAlign w:val="center"/>
          </w:tcPr>
          <w:p w14:paraId="6CB75F72" w14:textId="77777777" w:rsidR="00871D8A" w:rsidRPr="00414183" w:rsidRDefault="00871D8A" w:rsidP="00B66A42">
            <w:pPr>
              <w:jc w:val="center"/>
              <w:rPr>
                <w:rFonts w:cs="Arial"/>
                <w:lang w:val="fr-FR"/>
              </w:rPr>
            </w:pPr>
            <w:r w:rsidRPr="00414183">
              <w:rPr>
                <w:rFonts w:cs="Arial"/>
                <w:lang w:val="fr-FR"/>
              </w:rPr>
              <w:t>Faible</w:t>
            </w:r>
          </w:p>
        </w:tc>
        <w:tc>
          <w:tcPr>
            <w:tcW w:w="1069" w:type="dxa"/>
            <w:shd w:val="clear" w:color="auto" w:fill="C00000"/>
            <w:vAlign w:val="center"/>
          </w:tcPr>
          <w:p w14:paraId="51D57B65" w14:textId="77777777" w:rsidR="00871D8A" w:rsidRPr="00414183" w:rsidRDefault="00871D8A" w:rsidP="00B66A42">
            <w:pPr>
              <w:jc w:val="center"/>
              <w:rPr>
                <w:rFonts w:cs="Arial"/>
                <w:lang w:val="fr-FR"/>
              </w:rPr>
            </w:pPr>
            <w:r w:rsidRPr="00414183">
              <w:rPr>
                <w:rFonts w:cs="Arial"/>
                <w:color w:val="FFFFFF" w:themeColor="background1"/>
                <w:lang w:val="fr-FR"/>
              </w:rPr>
              <w:t>Élevée</w:t>
            </w:r>
          </w:p>
        </w:tc>
        <w:tc>
          <w:tcPr>
            <w:tcW w:w="1678" w:type="dxa"/>
            <w:shd w:val="clear" w:color="auto" w:fill="FFFF00"/>
            <w:vAlign w:val="center"/>
          </w:tcPr>
          <w:p w14:paraId="05EBA996" w14:textId="77777777" w:rsidR="00871D8A" w:rsidRPr="00414183" w:rsidRDefault="00871D8A" w:rsidP="00B66A42">
            <w:pPr>
              <w:jc w:val="center"/>
              <w:rPr>
                <w:rFonts w:cs="Arial"/>
                <w:lang w:val="fr-FR"/>
              </w:rPr>
            </w:pPr>
            <w:r w:rsidRPr="00414183">
              <w:rPr>
                <w:rFonts w:cs="Arial"/>
                <w:lang w:val="fr-FR"/>
              </w:rPr>
              <w:t>Faible</w:t>
            </w:r>
          </w:p>
        </w:tc>
        <w:tc>
          <w:tcPr>
            <w:tcW w:w="1404" w:type="dxa"/>
            <w:shd w:val="clear" w:color="auto" w:fill="FFC000"/>
            <w:vAlign w:val="center"/>
          </w:tcPr>
          <w:p w14:paraId="3CD59571" w14:textId="77777777" w:rsidR="00871D8A" w:rsidRPr="00414183" w:rsidRDefault="00871D8A" w:rsidP="00B66A42">
            <w:pPr>
              <w:jc w:val="center"/>
              <w:rPr>
                <w:rFonts w:cs="Arial"/>
                <w:lang w:val="fr-FR"/>
              </w:rPr>
            </w:pPr>
            <w:r w:rsidRPr="00414183">
              <w:rPr>
                <w:rFonts w:cs="Arial"/>
                <w:lang w:val="fr-FR"/>
              </w:rPr>
              <w:t>Moyenne</w:t>
            </w:r>
          </w:p>
        </w:tc>
      </w:tr>
    </w:tbl>
    <w:p w14:paraId="7D21AFFB" w14:textId="77777777" w:rsidR="00871D8A" w:rsidRPr="00414183" w:rsidRDefault="00871D8A" w:rsidP="00871D8A">
      <w:pPr>
        <w:pStyle w:val="Heading3"/>
        <w:spacing w:before="0" w:after="0"/>
        <w:rPr>
          <w:rFonts w:ascii="Arial" w:hAnsi="Arial" w:cs="Arial"/>
          <w:b/>
          <w:bCs/>
          <w:color w:val="auto"/>
          <w:sz w:val="22"/>
          <w:szCs w:val="22"/>
          <w:lang w:val="fr-FR"/>
        </w:rPr>
      </w:pPr>
      <w:bookmarkStart w:id="6" w:name="_Toc208751134"/>
    </w:p>
    <w:p w14:paraId="10693123" w14:textId="77777777" w:rsidR="00871D8A" w:rsidRPr="00A83AF9" w:rsidRDefault="00871D8A" w:rsidP="00A83AF9">
      <w:pPr>
        <w:pStyle w:val="Caption"/>
        <w:keepNext/>
        <w:spacing w:after="0"/>
        <w:jc w:val="both"/>
        <w:rPr>
          <w:color w:val="auto"/>
          <w:lang w:val="fr-FR"/>
        </w:rPr>
      </w:pPr>
      <w:r w:rsidRPr="00A83AF9">
        <w:rPr>
          <w:rFonts w:ascii="Arial" w:hAnsi="Arial" w:cs="Arial"/>
          <w:color w:val="auto"/>
          <w:lang w:val="fr-FR"/>
        </w:rPr>
        <w:t>Tableau </w:t>
      </w:r>
      <w:r w:rsidRPr="00A83AF9">
        <w:rPr>
          <w:rFonts w:ascii="Arial" w:hAnsi="Arial" w:cs="Arial"/>
          <w:color w:val="auto"/>
          <w:lang w:val="fr-FR"/>
        </w:rPr>
        <w:fldChar w:fldCharType="begin"/>
      </w:r>
      <w:r w:rsidRPr="00A83AF9">
        <w:rPr>
          <w:rFonts w:ascii="Arial" w:hAnsi="Arial" w:cs="Arial"/>
          <w:color w:val="auto"/>
          <w:lang w:val="fr-FR"/>
        </w:rPr>
        <w:instrText xml:space="preserve"> SEQ Table \* ARABIC </w:instrText>
      </w:r>
      <w:r w:rsidRPr="00A83AF9">
        <w:rPr>
          <w:rFonts w:ascii="Arial" w:hAnsi="Arial" w:cs="Arial"/>
          <w:color w:val="auto"/>
          <w:lang w:val="fr-FR"/>
        </w:rPr>
        <w:fldChar w:fldCharType="separate"/>
      </w:r>
      <w:r w:rsidRPr="00A83AF9">
        <w:rPr>
          <w:rFonts w:ascii="Arial" w:hAnsi="Arial" w:cs="Arial"/>
          <w:color w:val="auto"/>
          <w:lang w:val="fr-FR"/>
        </w:rPr>
        <w:t>1</w:t>
      </w:r>
      <w:r w:rsidRPr="00A83AF9">
        <w:rPr>
          <w:rFonts w:ascii="Arial" w:hAnsi="Arial" w:cs="Arial"/>
          <w:color w:val="auto"/>
          <w:lang w:val="fr-FR"/>
        </w:rPr>
        <w:fldChar w:fldCharType="end"/>
      </w:r>
      <w:r w:rsidRPr="00A83AF9">
        <w:rPr>
          <w:rFonts w:ascii="Arial" w:hAnsi="Arial" w:cs="Arial"/>
          <w:color w:val="auto"/>
          <w:lang w:val="fr-FR"/>
        </w:rPr>
        <w:t xml:space="preserve"> Classement mondial des menaces pesant sur l’aigle des steppes par région. Les menaces ont été évaluées en fonction de leur portée, de leur gravité et de leur échéance, et elles ont été examinées à l’échelle mondiale et par région. ÉLEVÉE (</w:t>
      </w:r>
      <w:r w:rsidRPr="00A83AF9">
        <w:rPr>
          <w:rFonts w:ascii="Arial" w:hAnsi="Arial" w:cs="Arial"/>
          <w:color w:val="auto"/>
          <w:shd w:val="clear" w:color="auto" w:fill="CC0000"/>
          <w:lang w:val="fr-FR"/>
        </w:rPr>
        <w:t>rouge</w:t>
      </w:r>
      <w:r w:rsidRPr="00A83AF9">
        <w:rPr>
          <w:rFonts w:ascii="Arial" w:hAnsi="Arial" w:cs="Arial"/>
          <w:color w:val="auto"/>
          <w:lang w:val="fr-FR"/>
        </w:rPr>
        <w:t>) = menaces ayant l’impact potentiel le plus élevé ; MOYENNE (</w:t>
      </w:r>
      <w:r w:rsidRPr="00A83AF9">
        <w:rPr>
          <w:rFonts w:ascii="Arial" w:hAnsi="Arial" w:cs="Arial"/>
          <w:color w:val="auto"/>
          <w:shd w:val="clear" w:color="auto" w:fill="FFC000"/>
          <w:lang w:val="fr-FR"/>
        </w:rPr>
        <w:t>orange</w:t>
      </w:r>
      <w:r w:rsidRPr="00A83AF9">
        <w:rPr>
          <w:rFonts w:ascii="Arial" w:hAnsi="Arial" w:cs="Arial"/>
          <w:color w:val="auto"/>
          <w:lang w:val="fr-FR"/>
        </w:rPr>
        <w:t>) ; FAIBLE (</w:t>
      </w:r>
      <w:r w:rsidRPr="00A83AF9">
        <w:rPr>
          <w:rFonts w:ascii="Arial" w:hAnsi="Arial" w:cs="Arial"/>
          <w:color w:val="auto"/>
          <w:shd w:val="clear" w:color="auto" w:fill="FFFF00"/>
          <w:lang w:val="fr-FR"/>
        </w:rPr>
        <w:t>jaune</w:t>
      </w:r>
      <w:r w:rsidRPr="00A83AF9">
        <w:rPr>
          <w:rFonts w:ascii="Arial" w:hAnsi="Arial" w:cs="Arial"/>
          <w:color w:val="auto"/>
          <w:lang w:val="fr-FR"/>
        </w:rPr>
        <w:t>) ; INCONNUE (</w:t>
      </w:r>
      <w:r w:rsidRPr="00A83AF9">
        <w:rPr>
          <w:rFonts w:ascii="Arial" w:hAnsi="Arial" w:cs="Arial"/>
          <w:color w:val="auto"/>
          <w:shd w:val="clear" w:color="auto" w:fill="66CCFF"/>
          <w:lang w:val="fr-FR"/>
        </w:rPr>
        <w:t>bleu</w:t>
      </w:r>
      <w:r w:rsidRPr="00A83AF9">
        <w:rPr>
          <w:rFonts w:ascii="Arial" w:hAnsi="Arial" w:cs="Arial"/>
          <w:color w:val="auto"/>
          <w:lang w:val="fr-FR"/>
        </w:rPr>
        <w:t>) = menaces dont la gravité est inconnue mais dont on pense qu’elles existent ; GRIS = toutes les données disponibles suggèrent que la menace n’est pas présente dans la région.</w:t>
      </w:r>
    </w:p>
    <w:p w14:paraId="2E8ED66B" w14:textId="77777777" w:rsidR="00871D8A" w:rsidRPr="00414183" w:rsidRDefault="00871D8A" w:rsidP="00871D8A">
      <w:pPr>
        <w:rPr>
          <w:rFonts w:cs="Arial"/>
          <w:lang w:val="fr-FR"/>
        </w:rPr>
      </w:pPr>
    </w:p>
    <w:p w14:paraId="38C4A462" w14:textId="77777777" w:rsidR="00871D8A" w:rsidRPr="00414183" w:rsidRDefault="00871D8A" w:rsidP="00A83AF9">
      <w:pPr>
        <w:pStyle w:val="Heading3"/>
        <w:spacing w:before="0" w:after="0"/>
        <w:rPr>
          <w:rFonts w:ascii="Arial" w:hAnsi="Arial" w:cs="Arial"/>
          <w:b/>
          <w:bCs/>
          <w:color w:val="auto"/>
          <w:sz w:val="22"/>
          <w:szCs w:val="22"/>
          <w:lang w:val="fr-FR"/>
        </w:rPr>
      </w:pPr>
      <w:r w:rsidRPr="00414183">
        <w:rPr>
          <w:rFonts w:ascii="Arial" w:hAnsi="Arial" w:cs="Arial"/>
          <w:b/>
          <w:bCs/>
          <w:color w:val="auto"/>
          <w:sz w:val="22"/>
          <w:szCs w:val="22"/>
          <w:lang w:val="fr-FR"/>
        </w:rPr>
        <w:lastRenderedPageBreak/>
        <w:t xml:space="preserve">Infrastructure énergétique </w:t>
      </w:r>
      <w:bookmarkEnd w:id="6"/>
    </w:p>
    <w:p w14:paraId="6AE31173" w14:textId="77777777" w:rsidR="00871D8A" w:rsidRPr="00414183" w:rsidRDefault="00871D8A" w:rsidP="00A83AF9">
      <w:pPr>
        <w:spacing w:after="0" w:line="240" w:lineRule="auto"/>
        <w:rPr>
          <w:rFonts w:cs="Arial"/>
          <w:lang w:val="fr-FR"/>
        </w:rPr>
      </w:pPr>
    </w:p>
    <w:p w14:paraId="24215E6B" w14:textId="77777777" w:rsidR="00871D8A" w:rsidRPr="00414183" w:rsidRDefault="00871D8A" w:rsidP="00A83AF9">
      <w:pPr>
        <w:spacing w:after="0" w:line="240" w:lineRule="auto"/>
        <w:jc w:val="both"/>
        <w:rPr>
          <w:rFonts w:cs="Arial"/>
          <w:lang w:val="fr-FR"/>
        </w:rPr>
      </w:pPr>
      <w:bookmarkStart w:id="7" w:name="_Toc208751135"/>
      <w:r w:rsidRPr="00414183">
        <w:rPr>
          <w:rFonts w:cs="Arial"/>
          <w:lang w:val="fr-FR"/>
        </w:rPr>
        <w:t>Les infrastructures énergétiques présentent trois risques pour l’aigle des steppes : l’électrocution, les collisions avec les lignes électriques et les collisions avec les éoliennes.</w:t>
      </w:r>
      <w:bookmarkEnd w:id="7"/>
    </w:p>
    <w:p w14:paraId="2F2FE93E" w14:textId="77777777" w:rsidR="00871D8A" w:rsidRPr="00414183" w:rsidRDefault="00871D8A" w:rsidP="00A83AF9">
      <w:pPr>
        <w:spacing w:after="0" w:line="240" w:lineRule="auto"/>
        <w:rPr>
          <w:rFonts w:cs="Arial"/>
          <w:lang w:val="fr-FR"/>
        </w:rPr>
      </w:pPr>
    </w:p>
    <w:p w14:paraId="5C13B61B" w14:textId="77777777" w:rsidR="00871D8A" w:rsidRPr="00414183" w:rsidRDefault="00871D8A" w:rsidP="00A83AF9">
      <w:pPr>
        <w:pStyle w:val="Heading4"/>
        <w:spacing w:before="0" w:line="240" w:lineRule="auto"/>
        <w:rPr>
          <w:rFonts w:ascii="Arial" w:hAnsi="Arial" w:cs="Arial"/>
          <w:color w:val="auto"/>
          <w:lang w:val="fr-FR"/>
        </w:rPr>
      </w:pPr>
      <w:r w:rsidRPr="00414183">
        <w:rPr>
          <w:rFonts w:ascii="Arial" w:hAnsi="Arial" w:cs="Arial"/>
          <w:color w:val="auto"/>
          <w:lang w:val="fr-FR"/>
        </w:rPr>
        <w:t>Électrocution (globalement élevée)</w:t>
      </w:r>
    </w:p>
    <w:p w14:paraId="7B3E07B1" w14:textId="77777777" w:rsidR="00871D8A" w:rsidRPr="00414183" w:rsidRDefault="00871D8A" w:rsidP="00A83AF9">
      <w:pPr>
        <w:spacing w:after="0" w:line="240" w:lineRule="auto"/>
        <w:rPr>
          <w:lang w:val="fr-FR"/>
        </w:rPr>
      </w:pPr>
    </w:p>
    <w:p w14:paraId="15BA01FF" w14:textId="77777777" w:rsidR="00871D8A" w:rsidRPr="00414183" w:rsidRDefault="00871D8A" w:rsidP="00A83AF9">
      <w:pPr>
        <w:spacing w:after="0" w:line="240" w:lineRule="auto"/>
        <w:jc w:val="both"/>
        <w:rPr>
          <w:rFonts w:cs="Arial"/>
          <w:lang w:val="fr-FR"/>
        </w:rPr>
      </w:pPr>
      <w:r w:rsidRPr="00414183">
        <w:rPr>
          <w:rFonts w:cs="Arial"/>
          <w:lang w:val="fr-FR"/>
        </w:rPr>
        <w:t xml:space="preserve">L’électrocution constitue une menace majeure pour les grands rapaces à l’échelle mondiale (Oppel et al., 2021 ; Serratosa et al., 2024 ; Slater et al., 2020). Dans les paysages largement dépourvus d’arbres utilisés par l’aigle des steppes, les infrastructures électriques offrent des sites de perchage et de nidification. Cependant, les oiseaux courent un risque lorsqu’ils entrent simultanément en contact avec deux composants non isolés ou avec un composant non isolé et le sol (Slater et al., 2020). Un grand nombre d’aigles des steppes ont été enregistrés comme électrocutés dans l’ensemble de l’aire de répartition de l’espèce, soulignant la nature universelle de cette question (McGrady et al., 2021). La mortalité réelle est sous-estimée en raison de la décomposition des carcasses et du charognage ; rien qu’au Kazakhstan, les ajustements prenant en considération le biais lié à l’évaluation clinique suggèrent un nombre de morts 9 à 90 fois supérieur à celui qui a été constaté [voir le résumé dans Dwyer et al. (2022)]. L’électrocution affecte également les humains en raison de coupures d’électricité et d’un risque accru de feux de steppe ou de brousse dans des habitats déjà vulnérables aux incendies ; les coûts économiques plus larges restent non quantifiés (Guil et al., 2018). </w:t>
      </w:r>
    </w:p>
    <w:p w14:paraId="1BEB4E4F" w14:textId="77777777" w:rsidR="00871D8A" w:rsidRPr="00414183" w:rsidRDefault="00871D8A" w:rsidP="00A83AF9">
      <w:pPr>
        <w:spacing w:after="0" w:line="240" w:lineRule="auto"/>
        <w:jc w:val="both"/>
        <w:rPr>
          <w:rFonts w:cs="Arial"/>
          <w:lang w:val="fr-FR"/>
        </w:rPr>
      </w:pPr>
    </w:p>
    <w:p w14:paraId="2D27E8CB" w14:textId="77777777" w:rsidR="00871D8A" w:rsidRPr="00414183" w:rsidRDefault="00871D8A" w:rsidP="00A83AF9">
      <w:pPr>
        <w:spacing w:after="0" w:line="240" w:lineRule="auto"/>
        <w:jc w:val="both"/>
        <w:rPr>
          <w:rFonts w:cs="Arial"/>
          <w:lang w:val="fr-FR"/>
        </w:rPr>
      </w:pPr>
      <w:r w:rsidRPr="00414183">
        <w:rPr>
          <w:rFonts w:cs="Arial"/>
          <w:lang w:val="fr-FR"/>
        </w:rPr>
        <w:t>Au Kazakhstan et en Mongolie (aire de reproduction), l’électrocution est largement répandue, avec des taux de carcasses récemment aussi élevés que 22 carcasses pour 10 km dans l’ouest du Kazakhstan (Alexandrovich et al., 2024) et 8,1 carcasses pour 1000 poteaux (aigle royal et aigle des steppes combinés) en Mongolie (Purevdorj et al., 2025). Karyakin (2008) a estimé que 51 % de toutes les électrocutions de rapaces au Kazakhstan concernent l’aigle des steppes et que le risque peut augmenter localement dans les zones où les densités de proies sont exceptionnellement élevées (Purevdorj et al., 2025). Dans leur aire d’hivernage, les grands rassemblements sur les sites de décharge et d’enfouissement des déchets peuvent rapprocher les oiseaux des lignes dangereuses (Keijmel et al., 2020). En Arabie saoudite, 14 km de lignes électriques à proximité des décharges peuvent tuer jusqu’à 240 individus par an (Shobrak et al., 2022). L’électrocution est également une préoccupation croissante en Afrique subsaharienne pour l’aigle des steppes et d’autres rapaces migrateurs (communication personnelle de S. Thomsett), et l’aigle des steppes est considéré comme particulièrement menacé dans la région (Ngila et al., 2024). Bien que l’isolation et l’enfouissement aient été mis en œuvre dans certaines régions, la plupart des mesures d’atténuation n’ont pas été spécifiquement ciblées sur les zones sensibles pour l’aigle des steppes.</w:t>
      </w:r>
    </w:p>
    <w:p w14:paraId="6F1A8125" w14:textId="77777777" w:rsidR="00871D8A" w:rsidRPr="00414183" w:rsidRDefault="00871D8A" w:rsidP="00A83AF9">
      <w:pPr>
        <w:spacing w:after="0" w:line="240" w:lineRule="auto"/>
        <w:jc w:val="both"/>
        <w:rPr>
          <w:rFonts w:cs="Arial"/>
          <w:lang w:val="fr-FR"/>
        </w:rPr>
      </w:pPr>
    </w:p>
    <w:p w14:paraId="66D95AA1" w14:textId="77777777" w:rsidR="00871D8A" w:rsidRPr="00414183" w:rsidRDefault="00871D8A" w:rsidP="00A83AF9">
      <w:pPr>
        <w:pStyle w:val="Heading4"/>
        <w:spacing w:before="0" w:line="240" w:lineRule="auto"/>
        <w:rPr>
          <w:rFonts w:ascii="Arial" w:hAnsi="Arial" w:cs="Arial"/>
          <w:color w:val="auto"/>
          <w:lang w:val="fr-FR"/>
        </w:rPr>
      </w:pPr>
      <w:bookmarkStart w:id="8" w:name="_Toc208751136"/>
      <w:r w:rsidRPr="00414183">
        <w:rPr>
          <w:rFonts w:ascii="Arial" w:hAnsi="Arial" w:cs="Arial"/>
          <w:color w:val="auto"/>
          <w:lang w:val="fr-FR"/>
        </w:rPr>
        <w:t>Collision avec des éoliennes (globalement moyenne)</w:t>
      </w:r>
      <w:bookmarkEnd w:id="8"/>
    </w:p>
    <w:p w14:paraId="3B76CBCC" w14:textId="77777777" w:rsidR="00871D8A" w:rsidRPr="00414183" w:rsidRDefault="00871D8A" w:rsidP="00A83AF9">
      <w:pPr>
        <w:spacing w:after="0" w:line="240" w:lineRule="auto"/>
        <w:rPr>
          <w:lang w:val="fr-FR"/>
        </w:rPr>
      </w:pPr>
    </w:p>
    <w:p w14:paraId="57752DDF" w14:textId="77777777" w:rsidR="00871D8A" w:rsidRPr="00414183" w:rsidRDefault="00871D8A" w:rsidP="00A83AF9">
      <w:pPr>
        <w:spacing w:after="0" w:line="240" w:lineRule="auto"/>
        <w:jc w:val="both"/>
        <w:rPr>
          <w:rFonts w:cs="Arial"/>
          <w:lang w:val="fr-FR"/>
        </w:rPr>
      </w:pPr>
      <w:r w:rsidRPr="00414183">
        <w:rPr>
          <w:rFonts w:cs="Arial"/>
          <w:lang w:val="fr-FR"/>
        </w:rPr>
        <w:t>L’expansion rapide de l’énergie éolienne suscite des préoccupations croissantes concernant les grands oiseaux planeurs</w:t>
      </w:r>
      <w:r w:rsidRPr="00414183">
        <w:rPr>
          <w:rFonts w:cs="Arial"/>
          <w:b/>
          <w:bCs/>
          <w:lang w:val="fr-FR"/>
        </w:rPr>
        <w:t xml:space="preserve"> </w:t>
      </w:r>
      <w:r w:rsidRPr="00414183">
        <w:rPr>
          <w:rFonts w:cs="Arial"/>
          <w:lang w:val="fr-FR"/>
        </w:rPr>
        <w:t xml:space="preserve">(De Lucas et al., 2008). Pour l’aigle des steppes, l’expansion des installations d’énergie éolienne le long des principales zones de reproduction, des points de passage migratoires et des sites de rassemblement représente un risque de collisions mortelles (Karyakin et al., 2021). La modélisation basée sur le marquage par satellite indique que jusqu’à 7 % des 6 888 à 7 371 aigles des steppes qui migrent chaque année à travers un site proposé pourraient être exposés à un risque de collision (Karyakin et al., 2021). Les taux d’évitement restent en grande partie non testés pour cette espèce, mais les impacts potentiels aux points de passage étroits sont évidents. Les parcs éoliens entraînent également une perte d’habitat par déplacement, car ils poussent les aigles à éviter la zone proche des turbines ; bien que l’emprise au sol soit relativement restreinte, les perturbations et les collisions peuvent avoir des conséquences bien plus graves (Percival, 2005). </w:t>
      </w:r>
    </w:p>
    <w:p w14:paraId="188FCE68" w14:textId="77777777" w:rsidR="00871D8A" w:rsidRPr="00414183" w:rsidRDefault="00871D8A" w:rsidP="00A83AF9">
      <w:pPr>
        <w:spacing w:after="0" w:line="240" w:lineRule="auto"/>
        <w:jc w:val="both"/>
        <w:rPr>
          <w:rFonts w:cs="Arial"/>
          <w:lang w:val="fr-FR"/>
        </w:rPr>
      </w:pPr>
      <w:r w:rsidRPr="00414183">
        <w:rPr>
          <w:rFonts w:cs="Arial"/>
          <w:lang w:val="fr-FR"/>
        </w:rPr>
        <w:lastRenderedPageBreak/>
        <w:t>Les risques augmentent avec les grandes turbines et les longues pales (&gt;30 mètres de long), ainsi que dans les zones où les proies ou les charognes attirent les rapaces (Percival, 2005 ; Schaub et al., 2024). La question de savoir si les adultes ou les individus immatures sont davantage affectés n’a pas été étudiée pour l’aigle des steppes [cf. Dahl et al. (2013)], mais, compte tenu des déclins actuels, l’un ou l’autre cas pourrait avoir des effets à l’échelle de la population. Les parcs éoliens peuvent également créer des obstacles à la migration, obligeant les oiseaux à emprunter des itinéraires plus longs ou plus énergivores, car les rapaces en vol qui dépendent des thermiques terrestres sont guidés à travers des « goulets d’étranglement » étroits (Barrios &amp; Rodriguez, 2004 ; Meyburg et al., 2003). Dans l’est du Kazakhstan, la crête de Karatau, un goulet d’étranglement migratoire crucial pour les aigles des steppes, les aigles impériaux (</w:t>
      </w:r>
      <w:r w:rsidRPr="00414183">
        <w:rPr>
          <w:rFonts w:cs="Arial"/>
          <w:i/>
          <w:iCs/>
          <w:lang w:val="fr-FR"/>
        </w:rPr>
        <w:t>A. heliaca</w:t>
      </w:r>
      <w:r w:rsidRPr="00414183">
        <w:rPr>
          <w:rFonts w:cs="Arial"/>
          <w:lang w:val="fr-FR"/>
        </w:rPr>
        <w:t>) et les aigles criards (</w:t>
      </w:r>
      <w:r w:rsidRPr="00414183">
        <w:rPr>
          <w:rFonts w:cs="Arial"/>
          <w:i/>
          <w:iCs/>
          <w:lang w:val="fr-FR"/>
        </w:rPr>
        <w:t>Clanga clanga</w:t>
      </w:r>
      <w:r w:rsidRPr="00414183">
        <w:rPr>
          <w:rFonts w:cs="Arial"/>
          <w:lang w:val="fr-FR"/>
        </w:rPr>
        <w:t xml:space="preserve">), est menacée par les parcs éoliens existants et prévus (Karyakin et al., 2021 ; Karyakin et al., 2024). Des risques similaires ont été documentés dans d’autres corridors migratoires d’importance mondiale, notamment la vallée du Rift, la mer Rouge, la Méditerranée orientale et la mer Caspienne (Hilgerloh et al., 2011 ; Watson et al., 2018). </w:t>
      </w:r>
    </w:p>
    <w:p w14:paraId="5FEE2241" w14:textId="77777777" w:rsidR="00871D8A" w:rsidRPr="00414183" w:rsidRDefault="00871D8A" w:rsidP="00A83AF9">
      <w:pPr>
        <w:spacing w:after="0" w:line="240" w:lineRule="auto"/>
        <w:jc w:val="both"/>
        <w:rPr>
          <w:rFonts w:cs="Arial"/>
          <w:lang w:val="fr-FR"/>
        </w:rPr>
      </w:pPr>
    </w:p>
    <w:p w14:paraId="4DA4F37A" w14:textId="77777777" w:rsidR="00871D8A" w:rsidRPr="00414183" w:rsidRDefault="00871D8A" w:rsidP="00A83AF9">
      <w:pPr>
        <w:pStyle w:val="Heading3"/>
        <w:spacing w:before="0" w:after="0"/>
        <w:jc w:val="both"/>
        <w:rPr>
          <w:rFonts w:ascii="Arial" w:hAnsi="Arial" w:cs="Arial"/>
          <w:b/>
          <w:bCs/>
          <w:color w:val="auto"/>
          <w:sz w:val="22"/>
          <w:szCs w:val="22"/>
          <w:lang w:val="fr-FR"/>
        </w:rPr>
      </w:pPr>
      <w:bookmarkStart w:id="9" w:name="_Toc208751138"/>
      <w:r w:rsidRPr="00414183">
        <w:rPr>
          <w:rFonts w:ascii="Arial" w:hAnsi="Arial" w:cs="Arial"/>
          <w:b/>
          <w:bCs/>
          <w:color w:val="auto"/>
          <w:sz w:val="22"/>
          <w:szCs w:val="22"/>
          <w:lang w:val="fr-FR"/>
        </w:rPr>
        <w:t>Empoisonnement secondaire et contaminants environnementaux</w:t>
      </w:r>
    </w:p>
    <w:p w14:paraId="4C1D5D52" w14:textId="77777777" w:rsidR="00871D8A" w:rsidRPr="00414183" w:rsidRDefault="00871D8A" w:rsidP="00A83AF9">
      <w:pPr>
        <w:spacing w:after="0" w:line="240" w:lineRule="auto"/>
        <w:rPr>
          <w:lang w:val="fr-FR"/>
        </w:rPr>
      </w:pPr>
    </w:p>
    <w:bookmarkEnd w:id="9"/>
    <w:p w14:paraId="1D91F001" w14:textId="77777777" w:rsidR="00871D8A" w:rsidRPr="00414183" w:rsidRDefault="00871D8A" w:rsidP="00A83AF9">
      <w:pPr>
        <w:spacing w:after="0" w:line="240" w:lineRule="auto"/>
        <w:jc w:val="both"/>
        <w:rPr>
          <w:rFonts w:cs="Arial"/>
          <w:lang w:val="fr-FR"/>
        </w:rPr>
      </w:pPr>
      <w:r w:rsidRPr="00414183">
        <w:rPr>
          <w:rFonts w:cs="Arial"/>
          <w:lang w:val="fr-FR"/>
        </w:rPr>
        <w:t xml:space="preserve">L’empoisonnement et les contaminants environnementaux constituent l’une des pressions les plus critiques sur les rapaces à l’échelle mondiale (McClure et al. 2018 ; Serratosa et al. 2024), et les aigles des steppes sont exposés au risque d’empoisonnement dans toute leur aire de répartition et tout au long de leur cycle annuel (Karyakin et al., 2025 ; Keith &amp; Bruggers, 1998 ; McGrady et al., 2021), principalement par empoisonnement secondaire indirect plutôt que par ciblage direct (voir cependant Eau insalubre sous la section Menaces localisées). Les facteurs d’empoisonnement secondaire sont à la fois des campagnes ciblées spécifiques, généralement financées ou approuvées par les gouvernements, ainsi que des individus qui utilisent (potentiellement par inadvertance) des pesticides de manière incorrecte. Le risque est accru sur les sites d’hivernage où le charognage augmente (McGrady et al., 2021). </w:t>
      </w:r>
    </w:p>
    <w:p w14:paraId="02B10858" w14:textId="77777777" w:rsidR="00871D8A" w:rsidRPr="00414183" w:rsidRDefault="00871D8A" w:rsidP="00A83AF9">
      <w:pPr>
        <w:spacing w:after="0" w:line="240" w:lineRule="auto"/>
        <w:jc w:val="both"/>
        <w:rPr>
          <w:rFonts w:cs="Arial"/>
          <w:lang w:val="fr-FR"/>
        </w:rPr>
      </w:pPr>
    </w:p>
    <w:p w14:paraId="5C99D15D" w14:textId="77777777" w:rsidR="00871D8A" w:rsidRPr="00414183" w:rsidRDefault="00871D8A" w:rsidP="00A83AF9">
      <w:pPr>
        <w:pStyle w:val="Heading4"/>
        <w:spacing w:before="0" w:line="240" w:lineRule="auto"/>
        <w:jc w:val="both"/>
        <w:rPr>
          <w:rFonts w:ascii="Arial" w:hAnsi="Arial" w:cs="Arial"/>
          <w:color w:val="auto"/>
          <w:lang w:val="fr-FR"/>
        </w:rPr>
      </w:pPr>
      <w:bookmarkStart w:id="10" w:name="_Toc208751139"/>
      <w:r w:rsidRPr="00414183">
        <w:rPr>
          <w:rFonts w:ascii="Arial" w:hAnsi="Arial" w:cs="Arial"/>
          <w:color w:val="auto"/>
          <w:lang w:val="fr-FR"/>
        </w:rPr>
        <w:t>Rodenticides et insecticides (globalement moyenne)</w:t>
      </w:r>
      <w:bookmarkEnd w:id="10"/>
    </w:p>
    <w:p w14:paraId="1401BBE0" w14:textId="77777777" w:rsidR="00871D8A" w:rsidRPr="00414183" w:rsidRDefault="00871D8A" w:rsidP="00A83AF9">
      <w:pPr>
        <w:spacing w:after="0" w:line="240" w:lineRule="auto"/>
        <w:rPr>
          <w:lang w:val="fr-FR"/>
        </w:rPr>
      </w:pPr>
    </w:p>
    <w:p w14:paraId="219137C0" w14:textId="77777777" w:rsidR="00871D8A" w:rsidRPr="00414183" w:rsidRDefault="00871D8A" w:rsidP="00A83AF9">
      <w:pPr>
        <w:spacing w:after="0" w:line="240" w:lineRule="auto"/>
        <w:jc w:val="both"/>
        <w:rPr>
          <w:rFonts w:cs="Arial"/>
          <w:lang w:val="fr-FR"/>
        </w:rPr>
      </w:pPr>
      <w:r w:rsidRPr="00414183">
        <w:rPr>
          <w:rFonts w:cs="Arial"/>
          <w:lang w:val="fr-FR"/>
        </w:rPr>
        <w:t>Les rodenticides sont utilisés dans les décharges ainsi qu’autour des activités domestiques, industrielles et agricoles. Bien que la législation varie d’un pays à l’autre, les composés fréquemment rencontrés sont des rodenticides de deuxième génération, tels que la bromadiolone (Nakayama et al., 2019). L’empoisonnement secondaire des espèces sauvages non ciblées est un inconvénient reconnu des rodenticides anticoagulants de deuxième génération ; certains sont homologués uniquement pour une utilisation en intérieur ou en espace couvert mais sont appliqués de manière inappropriée, augmentant l’exposition des charognards aux carcasses empoisonnées. En Mongolie, 1 million d’hectares ont été traités avec de la bromadiolone pour réguler le campagnol de Brandt (</w:t>
      </w:r>
      <w:r w:rsidRPr="00414183">
        <w:rPr>
          <w:rFonts w:cs="Arial"/>
          <w:i/>
          <w:iCs/>
          <w:lang w:val="fr-FR"/>
        </w:rPr>
        <w:t>Microtus brandtii</w:t>
      </w:r>
      <w:r w:rsidRPr="00414183">
        <w:rPr>
          <w:rFonts w:cs="Arial"/>
          <w:lang w:val="fr-FR"/>
        </w:rPr>
        <w:t>)</w:t>
      </w:r>
      <w:r w:rsidRPr="00414183">
        <w:rPr>
          <w:rFonts w:cs="Arial"/>
          <w:i/>
          <w:iCs/>
          <w:lang w:val="fr-FR"/>
        </w:rPr>
        <w:t xml:space="preserve"> </w:t>
      </w:r>
      <w:r w:rsidRPr="00414183">
        <w:rPr>
          <w:rFonts w:cs="Arial"/>
          <w:lang w:val="fr-FR"/>
        </w:rPr>
        <w:t xml:space="preserve">(Kovács et al., 2014), ce qui a provoqué une mortalité supplémentaire chez l’aigle des steppes et d’autres rapaces, ainsi qu’un déclin de 33 % du nombre de couples reproducteurs à la frontière entre le Kazakhstan et la Mongolie dans les années qui ont immédiatement suivi l’événement d’empoisonnement (Karyakin, 2010). </w:t>
      </w:r>
    </w:p>
    <w:p w14:paraId="5B147D24" w14:textId="77777777" w:rsidR="00871D8A" w:rsidRPr="00414183" w:rsidRDefault="00871D8A" w:rsidP="00A83AF9">
      <w:pPr>
        <w:spacing w:after="0" w:line="240" w:lineRule="auto"/>
        <w:jc w:val="both"/>
        <w:rPr>
          <w:rFonts w:cs="Arial"/>
          <w:lang w:val="fr-FR"/>
        </w:rPr>
      </w:pPr>
    </w:p>
    <w:p w14:paraId="3C11B75A" w14:textId="77777777" w:rsidR="00871D8A" w:rsidRPr="00414183" w:rsidRDefault="00871D8A" w:rsidP="00A83AF9">
      <w:pPr>
        <w:spacing w:after="0" w:line="240" w:lineRule="auto"/>
        <w:jc w:val="both"/>
        <w:rPr>
          <w:rFonts w:cs="Arial"/>
          <w:lang w:val="fr-FR"/>
        </w:rPr>
      </w:pPr>
      <w:r w:rsidRPr="00414183">
        <w:rPr>
          <w:rFonts w:cs="Arial"/>
          <w:lang w:val="fr-FR"/>
        </w:rPr>
        <w:t xml:space="preserve">La gestion de la peste (pour réduire le nombre de rongeurs suite à l’explosion de la population) et ses impacts plus larges par empoisonnement secondaire dans l’ensemble de l’aire de reproduction sont mal compris mais représentent un risque important pour les aigles des steppes. Pendant la saison de reproduction, les rongeurs constituent une part importante du régime alimentaire des adultes et des jeunes nourris (par exemple McGrady et al., 2021, Karyakin et al., 2023), ce qui signifie que l’utilisation de rodenticides, même à petite échelle, pourrait représenter une menace. En dehors de la saison de reproduction, les aigles des steppes se rassemblent souvent dans les décharges ou les abattoirs, où ils sont exposés aux pratiques de lutte contre les rongeurs. Ces sites attirent également d’autres charognards, et la lutte létale contre les mammifères charognards (notamment par l’utilisation de strychnine et </w:t>
      </w:r>
      <w:r w:rsidRPr="00414183">
        <w:rPr>
          <w:rFonts w:cs="Arial"/>
          <w:lang w:val="fr-FR"/>
        </w:rPr>
        <w:lastRenderedPageBreak/>
        <w:t>d’autres substances contrôlées) est courante. Si les carcasses ne sont pas retirées ou éliminées de manière sécurisée (enterrées ou brûlées), elles représentent un risque d’empoisonnement secondaire. La lutte contre les insectes tels que les criquets a également été très répandue, et des cas d’empoisonnement secondaire ont été signalés (communication personnelle de S. Thomsett). Étant donné qu’il n’existe pas d’obligation universelle de rapporter les pertes liées aux prises accessoires, les données concernant l’impact sur l’aigle des steppes et d’autres rapaces restent limitées.</w:t>
      </w:r>
    </w:p>
    <w:p w14:paraId="0EB3D968" w14:textId="77777777" w:rsidR="00871D8A" w:rsidRPr="00414183" w:rsidRDefault="00871D8A" w:rsidP="00A83AF9">
      <w:pPr>
        <w:spacing w:after="0" w:line="240" w:lineRule="auto"/>
        <w:jc w:val="both"/>
        <w:rPr>
          <w:rFonts w:cs="Arial"/>
          <w:lang w:val="fr-FR"/>
        </w:rPr>
      </w:pPr>
    </w:p>
    <w:p w14:paraId="24A818DD" w14:textId="77777777" w:rsidR="00871D8A" w:rsidRPr="00414183" w:rsidRDefault="00871D8A" w:rsidP="00A83AF9">
      <w:pPr>
        <w:pStyle w:val="Heading4"/>
        <w:spacing w:before="0" w:line="240" w:lineRule="auto"/>
        <w:jc w:val="both"/>
        <w:rPr>
          <w:rFonts w:ascii="Arial" w:hAnsi="Arial" w:cs="Arial"/>
          <w:color w:val="auto"/>
          <w:lang w:val="fr-FR"/>
        </w:rPr>
      </w:pPr>
      <w:bookmarkStart w:id="11" w:name="_Toc208751141"/>
      <w:r w:rsidRPr="00414183">
        <w:rPr>
          <w:rFonts w:ascii="Arial" w:hAnsi="Arial" w:cs="Arial"/>
          <w:color w:val="auto"/>
          <w:lang w:val="fr-FR"/>
        </w:rPr>
        <w:t>AINS (Inconnue)</w:t>
      </w:r>
      <w:bookmarkEnd w:id="11"/>
    </w:p>
    <w:p w14:paraId="5FCEA4F5" w14:textId="77777777" w:rsidR="00871D8A" w:rsidRPr="00414183" w:rsidRDefault="00871D8A" w:rsidP="00A83AF9">
      <w:pPr>
        <w:spacing w:after="0" w:line="240" w:lineRule="auto"/>
        <w:rPr>
          <w:lang w:val="fr-FR"/>
        </w:rPr>
      </w:pPr>
    </w:p>
    <w:p w14:paraId="159B4092" w14:textId="77777777" w:rsidR="00871D8A" w:rsidRPr="00414183" w:rsidRDefault="00871D8A" w:rsidP="00A83AF9">
      <w:pPr>
        <w:spacing w:after="0" w:line="240" w:lineRule="auto"/>
        <w:jc w:val="both"/>
        <w:rPr>
          <w:rFonts w:cs="Arial"/>
          <w:lang w:val="fr-FR"/>
        </w:rPr>
      </w:pPr>
      <w:r w:rsidRPr="00414183">
        <w:rPr>
          <w:rFonts w:cs="Arial"/>
          <w:lang w:val="fr-FR"/>
        </w:rPr>
        <w:t xml:space="preserve">Les effets des médicaments anti-inflammatoires non stéroïdiens (AINS) sur l’aigle des steppes (ainsi que sur d’autres accipitriformes autres que les vautours) sont limités. Les preuves les plus solides proviennent de Sharma et al. (2014) : les nécropsies de deux aigles des steppes provenant du site d’élimination des carcasses de Jorbeer (Inde) ont montré des signes cliniques, une histopathologie et des résidus de diclofénac compatibles avec la toxicité du diclofénac chez les vautours du genre </w:t>
      </w:r>
      <w:r w:rsidRPr="00414183">
        <w:rPr>
          <w:rFonts w:cs="Arial"/>
          <w:i/>
          <w:iCs/>
          <w:lang w:val="fr-FR"/>
        </w:rPr>
        <w:t>Gyps</w:t>
      </w:r>
      <w:r w:rsidRPr="00414183">
        <w:rPr>
          <w:rFonts w:cs="Arial"/>
          <w:lang w:val="fr-FR"/>
        </w:rPr>
        <w:t xml:space="preserve">. Plusieurs publications ultérieures font état d’aigles des steppes morts sur le même site (Bohra &amp; Rao, 2023 ; Bohra &amp; Vyas, 2018), y compris 231 aigles des steppes retrouvés morts entre 2017 et 2022, bien qu’aucun test de toxicité post-mortem n’existe pour corroborer ces résultats, ni pour indiquer la toxicité des médicaments vétérinaires associés. Les AINS, en particulier le diclofénac, ont provoqué l’effondrement de la population de vautours en Asie du Sud et du Sud-Est (Green et al., 2004). Les preuves démontrant que les AINS jouent un rôle déterminant dans le déclin de l’aigle des steppes demeurent limitées. Cependant, étant donné le lien entre cette espèce et les carcasses de bétail dans les zones dans lesquelles l’utilisation des AINS persiste, ces médicaments représentent une menace potentiellement élevée (McGrady et al., 2021). Il est donc urgent d’améliorer la surveillance de la population et les capacités toxicologiques dans le sous-continent indien et dans d’autres régions où l’utilisation d’AINS se poursuit. </w:t>
      </w:r>
    </w:p>
    <w:p w14:paraId="0008D44B" w14:textId="77777777" w:rsidR="00871D8A" w:rsidRPr="00414183" w:rsidRDefault="00871D8A" w:rsidP="00A83AF9">
      <w:pPr>
        <w:spacing w:after="0" w:line="240" w:lineRule="auto"/>
        <w:jc w:val="both"/>
        <w:rPr>
          <w:rFonts w:cs="Arial"/>
          <w:lang w:val="fr-FR"/>
        </w:rPr>
      </w:pPr>
    </w:p>
    <w:p w14:paraId="6DC4FE03" w14:textId="77777777" w:rsidR="00871D8A" w:rsidRPr="00414183" w:rsidRDefault="00871D8A" w:rsidP="00A83AF9">
      <w:pPr>
        <w:pStyle w:val="Heading3"/>
        <w:spacing w:before="0" w:after="0"/>
        <w:jc w:val="both"/>
        <w:rPr>
          <w:rFonts w:ascii="Arial" w:hAnsi="Arial" w:cs="Arial"/>
          <w:b/>
          <w:bCs/>
          <w:color w:val="auto"/>
          <w:sz w:val="22"/>
          <w:szCs w:val="22"/>
          <w:lang w:val="fr-FR"/>
        </w:rPr>
      </w:pPr>
      <w:bookmarkStart w:id="12" w:name="_Toc208751143"/>
      <w:r w:rsidRPr="00414183">
        <w:rPr>
          <w:rFonts w:ascii="Arial" w:hAnsi="Arial" w:cs="Arial"/>
          <w:b/>
          <w:bCs/>
          <w:color w:val="auto"/>
          <w:sz w:val="22"/>
          <w:szCs w:val="22"/>
          <w:lang w:val="fr-FR"/>
        </w:rPr>
        <w:t>P</w:t>
      </w:r>
      <w:bookmarkEnd w:id="12"/>
      <w:r w:rsidRPr="00414183">
        <w:rPr>
          <w:rFonts w:ascii="Arial" w:hAnsi="Arial" w:cs="Arial"/>
          <w:b/>
          <w:bCs/>
          <w:color w:val="auto"/>
          <w:sz w:val="22"/>
          <w:szCs w:val="22"/>
          <w:lang w:val="fr-FR"/>
        </w:rPr>
        <w:t xml:space="preserve">rélèvements illégaux et non durables </w:t>
      </w:r>
    </w:p>
    <w:p w14:paraId="39519ED8" w14:textId="77777777" w:rsidR="00871D8A" w:rsidRPr="00414183" w:rsidRDefault="00871D8A" w:rsidP="00A83AF9">
      <w:pPr>
        <w:spacing w:after="0" w:line="240" w:lineRule="auto"/>
        <w:rPr>
          <w:lang w:val="fr-FR"/>
        </w:rPr>
      </w:pPr>
    </w:p>
    <w:p w14:paraId="0B479F5C" w14:textId="77777777" w:rsidR="00871D8A" w:rsidRPr="00414183" w:rsidRDefault="00871D8A" w:rsidP="00A83AF9">
      <w:pPr>
        <w:spacing w:after="0" w:line="240" w:lineRule="auto"/>
        <w:jc w:val="both"/>
        <w:rPr>
          <w:rFonts w:cs="Arial"/>
          <w:lang w:val="fr-FR"/>
        </w:rPr>
      </w:pPr>
      <w:r w:rsidRPr="00414183">
        <w:rPr>
          <w:rFonts w:cs="Arial"/>
          <w:lang w:val="fr-FR"/>
        </w:rPr>
        <w:t>Le prélèvement illégal et non durable de l’aigle des steppes est signalé dans l’ensemble de l’aire de répartition de l’espèce, sous différentes formes. Ce prélèvement inclut la chasse pour le sport ou la taxidermie, ainsi que la capture de spécimens vivants pour le commerce des animaux de compagnie ou de la fauconnerie (Brochet et al., 2016), bien que la légalité varie selon les pays. La pression exercée par le prélèvement illégal et non durable est souvent concentrée au niveau des goulets d’étranglement migratoires, là où les oiseaux sont accessibles et agissent de façon prévisible.</w:t>
      </w:r>
    </w:p>
    <w:p w14:paraId="0DBBB990" w14:textId="77777777" w:rsidR="00072778" w:rsidRDefault="00072778" w:rsidP="00072778">
      <w:pPr>
        <w:pStyle w:val="Heading4"/>
        <w:spacing w:before="0" w:line="240" w:lineRule="auto"/>
        <w:jc w:val="both"/>
        <w:rPr>
          <w:rFonts w:ascii="Arial" w:hAnsi="Arial" w:cs="Arial"/>
          <w:color w:val="auto"/>
          <w:lang w:val="fr-FR"/>
        </w:rPr>
      </w:pPr>
    </w:p>
    <w:p w14:paraId="40BAF65F" w14:textId="1EADD471" w:rsidR="00871D8A" w:rsidRPr="00414183" w:rsidRDefault="00871D8A" w:rsidP="00072778">
      <w:pPr>
        <w:pStyle w:val="Heading4"/>
        <w:spacing w:before="0" w:line="240" w:lineRule="auto"/>
        <w:jc w:val="both"/>
        <w:rPr>
          <w:rFonts w:ascii="Arial" w:hAnsi="Arial" w:cs="Arial"/>
          <w:color w:val="auto"/>
          <w:lang w:val="fr-FR"/>
        </w:rPr>
      </w:pPr>
      <w:r w:rsidRPr="00414183">
        <w:rPr>
          <w:rFonts w:ascii="Arial" w:hAnsi="Arial" w:cs="Arial"/>
          <w:color w:val="auto"/>
          <w:lang w:val="fr-FR"/>
        </w:rPr>
        <w:t>Abattage illégal (globalement moyenne)</w:t>
      </w:r>
    </w:p>
    <w:p w14:paraId="5F8A6DFB" w14:textId="77777777" w:rsidR="00871D8A" w:rsidRPr="00414183" w:rsidRDefault="00871D8A" w:rsidP="00072778">
      <w:pPr>
        <w:spacing w:after="0" w:line="240" w:lineRule="auto"/>
        <w:rPr>
          <w:lang w:val="fr-FR"/>
        </w:rPr>
      </w:pPr>
    </w:p>
    <w:p w14:paraId="5CAA1D5C" w14:textId="77777777" w:rsidR="00871D8A" w:rsidRPr="00414183" w:rsidRDefault="00871D8A" w:rsidP="00072778">
      <w:pPr>
        <w:spacing w:after="0" w:line="240" w:lineRule="auto"/>
        <w:jc w:val="both"/>
        <w:rPr>
          <w:rFonts w:cs="Arial"/>
          <w:lang w:val="fr-FR"/>
        </w:rPr>
      </w:pPr>
      <w:r w:rsidRPr="00414183">
        <w:rPr>
          <w:rFonts w:cs="Arial"/>
          <w:lang w:val="fr-FR"/>
        </w:rPr>
        <w:t>L’abattage illégal de l’aigle des steppes est particulièrement préoccupant dans le Levant (Syrie, Liban), où les oiseaux migrateurs se regroupent le long de la Méditerranée orientale et sont abattus pour le sport ou pour la taxidermie (Brochet et al., 2019 ; Van Maanen et al., 2001). Les trappeurs de faucons opérant en Afrique du Nord et au Moyen-Orient tuent également des aigles des steppes parce qu’ils les perçoivent comme des menaces pour leurs faucons ou comme des perturbateurs des activités de piégeage (Karyakin et al., 2016 ; Khoury et al., 2020). L’abattage représente également une pression dans l’aire de reproduction, un individu équipé d’une balise satellite ayant été abattu alors qu’il se trouvait encore dans son aire natale (communication personnelle de E. Bragin).</w:t>
      </w:r>
    </w:p>
    <w:p w14:paraId="053530D6" w14:textId="3C9D5D3E" w:rsidR="00072778" w:rsidRDefault="00072778" w:rsidP="00072778">
      <w:pPr>
        <w:spacing w:after="0" w:line="240" w:lineRule="auto"/>
        <w:jc w:val="both"/>
        <w:rPr>
          <w:rFonts w:cs="Arial"/>
          <w:lang w:val="fr-FR"/>
        </w:rPr>
      </w:pPr>
      <w:r>
        <w:rPr>
          <w:rFonts w:cs="Arial"/>
          <w:lang w:val="fr-FR"/>
        </w:rPr>
        <w:br w:type="page"/>
      </w:r>
    </w:p>
    <w:p w14:paraId="649F301F" w14:textId="77777777" w:rsidR="00871D8A" w:rsidRPr="00414183" w:rsidRDefault="00871D8A" w:rsidP="00072778">
      <w:pPr>
        <w:pStyle w:val="Heading4"/>
        <w:spacing w:before="0" w:line="240" w:lineRule="auto"/>
        <w:jc w:val="both"/>
        <w:rPr>
          <w:rFonts w:ascii="Arial" w:hAnsi="Arial" w:cs="Arial"/>
          <w:color w:val="auto"/>
          <w:lang w:val="fr-FR"/>
        </w:rPr>
      </w:pPr>
      <w:r w:rsidRPr="00414183">
        <w:rPr>
          <w:rFonts w:ascii="Arial" w:hAnsi="Arial" w:cs="Arial"/>
          <w:color w:val="auto"/>
          <w:lang w:val="fr-FR"/>
        </w:rPr>
        <w:lastRenderedPageBreak/>
        <w:t>Prélèvement et commerce d’animaux vivants (globalement moyenne)</w:t>
      </w:r>
    </w:p>
    <w:p w14:paraId="4A05FFCF" w14:textId="77777777" w:rsidR="00871D8A" w:rsidRPr="00017409" w:rsidRDefault="00871D8A" w:rsidP="00072778">
      <w:pPr>
        <w:spacing w:after="0" w:line="240" w:lineRule="auto"/>
        <w:rPr>
          <w:lang w:val="fr-FR"/>
        </w:rPr>
      </w:pPr>
    </w:p>
    <w:p w14:paraId="63338D47" w14:textId="77777777" w:rsidR="00871D8A" w:rsidRPr="00414183" w:rsidRDefault="00871D8A" w:rsidP="00072778">
      <w:pPr>
        <w:spacing w:after="0" w:line="240" w:lineRule="auto"/>
        <w:jc w:val="both"/>
        <w:rPr>
          <w:rFonts w:cs="Arial"/>
          <w:lang w:val="fr-FR"/>
        </w:rPr>
      </w:pPr>
      <w:r w:rsidRPr="00414183">
        <w:rPr>
          <w:rFonts w:cs="Arial"/>
          <w:lang w:val="fr-FR"/>
        </w:rPr>
        <w:t xml:space="preserve">Le commerce d’aigles des steppes vivants est bien documenté, comme cela a été observé au Caire (Habib, 2023) et au marché Al Ghazil à Bagdad, où des dizaines d’aigles peuvent être aperçus en automne et au printemps (Al-Sheikhly et al., 2017). Le commerce se déplace de plus en plus souvent en ligne, avec des ventes réalisées via les réseaux sociaux et les plateformes de commerce électronique (Aidek &amp; Eid, 2025 ; Eid &amp; Handal, 2018). Des tendances en ligne similaires sont rapportées en Asie du Sud-Est (par exemple au Myanmar). Dans leur aire de reproduction, certains aigles des steppes sont utilisés pour la chasse traditionnelle, bien que l’aigle royal </w:t>
      </w:r>
      <w:r w:rsidRPr="00414183">
        <w:rPr>
          <w:rFonts w:cs="Arial"/>
          <w:i/>
          <w:iCs/>
          <w:lang w:val="fr-FR"/>
        </w:rPr>
        <w:t>A. chrysaetos</w:t>
      </w:r>
      <w:r w:rsidRPr="00414183">
        <w:rPr>
          <w:rFonts w:cs="Arial"/>
          <w:lang w:val="fr-FR"/>
        </w:rPr>
        <w:t xml:space="preserve"> soit généralement préféré (Sklyarenko, 2023).</w:t>
      </w:r>
      <w:r w:rsidRPr="00414183">
        <w:rPr>
          <w:rFonts w:cs="Arial"/>
          <w:b/>
          <w:bCs/>
          <w:lang w:val="fr-FR"/>
        </w:rPr>
        <w:t xml:space="preserve"> </w:t>
      </w:r>
      <w:r w:rsidRPr="00414183">
        <w:rPr>
          <w:rFonts w:cs="Arial"/>
          <w:lang w:val="fr-FR"/>
        </w:rPr>
        <w:t>La persécution des aigles est également signalée dans certaines régions de la Chine (Karyakin et al., 2016 ; MaMing, 2023 ; MaMing &amp; Zhao, 2013) ainsi que dans certaines régions de l’Afrique (Ogada et al., 2022).</w:t>
      </w:r>
    </w:p>
    <w:p w14:paraId="4BBFB7E8" w14:textId="77777777" w:rsidR="00871D8A" w:rsidRPr="00414183" w:rsidRDefault="00871D8A" w:rsidP="00072778">
      <w:pPr>
        <w:spacing w:after="0" w:line="240" w:lineRule="auto"/>
        <w:jc w:val="both"/>
        <w:rPr>
          <w:rFonts w:cs="Arial"/>
          <w:lang w:val="fr-FR"/>
        </w:rPr>
      </w:pPr>
    </w:p>
    <w:p w14:paraId="14FF1454" w14:textId="77777777" w:rsidR="00871D8A" w:rsidRPr="00414183" w:rsidRDefault="00871D8A" w:rsidP="00072778">
      <w:pPr>
        <w:spacing w:after="0" w:line="240" w:lineRule="auto"/>
        <w:jc w:val="both"/>
        <w:rPr>
          <w:rFonts w:cs="Arial"/>
          <w:lang w:val="fr-FR"/>
        </w:rPr>
      </w:pPr>
      <w:r w:rsidRPr="00414183">
        <w:rPr>
          <w:rFonts w:cs="Arial"/>
          <w:lang w:val="fr-FR"/>
        </w:rPr>
        <w:t>Dans l’ensemble, la pression du prélèvement illégal et non durable est la plus forte là où les migrations passent par des corridors étroits et où la capacité d’application de la législation est limitée [voir Van Maanen et al. (2001) pour un exemple en Géorgie]. La détection étant imparfaite et les incidents sous-déclarés, il est probable que les chiffres disponibles sous-estiment les niveaux réels.</w:t>
      </w:r>
    </w:p>
    <w:p w14:paraId="18BB9437" w14:textId="77777777" w:rsidR="00871D8A" w:rsidRPr="00414183" w:rsidRDefault="00871D8A" w:rsidP="00072778">
      <w:pPr>
        <w:spacing w:after="0" w:line="240" w:lineRule="auto"/>
        <w:jc w:val="both"/>
        <w:rPr>
          <w:rFonts w:cs="Arial"/>
          <w:highlight w:val="yellow"/>
          <w:lang w:val="fr-FR"/>
        </w:rPr>
      </w:pPr>
    </w:p>
    <w:p w14:paraId="6F31B035" w14:textId="77777777" w:rsidR="00871D8A" w:rsidRPr="00414183" w:rsidRDefault="00871D8A" w:rsidP="00072778">
      <w:pPr>
        <w:pStyle w:val="Heading3"/>
        <w:spacing w:before="0" w:after="0"/>
        <w:jc w:val="both"/>
        <w:rPr>
          <w:rFonts w:ascii="Arial" w:hAnsi="Arial" w:cs="Arial"/>
          <w:b/>
          <w:bCs/>
          <w:color w:val="auto"/>
          <w:sz w:val="22"/>
          <w:szCs w:val="22"/>
          <w:lang w:val="fr-FR"/>
        </w:rPr>
      </w:pPr>
      <w:bookmarkStart w:id="13" w:name="_Toc208751146"/>
      <w:r w:rsidRPr="00414183">
        <w:rPr>
          <w:rFonts w:ascii="Arial" w:hAnsi="Arial" w:cs="Arial"/>
          <w:b/>
          <w:bCs/>
          <w:color w:val="auto"/>
          <w:sz w:val="22"/>
          <w:szCs w:val="22"/>
          <w:lang w:val="fr-FR"/>
        </w:rPr>
        <w:t>Changements climatiques et dynamique des ressources</w:t>
      </w:r>
    </w:p>
    <w:p w14:paraId="6041E43A" w14:textId="77777777" w:rsidR="00871D8A" w:rsidRPr="00017409" w:rsidRDefault="00871D8A" w:rsidP="00072778">
      <w:pPr>
        <w:spacing w:after="0" w:line="240" w:lineRule="auto"/>
        <w:rPr>
          <w:lang w:val="fr-FR"/>
        </w:rPr>
      </w:pPr>
    </w:p>
    <w:p w14:paraId="5ADD7264" w14:textId="77777777" w:rsidR="00871D8A" w:rsidRPr="00414183" w:rsidRDefault="00871D8A" w:rsidP="00072778">
      <w:pPr>
        <w:spacing w:after="0" w:line="240" w:lineRule="auto"/>
        <w:jc w:val="both"/>
        <w:rPr>
          <w:rFonts w:cs="Arial"/>
          <w:lang w:val="fr-FR"/>
        </w:rPr>
      </w:pPr>
      <w:r w:rsidRPr="00414183">
        <w:rPr>
          <w:rFonts w:cs="Arial"/>
          <w:lang w:val="fr-FR"/>
        </w:rPr>
        <w:t>Les modifications des habitats, la dynamique des proies et les régimes d’incendie agissent de concert, tandis que les changements climatiques amplifient de nombreuses trajectoires. Les effets sont à la fois directs (par exemple, la perte de nids due aux incendies) et indirects (structure de la végétation → cycles des proies → succès de la recherche de nourriture), et ils varient selon la région et la saison.</w:t>
      </w:r>
    </w:p>
    <w:p w14:paraId="7C7A40B0" w14:textId="77777777" w:rsidR="00871D8A" w:rsidRPr="00414183" w:rsidRDefault="00871D8A" w:rsidP="00072778">
      <w:pPr>
        <w:spacing w:after="0" w:line="240" w:lineRule="auto"/>
        <w:jc w:val="both"/>
        <w:rPr>
          <w:rFonts w:cs="Arial"/>
          <w:lang w:val="fr-FR"/>
        </w:rPr>
      </w:pPr>
    </w:p>
    <w:p w14:paraId="7910A262" w14:textId="77777777" w:rsidR="00871D8A" w:rsidRPr="00414183" w:rsidRDefault="00871D8A" w:rsidP="00072778">
      <w:pPr>
        <w:pStyle w:val="Heading4"/>
        <w:spacing w:before="0" w:line="240" w:lineRule="auto"/>
        <w:jc w:val="both"/>
        <w:rPr>
          <w:rFonts w:ascii="Arial" w:hAnsi="Arial" w:cs="Arial"/>
          <w:color w:val="auto"/>
          <w:lang w:val="fr-FR"/>
        </w:rPr>
      </w:pPr>
      <w:r w:rsidRPr="00414183">
        <w:rPr>
          <w:rFonts w:ascii="Arial" w:hAnsi="Arial" w:cs="Arial"/>
          <w:color w:val="auto"/>
          <w:lang w:val="fr-FR"/>
        </w:rPr>
        <w:t xml:space="preserve">Perte et modification de l’habitat (inconnue) </w:t>
      </w:r>
    </w:p>
    <w:p w14:paraId="0E3292F3" w14:textId="77777777" w:rsidR="00871D8A" w:rsidRPr="00414183" w:rsidRDefault="00871D8A" w:rsidP="00072778">
      <w:pPr>
        <w:spacing w:after="0" w:line="240" w:lineRule="auto"/>
        <w:rPr>
          <w:lang w:val="fr-FR"/>
        </w:rPr>
      </w:pPr>
    </w:p>
    <w:p w14:paraId="453C25CE" w14:textId="77777777" w:rsidR="00871D8A" w:rsidRPr="00414183" w:rsidRDefault="00871D8A" w:rsidP="00072778">
      <w:pPr>
        <w:spacing w:after="0" w:line="240" w:lineRule="auto"/>
        <w:jc w:val="both"/>
        <w:rPr>
          <w:rFonts w:cs="Arial"/>
          <w:lang w:val="fr-FR"/>
        </w:rPr>
      </w:pPr>
      <w:r w:rsidRPr="00414183">
        <w:rPr>
          <w:rFonts w:cs="Arial"/>
          <w:lang w:val="fr-FR"/>
        </w:rPr>
        <w:t>En Türkiye, la conversion des prairies en champs agricoles est considérée comme une menace élevée, tout comme le drainage des zones humides (Ministère de l’agriculture et des forêts, 2023). Le boisement des habitats steppiques est considéré comme une menace faible en Türkiye (Ministère de l’agriculture et des forêts, 2023) et n’est pas décrit comme une pression majeure ailleurs. La perte d’habitat résultant de l’exploration minière et des infrastructures associées, qui entraînent des modifications de la structure de la végétation et l’épuisement des ressources naturelles en Chine, a provoqué des déclins localisés des rapaces en Chine (MaMing &amp; Zhao 2013). La transformation des habitats de premier choix de la steppe en terres agricoles a été identifiée comme une menace dès les années 1950 par Dementiev &amp; Gladkov (1951), la conversion en champs arables et l’augmentation de la pression exercée par les activités pastorales étant toujours citées comme préoccupantes (Karyakin et al., 2016). En Asie du Sud-Est, la modification de l’habitat est susceptible d’affecter la recherche de nourriture dans certaines zones, mais les impacts quantifiés au niveau des espèces restent limités.</w:t>
      </w:r>
    </w:p>
    <w:p w14:paraId="2F832C26" w14:textId="77777777" w:rsidR="00871D8A" w:rsidRPr="00414183" w:rsidRDefault="00871D8A" w:rsidP="00072778">
      <w:pPr>
        <w:spacing w:after="0" w:line="240" w:lineRule="auto"/>
        <w:jc w:val="both"/>
        <w:rPr>
          <w:rFonts w:cs="Arial"/>
          <w:lang w:val="fr-FR"/>
        </w:rPr>
      </w:pPr>
    </w:p>
    <w:p w14:paraId="56417F40" w14:textId="77777777" w:rsidR="00871D8A" w:rsidRPr="00414183" w:rsidRDefault="00871D8A" w:rsidP="00072778">
      <w:pPr>
        <w:pStyle w:val="Heading4"/>
        <w:spacing w:before="0" w:line="240" w:lineRule="auto"/>
        <w:jc w:val="both"/>
        <w:rPr>
          <w:rFonts w:ascii="Arial" w:hAnsi="Arial" w:cs="Arial"/>
          <w:color w:val="auto"/>
          <w:lang w:val="fr-FR"/>
        </w:rPr>
      </w:pPr>
      <w:r w:rsidRPr="00414183">
        <w:rPr>
          <w:rFonts w:ascii="Arial" w:hAnsi="Arial" w:cs="Arial"/>
          <w:color w:val="auto"/>
          <w:lang w:val="fr-FR"/>
        </w:rPr>
        <w:t xml:space="preserve">Disponibilité des proies (globalement élevée) </w:t>
      </w:r>
    </w:p>
    <w:p w14:paraId="29BBA519" w14:textId="77777777" w:rsidR="00871D8A" w:rsidRPr="00871D8A" w:rsidRDefault="00871D8A" w:rsidP="00072778">
      <w:pPr>
        <w:spacing w:after="0" w:line="240" w:lineRule="auto"/>
        <w:rPr>
          <w:lang w:val="fr-FR"/>
        </w:rPr>
      </w:pPr>
    </w:p>
    <w:p w14:paraId="1EB98AAC" w14:textId="77777777" w:rsidR="00871D8A" w:rsidRPr="00414183" w:rsidRDefault="00871D8A" w:rsidP="00072778">
      <w:pPr>
        <w:spacing w:after="0" w:line="240" w:lineRule="auto"/>
        <w:jc w:val="both"/>
        <w:rPr>
          <w:rFonts w:cs="Arial"/>
          <w:lang w:val="fr-FR"/>
        </w:rPr>
      </w:pPr>
      <w:r w:rsidRPr="00414183">
        <w:rPr>
          <w:rFonts w:cs="Arial"/>
          <w:lang w:val="fr-FR"/>
        </w:rPr>
        <w:t>Dans les aires de reproduction, les sites de nidification de l’aigle des steppes sont souvent associés à des mammifères fouisseurs coloniaux, tels que les écureuils terrestres (</w:t>
      </w:r>
      <w:r w:rsidRPr="00414183">
        <w:rPr>
          <w:rFonts w:cs="Arial"/>
          <w:i/>
          <w:iCs/>
          <w:lang w:val="fr-FR"/>
        </w:rPr>
        <w:t>Spermophilus</w:t>
      </w:r>
      <w:r w:rsidRPr="00414183">
        <w:rPr>
          <w:rFonts w:cs="Arial"/>
          <w:lang w:val="fr-FR"/>
        </w:rPr>
        <w:t xml:space="preserve"> spp.) et les pikas (</w:t>
      </w:r>
      <w:r w:rsidRPr="00414183">
        <w:rPr>
          <w:rFonts w:cs="Arial"/>
          <w:i/>
          <w:iCs/>
          <w:lang w:val="fr-FR"/>
        </w:rPr>
        <w:t>Ochotona</w:t>
      </w:r>
      <w:r w:rsidRPr="00414183">
        <w:rPr>
          <w:rFonts w:cs="Arial"/>
          <w:lang w:val="fr-FR"/>
        </w:rPr>
        <w:t xml:space="preserve"> spp.). Lorsque ces proies atteignent leur apogée au printemps, les territoires sont plus susceptibles d’être occupés et les couples ont plus de chances de se reproduire avec succès, tandis que leur rareté correspond à une occupation et à une productivité plus faibles. Dans l’Altaï-Saïan et la steppe adjacente, il a été démontré que l’abondance et la disponibilité élevées des écureuils terrestres et des pikas au printemps déterminent à la fois l’occupation des nids et le succès de la reproduction chez les aigles des </w:t>
      </w:r>
      <w:r w:rsidRPr="00414183">
        <w:rPr>
          <w:rFonts w:cs="Arial"/>
          <w:lang w:val="fr-FR"/>
        </w:rPr>
        <w:lastRenderedPageBreak/>
        <w:t>steppes (Karyakin et al., 2023). Étant donné que les proies de l’aigle des steppes dépendent d’une structure de prairie courte et ouverte ainsi que de systèmes de terriers actifs, les changements dans l’utilisation des terres et la prolifération de la végétation peuvent réduire les populations de proies, indépendamment de l’empoisonnement ou des infrastructures. Dans la région du paléarctique, les colonies d’écureuils terrestres risquent de disparaître lorsque l’habitat n’est pas entretenu et se retrouve envahi par la végétation (Petluš et al., 2021).</w:t>
      </w:r>
    </w:p>
    <w:p w14:paraId="4F09B31D" w14:textId="77777777" w:rsidR="00871D8A" w:rsidRPr="00414183" w:rsidRDefault="00871D8A" w:rsidP="00072778">
      <w:pPr>
        <w:spacing w:after="0" w:line="240" w:lineRule="auto"/>
        <w:jc w:val="both"/>
        <w:rPr>
          <w:rFonts w:cs="Arial"/>
          <w:lang w:val="fr-FR"/>
        </w:rPr>
      </w:pPr>
    </w:p>
    <w:p w14:paraId="42293614" w14:textId="77777777" w:rsidR="00871D8A" w:rsidRPr="00414183" w:rsidRDefault="00871D8A" w:rsidP="00072778">
      <w:pPr>
        <w:pStyle w:val="Heading4"/>
        <w:spacing w:before="0" w:line="240" w:lineRule="auto"/>
        <w:jc w:val="both"/>
        <w:rPr>
          <w:rFonts w:ascii="Arial" w:hAnsi="Arial" w:cs="Arial"/>
          <w:color w:val="auto"/>
          <w:lang w:val="fr-FR"/>
        </w:rPr>
      </w:pPr>
      <w:r w:rsidRPr="00414183">
        <w:rPr>
          <w:rFonts w:ascii="Arial" w:hAnsi="Arial" w:cs="Arial"/>
          <w:color w:val="auto"/>
          <w:lang w:val="fr-FR"/>
        </w:rPr>
        <w:t xml:space="preserve">Dynamique des incendies et de la végétation (globalement moyenne) </w:t>
      </w:r>
    </w:p>
    <w:p w14:paraId="420C6F3D" w14:textId="77777777" w:rsidR="00871D8A" w:rsidRPr="00871D8A" w:rsidRDefault="00871D8A" w:rsidP="00072778">
      <w:pPr>
        <w:spacing w:after="0" w:line="240" w:lineRule="auto"/>
        <w:rPr>
          <w:lang w:val="fr-FR"/>
        </w:rPr>
      </w:pPr>
    </w:p>
    <w:p w14:paraId="7214460F" w14:textId="77777777" w:rsidR="00871D8A" w:rsidRPr="00414183" w:rsidRDefault="00871D8A" w:rsidP="00072778">
      <w:pPr>
        <w:spacing w:after="0" w:line="240" w:lineRule="auto"/>
        <w:jc w:val="both"/>
        <w:rPr>
          <w:rFonts w:cs="Arial"/>
          <w:lang w:val="fr-FR"/>
        </w:rPr>
      </w:pPr>
      <w:r w:rsidRPr="00414183">
        <w:rPr>
          <w:rFonts w:cs="Arial"/>
          <w:lang w:val="fr-FR"/>
        </w:rPr>
        <w:t>Les incendies de steppe sont un phénomène naturel faisant partie intégrante des écosystèmes dans une grande partie de l’aire de répartition. Cependant, l’augmentation de leur fréquence et de leur intensité peut modifier la structure de la végétation pendant plusieurs années après l’incendie (Smelansky et al., 2015), entraînant des répercussions sur les cycles des proies des petits mammifères et des insectes. Au Kazakhstan, au moins la moitié de la zone devrait faire face à un risque accru d’incendie (Karyakin et al., 2025). Le feu affecte les aigles des steppes directement (mortalité des œufs et des jeunes dans les nids) et indirectement (modification de l’habitat). À Karaganda, 3,93 % des nids actifs ont été déclarés perdus à cause des incendies, selon Karyakin et al. (2017).</w:t>
      </w:r>
    </w:p>
    <w:p w14:paraId="0ED0918F" w14:textId="77777777" w:rsidR="00871D8A" w:rsidRPr="00414183" w:rsidRDefault="00871D8A" w:rsidP="00072778">
      <w:pPr>
        <w:spacing w:after="0" w:line="240" w:lineRule="auto"/>
        <w:jc w:val="both"/>
        <w:rPr>
          <w:rFonts w:cs="Arial"/>
          <w:lang w:val="fr-FR"/>
        </w:rPr>
      </w:pPr>
    </w:p>
    <w:p w14:paraId="726CC1D6" w14:textId="77777777" w:rsidR="00871D8A" w:rsidRPr="00414183" w:rsidRDefault="00871D8A" w:rsidP="00072778">
      <w:pPr>
        <w:pStyle w:val="Heading4"/>
        <w:spacing w:before="0" w:line="240" w:lineRule="auto"/>
        <w:jc w:val="both"/>
        <w:rPr>
          <w:rFonts w:ascii="Arial" w:hAnsi="Arial" w:cs="Arial"/>
          <w:color w:val="auto"/>
          <w:lang w:val="fr-FR"/>
        </w:rPr>
      </w:pPr>
      <w:r w:rsidRPr="00414183">
        <w:rPr>
          <w:rFonts w:ascii="Arial" w:hAnsi="Arial" w:cs="Arial"/>
          <w:color w:val="auto"/>
          <w:lang w:val="fr-FR"/>
        </w:rPr>
        <w:t xml:space="preserve">Changements climatiques (inconnue) </w:t>
      </w:r>
    </w:p>
    <w:p w14:paraId="515512FF" w14:textId="77777777" w:rsidR="00871D8A" w:rsidRPr="00414183" w:rsidRDefault="00871D8A" w:rsidP="00072778">
      <w:pPr>
        <w:spacing w:after="0" w:line="240" w:lineRule="auto"/>
        <w:rPr>
          <w:lang w:val="fr-FR"/>
        </w:rPr>
      </w:pPr>
    </w:p>
    <w:p w14:paraId="47C69BF9" w14:textId="77777777" w:rsidR="00871D8A" w:rsidRPr="00414183" w:rsidRDefault="00871D8A" w:rsidP="00072778">
      <w:pPr>
        <w:spacing w:after="0" w:line="240" w:lineRule="auto"/>
        <w:jc w:val="both"/>
        <w:rPr>
          <w:rFonts w:cs="Arial"/>
          <w:lang w:val="fr-FR"/>
        </w:rPr>
      </w:pPr>
      <w:r w:rsidRPr="00414183">
        <w:rPr>
          <w:rFonts w:cs="Arial"/>
          <w:lang w:val="fr-FR"/>
        </w:rPr>
        <w:t>Les changements climatiques agissent principalement en modulant les voies de migration mentionnées ci-dessus : en déplaçant les bases de référence des proies, en augmentant le risque d’incendie de forêt, en prolongeant les sécheresses (ce qui entraîne le rassemblement autour des carcasses et des points d’eau, augmentant le risque d’exposition à l’empoisonnement ou à de l’eau insalubre), et en modifiant les régimes de vent, ce qui intensifie la pression d’implantation des parcs éoliens le long des goulets d’étranglement.</w:t>
      </w:r>
      <w:bookmarkEnd w:id="13"/>
      <w:r w:rsidRPr="00414183">
        <w:rPr>
          <w:rFonts w:cs="Arial"/>
          <w:lang w:val="fr-FR"/>
        </w:rPr>
        <w:t xml:space="preserve"> Avec la perte de biodiversité, le changement climatique est l’une des urgences auxquelles est confronté l’environnement naturel et aura des impacts de grande ampleur sur les oiseaux de proie tels que l’aigle des steppes (Martínez-Ruiz et al., 2023). Les réponses modélisées d’espèces écologiquement similaires renforcent les préoccupations : par exemple, il a été prédit que l’aigle ravisseur pourrait être menacé d’extinction par une modification de &lt;10 % des précipitations annuelles en Afrique australe (Wichmann et al., 2005). De plus, l’Atlas climatique des oiseaux nicheurs européens suggère que la partie occidentale de l’aire de répartition de l’aigle des steppes devient moins appropriée (Huntley et al., 2007), bien que la reproduction y soit déjà presque inexistante.</w:t>
      </w:r>
    </w:p>
    <w:p w14:paraId="295A8968" w14:textId="77777777" w:rsidR="00871D8A" w:rsidRPr="00414183" w:rsidRDefault="00871D8A" w:rsidP="00072778">
      <w:pPr>
        <w:spacing w:after="0" w:line="240" w:lineRule="auto"/>
        <w:jc w:val="both"/>
        <w:rPr>
          <w:rFonts w:cs="Arial"/>
          <w:lang w:val="fr-FR"/>
        </w:rPr>
      </w:pPr>
    </w:p>
    <w:p w14:paraId="11562E7B" w14:textId="77777777" w:rsidR="00871D8A" w:rsidRPr="00414183" w:rsidRDefault="00871D8A" w:rsidP="00072778">
      <w:pPr>
        <w:pStyle w:val="Heading3"/>
        <w:spacing w:before="0" w:after="0"/>
        <w:jc w:val="both"/>
        <w:rPr>
          <w:rFonts w:ascii="Arial" w:hAnsi="Arial" w:cs="Arial"/>
          <w:b/>
          <w:bCs/>
          <w:color w:val="auto"/>
          <w:sz w:val="22"/>
          <w:szCs w:val="22"/>
          <w:lang w:val="fr-FR"/>
        </w:rPr>
      </w:pPr>
      <w:r w:rsidRPr="00414183">
        <w:rPr>
          <w:rFonts w:ascii="Arial" w:hAnsi="Arial" w:cs="Arial"/>
          <w:b/>
          <w:bCs/>
          <w:color w:val="auto"/>
          <w:sz w:val="22"/>
          <w:szCs w:val="22"/>
          <w:lang w:val="fr-FR"/>
        </w:rPr>
        <w:t>Autres menaces localisées ou émergentes</w:t>
      </w:r>
    </w:p>
    <w:p w14:paraId="3241D40A" w14:textId="77777777" w:rsidR="00871D8A" w:rsidRPr="00414183" w:rsidRDefault="00871D8A" w:rsidP="00072778">
      <w:pPr>
        <w:spacing w:after="0" w:line="240" w:lineRule="auto"/>
        <w:rPr>
          <w:lang w:val="fr-FR"/>
        </w:rPr>
      </w:pPr>
    </w:p>
    <w:p w14:paraId="227055AE" w14:textId="77777777" w:rsidR="00871D8A" w:rsidRPr="00414183" w:rsidRDefault="00871D8A" w:rsidP="00E50E67">
      <w:pPr>
        <w:spacing w:after="80" w:line="240" w:lineRule="auto"/>
        <w:jc w:val="both"/>
        <w:rPr>
          <w:rFonts w:cs="Arial"/>
          <w:lang w:val="fr-FR"/>
        </w:rPr>
      </w:pPr>
      <w:r w:rsidRPr="00414183">
        <w:rPr>
          <w:rFonts w:cs="Arial"/>
          <w:lang w:val="fr-FR"/>
        </w:rPr>
        <w:t>Certaines pressions sont limitées à des zones géographiques spécifiques ou sont de nature épisodique. Le Groupe de travail d’experts et le Groupe de travail principal ont identifié les menaces et pressions suivantes comme valant la peine d’être mentionnées, malgré leur impact probable limité ou inconnu sur les populations de l’espèce :</w:t>
      </w:r>
    </w:p>
    <w:p w14:paraId="4A93CA14" w14:textId="77777777" w:rsidR="00871D8A" w:rsidRPr="00414183" w:rsidRDefault="00871D8A" w:rsidP="00E50E67">
      <w:pPr>
        <w:pStyle w:val="ListParagraph"/>
        <w:numPr>
          <w:ilvl w:val="0"/>
          <w:numId w:val="20"/>
        </w:numPr>
        <w:spacing w:after="80" w:line="240" w:lineRule="auto"/>
        <w:ind w:left="567" w:hanging="567"/>
        <w:contextualSpacing w:val="0"/>
        <w:jc w:val="both"/>
        <w:rPr>
          <w:rFonts w:cs="Arial"/>
          <w:lang w:val="fr-FR"/>
        </w:rPr>
      </w:pPr>
      <w:r w:rsidRPr="00414183">
        <w:rPr>
          <w:rFonts w:cs="Arial"/>
          <w:lang w:val="fr-FR"/>
        </w:rPr>
        <w:t>hybridation avec l’aigle impérial (globalement faible) ;</w:t>
      </w:r>
    </w:p>
    <w:p w14:paraId="22BC4140" w14:textId="77777777" w:rsidR="00871D8A" w:rsidRPr="00414183" w:rsidRDefault="00871D8A" w:rsidP="00E50E67">
      <w:pPr>
        <w:pStyle w:val="ListParagraph"/>
        <w:numPr>
          <w:ilvl w:val="0"/>
          <w:numId w:val="20"/>
        </w:numPr>
        <w:spacing w:after="80" w:line="240" w:lineRule="auto"/>
        <w:ind w:left="567" w:hanging="567"/>
        <w:contextualSpacing w:val="0"/>
        <w:jc w:val="both"/>
        <w:rPr>
          <w:rFonts w:cs="Arial"/>
          <w:lang w:val="fr-FR"/>
        </w:rPr>
      </w:pPr>
      <w:r w:rsidRPr="00414183">
        <w:rPr>
          <w:rFonts w:cs="Arial"/>
          <w:lang w:val="fr-FR"/>
        </w:rPr>
        <w:t>nid de déchets (globalement faible) ;</w:t>
      </w:r>
    </w:p>
    <w:p w14:paraId="2B2001E1" w14:textId="77777777" w:rsidR="00871D8A" w:rsidRPr="00414183" w:rsidRDefault="00871D8A" w:rsidP="00E50E67">
      <w:pPr>
        <w:pStyle w:val="ListParagraph"/>
        <w:numPr>
          <w:ilvl w:val="0"/>
          <w:numId w:val="20"/>
        </w:numPr>
        <w:spacing w:after="80" w:line="240" w:lineRule="auto"/>
        <w:ind w:left="567" w:hanging="567"/>
        <w:contextualSpacing w:val="0"/>
        <w:jc w:val="both"/>
        <w:rPr>
          <w:rFonts w:cs="Arial"/>
          <w:lang w:val="fr-FR"/>
        </w:rPr>
      </w:pPr>
      <w:r w:rsidRPr="00414183">
        <w:rPr>
          <w:rFonts w:cs="Arial"/>
          <w:lang w:val="fr-FR"/>
        </w:rPr>
        <w:t>collision avec des véhicules (globalement faible) ;</w:t>
      </w:r>
    </w:p>
    <w:p w14:paraId="05F4CF1C" w14:textId="77777777" w:rsidR="00871D8A" w:rsidRPr="00414183" w:rsidRDefault="00871D8A" w:rsidP="00E50E67">
      <w:pPr>
        <w:pStyle w:val="ListParagraph"/>
        <w:numPr>
          <w:ilvl w:val="0"/>
          <w:numId w:val="20"/>
        </w:numPr>
        <w:spacing w:after="80" w:line="240" w:lineRule="auto"/>
        <w:ind w:left="567" w:hanging="567"/>
        <w:contextualSpacing w:val="0"/>
        <w:jc w:val="both"/>
        <w:rPr>
          <w:rFonts w:cs="Arial"/>
          <w:lang w:val="fr-FR"/>
        </w:rPr>
      </w:pPr>
      <w:r w:rsidRPr="00414183">
        <w:rPr>
          <w:rFonts w:cs="Arial"/>
          <w:lang w:val="fr-FR"/>
        </w:rPr>
        <w:t>eau insalubre (inconnue) ;</w:t>
      </w:r>
    </w:p>
    <w:p w14:paraId="1BBA2BC2" w14:textId="77777777" w:rsidR="00871D8A" w:rsidRPr="00414183" w:rsidRDefault="00871D8A" w:rsidP="00072778">
      <w:pPr>
        <w:pStyle w:val="ListParagraph"/>
        <w:numPr>
          <w:ilvl w:val="0"/>
          <w:numId w:val="20"/>
        </w:numPr>
        <w:spacing w:after="0" w:line="240" w:lineRule="auto"/>
        <w:ind w:left="567" w:hanging="567"/>
        <w:contextualSpacing w:val="0"/>
        <w:jc w:val="both"/>
        <w:rPr>
          <w:rFonts w:cs="Arial"/>
          <w:lang w:val="fr-FR"/>
        </w:rPr>
      </w:pPr>
      <w:r w:rsidRPr="00414183">
        <w:rPr>
          <w:rFonts w:cs="Arial"/>
          <w:lang w:val="fr-FR"/>
        </w:rPr>
        <w:t>maladie (inconnue).</w:t>
      </w:r>
    </w:p>
    <w:p w14:paraId="502D68FF" w14:textId="77777777" w:rsidR="00871D8A" w:rsidRPr="00414183" w:rsidRDefault="00871D8A" w:rsidP="00072778">
      <w:pPr>
        <w:spacing w:after="0" w:line="240" w:lineRule="auto"/>
        <w:ind w:left="567" w:hanging="567"/>
        <w:jc w:val="both"/>
        <w:rPr>
          <w:rFonts w:cs="Arial"/>
          <w:lang w:val="fr-FR"/>
        </w:rPr>
      </w:pPr>
    </w:p>
    <w:p w14:paraId="68B0998D" w14:textId="77777777" w:rsidR="007C1D5C" w:rsidRPr="009D4EA7" w:rsidRDefault="007C1D5C" w:rsidP="00072778">
      <w:pPr>
        <w:spacing w:after="0" w:line="240" w:lineRule="auto"/>
        <w:jc w:val="both"/>
        <w:rPr>
          <w:lang w:val="fr-FR"/>
        </w:rPr>
      </w:pPr>
    </w:p>
    <w:sectPr w:rsidR="007C1D5C" w:rsidRPr="009D4EA7" w:rsidSect="00871D8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29B4C" w14:textId="77777777" w:rsidR="00D51911" w:rsidRDefault="00D51911">
      <w:pPr>
        <w:spacing w:after="0" w:line="240" w:lineRule="auto"/>
        <w:rPr>
          <w:lang w:val="fr-FR"/>
        </w:rPr>
      </w:pPr>
      <w:r>
        <w:rPr>
          <w:lang w:val="fr-FR"/>
        </w:rPr>
        <w:separator/>
      </w:r>
    </w:p>
  </w:endnote>
  <w:endnote w:type="continuationSeparator" w:id="0">
    <w:p w14:paraId="1DCC247B" w14:textId="77777777" w:rsidR="00D51911" w:rsidRDefault="00D51911">
      <w:pPr>
        <w:spacing w:after="0" w:line="240" w:lineRule="auto"/>
        <w:rPr>
          <w:lang w:val="fr-FR"/>
        </w:rPr>
      </w:pPr>
      <w:r>
        <w:rPr>
          <w:lang w:val="fr-FR"/>
        </w:rPr>
        <w:continuationSeparator/>
      </w:r>
    </w:p>
  </w:endnote>
  <w:endnote w:type="continuationNotice" w:id="1">
    <w:p w14:paraId="0ED15779" w14:textId="77777777" w:rsidR="00D51911" w:rsidRDefault="00D51911">
      <w:pPr>
        <w:spacing w:after="0" w:line="240" w:lineRule="auto"/>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61583"/>
      <w:docPartObj>
        <w:docPartGallery w:val="Page Numbers (Bottom of Page)"/>
        <w:docPartUnique/>
      </w:docPartObj>
    </w:sdtPr>
    <w:sdtEndPr>
      <w:rPr>
        <w:noProof/>
        <w:sz w:val="18"/>
        <w:szCs w:val="18"/>
      </w:rPr>
    </w:sdtEndPr>
    <w:sdtContent>
      <w:p w14:paraId="009F4509" w14:textId="77777777" w:rsidR="002E0DE9" w:rsidRPr="002E0DE9" w:rsidRDefault="002E0DE9">
        <w:pPr>
          <w:pStyle w:val="Footer"/>
          <w:jc w:val="center"/>
          <w:rPr>
            <w:sz w:val="18"/>
            <w:szCs w:val="18"/>
          </w:rPr>
        </w:pPr>
        <w:r w:rsidRPr="002E0DE9">
          <w:rPr>
            <w:sz w:val="18"/>
            <w:szCs w:val="18"/>
          </w:rPr>
          <w:fldChar w:fldCharType="begin"/>
        </w:r>
        <w:r w:rsidRPr="002E0DE9">
          <w:rPr>
            <w:sz w:val="18"/>
            <w:szCs w:val="18"/>
          </w:rPr>
          <w:instrText xml:space="preserve"> PAGE   \* MERGEFORMAT </w:instrText>
        </w:r>
        <w:r w:rsidRPr="002E0DE9">
          <w:rPr>
            <w:sz w:val="18"/>
            <w:szCs w:val="18"/>
          </w:rPr>
          <w:fldChar w:fldCharType="separate"/>
        </w:r>
        <w:r w:rsidRPr="002E0DE9">
          <w:rPr>
            <w:noProof/>
            <w:sz w:val="18"/>
            <w:szCs w:val="18"/>
          </w:rPr>
          <w:t>2</w:t>
        </w:r>
        <w:r w:rsidRPr="002E0DE9">
          <w:rPr>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4047876"/>
      <w:docPartObj>
        <w:docPartGallery w:val="Page Numbers (Bottom of Page)"/>
        <w:docPartUnique/>
      </w:docPartObj>
    </w:sdtPr>
    <w:sdtEndPr>
      <w:rPr>
        <w:noProof/>
      </w:rPr>
    </w:sdtEndPr>
    <w:sdtContent>
      <w:p w14:paraId="2E7B951C" w14:textId="1B82943B" w:rsidR="0035024E" w:rsidRPr="0035024E" w:rsidRDefault="0035024E" w:rsidP="0035024E">
        <w:pPr>
          <w:pStyle w:val="Footer"/>
          <w:jc w:val="center"/>
          <w:rPr>
            <w:sz w:val="18"/>
            <w:szCs w:val="18"/>
          </w:rPr>
        </w:pPr>
        <w:r w:rsidRPr="0035024E">
          <w:rPr>
            <w:sz w:val="18"/>
            <w:szCs w:val="18"/>
          </w:rPr>
          <w:fldChar w:fldCharType="begin"/>
        </w:r>
        <w:r w:rsidRPr="0035024E">
          <w:rPr>
            <w:sz w:val="18"/>
            <w:szCs w:val="18"/>
          </w:rPr>
          <w:instrText xml:space="preserve"> PAGE   \* MERGEFORMAT </w:instrText>
        </w:r>
        <w:r w:rsidRPr="0035024E">
          <w:rPr>
            <w:sz w:val="18"/>
            <w:szCs w:val="18"/>
          </w:rPr>
          <w:fldChar w:fldCharType="separate"/>
        </w:r>
        <w:r w:rsidRPr="0035024E">
          <w:rPr>
            <w:noProof/>
            <w:sz w:val="18"/>
            <w:szCs w:val="18"/>
          </w:rPr>
          <w:t>2</w:t>
        </w:r>
        <w:r w:rsidRPr="0035024E">
          <w:rPr>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8"/>
        <w:szCs w:val="18"/>
      </w:rPr>
      <w:id w:val="409042349"/>
      <w:docPartObj>
        <w:docPartGallery w:val="Page Numbers (Bottom of Page)"/>
        <w:docPartUnique/>
      </w:docPartObj>
    </w:sdtPr>
    <w:sdtEndPr>
      <w:rPr>
        <w:noProof/>
      </w:rPr>
    </w:sdtEndPr>
    <w:sdtContent>
      <w:p w14:paraId="1F4F2858" w14:textId="77777777" w:rsidR="00871D8A" w:rsidRPr="004C18C7" w:rsidRDefault="00871D8A" w:rsidP="00C44D62">
        <w:pPr>
          <w:pStyle w:val="Footer"/>
          <w:jc w:val="center"/>
          <w:rPr>
            <w:rFonts w:cs="Arial"/>
            <w:sz w:val="18"/>
            <w:szCs w:val="18"/>
          </w:rPr>
        </w:pPr>
        <w:r w:rsidRPr="004C18C7">
          <w:rPr>
            <w:rFonts w:cs="Arial"/>
            <w:sz w:val="18"/>
            <w:szCs w:val="18"/>
          </w:rPr>
          <w:fldChar w:fldCharType="begin"/>
        </w:r>
        <w:r w:rsidRPr="004C18C7">
          <w:rPr>
            <w:rFonts w:cs="Arial"/>
            <w:sz w:val="18"/>
            <w:szCs w:val="18"/>
          </w:rPr>
          <w:instrText xml:space="preserve"> PAGE   \* MERGEFORMAT </w:instrText>
        </w:r>
        <w:r w:rsidRPr="004C18C7">
          <w:rPr>
            <w:rFonts w:cs="Arial"/>
            <w:sz w:val="18"/>
            <w:szCs w:val="18"/>
          </w:rPr>
          <w:fldChar w:fldCharType="separate"/>
        </w:r>
        <w:r w:rsidRPr="004C18C7">
          <w:rPr>
            <w:rFonts w:cs="Arial"/>
            <w:noProof/>
            <w:sz w:val="18"/>
            <w:szCs w:val="18"/>
          </w:rPr>
          <w:t>2</w:t>
        </w:r>
        <w:r w:rsidRPr="004C18C7">
          <w:rPr>
            <w:rFonts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8"/>
        <w:szCs w:val="18"/>
      </w:rPr>
      <w:id w:val="1569841117"/>
      <w:docPartObj>
        <w:docPartGallery w:val="Page Numbers (Bottom of Page)"/>
        <w:docPartUnique/>
      </w:docPartObj>
    </w:sdtPr>
    <w:sdtEndPr>
      <w:rPr>
        <w:noProof/>
      </w:rPr>
    </w:sdtEndPr>
    <w:sdtContent>
      <w:p w14:paraId="2BFC4286" w14:textId="77777777" w:rsidR="00871D8A" w:rsidRPr="004C18C7" w:rsidRDefault="00871D8A" w:rsidP="004C18C7">
        <w:pPr>
          <w:pStyle w:val="Footer"/>
          <w:jc w:val="center"/>
          <w:rPr>
            <w:rFonts w:cs="Arial"/>
            <w:sz w:val="18"/>
            <w:szCs w:val="18"/>
          </w:rPr>
        </w:pPr>
        <w:r w:rsidRPr="004C18C7">
          <w:rPr>
            <w:rFonts w:cs="Arial"/>
            <w:sz w:val="18"/>
            <w:szCs w:val="18"/>
          </w:rPr>
          <w:fldChar w:fldCharType="begin"/>
        </w:r>
        <w:r w:rsidRPr="004C18C7">
          <w:rPr>
            <w:rFonts w:cs="Arial"/>
            <w:sz w:val="18"/>
            <w:szCs w:val="18"/>
          </w:rPr>
          <w:instrText xml:space="preserve"> PAGE   \* MERGEFORMAT </w:instrText>
        </w:r>
        <w:r w:rsidRPr="004C18C7">
          <w:rPr>
            <w:rFonts w:cs="Arial"/>
            <w:sz w:val="18"/>
            <w:szCs w:val="18"/>
          </w:rPr>
          <w:fldChar w:fldCharType="separate"/>
        </w:r>
        <w:r w:rsidRPr="004C18C7">
          <w:rPr>
            <w:rFonts w:cs="Arial"/>
            <w:noProof/>
            <w:sz w:val="18"/>
            <w:szCs w:val="18"/>
          </w:rPr>
          <w:t>2</w:t>
        </w:r>
        <w:r w:rsidRPr="004C18C7">
          <w:rPr>
            <w:rFonts w:cs="Arial"/>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sz w:val="18"/>
        <w:szCs w:val="18"/>
      </w:rPr>
      <w:id w:val="-136490569"/>
      <w:docPartObj>
        <w:docPartGallery w:val="Page Numbers (Bottom of Page)"/>
        <w:docPartUnique/>
      </w:docPartObj>
    </w:sdtPr>
    <w:sdtEndPr>
      <w:rPr>
        <w:noProof/>
      </w:rPr>
    </w:sdtEndPr>
    <w:sdtContent>
      <w:p w14:paraId="6DEC04D0" w14:textId="77777777" w:rsidR="00871D8A" w:rsidRPr="00CF2CC5" w:rsidRDefault="00871D8A" w:rsidP="00CF2CC5">
        <w:pPr>
          <w:pStyle w:val="Footer"/>
          <w:jc w:val="center"/>
          <w:rPr>
            <w:rFonts w:cs="Arial"/>
            <w:sz w:val="18"/>
            <w:szCs w:val="18"/>
          </w:rPr>
        </w:pPr>
        <w:r w:rsidRPr="00CF2CC5">
          <w:rPr>
            <w:rFonts w:cs="Arial"/>
            <w:sz w:val="18"/>
            <w:szCs w:val="18"/>
          </w:rPr>
          <w:fldChar w:fldCharType="begin"/>
        </w:r>
        <w:r w:rsidRPr="00CF2CC5">
          <w:rPr>
            <w:rFonts w:cs="Arial"/>
            <w:sz w:val="18"/>
            <w:szCs w:val="18"/>
          </w:rPr>
          <w:instrText xml:space="preserve"> PAGE   \* MERGEFORMAT </w:instrText>
        </w:r>
        <w:r w:rsidRPr="00CF2CC5">
          <w:rPr>
            <w:rFonts w:cs="Arial"/>
            <w:sz w:val="18"/>
            <w:szCs w:val="18"/>
          </w:rPr>
          <w:fldChar w:fldCharType="separate"/>
        </w:r>
        <w:r w:rsidRPr="00CF2CC5">
          <w:rPr>
            <w:rFonts w:cs="Arial"/>
            <w:noProof/>
            <w:sz w:val="18"/>
            <w:szCs w:val="18"/>
          </w:rPr>
          <w:t>2</w:t>
        </w:r>
        <w:r w:rsidRPr="00CF2CC5">
          <w:rPr>
            <w:rFonts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78F4D" w14:textId="77777777" w:rsidR="00D51911" w:rsidRDefault="00D51911">
      <w:pPr>
        <w:spacing w:after="0" w:line="240" w:lineRule="auto"/>
        <w:rPr>
          <w:lang w:val="fr-FR"/>
        </w:rPr>
      </w:pPr>
      <w:r>
        <w:rPr>
          <w:lang w:val="fr-FR"/>
        </w:rPr>
        <w:separator/>
      </w:r>
    </w:p>
  </w:footnote>
  <w:footnote w:type="continuationSeparator" w:id="0">
    <w:p w14:paraId="2587EA7B" w14:textId="77777777" w:rsidR="00D51911" w:rsidRDefault="00D51911">
      <w:pPr>
        <w:spacing w:after="0" w:line="240" w:lineRule="auto"/>
        <w:rPr>
          <w:lang w:val="fr-FR"/>
        </w:rPr>
      </w:pPr>
      <w:r>
        <w:rPr>
          <w:lang w:val="fr-FR"/>
        </w:rPr>
        <w:continuationSeparator/>
      </w:r>
    </w:p>
  </w:footnote>
  <w:footnote w:type="continuationNotice" w:id="1">
    <w:p w14:paraId="7CB88A1A" w14:textId="77777777" w:rsidR="00D51911" w:rsidRDefault="00D51911">
      <w:pPr>
        <w:spacing w:after="0" w:line="240" w:lineRule="auto"/>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74E83" w14:textId="77777777" w:rsidR="007C1D5C" w:rsidRDefault="006B775D">
    <w:pPr>
      <w:pStyle w:val="Header"/>
      <w:pBdr>
        <w:bottom w:val="single" w:sz="4" w:space="1" w:color="auto"/>
      </w:pBdr>
      <w:rPr>
        <w:i/>
        <w:sz w:val="18"/>
        <w:szCs w:val="18"/>
        <w:lang w:val="fr-FR"/>
      </w:rPr>
    </w:pPr>
    <w:r>
      <w:rPr>
        <w:rFonts w:eastAsia="Times New Roman" w:cs="Arial"/>
        <w:i/>
        <w:sz w:val="18"/>
        <w:szCs w:val="18"/>
        <w:lang w:val="fr-FR"/>
      </w:rPr>
      <w:t>UNEP/CMS/COP15/Doc.26.4.3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4BD37" w14:textId="77777777" w:rsidR="007C1D5C" w:rsidRDefault="006B775D">
    <w:pPr>
      <w:pStyle w:val="Header"/>
      <w:pBdr>
        <w:bottom w:val="single" w:sz="4" w:space="1" w:color="auto"/>
      </w:pBdr>
      <w:jc w:val="right"/>
      <w:rPr>
        <w:rFonts w:eastAsia="Times New Roman" w:cs="Arial"/>
        <w:i/>
        <w:sz w:val="18"/>
        <w:szCs w:val="18"/>
        <w:lang w:val="fr-FR"/>
      </w:rPr>
    </w:pPr>
    <w:r>
      <w:rPr>
        <w:rFonts w:eastAsia="Times New Roman" w:cs="Arial"/>
        <w:i/>
        <w:sz w:val="18"/>
        <w:szCs w:val="18"/>
        <w:lang w:val="fr-FR"/>
      </w:rPr>
      <w:t>UNEP/CMS/COP15/Doc.26.4.3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46B95" w14:textId="77777777" w:rsidR="00225265" w:rsidRPr="00FF59D5" w:rsidRDefault="00225265" w:rsidP="00225265">
    <w:pPr>
      <w:widowControl w:val="0"/>
      <w:tabs>
        <w:tab w:val="center" w:pos="4153"/>
        <w:tab w:val="right" w:pos="8306"/>
      </w:tabs>
      <w:suppressAutoHyphens/>
      <w:autoSpaceDE w:val="0"/>
      <w:autoSpaceDN w:val="0"/>
      <w:spacing w:after="0" w:line="240" w:lineRule="auto"/>
      <w:ind w:right="-547"/>
      <w:jc w:val="right"/>
      <w:textAlignment w:val="baseline"/>
      <w:rPr>
        <w:rFonts w:eastAsia="Times New Roman" w:cs="Times New Roman"/>
        <w:sz w:val="18"/>
        <w:szCs w:val="20"/>
        <w:lang w:val="en-GB"/>
      </w:rPr>
    </w:pPr>
    <w:bookmarkStart w:id="2" w:name="_Hlk208560916"/>
    <w:bookmarkStart w:id="3" w:name="_Hlk208560917"/>
    <w:r>
      <w:rPr>
        <w:noProof/>
      </w:rPr>
      <w:drawing>
        <wp:anchor distT="0" distB="0" distL="114300" distR="114300" simplePos="0" relativeHeight="251661312" behindDoc="0" locked="0" layoutInCell="1" allowOverlap="1" wp14:anchorId="180FDDB1" wp14:editId="33B8895F">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cs="Times New Roman"/>
        <w:noProof/>
        <w:sz w:val="18"/>
        <w:szCs w:val="20"/>
      </w:rPr>
      <w:drawing>
        <wp:anchor distT="0" distB="0" distL="114300" distR="114300" simplePos="0" relativeHeight="251659264" behindDoc="0" locked="0" layoutInCell="1" allowOverlap="1" wp14:anchorId="497AD295" wp14:editId="2383F83D">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cs="Times New Roman"/>
        <w:noProof/>
        <w:sz w:val="4"/>
        <w:szCs w:val="4"/>
        <w:lang w:val="en-GB"/>
      </w:rPr>
      <w:drawing>
        <wp:anchor distT="0" distB="0" distL="114300" distR="114300" simplePos="0" relativeHeight="251660288" behindDoc="0" locked="0" layoutInCell="1" allowOverlap="1" wp14:anchorId="3F33D355" wp14:editId="423F2CA2">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2"/>
    <w:bookmarkEnd w:id="3"/>
  </w:p>
  <w:p w14:paraId="6A172919" w14:textId="77777777" w:rsidR="007C1D5C" w:rsidRDefault="007C1D5C">
    <w:pPr>
      <w:pStyle w:val="Header"/>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B45A0" w14:textId="77777777" w:rsidR="00871D8A" w:rsidRDefault="00871D8A">
    <w:pPr>
      <w:pStyle w:val="Header"/>
      <w:pBdr>
        <w:bottom w:val="single" w:sz="4" w:space="1" w:color="auto"/>
      </w:pBdr>
      <w:rPr>
        <w:rFonts w:cs="Arial"/>
        <w:i/>
        <w:iCs/>
        <w:sz w:val="18"/>
        <w:szCs w:val="18"/>
        <w:lang w:val="fr-FR"/>
      </w:rPr>
    </w:pPr>
    <w:r>
      <w:rPr>
        <w:rFonts w:cs="Arial"/>
        <w:i/>
        <w:iCs/>
        <w:sz w:val="18"/>
        <w:szCs w:val="18"/>
        <w:lang w:val="fr-FR"/>
      </w:rPr>
      <w:t>UNEP/CMS/COP15/Doc.26.4.3/Annexe</w:t>
    </w:r>
  </w:p>
  <w:p w14:paraId="1BCAF8BF" w14:textId="77777777" w:rsidR="00871D8A" w:rsidRDefault="00871D8A">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5C0D0" w14:textId="77777777" w:rsidR="00871D8A" w:rsidRDefault="00871D8A">
    <w:pPr>
      <w:pStyle w:val="Header"/>
      <w:pBdr>
        <w:bottom w:val="single" w:sz="4" w:space="1" w:color="auto"/>
      </w:pBdr>
      <w:jc w:val="right"/>
      <w:rPr>
        <w:rFonts w:cs="Arial"/>
        <w:i/>
        <w:iCs/>
        <w:sz w:val="18"/>
        <w:szCs w:val="18"/>
        <w:lang w:val="fr-FR"/>
      </w:rPr>
    </w:pPr>
    <w:r>
      <w:rPr>
        <w:rFonts w:cs="Arial"/>
        <w:i/>
        <w:iCs/>
        <w:sz w:val="18"/>
        <w:szCs w:val="18"/>
        <w:lang w:val="fr-FR"/>
      </w:rPr>
      <w:t>UNEP/CMS/COP15/Doc.26.4.3/Annexe</w:t>
    </w:r>
  </w:p>
  <w:p w14:paraId="0492CBD9" w14:textId="77777777" w:rsidR="00871D8A" w:rsidRDefault="00871D8A">
    <w:pPr>
      <w:pStyle w:val="Header"/>
      <w:rPr>
        <w:lang w:val="fr-F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78C96" w14:textId="77777777" w:rsidR="00871D8A" w:rsidRDefault="00871D8A">
    <w:pPr>
      <w:pStyle w:val="Header"/>
      <w:pBdr>
        <w:bottom w:val="single" w:sz="4" w:space="1" w:color="auto"/>
      </w:pBdr>
      <w:jc w:val="right"/>
      <w:rPr>
        <w:rFonts w:cs="Arial"/>
        <w:i/>
        <w:iCs/>
        <w:sz w:val="18"/>
        <w:szCs w:val="18"/>
        <w:lang w:val="fr-FR"/>
      </w:rPr>
    </w:pPr>
    <w:r>
      <w:rPr>
        <w:rFonts w:cs="Arial"/>
        <w:i/>
        <w:iCs/>
        <w:sz w:val="18"/>
        <w:szCs w:val="18"/>
        <w:lang w:val="fr-FR"/>
      </w:rPr>
      <w:t>UNEP/CMS/COP15/Doc.26.4.3/Annexe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940F8"/>
    <w:multiLevelType w:val="hybridMultilevel"/>
    <w:tmpl w:val="51FC7FB0"/>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 w15:restartNumberingAfterBreak="0">
    <w:nsid w:val="033D72B4"/>
    <w:multiLevelType w:val="hybridMultilevel"/>
    <w:tmpl w:val="49B87CA6"/>
    <w:lvl w:ilvl="0" w:tplc="4B34588C">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654D5"/>
    <w:multiLevelType w:val="hybridMultilevel"/>
    <w:tmpl w:val="718A3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7ED099C"/>
    <w:multiLevelType w:val="hybridMultilevel"/>
    <w:tmpl w:val="C54A28AA"/>
    <w:lvl w:ilvl="0" w:tplc="2000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3DF48E4"/>
    <w:multiLevelType w:val="hybridMultilevel"/>
    <w:tmpl w:val="0C2692DA"/>
    <w:lvl w:ilvl="0" w:tplc="10000017">
      <w:start w:val="1"/>
      <w:numFmt w:val="lowerLetter"/>
      <w:pStyle w:val="Secondnumbering"/>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15:restartNumberingAfterBreak="0">
    <w:nsid w:val="285E694B"/>
    <w:multiLevelType w:val="hybridMultilevel"/>
    <w:tmpl w:val="ED300108"/>
    <w:lvl w:ilvl="0" w:tplc="DC7E79CA">
      <w:start w:val="1"/>
      <w:numFmt w:val="decimal"/>
      <w:lvlText w:val="%1."/>
      <w:lvlJc w:val="left"/>
      <w:pPr>
        <w:ind w:left="36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0F20254"/>
    <w:multiLevelType w:val="hybridMultilevel"/>
    <w:tmpl w:val="F146D33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777AAB"/>
    <w:multiLevelType w:val="hybridMultilevel"/>
    <w:tmpl w:val="8606289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8" w15:restartNumberingAfterBreak="0">
    <w:nsid w:val="4143652F"/>
    <w:multiLevelType w:val="hybridMultilevel"/>
    <w:tmpl w:val="F3FE06C2"/>
    <w:lvl w:ilvl="0" w:tplc="4C88504A">
      <w:start w:val="1"/>
      <w:numFmt w:val="lowerRoman"/>
      <w:lvlText w:val="(%1)"/>
      <w:lvlJc w:val="left"/>
      <w:pPr>
        <w:ind w:left="1080" w:hanging="720"/>
      </w:pPr>
    </w:lvl>
    <w:lvl w:ilvl="1" w:tplc="4F106F44">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9" w15:restartNumberingAfterBreak="0">
    <w:nsid w:val="4B3F7345"/>
    <w:multiLevelType w:val="hybridMultilevel"/>
    <w:tmpl w:val="C826DECE"/>
    <w:lvl w:ilvl="0" w:tplc="B9E03566">
      <w:start w:val="1"/>
      <w:numFmt w:val="decimal"/>
      <w:lvlText w:val="%1."/>
      <w:lvlJc w:val="left"/>
      <w:pPr>
        <w:ind w:left="720" w:hanging="360"/>
      </w:pPr>
      <w:rPr>
        <w:rFonts w:ascii="Arial" w:hAnsi="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2B1D26"/>
    <w:multiLevelType w:val="hybridMultilevel"/>
    <w:tmpl w:val="68CE48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1F14F97"/>
    <w:multiLevelType w:val="hybridMultilevel"/>
    <w:tmpl w:val="59B625C2"/>
    <w:lvl w:ilvl="0" w:tplc="0EA89612">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6B20F4"/>
    <w:multiLevelType w:val="hybridMultilevel"/>
    <w:tmpl w:val="B6D801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9A38ED"/>
    <w:multiLevelType w:val="hybridMultilevel"/>
    <w:tmpl w:val="5554EBF6"/>
    <w:lvl w:ilvl="0" w:tplc="C7B60AE6">
      <w:start w:val="1"/>
      <w:numFmt w:val="upperLetter"/>
      <w:lvlText w:val="%1."/>
      <w:lvlJc w:val="left"/>
      <w:pPr>
        <w:ind w:left="408" w:hanging="360"/>
      </w:pPr>
      <w:rPr>
        <w:rFonts w:hint="default"/>
        <w:i/>
      </w:rPr>
    </w:lvl>
    <w:lvl w:ilvl="1" w:tplc="08090019" w:tentative="1">
      <w:start w:val="1"/>
      <w:numFmt w:val="lowerLetter"/>
      <w:lvlText w:val="%2."/>
      <w:lvlJc w:val="left"/>
      <w:pPr>
        <w:ind w:left="1128" w:hanging="360"/>
      </w:pPr>
    </w:lvl>
    <w:lvl w:ilvl="2" w:tplc="0809001B" w:tentative="1">
      <w:start w:val="1"/>
      <w:numFmt w:val="lowerRoman"/>
      <w:lvlText w:val="%3."/>
      <w:lvlJc w:val="right"/>
      <w:pPr>
        <w:ind w:left="1848" w:hanging="180"/>
      </w:pPr>
    </w:lvl>
    <w:lvl w:ilvl="3" w:tplc="0809000F" w:tentative="1">
      <w:start w:val="1"/>
      <w:numFmt w:val="decimal"/>
      <w:lvlText w:val="%4."/>
      <w:lvlJc w:val="left"/>
      <w:pPr>
        <w:ind w:left="2568" w:hanging="360"/>
      </w:pPr>
    </w:lvl>
    <w:lvl w:ilvl="4" w:tplc="08090019" w:tentative="1">
      <w:start w:val="1"/>
      <w:numFmt w:val="lowerLetter"/>
      <w:lvlText w:val="%5."/>
      <w:lvlJc w:val="left"/>
      <w:pPr>
        <w:ind w:left="3288" w:hanging="360"/>
      </w:pPr>
    </w:lvl>
    <w:lvl w:ilvl="5" w:tplc="0809001B" w:tentative="1">
      <w:start w:val="1"/>
      <w:numFmt w:val="lowerRoman"/>
      <w:lvlText w:val="%6."/>
      <w:lvlJc w:val="right"/>
      <w:pPr>
        <w:ind w:left="4008" w:hanging="180"/>
      </w:pPr>
    </w:lvl>
    <w:lvl w:ilvl="6" w:tplc="0809000F" w:tentative="1">
      <w:start w:val="1"/>
      <w:numFmt w:val="decimal"/>
      <w:lvlText w:val="%7."/>
      <w:lvlJc w:val="left"/>
      <w:pPr>
        <w:ind w:left="4728" w:hanging="360"/>
      </w:pPr>
    </w:lvl>
    <w:lvl w:ilvl="7" w:tplc="08090019" w:tentative="1">
      <w:start w:val="1"/>
      <w:numFmt w:val="lowerLetter"/>
      <w:lvlText w:val="%8."/>
      <w:lvlJc w:val="left"/>
      <w:pPr>
        <w:ind w:left="5448" w:hanging="360"/>
      </w:pPr>
    </w:lvl>
    <w:lvl w:ilvl="8" w:tplc="0809001B" w:tentative="1">
      <w:start w:val="1"/>
      <w:numFmt w:val="lowerRoman"/>
      <w:lvlText w:val="%9."/>
      <w:lvlJc w:val="right"/>
      <w:pPr>
        <w:ind w:left="6168" w:hanging="180"/>
      </w:pPr>
    </w:lvl>
  </w:abstractNum>
  <w:abstractNum w:abstractNumId="14" w15:restartNumberingAfterBreak="0">
    <w:nsid w:val="69A23F83"/>
    <w:multiLevelType w:val="hybridMultilevel"/>
    <w:tmpl w:val="489A9F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72FD303A"/>
    <w:multiLevelType w:val="hybridMultilevel"/>
    <w:tmpl w:val="A8A698B8"/>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16" w15:restartNumberingAfterBreak="0">
    <w:nsid w:val="74ED6731"/>
    <w:multiLevelType w:val="hybridMultilevel"/>
    <w:tmpl w:val="FE98D134"/>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7" w15:restartNumberingAfterBreak="0">
    <w:nsid w:val="78F114A5"/>
    <w:multiLevelType w:val="hybridMultilevel"/>
    <w:tmpl w:val="56963F4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B36076D"/>
    <w:multiLevelType w:val="hybridMultilevel"/>
    <w:tmpl w:val="3AA2A316"/>
    <w:lvl w:ilvl="0" w:tplc="7C3A19F6">
      <w:start w:val="1"/>
      <w:numFmt w:val="lowerLetter"/>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9" w15:restartNumberingAfterBreak="0">
    <w:nsid w:val="7C464D04"/>
    <w:multiLevelType w:val="hybridMultilevel"/>
    <w:tmpl w:val="C7B6150A"/>
    <w:lvl w:ilvl="0" w:tplc="1000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028725">
    <w:abstractNumId w:val="9"/>
  </w:num>
  <w:num w:numId="2" w16cid:durableId="1342467551">
    <w:abstractNumId w:val="16"/>
  </w:num>
  <w:num w:numId="3" w16cid:durableId="1569996155">
    <w:abstractNumId w:val="0"/>
  </w:num>
  <w:num w:numId="4" w16cid:durableId="503712034">
    <w:abstractNumId w:val="14"/>
  </w:num>
  <w:num w:numId="5" w16cid:durableId="88756848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35983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72059935">
    <w:abstractNumId w:val="6"/>
  </w:num>
  <w:num w:numId="8" w16cid:durableId="657730385">
    <w:abstractNumId w:val="19"/>
  </w:num>
  <w:num w:numId="9" w16cid:durableId="1150515762">
    <w:abstractNumId w:val="11"/>
  </w:num>
  <w:num w:numId="10" w16cid:durableId="627323914">
    <w:abstractNumId w:val="1"/>
  </w:num>
  <w:num w:numId="11" w16cid:durableId="702288347">
    <w:abstractNumId w:val="5"/>
  </w:num>
  <w:num w:numId="12" w16cid:durableId="1314601689">
    <w:abstractNumId w:val="3"/>
  </w:num>
  <w:num w:numId="13" w16cid:durableId="2132282296">
    <w:abstractNumId w:val="4"/>
  </w:num>
  <w:num w:numId="14" w16cid:durableId="599334476">
    <w:abstractNumId w:val="2"/>
  </w:num>
  <w:num w:numId="15" w16cid:durableId="478960692">
    <w:abstractNumId w:val="15"/>
  </w:num>
  <w:num w:numId="16" w16cid:durableId="51583883">
    <w:abstractNumId w:val="13"/>
  </w:num>
  <w:num w:numId="17" w16cid:durableId="2064132658">
    <w:abstractNumId w:val="17"/>
  </w:num>
  <w:num w:numId="18" w16cid:durableId="764572097">
    <w:abstractNumId w:val="10"/>
  </w:num>
  <w:num w:numId="19" w16cid:durableId="1923030630">
    <w:abstractNumId w:val="12"/>
  </w:num>
  <w:num w:numId="20" w16cid:durableId="14766812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AwNzU1NzMzNjI0sbBU0lEKTi0uzszPAykwqgUAwrpv6CwAAAA="/>
  </w:docVars>
  <w:rsids>
    <w:rsidRoot w:val="002E0DE9"/>
    <w:rsid w:val="00004C2C"/>
    <w:rsid w:val="00005E72"/>
    <w:rsid w:val="00014E32"/>
    <w:rsid w:val="00016ABC"/>
    <w:rsid w:val="00016F8A"/>
    <w:rsid w:val="00017409"/>
    <w:rsid w:val="00017FF7"/>
    <w:rsid w:val="00022866"/>
    <w:rsid w:val="000232B2"/>
    <w:rsid w:val="00034BD8"/>
    <w:rsid w:val="00041981"/>
    <w:rsid w:val="0004672B"/>
    <w:rsid w:val="000500F5"/>
    <w:rsid w:val="00052FED"/>
    <w:rsid w:val="000539AB"/>
    <w:rsid w:val="0005420F"/>
    <w:rsid w:val="000549EB"/>
    <w:rsid w:val="000554B7"/>
    <w:rsid w:val="0006101D"/>
    <w:rsid w:val="00063175"/>
    <w:rsid w:val="00063C40"/>
    <w:rsid w:val="000661B2"/>
    <w:rsid w:val="0007217D"/>
    <w:rsid w:val="00072778"/>
    <w:rsid w:val="00073184"/>
    <w:rsid w:val="00074973"/>
    <w:rsid w:val="00081045"/>
    <w:rsid w:val="00092961"/>
    <w:rsid w:val="00095F86"/>
    <w:rsid w:val="00097584"/>
    <w:rsid w:val="000C5B92"/>
    <w:rsid w:val="000D5595"/>
    <w:rsid w:val="000E2190"/>
    <w:rsid w:val="000E37FA"/>
    <w:rsid w:val="000E53B6"/>
    <w:rsid w:val="000E5E8D"/>
    <w:rsid w:val="000F13BB"/>
    <w:rsid w:val="00103C7C"/>
    <w:rsid w:val="0010589F"/>
    <w:rsid w:val="00112513"/>
    <w:rsid w:val="00114FC8"/>
    <w:rsid w:val="001209EF"/>
    <w:rsid w:val="00133DB6"/>
    <w:rsid w:val="0013740D"/>
    <w:rsid w:val="00137609"/>
    <w:rsid w:val="0014572A"/>
    <w:rsid w:val="00150BD0"/>
    <w:rsid w:val="00151F6F"/>
    <w:rsid w:val="00157B56"/>
    <w:rsid w:val="001622FB"/>
    <w:rsid w:val="00177179"/>
    <w:rsid w:val="00183AC2"/>
    <w:rsid w:val="00184004"/>
    <w:rsid w:val="00184287"/>
    <w:rsid w:val="001843E1"/>
    <w:rsid w:val="00190ADA"/>
    <w:rsid w:val="00190CF5"/>
    <w:rsid w:val="00193F75"/>
    <w:rsid w:val="00196245"/>
    <w:rsid w:val="0019689F"/>
    <w:rsid w:val="00197EB1"/>
    <w:rsid w:val="001A1D6C"/>
    <w:rsid w:val="001B18CA"/>
    <w:rsid w:val="001B4EF8"/>
    <w:rsid w:val="001B5266"/>
    <w:rsid w:val="001C2D4C"/>
    <w:rsid w:val="001C6C56"/>
    <w:rsid w:val="001E1E0C"/>
    <w:rsid w:val="001E2964"/>
    <w:rsid w:val="001E4CA1"/>
    <w:rsid w:val="001F593F"/>
    <w:rsid w:val="001F5D7E"/>
    <w:rsid w:val="00200225"/>
    <w:rsid w:val="002002E8"/>
    <w:rsid w:val="002075DB"/>
    <w:rsid w:val="002134AF"/>
    <w:rsid w:val="00225265"/>
    <w:rsid w:val="00231C6A"/>
    <w:rsid w:val="002326AB"/>
    <w:rsid w:val="00235010"/>
    <w:rsid w:val="00237692"/>
    <w:rsid w:val="0025173F"/>
    <w:rsid w:val="00252101"/>
    <w:rsid w:val="00267CA1"/>
    <w:rsid w:val="00283594"/>
    <w:rsid w:val="00284272"/>
    <w:rsid w:val="00284880"/>
    <w:rsid w:val="002853DF"/>
    <w:rsid w:val="00290379"/>
    <w:rsid w:val="0029125A"/>
    <w:rsid w:val="002970BE"/>
    <w:rsid w:val="002A746B"/>
    <w:rsid w:val="002B223F"/>
    <w:rsid w:val="002B2806"/>
    <w:rsid w:val="002B3D23"/>
    <w:rsid w:val="002B4E41"/>
    <w:rsid w:val="002D0085"/>
    <w:rsid w:val="002D2433"/>
    <w:rsid w:val="002D7A59"/>
    <w:rsid w:val="002E0DE9"/>
    <w:rsid w:val="002E6A7D"/>
    <w:rsid w:val="002F77A3"/>
    <w:rsid w:val="00301068"/>
    <w:rsid w:val="0030430C"/>
    <w:rsid w:val="00305400"/>
    <w:rsid w:val="00327666"/>
    <w:rsid w:val="00331D38"/>
    <w:rsid w:val="00336502"/>
    <w:rsid w:val="00340925"/>
    <w:rsid w:val="00344ED3"/>
    <w:rsid w:val="0035024E"/>
    <w:rsid w:val="00352A7C"/>
    <w:rsid w:val="00354A36"/>
    <w:rsid w:val="00361599"/>
    <w:rsid w:val="003626A3"/>
    <w:rsid w:val="00364611"/>
    <w:rsid w:val="003669FF"/>
    <w:rsid w:val="003769CC"/>
    <w:rsid w:val="0037728A"/>
    <w:rsid w:val="00381BB7"/>
    <w:rsid w:val="003877C5"/>
    <w:rsid w:val="003942FD"/>
    <w:rsid w:val="003B1169"/>
    <w:rsid w:val="003B1434"/>
    <w:rsid w:val="003B3967"/>
    <w:rsid w:val="003C569E"/>
    <w:rsid w:val="003C758F"/>
    <w:rsid w:val="003D0396"/>
    <w:rsid w:val="003D465F"/>
    <w:rsid w:val="003E6B89"/>
    <w:rsid w:val="003E78F2"/>
    <w:rsid w:val="00402350"/>
    <w:rsid w:val="00403A9C"/>
    <w:rsid w:val="00405506"/>
    <w:rsid w:val="00405B65"/>
    <w:rsid w:val="0040663F"/>
    <w:rsid w:val="0041413F"/>
    <w:rsid w:val="0041476E"/>
    <w:rsid w:val="00425556"/>
    <w:rsid w:val="00427CA7"/>
    <w:rsid w:val="00431FE3"/>
    <w:rsid w:val="00434BDA"/>
    <w:rsid w:val="00443325"/>
    <w:rsid w:val="004531F1"/>
    <w:rsid w:val="00457A20"/>
    <w:rsid w:val="004608C4"/>
    <w:rsid w:val="00461D76"/>
    <w:rsid w:val="004639CE"/>
    <w:rsid w:val="004714F5"/>
    <w:rsid w:val="00472BCE"/>
    <w:rsid w:val="00473EF3"/>
    <w:rsid w:val="00477148"/>
    <w:rsid w:val="00494608"/>
    <w:rsid w:val="00495B71"/>
    <w:rsid w:val="0049746C"/>
    <w:rsid w:val="004A32D6"/>
    <w:rsid w:val="004A445C"/>
    <w:rsid w:val="004A671C"/>
    <w:rsid w:val="004C015B"/>
    <w:rsid w:val="004C0946"/>
    <w:rsid w:val="004C0F2A"/>
    <w:rsid w:val="004C1444"/>
    <w:rsid w:val="004C1562"/>
    <w:rsid w:val="004C1FDD"/>
    <w:rsid w:val="004C317E"/>
    <w:rsid w:val="004C4517"/>
    <w:rsid w:val="004C4B09"/>
    <w:rsid w:val="004C529F"/>
    <w:rsid w:val="004D740E"/>
    <w:rsid w:val="004D79F2"/>
    <w:rsid w:val="004E5CA6"/>
    <w:rsid w:val="004E7222"/>
    <w:rsid w:val="004F3B6A"/>
    <w:rsid w:val="00500665"/>
    <w:rsid w:val="0050395C"/>
    <w:rsid w:val="005101BA"/>
    <w:rsid w:val="00516A25"/>
    <w:rsid w:val="005252B1"/>
    <w:rsid w:val="005268EF"/>
    <w:rsid w:val="00526B55"/>
    <w:rsid w:val="00531BD1"/>
    <w:rsid w:val="005330F7"/>
    <w:rsid w:val="00533E67"/>
    <w:rsid w:val="005425BB"/>
    <w:rsid w:val="005479AC"/>
    <w:rsid w:val="005510EF"/>
    <w:rsid w:val="0055344C"/>
    <w:rsid w:val="0055673F"/>
    <w:rsid w:val="00560405"/>
    <w:rsid w:val="00560B76"/>
    <w:rsid w:val="00563598"/>
    <w:rsid w:val="00567CDC"/>
    <w:rsid w:val="00570608"/>
    <w:rsid w:val="0057127F"/>
    <w:rsid w:val="0059075E"/>
    <w:rsid w:val="00593BA8"/>
    <w:rsid w:val="00594151"/>
    <w:rsid w:val="00595DEA"/>
    <w:rsid w:val="00597102"/>
    <w:rsid w:val="00597EB1"/>
    <w:rsid w:val="005A2A3E"/>
    <w:rsid w:val="005A4DC3"/>
    <w:rsid w:val="005B23A6"/>
    <w:rsid w:val="005B3F29"/>
    <w:rsid w:val="005B65FF"/>
    <w:rsid w:val="005C190C"/>
    <w:rsid w:val="005C28E8"/>
    <w:rsid w:val="005C53BB"/>
    <w:rsid w:val="005C5625"/>
    <w:rsid w:val="005C5C48"/>
    <w:rsid w:val="005C702E"/>
    <w:rsid w:val="005D16A8"/>
    <w:rsid w:val="005D380A"/>
    <w:rsid w:val="005E031D"/>
    <w:rsid w:val="005E05B8"/>
    <w:rsid w:val="005E6D3C"/>
    <w:rsid w:val="005F0F5C"/>
    <w:rsid w:val="005F4B8E"/>
    <w:rsid w:val="005F738C"/>
    <w:rsid w:val="005F7BEC"/>
    <w:rsid w:val="00603F29"/>
    <w:rsid w:val="00610891"/>
    <w:rsid w:val="00617A7D"/>
    <w:rsid w:val="0062258A"/>
    <w:rsid w:val="00625111"/>
    <w:rsid w:val="006303B3"/>
    <w:rsid w:val="00631D97"/>
    <w:rsid w:val="00632B78"/>
    <w:rsid w:val="00644836"/>
    <w:rsid w:val="00645307"/>
    <w:rsid w:val="006462C2"/>
    <w:rsid w:val="00652342"/>
    <w:rsid w:val="006540F7"/>
    <w:rsid w:val="006547D6"/>
    <w:rsid w:val="006556A3"/>
    <w:rsid w:val="00657B22"/>
    <w:rsid w:val="00667C0A"/>
    <w:rsid w:val="006704FB"/>
    <w:rsid w:val="00682595"/>
    <w:rsid w:val="00682891"/>
    <w:rsid w:val="006867A3"/>
    <w:rsid w:val="00693256"/>
    <w:rsid w:val="00697C5B"/>
    <w:rsid w:val="006A388F"/>
    <w:rsid w:val="006A689A"/>
    <w:rsid w:val="006A7DC4"/>
    <w:rsid w:val="006B0076"/>
    <w:rsid w:val="006B220F"/>
    <w:rsid w:val="006B4849"/>
    <w:rsid w:val="006B6FA4"/>
    <w:rsid w:val="006B775D"/>
    <w:rsid w:val="006C0316"/>
    <w:rsid w:val="006C3F86"/>
    <w:rsid w:val="006D2054"/>
    <w:rsid w:val="006F5B91"/>
    <w:rsid w:val="0070324E"/>
    <w:rsid w:val="00704E4A"/>
    <w:rsid w:val="00705F34"/>
    <w:rsid w:val="00707CA8"/>
    <w:rsid w:val="0071181A"/>
    <w:rsid w:val="00714232"/>
    <w:rsid w:val="007170BC"/>
    <w:rsid w:val="00720170"/>
    <w:rsid w:val="007247F6"/>
    <w:rsid w:val="007259EC"/>
    <w:rsid w:val="00730CF5"/>
    <w:rsid w:val="0073233F"/>
    <w:rsid w:val="007471A1"/>
    <w:rsid w:val="0075202F"/>
    <w:rsid w:val="0075277C"/>
    <w:rsid w:val="00754207"/>
    <w:rsid w:val="007650A1"/>
    <w:rsid w:val="007672D8"/>
    <w:rsid w:val="00767948"/>
    <w:rsid w:val="00775A2D"/>
    <w:rsid w:val="00783BA7"/>
    <w:rsid w:val="00786961"/>
    <w:rsid w:val="007919D1"/>
    <w:rsid w:val="0079238F"/>
    <w:rsid w:val="00792E4F"/>
    <w:rsid w:val="007936A2"/>
    <w:rsid w:val="0079429D"/>
    <w:rsid w:val="007946AB"/>
    <w:rsid w:val="007A44CD"/>
    <w:rsid w:val="007A573A"/>
    <w:rsid w:val="007A61AB"/>
    <w:rsid w:val="007B3DB3"/>
    <w:rsid w:val="007B4F52"/>
    <w:rsid w:val="007B6B9A"/>
    <w:rsid w:val="007C0B58"/>
    <w:rsid w:val="007C1D5C"/>
    <w:rsid w:val="007C28F5"/>
    <w:rsid w:val="007C49FB"/>
    <w:rsid w:val="007D094C"/>
    <w:rsid w:val="007D68AF"/>
    <w:rsid w:val="007E51BD"/>
    <w:rsid w:val="007E648D"/>
    <w:rsid w:val="007E6763"/>
    <w:rsid w:val="007F2993"/>
    <w:rsid w:val="00800E2C"/>
    <w:rsid w:val="008058C4"/>
    <w:rsid w:val="008137E4"/>
    <w:rsid w:val="00816618"/>
    <w:rsid w:val="008202BF"/>
    <w:rsid w:val="00820572"/>
    <w:rsid w:val="00821062"/>
    <w:rsid w:val="0082539A"/>
    <w:rsid w:val="0082752B"/>
    <w:rsid w:val="00832D09"/>
    <w:rsid w:val="00833F07"/>
    <w:rsid w:val="00837BC1"/>
    <w:rsid w:val="00840A5B"/>
    <w:rsid w:val="00842B75"/>
    <w:rsid w:val="0084791C"/>
    <w:rsid w:val="00851E05"/>
    <w:rsid w:val="008574D8"/>
    <w:rsid w:val="008578E0"/>
    <w:rsid w:val="008619CA"/>
    <w:rsid w:val="00862683"/>
    <w:rsid w:val="00871567"/>
    <w:rsid w:val="00871D8A"/>
    <w:rsid w:val="00871E2C"/>
    <w:rsid w:val="00872FF8"/>
    <w:rsid w:val="0087449A"/>
    <w:rsid w:val="00880E49"/>
    <w:rsid w:val="0088170C"/>
    <w:rsid w:val="0088389F"/>
    <w:rsid w:val="008840C9"/>
    <w:rsid w:val="00884843"/>
    <w:rsid w:val="00884E3E"/>
    <w:rsid w:val="008852CE"/>
    <w:rsid w:val="00890ACE"/>
    <w:rsid w:val="008919B1"/>
    <w:rsid w:val="008940E0"/>
    <w:rsid w:val="008A33F7"/>
    <w:rsid w:val="008A5289"/>
    <w:rsid w:val="008B0AC3"/>
    <w:rsid w:val="008B7464"/>
    <w:rsid w:val="008B7675"/>
    <w:rsid w:val="008B7A67"/>
    <w:rsid w:val="008C0C3D"/>
    <w:rsid w:val="008C3A4A"/>
    <w:rsid w:val="008C3A73"/>
    <w:rsid w:val="008C5CB6"/>
    <w:rsid w:val="008D7F9C"/>
    <w:rsid w:val="008E399F"/>
    <w:rsid w:val="008E57DC"/>
    <w:rsid w:val="008E6292"/>
    <w:rsid w:val="008E7441"/>
    <w:rsid w:val="008F467B"/>
    <w:rsid w:val="00905411"/>
    <w:rsid w:val="00906594"/>
    <w:rsid w:val="0092141A"/>
    <w:rsid w:val="009228F6"/>
    <w:rsid w:val="00922F9F"/>
    <w:rsid w:val="009247BF"/>
    <w:rsid w:val="00925B9A"/>
    <w:rsid w:val="00931FAC"/>
    <w:rsid w:val="00933B90"/>
    <w:rsid w:val="0093713A"/>
    <w:rsid w:val="009439E8"/>
    <w:rsid w:val="00950A8D"/>
    <w:rsid w:val="00952EC1"/>
    <w:rsid w:val="009562DB"/>
    <w:rsid w:val="00964A9B"/>
    <w:rsid w:val="009720AB"/>
    <w:rsid w:val="00974739"/>
    <w:rsid w:val="0097727A"/>
    <w:rsid w:val="00991DBF"/>
    <w:rsid w:val="00992535"/>
    <w:rsid w:val="009A08AE"/>
    <w:rsid w:val="009A118B"/>
    <w:rsid w:val="009A2337"/>
    <w:rsid w:val="009A4FCA"/>
    <w:rsid w:val="009A52B9"/>
    <w:rsid w:val="009A5961"/>
    <w:rsid w:val="009B28A1"/>
    <w:rsid w:val="009B3CF3"/>
    <w:rsid w:val="009C307E"/>
    <w:rsid w:val="009D1C09"/>
    <w:rsid w:val="009D4EA7"/>
    <w:rsid w:val="009D7A66"/>
    <w:rsid w:val="009E7053"/>
    <w:rsid w:val="009F385A"/>
    <w:rsid w:val="009F5A94"/>
    <w:rsid w:val="009F6C60"/>
    <w:rsid w:val="00A013C5"/>
    <w:rsid w:val="00A13B42"/>
    <w:rsid w:val="00A14C07"/>
    <w:rsid w:val="00A341DF"/>
    <w:rsid w:val="00A350E8"/>
    <w:rsid w:val="00A359CF"/>
    <w:rsid w:val="00A44ED2"/>
    <w:rsid w:val="00A45996"/>
    <w:rsid w:val="00A51F61"/>
    <w:rsid w:val="00A5442D"/>
    <w:rsid w:val="00A5519D"/>
    <w:rsid w:val="00A56F6E"/>
    <w:rsid w:val="00A6126A"/>
    <w:rsid w:val="00A62733"/>
    <w:rsid w:val="00A63395"/>
    <w:rsid w:val="00A76AF9"/>
    <w:rsid w:val="00A83AF9"/>
    <w:rsid w:val="00A85EF8"/>
    <w:rsid w:val="00A874B8"/>
    <w:rsid w:val="00A93363"/>
    <w:rsid w:val="00AA02DE"/>
    <w:rsid w:val="00AB7B46"/>
    <w:rsid w:val="00AC2DF8"/>
    <w:rsid w:val="00AC6A97"/>
    <w:rsid w:val="00AD4F4C"/>
    <w:rsid w:val="00AD662F"/>
    <w:rsid w:val="00AD6A98"/>
    <w:rsid w:val="00AE0BE5"/>
    <w:rsid w:val="00AE47E6"/>
    <w:rsid w:val="00AE5506"/>
    <w:rsid w:val="00AF3580"/>
    <w:rsid w:val="00AF4520"/>
    <w:rsid w:val="00AF63ED"/>
    <w:rsid w:val="00AF72AA"/>
    <w:rsid w:val="00B01EB9"/>
    <w:rsid w:val="00B04282"/>
    <w:rsid w:val="00B158EB"/>
    <w:rsid w:val="00B2055E"/>
    <w:rsid w:val="00B24AB5"/>
    <w:rsid w:val="00B27A7B"/>
    <w:rsid w:val="00B33183"/>
    <w:rsid w:val="00B37C0D"/>
    <w:rsid w:val="00B37FA2"/>
    <w:rsid w:val="00B4546D"/>
    <w:rsid w:val="00B51A11"/>
    <w:rsid w:val="00B526A9"/>
    <w:rsid w:val="00B54841"/>
    <w:rsid w:val="00B609A5"/>
    <w:rsid w:val="00B62123"/>
    <w:rsid w:val="00B665AB"/>
    <w:rsid w:val="00B716CD"/>
    <w:rsid w:val="00B7496F"/>
    <w:rsid w:val="00B75078"/>
    <w:rsid w:val="00B81CB2"/>
    <w:rsid w:val="00B83EE4"/>
    <w:rsid w:val="00B86FD6"/>
    <w:rsid w:val="00B93B28"/>
    <w:rsid w:val="00BA4543"/>
    <w:rsid w:val="00BA45B8"/>
    <w:rsid w:val="00BB2CB0"/>
    <w:rsid w:val="00BB427A"/>
    <w:rsid w:val="00BB7FAA"/>
    <w:rsid w:val="00BB7FAE"/>
    <w:rsid w:val="00BC0F4A"/>
    <w:rsid w:val="00BC60DB"/>
    <w:rsid w:val="00BC6DD5"/>
    <w:rsid w:val="00BD41E3"/>
    <w:rsid w:val="00BD7046"/>
    <w:rsid w:val="00BE54DD"/>
    <w:rsid w:val="00BE7029"/>
    <w:rsid w:val="00BF2AE4"/>
    <w:rsid w:val="00C01D92"/>
    <w:rsid w:val="00C01ED7"/>
    <w:rsid w:val="00C02F75"/>
    <w:rsid w:val="00C02FBC"/>
    <w:rsid w:val="00C04EFE"/>
    <w:rsid w:val="00C06BBB"/>
    <w:rsid w:val="00C1031A"/>
    <w:rsid w:val="00C108C1"/>
    <w:rsid w:val="00C17FDC"/>
    <w:rsid w:val="00C22028"/>
    <w:rsid w:val="00C22C27"/>
    <w:rsid w:val="00C235F9"/>
    <w:rsid w:val="00C23BFA"/>
    <w:rsid w:val="00C24F34"/>
    <w:rsid w:val="00C32E9F"/>
    <w:rsid w:val="00C34F42"/>
    <w:rsid w:val="00C35175"/>
    <w:rsid w:val="00C42BE4"/>
    <w:rsid w:val="00C528DA"/>
    <w:rsid w:val="00C610BB"/>
    <w:rsid w:val="00C667A9"/>
    <w:rsid w:val="00C71395"/>
    <w:rsid w:val="00C7409D"/>
    <w:rsid w:val="00C7642C"/>
    <w:rsid w:val="00C844D2"/>
    <w:rsid w:val="00C84B82"/>
    <w:rsid w:val="00C86AEC"/>
    <w:rsid w:val="00C974A1"/>
    <w:rsid w:val="00CA1CE1"/>
    <w:rsid w:val="00CA20EE"/>
    <w:rsid w:val="00CA7791"/>
    <w:rsid w:val="00CB2503"/>
    <w:rsid w:val="00CB2D52"/>
    <w:rsid w:val="00CC20D1"/>
    <w:rsid w:val="00CC467B"/>
    <w:rsid w:val="00CD66D1"/>
    <w:rsid w:val="00CD716C"/>
    <w:rsid w:val="00CE37F7"/>
    <w:rsid w:val="00CE5ADC"/>
    <w:rsid w:val="00CF5D3B"/>
    <w:rsid w:val="00D002BC"/>
    <w:rsid w:val="00D02F42"/>
    <w:rsid w:val="00D06360"/>
    <w:rsid w:val="00D07DD4"/>
    <w:rsid w:val="00D11F66"/>
    <w:rsid w:val="00D1567A"/>
    <w:rsid w:val="00D1717C"/>
    <w:rsid w:val="00D21C31"/>
    <w:rsid w:val="00D26B19"/>
    <w:rsid w:val="00D33859"/>
    <w:rsid w:val="00D3401F"/>
    <w:rsid w:val="00D3509D"/>
    <w:rsid w:val="00D35D42"/>
    <w:rsid w:val="00D36744"/>
    <w:rsid w:val="00D40160"/>
    <w:rsid w:val="00D401B2"/>
    <w:rsid w:val="00D418E6"/>
    <w:rsid w:val="00D4691A"/>
    <w:rsid w:val="00D50669"/>
    <w:rsid w:val="00D51911"/>
    <w:rsid w:val="00D54620"/>
    <w:rsid w:val="00D61BE5"/>
    <w:rsid w:val="00D62FDB"/>
    <w:rsid w:val="00D633E5"/>
    <w:rsid w:val="00D64072"/>
    <w:rsid w:val="00D66DB0"/>
    <w:rsid w:val="00D679A4"/>
    <w:rsid w:val="00D72441"/>
    <w:rsid w:val="00D80EE0"/>
    <w:rsid w:val="00D8210B"/>
    <w:rsid w:val="00D84AE7"/>
    <w:rsid w:val="00D8665D"/>
    <w:rsid w:val="00D92607"/>
    <w:rsid w:val="00D93628"/>
    <w:rsid w:val="00D96E5D"/>
    <w:rsid w:val="00D97989"/>
    <w:rsid w:val="00DA3E0E"/>
    <w:rsid w:val="00DA629B"/>
    <w:rsid w:val="00DB63EA"/>
    <w:rsid w:val="00DC4B7E"/>
    <w:rsid w:val="00DC7789"/>
    <w:rsid w:val="00DD2BBB"/>
    <w:rsid w:val="00DD3B82"/>
    <w:rsid w:val="00DD4314"/>
    <w:rsid w:val="00DD57DD"/>
    <w:rsid w:val="00DD5925"/>
    <w:rsid w:val="00DE481B"/>
    <w:rsid w:val="00DF3367"/>
    <w:rsid w:val="00DF535E"/>
    <w:rsid w:val="00DF545E"/>
    <w:rsid w:val="00E03A22"/>
    <w:rsid w:val="00E0745B"/>
    <w:rsid w:val="00E1132B"/>
    <w:rsid w:val="00E170EF"/>
    <w:rsid w:val="00E2000F"/>
    <w:rsid w:val="00E37965"/>
    <w:rsid w:val="00E4182C"/>
    <w:rsid w:val="00E43A74"/>
    <w:rsid w:val="00E50A12"/>
    <w:rsid w:val="00E50E67"/>
    <w:rsid w:val="00E56C45"/>
    <w:rsid w:val="00E644D1"/>
    <w:rsid w:val="00E64BB3"/>
    <w:rsid w:val="00E67DCC"/>
    <w:rsid w:val="00E71B03"/>
    <w:rsid w:val="00E77D51"/>
    <w:rsid w:val="00E8095F"/>
    <w:rsid w:val="00E85FFA"/>
    <w:rsid w:val="00E866D5"/>
    <w:rsid w:val="00E96DA4"/>
    <w:rsid w:val="00EA16BE"/>
    <w:rsid w:val="00EA3D0C"/>
    <w:rsid w:val="00EB0E9B"/>
    <w:rsid w:val="00EB2E6E"/>
    <w:rsid w:val="00EB3205"/>
    <w:rsid w:val="00EB719C"/>
    <w:rsid w:val="00EC5FF2"/>
    <w:rsid w:val="00ED0B04"/>
    <w:rsid w:val="00ED3D76"/>
    <w:rsid w:val="00ED68F0"/>
    <w:rsid w:val="00EE0862"/>
    <w:rsid w:val="00EE15FE"/>
    <w:rsid w:val="00EE72E2"/>
    <w:rsid w:val="00EF0E04"/>
    <w:rsid w:val="00EF1E93"/>
    <w:rsid w:val="00EF2A09"/>
    <w:rsid w:val="00EF406F"/>
    <w:rsid w:val="00F04A9C"/>
    <w:rsid w:val="00F071CF"/>
    <w:rsid w:val="00F12851"/>
    <w:rsid w:val="00F166B9"/>
    <w:rsid w:val="00F2012F"/>
    <w:rsid w:val="00F231E8"/>
    <w:rsid w:val="00F2450F"/>
    <w:rsid w:val="00F26BA0"/>
    <w:rsid w:val="00F32188"/>
    <w:rsid w:val="00F36D3B"/>
    <w:rsid w:val="00F453E5"/>
    <w:rsid w:val="00F53636"/>
    <w:rsid w:val="00F5426A"/>
    <w:rsid w:val="00F61958"/>
    <w:rsid w:val="00F65F9D"/>
    <w:rsid w:val="00F66524"/>
    <w:rsid w:val="00F67E81"/>
    <w:rsid w:val="00F7155B"/>
    <w:rsid w:val="00F71929"/>
    <w:rsid w:val="00F74F81"/>
    <w:rsid w:val="00F75474"/>
    <w:rsid w:val="00F8274D"/>
    <w:rsid w:val="00F84104"/>
    <w:rsid w:val="00F841F9"/>
    <w:rsid w:val="00F85FCD"/>
    <w:rsid w:val="00FA2703"/>
    <w:rsid w:val="00FA29AC"/>
    <w:rsid w:val="00FA39FD"/>
    <w:rsid w:val="00FA5582"/>
    <w:rsid w:val="00FA5652"/>
    <w:rsid w:val="00FD71E7"/>
    <w:rsid w:val="00FE321E"/>
    <w:rsid w:val="00FE7DC8"/>
    <w:rsid w:val="00FF1FF0"/>
    <w:rsid w:val="00FF62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2ECF4F"/>
  <w15:chartTrackingRefBased/>
  <w15:docId w15:val="{066C0BE0-2655-4AF2-B971-7635A84B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1D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108C1"/>
    <w:pPr>
      <w:keepNext/>
      <w:widowControl w:val="0"/>
      <w:pBdr>
        <w:top w:val="single" w:sz="6" w:space="0" w:color="FFFFFF"/>
        <w:left w:val="single" w:sz="6" w:space="0" w:color="FFFFFF"/>
        <w:bottom w:val="single" w:sz="6" w:space="0" w:color="FFFFFF"/>
        <w:right w:val="single" w:sz="6" w:space="0" w:color="FFFFFF"/>
      </w:pBdr>
      <w:autoSpaceDE w:val="0"/>
      <w:autoSpaceDN w:val="0"/>
      <w:adjustRightInd w:val="0"/>
      <w:spacing w:after="0" w:line="240" w:lineRule="auto"/>
      <w:outlineLvl w:val="1"/>
    </w:pPr>
    <w:rPr>
      <w:rFonts w:ascii="Times New Roman" w:eastAsia="Times New Roman" w:hAnsi="Times New Roman" w:cs="Times New Roman"/>
      <w:b/>
      <w:bCs/>
      <w:sz w:val="36"/>
      <w:szCs w:val="24"/>
    </w:rPr>
  </w:style>
  <w:style w:type="paragraph" w:styleId="Heading3">
    <w:name w:val="heading 3"/>
    <w:basedOn w:val="Normal"/>
    <w:next w:val="Normal"/>
    <w:link w:val="Heading3Char"/>
    <w:uiPriority w:val="9"/>
    <w:unhideWhenUsed/>
    <w:qFormat/>
    <w:rsid w:val="00871D8A"/>
    <w:pPr>
      <w:keepNext/>
      <w:keepLines/>
      <w:spacing w:before="160" w:after="80" w:line="240" w:lineRule="auto"/>
      <w:outlineLvl w:val="2"/>
    </w:pPr>
    <w:rPr>
      <w:rFonts w:ascii="Calibri" w:eastAsiaTheme="majorEastAsia" w:hAnsi="Calibri" w:cstheme="majorBidi"/>
      <w:color w:val="00B0F0"/>
      <w:kern w:val="2"/>
      <w:sz w:val="28"/>
      <w:szCs w:val="28"/>
      <w:lang w:val="en-GB"/>
      <w14:ligatures w14:val="standardContextual"/>
    </w:rPr>
  </w:style>
  <w:style w:type="paragraph" w:styleId="Heading4">
    <w:name w:val="heading 4"/>
    <w:basedOn w:val="Normal"/>
    <w:next w:val="Normal"/>
    <w:link w:val="Heading4Char"/>
    <w:uiPriority w:val="9"/>
    <w:unhideWhenUsed/>
    <w:qFormat/>
    <w:rsid w:val="00871D8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71D8A"/>
    <w:pPr>
      <w:keepNext/>
      <w:keepLines/>
      <w:spacing w:before="80" w:after="40" w:line="240" w:lineRule="auto"/>
      <w:outlineLvl w:val="4"/>
    </w:pPr>
    <w:rPr>
      <w:rFonts w:ascii="Calibri" w:eastAsiaTheme="majorEastAsia" w:hAnsi="Calibri"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871D8A"/>
    <w:pPr>
      <w:keepNext/>
      <w:keepLines/>
      <w:spacing w:before="40" w:after="0" w:line="240" w:lineRule="auto"/>
      <w:outlineLvl w:val="5"/>
    </w:pPr>
    <w:rPr>
      <w:rFonts w:ascii="Calibri" w:eastAsiaTheme="majorEastAsia" w:hAnsi="Calibr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871D8A"/>
    <w:pPr>
      <w:keepNext/>
      <w:keepLines/>
      <w:spacing w:before="40" w:after="0" w:line="240" w:lineRule="auto"/>
      <w:outlineLvl w:val="6"/>
    </w:pPr>
    <w:rPr>
      <w:rFonts w:ascii="Calibri" w:eastAsiaTheme="majorEastAsia" w:hAnsi="Calibr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871D8A"/>
    <w:pPr>
      <w:keepNext/>
      <w:keepLines/>
      <w:spacing w:after="0" w:line="240" w:lineRule="auto"/>
      <w:outlineLvl w:val="7"/>
    </w:pPr>
    <w:rPr>
      <w:rFonts w:ascii="Calibri" w:eastAsiaTheme="majorEastAsia" w:hAnsi="Calibr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871D8A"/>
    <w:pPr>
      <w:keepNext/>
      <w:keepLines/>
      <w:spacing w:after="0" w:line="240" w:lineRule="auto"/>
      <w:outlineLvl w:val="8"/>
    </w:pPr>
    <w:rPr>
      <w:rFonts w:ascii="Calibri" w:eastAsiaTheme="majorEastAsia" w:hAnsi="Calibr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D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DE9"/>
  </w:style>
  <w:style w:type="paragraph" w:styleId="Footer">
    <w:name w:val="footer"/>
    <w:basedOn w:val="Normal"/>
    <w:link w:val="FooterChar"/>
    <w:uiPriority w:val="99"/>
    <w:unhideWhenUsed/>
    <w:rsid w:val="002E0D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DE9"/>
  </w:style>
  <w:style w:type="paragraph" w:styleId="ListParagraph">
    <w:name w:val="List Paragraph"/>
    <w:basedOn w:val="Normal"/>
    <w:uiPriority w:val="34"/>
    <w:qFormat/>
    <w:rsid w:val="00A44ED2"/>
    <w:pPr>
      <w:ind w:left="720"/>
      <w:contextualSpacing/>
    </w:pPr>
  </w:style>
  <w:style w:type="paragraph" w:styleId="BalloonText">
    <w:name w:val="Balloon Text"/>
    <w:basedOn w:val="Normal"/>
    <w:link w:val="BalloonTextChar"/>
    <w:uiPriority w:val="99"/>
    <w:semiHidden/>
    <w:unhideWhenUsed/>
    <w:rsid w:val="00D936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628"/>
    <w:rPr>
      <w:rFonts w:ascii="Segoe UI" w:hAnsi="Segoe UI" w:cs="Segoe UI"/>
      <w:sz w:val="18"/>
      <w:szCs w:val="18"/>
    </w:rPr>
  </w:style>
  <w:style w:type="character" w:customStyle="1" w:styleId="Heading2Char">
    <w:name w:val="Heading 2 Char"/>
    <w:basedOn w:val="DefaultParagraphFont"/>
    <w:link w:val="Heading2"/>
    <w:uiPriority w:val="9"/>
    <w:rsid w:val="00C108C1"/>
    <w:rPr>
      <w:rFonts w:ascii="Times New Roman" w:eastAsia="Times New Roman" w:hAnsi="Times New Roman" w:cs="Times New Roman"/>
      <w:b/>
      <w:bCs/>
      <w:sz w:val="36"/>
      <w:szCs w:val="24"/>
    </w:rPr>
  </w:style>
  <w:style w:type="paragraph" w:styleId="FootnoteText">
    <w:name w:val="footnote text"/>
    <w:basedOn w:val="Normal"/>
    <w:link w:val="FootnoteTextChar"/>
    <w:uiPriority w:val="99"/>
    <w:semiHidden/>
    <w:unhideWhenUsed/>
    <w:rsid w:val="00B2055E"/>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B2055E"/>
    <w:rPr>
      <w:rFonts w:ascii="Times New Roman" w:eastAsia="Times New Roman" w:hAnsi="Times New Roman" w:cs="Times New Roman"/>
      <w:sz w:val="20"/>
      <w:szCs w:val="20"/>
    </w:rPr>
  </w:style>
  <w:style w:type="character" w:styleId="FootnoteReference">
    <w:name w:val="footnote reference"/>
    <w:uiPriority w:val="99"/>
    <w:semiHidden/>
    <w:unhideWhenUsed/>
    <w:rsid w:val="00B2055E"/>
    <w:rPr>
      <w:rFonts w:ascii="Times New Roman" w:hAnsi="Times New Roman" w:cs="Times New Roman" w:hint="default"/>
    </w:rPr>
  </w:style>
  <w:style w:type="table" w:styleId="TableGrid">
    <w:name w:val="Table Grid"/>
    <w:basedOn w:val="TableNormal"/>
    <w:uiPriority w:val="39"/>
    <w:rsid w:val="00C97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7DD"/>
    <w:rPr>
      <w:sz w:val="16"/>
      <w:szCs w:val="16"/>
    </w:rPr>
  </w:style>
  <w:style w:type="paragraph" w:styleId="CommentText">
    <w:name w:val="annotation text"/>
    <w:basedOn w:val="Normal"/>
    <w:link w:val="CommentTextChar"/>
    <w:uiPriority w:val="99"/>
    <w:unhideWhenUsed/>
    <w:rsid w:val="00DD57DD"/>
    <w:pPr>
      <w:spacing w:line="240" w:lineRule="auto"/>
    </w:pPr>
    <w:rPr>
      <w:sz w:val="20"/>
      <w:szCs w:val="20"/>
    </w:rPr>
  </w:style>
  <w:style w:type="character" w:customStyle="1" w:styleId="CommentTextChar">
    <w:name w:val="Comment Text Char"/>
    <w:basedOn w:val="DefaultParagraphFont"/>
    <w:link w:val="CommentText"/>
    <w:uiPriority w:val="99"/>
    <w:rsid w:val="00DD57DD"/>
    <w:rPr>
      <w:sz w:val="20"/>
      <w:szCs w:val="20"/>
    </w:rPr>
  </w:style>
  <w:style w:type="paragraph" w:styleId="CommentSubject">
    <w:name w:val="annotation subject"/>
    <w:basedOn w:val="CommentText"/>
    <w:next w:val="CommentText"/>
    <w:link w:val="CommentSubjectChar"/>
    <w:uiPriority w:val="99"/>
    <w:semiHidden/>
    <w:unhideWhenUsed/>
    <w:rsid w:val="00DD57DD"/>
    <w:rPr>
      <w:b/>
      <w:bCs/>
    </w:rPr>
  </w:style>
  <w:style w:type="character" w:customStyle="1" w:styleId="CommentSubjectChar">
    <w:name w:val="Comment Subject Char"/>
    <w:basedOn w:val="CommentTextChar"/>
    <w:link w:val="CommentSubject"/>
    <w:uiPriority w:val="99"/>
    <w:semiHidden/>
    <w:rsid w:val="00DD57DD"/>
    <w:rPr>
      <w:b/>
      <w:bCs/>
      <w:sz w:val="20"/>
      <w:szCs w:val="20"/>
    </w:rPr>
  </w:style>
  <w:style w:type="character" w:styleId="Hyperlink">
    <w:name w:val="Hyperlink"/>
    <w:basedOn w:val="DefaultParagraphFont"/>
    <w:uiPriority w:val="99"/>
    <w:unhideWhenUsed/>
    <w:rsid w:val="0073233F"/>
    <w:rPr>
      <w:color w:val="0563C1"/>
      <w:u w:val="single"/>
    </w:rPr>
  </w:style>
  <w:style w:type="paragraph" w:customStyle="1" w:styleId="Default">
    <w:name w:val="Default"/>
    <w:rsid w:val="0073233F"/>
    <w:pPr>
      <w:autoSpaceDE w:val="0"/>
      <w:autoSpaceDN w:val="0"/>
      <w:adjustRightInd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F5426A"/>
    <w:rPr>
      <w:color w:val="605E5C"/>
      <w:shd w:val="clear" w:color="auto" w:fill="E1DFDD"/>
    </w:rPr>
  </w:style>
  <w:style w:type="paragraph" w:styleId="Revision">
    <w:name w:val="Revision"/>
    <w:hidden/>
    <w:uiPriority w:val="99"/>
    <w:semiHidden/>
    <w:rsid w:val="00E170EF"/>
    <w:pPr>
      <w:spacing w:after="0" w:line="240" w:lineRule="auto"/>
    </w:pPr>
  </w:style>
  <w:style w:type="paragraph" w:customStyle="1" w:styleId="Secondnumbering">
    <w:name w:val="Second numbering"/>
    <w:basedOn w:val="Normal"/>
    <w:link w:val="SecondnumberingChar"/>
    <w:qFormat/>
    <w:rsid w:val="00E64BB3"/>
    <w:pPr>
      <w:numPr>
        <w:numId w:val="13"/>
      </w:numPr>
      <w:spacing w:after="0" w:line="240" w:lineRule="auto"/>
    </w:pPr>
    <w:rPr>
      <w:lang w:val="en-GB"/>
    </w:rPr>
  </w:style>
  <w:style w:type="character" w:customStyle="1" w:styleId="SecondnumberingChar">
    <w:name w:val="Second numbering Char"/>
    <w:basedOn w:val="DefaultParagraphFont"/>
    <w:link w:val="Secondnumbering"/>
    <w:rsid w:val="00E64BB3"/>
    <w:rPr>
      <w:lang w:val="en-GB"/>
    </w:rPr>
  </w:style>
  <w:style w:type="character" w:styleId="Mention">
    <w:name w:val="Mention"/>
    <w:basedOn w:val="DefaultParagraphFont"/>
    <w:uiPriority w:val="99"/>
    <w:unhideWhenUsed/>
    <w:rsid w:val="00F61958"/>
    <w:rPr>
      <w:color w:val="2B579A"/>
      <w:shd w:val="clear" w:color="auto" w:fill="E1DFDD"/>
    </w:rPr>
  </w:style>
  <w:style w:type="character" w:styleId="FollowedHyperlink">
    <w:name w:val="FollowedHyperlink"/>
    <w:basedOn w:val="DefaultParagraphFont"/>
    <w:uiPriority w:val="99"/>
    <w:semiHidden/>
    <w:unhideWhenUsed/>
    <w:rsid w:val="0079429D"/>
    <w:rPr>
      <w:color w:val="954F72" w:themeColor="followedHyperlink"/>
      <w:u w:val="single"/>
    </w:rPr>
  </w:style>
  <w:style w:type="character" w:customStyle="1" w:styleId="Heading1Char">
    <w:name w:val="Heading 1 Char"/>
    <w:basedOn w:val="DefaultParagraphFont"/>
    <w:link w:val="Heading1"/>
    <w:uiPriority w:val="9"/>
    <w:rsid w:val="00871D8A"/>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871D8A"/>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871D8A"/>
    <w:rPr>
      <w:rFonts w:ascii="Calibri" w:eastAsiaTheme="majorEastAsia" w:hAnsi="Calibri" w:cstheme="majorBidi"/>
      <w:color w:val="00B0F0"/>
      <w:kern w:val="2"/>
      <w:sz w:val="28"/>
      <w:szCs w:val="28"/>
      <w:lang w:val="en-GB"/>
      <w14:ligatures w14:val="standardContextual"/>
    </w:rPr>
  </w:style>
  <w:style w:type="character" w:customStyle="1" w:styleId="Heading5Char">
    <w:name w:val="Heading 5 Char"/>
    <w:basedOn w:val="DefaultParagraphFont"/>
    <w:link w:val="Heading5"/>
    <w:uiPriority w:val="9"/>
    <w:semiHidden/>
    <w:rsid w:val="00871D8A"/>
    <w:rPr>
      <w:rFonts w:ascii="Calibri" w:eastAsiaTheme="majorEastAsia" w:hAnsi="Calibri" w:cstheme="majorBidi"/>
      <w:color w:val="2F5496" w:themeColor="accent1" w:themeShade="BF"/>
      <w:kern w:val="2"/>
      <w:lang w:val="en-GB"/>
      <w14:ligatures w14:val="standardContextual"/>
    </w:rPr>
  </w:style>
  <w:style w:type="character" w:customStyle="1" w:styleId="Heading6Char">
    <w:name w:val="Heading 6 Char"/>
    <w:basedOn w:val="DefaultParagraphFont"/>
    <w:link w:val="Heading6"/>
    <w:uiPriority w:val="9"/>
    <w:semiHidden/>
    <w:rsid w:val="00871D8A"/>
    <w:rPr>
      <w:rFonts w:ascii="Calibri" w:eastAsiaTheme="majorEastAsia" w:hAnsi="Calibri" w:cstheme="majorBidi"/>
      <w:i/>
      <w:iCs/>
      <w:color w:val="595959" w:themeColor="text1" w:themeTint="A6"/>
      <w:kern w:val="2"/>
      <w:lang w:val="en-GB"/>
      <w14:ligatures w14:val="standardContextual"/>
    </w:rPr>
  </w:style>
  <w:style w:type="character" w:customStyle="1" w:styleId="Heading7Char">
    <w:name w:val="Heading 7 Char"/>
    <w:basedOn w:val="DefaultParagraphFont"/>
    <w:link w:val="Heading7"/>
    <w:uiPriority w:val="9"/>
    <w:semiHidden/>
    <w:rsid w:val="00871D8A"/>
    <w:rPr>
      <w:rFonts w:ascii="Calibri" w:eastAsiaTheme="majorEastAsia" w:hAnsi="Calibri" w:cstheme="majorBidi"/>
      <w:color w:val="595959" w:themeColor="text1" w:themeTint="A6"/>
      <w:kern w:val="2"/>
      <w:lang w:val="en-GB"/>
      <w14:ligatures w14:val="standardContextual"/>
    </w:rPr>
  </w:style>
  <w:style w:type="character" w:customStyle="1" w:styleId="Heading8Char">
    <w:name w:val="Heading 8 Char"/>
    <w:basedOn w:val="DefaultParagraphFont"/>
    <w:link w:val="Heading8"/>
    <w:uiPriority w:val="9"/>
    <w:semiHidden/>
    <w:rsid w:val="00871D8A"/>
    <w:rPr>
      <w:rFonts w:ascii="Calibri" w:eastAsiaTheme="majorEastAsia" w:hAnsi="Calibri" w:cstheme="majorBidi"/>
      <w:i/>
      <w:iCs/>
      <w:color w:val="272727" w:themeColor="text1" w:themeTint="D8"/>
      <w:kern w:val="2"/>
      <w:lang w:val="en-GB"/>
      <w14:ligatures w14:val="standardContextual"/>
    </w:rPr>
  </w:style>
  <w:style w:type="character" w:customStyle="1" w:styleId="Heading9Char">
    <w:name w:val="Heading 9 Char"/>
    <w:basedOn w:val="DefaultParagraphFont"/>
    <w:link w:val="Heading9"/>
    <w:uiPriority w:val="9"/>
    <w:semiHidden/>
    <w:rsid w:val="00871D8A"/>
    <w:rPr>
      <w:rFonts w:ascii="Calibri" w:eastAsiaTheme="majorEastAsia" w:hAnsi="Calibri" w:cstheme="majorBidi"/>
      <w:color w:val="272727" w:themeColor="text1" w:themeTint="D8"/>
      <w:kern w:val="2"/>
      <w:lang w:val="en-GB"/>
      <w14:ligatures w14:val="standardContextual"/>
    </w:rPr>
  </w:style>
  <w:style w:type="paragraph" w:styleId="Title">
    <w:name w:val="Title"/>
    <w:basedOn w:val="Normal"/>
    <w:next w:val="Normal"/>
    <w:link w:val="TitleChar"/>
    <w:uiPriority w:val="10"/>
    <w:qFormat/>
    <w:rsid w:val="00871D8A"/>
    <w:pPr>
      <w:spacing w:after="80" w:line="240" w:lineRule="auto"/>
      <w:contextualSpacing/>
    </w:pPr>
    <w:rPr>
      <w:rFonts w:asciiTheme="majorHAnsi" w:eastAsiaTheme="majorEastAsia" w:hAnsiTheme="majorHAnsi" w:cstheme="majorBidi"/>
      <w:b/>
      <w:spacing w:val="-10"/>
      <w:kern w:val="28"/>
      <w:sz w:val="56"/>
      <w:szCs w:val="56"/>
      <w:lang w:val="en-GB"/>
      <w14:ligatures w14:val="standardContextual"/>
    </w:rPr>
  </w:style>
  <w:style w:type="character" w:customStyle="1" w:styleId="TitleChar">
    <w:name w:val="Title Char"/>
    <w:basedOn w:val="DefaultParagraphFont"/>
    <w:link w:val="Title"/>
    <w:uiPriority w:val="10"/>
    <w:rsid w:val="00871D8A"/>
    <w:rPr>
      <w:rFonts w:asciiTheme="majorHAnsi" w:eastAsiaTheme="majorEastAsia" w:hAnsiTheme="majorHAnsi" w:cstheme="majorBidi"/>
      <w:b/>
      <w:spacing w:val="-10"/>
      <w:kern w:val="28"/>
      <w:sz w:val="56"/>
      <w:szCs w:val="56"/>
      <w:lang w:val="en-GB"/>
      <w14:ligatures w14:val="standardContextual"/>
    </w:rPr>
  </w:style>
  <w:style w:type="paragraph" w:styleId="Subtitle">
    <w:name w:val="Subtitle"/>
    <w:basedOn w:val="Normal"/>
    <w:next w:val="Normal"/>
    <w:link w:val="SubtitleChar"/>
    <w:uiPriority w:val="11"/>
    <w:qFormat/>
    <w:rsid w:val="00871D8A"/>
    <w:pPr>
      <w:numPr>
        <w:ilvl w:val="1"/>
      </w:numPr>
      <w:spacing w:after="0" w:line="240" w:lineRule="auto"/>
    </w:pPr>
    <w:rPr>
      <w:rFonts w:ascii="Calibri" w:eastAsiaTheme="majorEastAsia" w:hAnsi="Calibr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871D8A"/>
    <w:rPr>
      <w:rFonts w:ascii="Calibri" w:eastAsiaTheme="majorEastAsia" w:hAnsi="Calibri" w:cstheme="majorBidi"/>
      <w:color w:val="595959" w:themeColor="text1" w:themeTint="A6"/>
      <w:spacing w:val="15"/>
      <w:kern w:val="2"/>
      <w:sz w:val="28"/>
      <w:szCs w:val="28"/>
      <w:lang w:val="en-GB"/>
      <w14:ligatures w14:val="standardContextual"/>
    </w:rPr>
  </w:style>
  <w:style w:type="paragraph" w:styleId="Quote">
    <w:name w:val="Quote"/>
    <w:basedOn w:val="Normal"/>
    <w:next w:val="Normal"/>
    <w:link w:val="QuoteChar"/>
    <w:uiPriority w:val="29"/>
    <w:qFormat/>
    <w:rsid w:val="00871D8A"/>
    <w:pPr>
      <w:spacing w:before="160" w:after="0" w:line="240" w:lineRule="auto"/>
      <w:jc w:val="center"/>
    </w:pPr>
    <w:rPr>
      <w:rFonts w:ascii="Calibri" w:hAnsi="Calibr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871D8A"/>
    <w:rPr>
      <w:rFonts w:ascii="Calibri" w:hAnsi="Calibri"/>
      <w:i/>
      <w:iCs/>
      <w:color w:val="404040" w:themeColor="text1" w:themeTint="BF"/>
      <w:kern w:val="2"/>
      <w:lang w:val="en-GB"/>
      <w14:ligatures w14:val="standardContextual"/>
    </w:rPr>
  </w:style>
  <w:style w:type="character" w:styleId="IntenseEmphasis">
    <w:name w:val="Intense Emphasis"/>
    <w:basedOn w:val="DefaultParagraphFont"/>
    <w:uiPriority w:val="21"/>
    <w:qFormat/>
    <w:rsid w:val="00871D8A"/>
    <w:rPr>
      <w:i/>
      <w:iCs/>
      <w:color w:val="2F5496" w:themeColor="accent1" w:themeShade="BF"/>
    </w:rPr>
  </w:style>
  <w:style w:type="paragraph" w:styleId="IntenseQuote">
    <w:name w:val="Intense Quote"/>
    <w:basedOn w:val="Normal"/>
    <w:next w:val="Normal"/>
    <w:link w:val="IntenseQuoteChar"/>
    <w:uiPriority w:val="30"/>
    <w:qFormat/>
    <w:rsid w:val="00871D8A"/>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Calibri" w:hAnsi="Calibri"/>
      <w:i/>
      <w:iCs/>
      <w:color w:val="0070C0"/>
      <w:kern w:val="2"/>
      <w:lang w:val="en-GB"/>
      <w14:ligatures w14:val="standardContextual"/>
    </w:rPr>
  </w:style>
  <w:style w:type="character" w:customStyle="1" w:styleId="IntenseQuoteChar">
    <w:name w:val="Intense Quote Char"/>
    <w:basedOn w:val="DefaultParagraphFont"/>
    <w:link w:val="IntenseQuote"/>
    <w:uiPriority w:val="30"/>
    <w:rsid w:val="00871D8A"/>
    <w:rPr>
      <w:rFonts w:ascii="Calibri" w:hAnsi="Calibri"/>
      <w:i/>
      <w:iCs/>
      <w:color w:val="0070C0"/>
      <w:kern w:val="2"/>
      <w:lang w:val="en-GB"/>
      <w14:ligatures w14:val="standardContextual"/>
    </w:rPr>
  </w:style>
  <w:style w:type="character" w:styleId="IntenseReference">
    <w:name w:val="Intense Reference"/>
    <w:basedOn w:val="DefaultParagraphFont"/>
    <w:uiPriority w:val="32"/>
    <w:qFormat/>
    <w:rsid w:val="00871D8A"/>
    <w:rPr>
      <w:b/>
      <w:bCs/>
      <w:smallCaps/>
      <w:color w:val="2F5496" w:themeColor="accent1" w:themeShade="BF"/>
      <w:spacing w:val="5"/>
    </w:rPr>
  </w:style>
  <w:style w:type="character" w:styleId="Emphasis">
    <w:name w:val="Emphasis"/>
    <w:basedOn w:val="DefaultParagraphFont"/>
    <w:uiPriority w:val="20"/>
    <w:qFormat/>
    <w:rsid w:val="00871D8A"/>
    <w:rPr>
      <w:i/>
      <w:iCs/>
    </w:rPr>
  </w:style>
  <w:style w:type="paragraph" w:customStyle="1" w:styleId="EndNoteBibliographyTitle">
    <w:name w:val="EndNote Bibliography Title"/>
    <w:basedOn w:val="Normal"/>
    <w:link w:val="EndNoteBibliographyTitleChar"/>
    <w:rsid w:val="00871D8A"/>
    <w:pPr>
      <w:spacing w:after="0" w:line="240" w:lineRule="auto"/>
      <w:jc w:val="center"/>
    </w:pPr>
    <w:rPr>
      <w:rFonts w:ascii="Calibri" w:hAnsi="Calibri" w:cs="Calibri"/>
      <w:noProof/>
      <w:kern w:val="2"/>
      <w14:ligatures w14:val="standardContextual"/>
    </w:rPr>
  </w:style>
  <w:style w:type="character" w:customStyle="1" w:styleId="EndNoteBibliographyTitleChar">
    <w:name w:val="EndNote Bibliography Title Char"/>
    <w:basedOn w:val="DefaultParagraphFont"/>
    <w:link w:val="EndNoteBibliographyTitle"/>
    <w:rsid w:val="00871D8A"/>
    <w:rPr>
      <w:rFonts w:ascii="Calibri" w:hAnsi="Calibri" w:cs="Calibri"/>
      <w:noProof/>
      <w:kern w:val="2"/>
      <w14:ligatures w14:val="standardContextual"/>
    </w:rPr>
  </w:style>
  <w:style w:type="paragraph" w:customStyle="1" w:styleId="EndNoteBibliography">
    <w:name w:val="EndNote Bibliography"/>
    <w:basedOn w:val="Normal"/>
    <w:link w:val="EndNoteBibliographyChar"/>
    <w:rsid w:val="00871D8A"/>
    <w:pPr>
      <w:spacing w:after="0" w:line="240" w:lineRule="auto"/>
    </w:pPr>
    <w:rPr>
      <w:rFonts w:ascii="Calibri" w:hAnsi="Calibri" w:cs="Calibri"/>
      <w:noProof/>
      <w:kern w:val="2"/>
      <w14:ligatures w14:val="standardContextual"/>
    </w:rPr>
  </w:style>
  <w:style w:type="character" w:customStyle="1" w:styleId="EndNoteBibliographyChar">
    <w:name w:val="EndNote Bibliography Char"/>
    <w:basedOn w:val="DefaultParagraphFont"/>
    <w:link w:val="EndNoteBibliography"/>
    <w:rsid w:val="00871D8A"/>
    <w:rPr>
      <w:rFonts w:ascii="Calibri" w:hAnsi="Calibri" w:cs="Calibri"/>
      <w:noProof/>
      <w:kern w:val="2"/>
      <w14:ligatures w14:val="standardContextual"/>
    </w:rPr>
  </w:style>
  <w:style w:type="paragraph" w:styleId="TOCHeading">
    <w:name w:val="TOC Heading"/>
    <w:basedOn w:val="Heading1"/>
    <w:next w:val="Normal"/>
    <w:uiPriority w:val="39"/>
    <w:unhideWhenUsed/>
    <w:qFormat/>
    <w:rsid w:val="00871D8A"/>
    <w:pPr>
      <w:spacing w:line="240" w:lineRule="auto"/>
      <w:outlineLvl w:val="9"/>
    </w:pPr>
    <w:rPr>
      <w:color w:val="00B0F0"/>
    </w:rPr>
  </w:style>
  <w:style w:type="paragraph" w:styleId="TOC2">
    <w:name w:val="toc 2"/>
    <w:basedOn w:val="Normal"/>
    <w:next w:val="Normal"/>
    <w:autoRedefine/>
    <w:uiPriority w:val="39"/>
    <w:unhideWhenUsed/>
    <w:rsid w:val="00871D8A"/>
    <w:pPr>
      <w:spacing w:after="100" w:line="240" w:lineRule="auto"/>
      <w:ind w:left="220"/>
    </w:pPr>
    <w:rPr>
      <w:rFonts w:ascii="Calibri" w:eastAsiaTheme="minorEastAsia" w:hAnsi="Calibri" w:cs="Times New Roman"/>
    </w:rPr>
  </w:style>
  <w:style w:type="paragraph" w:styleId="TOC1">
    <w:name w:val="toc 1"/>
    <w:basedOn w:val="Normal"/>
    <w:next w:val="Normal"/>
    <w:autoRedefine/>
    <w:uiPriority w:val="39"/>
    <w:unhideWhenUsed/>
    <w:rsid w:val="00871D8A"/>
    <w:pPr>
      <w:spacing w:after="100" w:line="240" w:lineRule="auto"/>
    </w:pPr>
    <w:rPr>
      <w:rFonts w:ascii="Calibri" w:eastAsiaTheme="minorEastAsia" w:hAnsi="Calibri" w:cs="Times New Roman"/>
    </w:rPr>
  </w:style>
  <w:style w:type="paragraph" w:styleId="TOC3">
    <w:name w:val="toc 3"/>
    <w:basedOn w:val="Normal"/>
    <w:next w:val="Normal"/>
    <w:autoRedefine/>
    <w:uiPriority w:val="39"/>
    <w:unhideWhenUsed/>
    <w:rsid w:val="00871D8A"/>
    <w:pPr>
      <w:spacing w:after="100" w:line="240" w:lineRule="auto"/>
      <w:ind w:left="440"/>
    </w:pPr>
    <w:rPr>
      <w:rFonts w:ascii="Calibri" w:eastAsiaTheme="minorEastAsia" w:hAnsi="Calibri" w:cs="Times New Roman"/>
    </w:rPr>
  </w:style>
  <w:style w:type="paragraph" w:styleId="Caption">
    <w:name w:val="caption"/>
    <w:basedOn w:val="Normal"/>
    <w:next w:val="Normal"/>
    <w:uiPriority w:val="35"/>
    <w:unhideWhenUsed/>
    <w:qFormat/>
    <w:rsid w:val="00871D8A"/>
    <w:pPr>
      <w:spacing w:after="200" w:line="240" w:lineRule="auto"/>
    </w:pPr>
    <w:rPr>
      <w:rFonts w:ascii="Calibri" w:hAnsi="Calibri"/>
      <w:i/>
      <w:iCs/>
      <w:color w:val="44546A" w:themeColor="text2"/>
      <w:kern w:val="2"/>
      <w:sz w:val="18"/>
      <w:szCs w:val="18"/>
      <w:lang w:val="en-GB"/>
      <w14:ligatures w14:val="standardContextual"/>
    </w:rPr>
  </w:style>
  <w:style w:type="paragraph" w:styleId="NoSpacing">
    <w:name w:val="No Spacing"/>
    <w:uiPriority w:val="1"/>
    <w:qFormat/>
    <w:rsid w:val="00871D8A"/>
    <w:pPr>
      <w:spacing w:after="0" w:line="240" w:lineRule="auto"/>
    </w:pPr>
    <w:rPr>
      <w:rFonts w:ascii="Calibri" w:hAnsi="Calibri"/>
      <w:kern w:val="2"/>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325717">
      <w:bodyDiv w:val="1"/>
      <w:marLeft w:val="0"/>
      <w:marRight w:val="0"/>
      <w:marTop w:val="0"/>
      <w:marBottom w:val="0"/>
      <w:divBdr>
        <w:top w:val="none" w:sz="0" w:space="0" w:color="auto"/>
        <w:left w:val="none" w:sz="0" w:space="0" w:color="auto"/>
        <w:bottom w:val="none" w:sz="0" w:space="0" w:color="auto"/>
        <w:right w:val="none" w:sz="0" w:space="0" w:color="auto"/>
      </w:divBdr>
    </w:div>
    <w:div w:id="104889595">
      <w:bodyDiv w:val="1"/>
      <w:marLeft w:val="0"/>
      <w:marRight w:val="0"/>
      <w:marTop w:val="0"/>
      <w:marBottom w:val="0"/>
      <w:divBdr>
        <w:top w:val="none" w:sz="0" w:space="0" w:color="auto"/>
        <w:left w:val="none" w:sz="0" w:space="0" w:color="auto"/>
        <w:bottom w:val="none" w:sz="0" w:space="0" w:color="auto"/>
        <w:right w:val="none" w:sz="0" w:space="0" w:color="auto"/>
      </w:divBdr>
    </w:div>
    <w:div w:id="128327498">
      <w:bodyDiv w:val="1"/>
      <w:marLeft w:val="0"/>
      <w:marRight w:val="0"/>
      <w:marTop w:val="0"/>
      <w:marBottom w:val="0"/>
      <w:divBdr>
        <w:top w:val="none" w:sz="0" w:space="0" w:color="auto"/>
        <w:left w:val="none" w:sz="0" w:space="0" w:color="auto"/>
        <w:bottom w:val="none" w:sz="0" w:space="0" w:color="auto"/>
        <w:right w:val="none" w:sz="0" w:space="0" w:color="auto"/>
      </w:divBdr>
    </w:div>
    <w:div w:id="209657968">
      <w:bodyDiv w:val="1"/>
      <w:marLeft w:val="0"/>
      <w:marRight w:val="0"/>
      <w:marTop w:val="0"/>
      <w:marBottom w:val="0"/>
      <w:divBdr>
        <w:top w:val="none" w:sz="0" w:space="0" w:color="auto"/>
        <w:left w:val="none" w:sz="0" w:space="0" w:color="auto"/>
        <w:bottom w:val="none" w:sz="0" w:space="0" w:color="auto"/>
        <w:right w:val="none" w:sz="0" w:space="0" w:color="auto"/>
      </w:divBdr>
    </w:div>
    <w:div w:id="339896570">
      <w:bodyDiv w:val="1"/>
      <w:marLeft w:val="0"/>
      <w:marRight w:val="0"/>
      <w:marTop w:val="0"/>
      <w:marBottom w:val="0"/>
      <w:divBdr>
        <w:top w:val="none" w:sz="0" w:space="0" w:color="auto"/>
        <w:left w:val="none" w:sz="0" w:space="0" w:color="auto"/>
        <w:bottom w:val="none" w:sz="0" w:space="0" w:color="auto"/>
        <w:right w:val="none" w:sz="0" w:space="0" w:color="auto"/>
      </w:divBdr>
    </w:div>
    <w:div w:id="384304957">
      <w:bodyDiv w:val="1"/>
      <w:marLeft w:val="0"/>
      <w:marRight w:val="0"/>
      <w:marTop w:val="0"/>
      <w:marBottom w:val="0"/>
      <w:divBdr>
        <w:top w:val="none" w:sz="0" w:space="0" w:color="auto"/>
        <w:left w:val="none" w:sz="0" w:space="0" w:color="auto"/>
        <w:bottom w:val="none" w:sz="0" w:space="0" w:color="auto"/>
        <w:right w:val="none" w:sz="0" w:space="0" w:color="auto"/>
      </w:divBdr>
    </w:div>
    <w:div w:id="464585491">
      <w:bodyDiv w:val="1"/>
      <w:marLeft w:val="0"/>
      <w:marRight w:val="0"/>
      <w:marTop w:val="0"/>
      <w:marBottom w:val="0"/>
      <w:divBdr>
        <w:top w:val="none" w:sz="0" w:space="0" w:color="auto"/>
        <w:left w:val="none" w:sz="0" w:space="0" w:color="auto"/>
        <w:bottom w:val="none" w:sz="0" w:space="0" w:color="auto"/>
        <w:right w:val="none" w:sz="0" w:space="0" w:color="auto"/>
      </w:divBdr>
    </w:div>
    <w:div w:id="714696992">
      <w:bodyDiv w:val="1"/>
      <w:marLeft w:val="0"/>
      <w:marRight w:val="0"/>
      <w:marTop w:val="0"/>
      <w:marBottom w:val="0"/>
      <w:divBdr>
        <w:top w:val="none" w:sz="0" w:space="0" w:color="auto"/>
        <w:left w:val="none" w:sz="0" w:space="0" w:color="auto"/>
        <w:bottom w:val="none" w:sz="0" w:space="0" w:color="auto"/>
        <w:right w:val="none" w:sz="0" w:space="0" w:color="auto"/>
      </w:divBdr>
    </w:div>
    <w:div w:id="848104784">
      <w:bodyDiv w:val="1"/>
      <w:marLeft w:val="0"/>
      <w:marRight w:val="0"/>
      <w:marTop w:val="0"/>
      <w:marBottom w:val="0"/>
      <w:divBdr>
        <w:top w:val="none" w:sz="0" w:space="0" w:color="auto"/>
        <w:left w:val="none" w:sz="0" w:space="0" w:color="auto"/>
        <w:bottom w:val="none" w:sz="0" w:space="0" w:color="auto"/>
        <w:right w:val="none" w:sz="0" w:space="0" w:color="auto"/>
      </w:divBdr>
    </w:div>
    <w:div w:id="1017732441">
      <w:bodyDiv w:val="1"/>
      <w:marLeft w:val="0"/>
      <w:marRight w:val="0"/>
      <w:marTop w:val="0"/>
      <w:marBottom w:val="0"/>
      <w:divBdr>
        <w:top w:val="none" w:sz="0" w:space="0" w:color="auto"/>
        <w:left w:val="none" w:sz="0" w:space="0" w:color="auto"/>
        <w:bottom w:val="none" w:sz="0" w:space="0" w:color="auto"/>
        <w:right w:val="none" w:sz="0" w:space="0" w:color="auto"/>
      </w:divBdr>
    </w:div>
    <w:div w:id="1041397130">
      <w:bodyDiv w:val="1"/>
      <w:marLeft w:val="0"/>
      <w:marRight w:val="0"/>
      <w:marTop w:val="0"/>
      <w:marBottom w:val="0"/>
      <w:divBdr>
        <w:top w:val="none" w:sz="0" w:space="0" w:color="auto"/>
        <w:left w:val="none" w:sz="0" w:space="0" w:color="auto"/>
        <w:bottom w:val="none" w:sz="0" w:space="0" w:color="auto"/>
        <w:right w:val="none" w:sz="0" w:space="0" w:color="auto"/>
      </w:divBdr>
    </w:div>
    <w:div w:id="1381633497">
      <w:bodyDiv w:val="1"/>
      <w:marLeft w:val="0"/>
      <w:marRight w:val="0"/>
      <w:marTop w:val="0"/>
      <w:marBottom w:val="0"/>
      <w:divBdr>
        <w:top w:val="none" w:sz="0" w:space="0" w:color="auto"/>
        <w:left w:val="none" w:sz="0" w:space="0" w:color="auto"/>
        <w:bottom w:val="none" w:sz="0" w:space="0" w:color="auto"/>
        <w:right w:val="none" w:sz="0" w:space="0" w:color="auto"/>
      </w:divBdr>
    </w:div>
    <w:div w:id="1472357827">
      <w:bodyDiv w:val="1"/>
      <w:marLeft w:val="0"/>
      <w:marRight w:val="0"/>
      <w:marTop w:val="0"/>
      <w:marBottom w:val="0"/>
      <w:divBdr>
        <w:top w:val="none" w:sz="0" w:space="0" w:color="auto"/>
        <w:left w:val="none" w:sz="0" w:space="0" w:color="auto"/>
        <w:bottom w:val="none" w:sz="0" w:space="0" w:color="auto"/>
        <w:right w:val="none" w:sz="0" w:space="0" w:color="auto"/>
      </w:divBdr>
    </w:div>
    <w:div w:id="1712606424">
      <w:bodyDiv w:val="1"/>
      <w:marLeft w:val="0"/>
      <w:marRight w:val="0"/>
      <w:marTop w:val="0"/>
      <w:marBottom w:val="0"/>
      <w:divBdr>
        <w:top w:val="none" w:sz="0" w:space="0" w:color="auto"/>
        <w:left w:val="none" w:sz="0" w:space="0" w:color="auto"/>
        <w:bottom w:val="none" w:sz="0" w:space="0" w:color="auto"/>
        <w:right w:val="none" w:sz="0" w:space="0" w:color="auto"/>
      </w:divBdr>
    </w:div>
    <w:div w:id="174248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ms.int/fr/node/42145" TargetMode="External"/><Relationship Id="rId18" Type="http://schemas.openxmlformats.org/officeDocument/2006/relationships/footer" Target="footer2.xml"/><Relationship Id="rId26" Type="http://schemas.openxmlformats.org/officeDocument/2006/relationships/image" Target="media/image11.jpeg"/><Relationship Id="rId21" Type="http://schemas.openxmlformats.org/officeDocument/2006/relationships/image" Target="media/image6.jpeg"/><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yperlink" Target="https://www.cms.int/fr/node/42123" TargetMode="External"/><Relationship Id="rId17" Type="http://schemas.openxmlformats.org/officeDocument/2006/relationships/footer" Target="footer1.xml"/><Relationship Id="rId25" Type="http://schemas.openxmlformats.org/officeDocument/2006/relationships/image" Target="media/image10.jpeg"/><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png"/><Relationship Id="rId32" Type="http://schemas.openxmlformats.org/officeDocument/2006/relationships/footer" Target="footer3.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jpeg"/><Relationship Id="rId28" Type="http://schemas.openxmlformats.org/officeDocument/2006/relationships/hyperlink" Target="https://www.cms.int/fr/node/42145" TargetMode="Externa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ms.int/fr/node/42146" TargetMode="External"/><Relationship Id="rId22" Type="http://schemas.openxmlformats.org/officeDocument/2006/relationships/image" Target="media/image7.png"/><Relationship Id="rId27" Type="http://schemas.openxmlformats.org/officeDocument/2006/relationships/hyperlink" Target="https://www.cms.int/fr/node/42123" TargetMode="External"/><Relationship Id="rId30" Type="http://schemas.openxmlformats.org/officeDocument/2006/relationships/header" Target="header4.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85716d5646e87ca180631963361f54a4">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fa7e87b642db64b79673ce1bd121f155"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_Flow_SignoffStatus xmlns="a7b50396-0b06-45c1-b28e-46f86d566a10" xsi:nil="true"/>
    <MariaJoseOrtiz xmlns="a7b50396-0b06-45c1-b28e-46f86d566a10" xsi:nil="true"/>
    <Notes xmlns="a7b50396-0b06-45c1-b28e-46f86d566a10" xsi:nil="true"/>
    <Sent xmlns="a7b50396-0b06-45c1-b28e-46f86d566a10" xsi:nil="true"/>
    <TaxKeywordTaxHTField xmlns="c15478a5-0be8-4f5d-8383-b307d5ba8bf6">
      <Terms xmlns="http://schemas.microsoft.com/office/infopath/2007/PartnerControls"/>
    </TaxKeywordTaxHTField>
    <Reviewer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2EEC0B7C-9A9C-46EE-8DD3-D80F5D5D164A}">
  <ds:schemaRefs>
    <ds:schemaRef ds:uri="http://schemas.openxmlformats.org/officeDocument/2006/bibliography"/>
  </ds:schemaRefs>
</ds:datastoreItem>
</file>

<file path=customXml/itemProps2.xml><?xml version="1.0" encoding="utf-8"?>
<ds:datastoreItem xmlns:ds="http://schemas.openxmlformats.org/officeDocument/2006/customXml" ds:itemID="{19DDF315-5974-484C-A3DB-7718D6991891}">
  <ds:schemaRefs>
    <ds:schemaRef ds:uri="http://schemas.microsoft.com/sharepoint/v3/contenttype/forms"/>
  </ds:schemaRefs>
</ds:datastoreItem>
</file>

<file path=customXml/itemProps3.xml><?xml version="1.0" encoding="utf-8"?>
<ds:datastoreItem xmlns:ds="http://schemas.openxmlformats.org/officeDocument/2006/customXml" ds:itemID="{73DEC4C6-2EBC-4DE0-81DB-B5FB9F2B3F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BA9692-39AF-4871-8314-0D220A29B546}">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docMetadata/LabelInfo.xml><?xml version="1.0" encoding="utf-8"?>
<clbl:labelList xmlns:clbl="http://schemas.microsoft.com/office/2020/mipLabelMetadata">
  <clbl:label id="{7eb58d0f-f804-411f-a20e-09ebfae62b4c}" enabled="1" method="Privileged" siteId="{0f9e35db-544f-4f60-bdcc-5ea416e6dc70}" contentBits="0" removed="0"/>
</clbl:labelList>
</file>

<file path=docProps/app.xml><?xml version="1.0" encoding="utf-8"?>
<Properties xmlns="http://schemas.openxmlformats.org/officeDocument/2006/extended-properties" xmlns:vt="http://schemas.openxmlformats.org/officeDocument/2006/docPropsVTypes">
  <Template>Normal</Template>
  <TotalTime>16</TotalTime>
  <Pages>27</Pages>
  <Words>9455</Words>
  <Characters>53895</Characters>
  <Application>Microsoft Office Word</Application>
  <DocSecurity>0</DocSecurity>
  <Lines>449</Lines>
  <Paragraphs>126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63224</CharactersWithSpaces>
  <SharedDoc>false</SharedDoc>
  <HLinks>
    <vt:vector size="24" baseType="variant">
      <vt:variant>
        <vt:i4>7471160</vt:i4>
      </vt:variant>
      <vt:variant>
        <vt:i4>9</vt:i4>
      </vt:variant>
      <vt:variant>
        <vt:i4>0</vt:i4>
      </vt:variant>
      <vt:variant>
        <vt:i4>5</vt:i4>
      </vt:variant>
      <vt:variant>
        <vt:lpwstr>https://www.cms.int/en/page/decisions-1341-1346-flyways</vt:lpwstr>
      </vt:variant>
      <vt:variant>
        <vt:lpwstr/>
      </vt:variant>
      <vt:variant>
        <vt:i4>4194305</vt:i4>
      </vt:variant>
      <vt:variant>
        <vt:i4>6</vt:i4>
      </vt:variant>
      <vt:variant>
        <vt:i4>0</vt:i4>
      </vt:variant>
      <vt:variant>
        <vt:i4>5</vt:i4>
      </vt:variant>
      <vt:variant>
        <vt:lpwstr>https://www.cms.int/en/document/flyways-4</vt:lpwstr>
      </vt:variant>
      <vt:variant>
        <vt:lpwstr/>
      </vt:variant>
      <vt:variant>
        <vt:i4>3211303</vt:i4>
      </vt:variant>
      <vt:variant>
        <vt:i4>3</vt:i4>
      </vt:variant>
      <vt:variant>
        <vt:i4>0</vt:i4>
      </vt:variant>
      <vt:variant>
        <vt:i4>5</vt:i4>
      </vt:variant>
      <vt:variant>
        <vt:lpwstr>https://www.cms.int/en/document/decisions-conference-parties-cms-effect-after-its-14th-meeting</vt:lpwstr>
      </vt:variant>
      <vt:variant>
        <vt:lpwstr/>
      </vt:variant>
      <vt:variant>
        <vt:i4>4325453</vt:i4>
      </vt:variant>
      <vt:variant>
        <vt:i4>0</vt:i4>
      </vt:variant>
      <vt:variant>
        <vt:i4>0</vt:i4>
      </vt:variant>
      <vt:variant>
        <vt:i4>5</vt:i4>
      </vt:variant>
      <vt:variant>
        <vt:lpwstr>https://url.uk.m.mimecastprotect.com/s/ARxhCrkAkSN2WQMc7fBc4mNNk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23</cp:revision>
  <dcterms:created xsi:type="dcterms:W3CDTF">2025-10-06T06:24:00Z</dcterms:created>
  <dcterms:modified xsi:type="dcterms:W3CDTF">2025-11-05T07:39:00Z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y fmtid="{D5CDD505-2E9C-101B-9397-08002B2CF9AE}" pid="6" name="_dlc_DocId">
    <vt:lpwstr>A3657FVJA3FH-483046560-147396</vt:lpwstr>
  </property>
  <property fmtid="{D5CDD505-2E9C-101B-9397-08002B2CF9AE}" pid="7" name="_dlc_DocIdItemGuid">
    <vt:lpwstr>ee079845-cd7f-40ab-ab58-327414eca94e</vt:lpwstr>
  </property>
  <property fmtid="{D5CDD505-2E9C-101B-9397-08002B2CF9AE}" pid="8" name="_dlc_DocIdUrl">
    <vt:lpwstr>https://eadgovae.sharepoint.com/sites/UNEPCMS/_layouts/15/DocIdRedir.aspx?ID=A3657FVJA3FH-483046560-147396, A3657FVJA3FH-483046560-147396</vt:lpwstr>
  </property>
</Properties>
</file>