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6D95EF62" w:rsidR="00EC2A58" w:rsidRPr="00AD4481"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8D7FE6" w:rsidRPr="00AD4481">
              <w:rPr>
                <w:rFonts w:eastAsia="Arial" w:cs="Arial"/>
                <w:lang w:val="fr-FR"/>
              </w:rPr>
              <w:t>26.4.1</w:t>
            </w:r>
          </w:p>
          <w:p w14:paraId="51739494" w14:textId="2ADDCFA7" w:rsidR="00EC2A58" w:rsidRPr="00AD4481" w:rsidRDefault="008D7FE6"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8D7FE6">
              <w:rPr>
                <w:rFonts w:eastAsia="Arial" w:cs="Arial"/>
                <w:lang w:val="fr-FR"/>
              </w:rPr>
              <w:t>4 septembre</w:t>
            </w:r>
            <w:r w:rsidR="00EC2A58" w:rsidRPr="008D7FE6">
              <w:rPr>
                <w:rFonts w:eastAsia="Arial" w:cs="Arial"/>
                <w:lang w:val="fr-FR"/>
              </w:rPr>
              <w:t xml:space="preserve"> 20</w:t>
            </w:r>
            <w:r w:rsidR="00BA33FE" w:rsidRPr="008D7FE6">
              <w:rPr>
                <w:rFonts w:eastAsia="Arial" w:cs="Arial"/>
                <w:lang w:val="fr-FR"/>
              </w:rPr>
              <w:t>2</w:t>
            </w:r>
            <w:r w:rsidR="00FC4F18" w:rsidRPr="008D7FE6">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9A76833"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8D7FE6" w:rsidRPr="00AD4481">
        <w:rPr>
          <w:rFonts w:eastAsia="Arial" w:cs="Arial"/>
          <w:iCs/>
          <w:lang w:val="fr-FR"/>
        </w:rPr>
        <w:t>26.4.1</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24F0B770" w:rsidR="00EC2A58" w:rsidRPr="00AD4481" w:rsidRDefault="00AD4481" w:rsidP="00AD4481">
      <w:pPr>
        <w:widowControl w:val="0"/>
        <w:suppressAutoHyphens/>
        <w:autoSpaceDE w:val="0"/>
        <w:autoSpaceDN w:val="0"/>
        <w:spacing w:after="120" w:line="240" w:lineRule="auto"/>
        <w:jc w:val="center"/>
        <w:textAlignment w:val="baseline"/>
        <w:rPr>
          <w:rFonts w:eastAsia="Times New Roman" w:cs="Arial"/>
          <w:b/>
          <w:bCs/>
          <w:lang w:val="fr-FR"/>
        </w:rPr>
      </w:pPr>
      <w:r w:rsidRPr="00050EA2">
        <w:rPr>
          <w:rFonts w:eastAsia="Times New Roman" w:cs="Arial"/>
          <w:b/>
          <w:bCs/>
          <w:lang w:val="fr-FR"/>
        </w:rPr>
        <w:t>PLANS D'ACTION POUR LES OISEAUX</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630397BA">
                <wp:simplePos x="0" y="0"/>
                <wp:positionH relativeFrom="column">
                  <wp:posOffset>781050</wp:posOffset>
                </wp:positionH>
                <wp:positionV relativeFrom="paragraph">
                  <wp:posOffset>147320</wp:posOffset>
                </wp:positionV>
                <wp:extent cx="4867275" cy="26574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867275" cy="2657475"/>
                        </a:xfrm>
                        <a:prstGeom prst="rect">
                          <a:avLst/>
                        </a:prstGeom>
                        <a:solidFill>
                          <a:srgbClr val="FFFFFF"/>
                        </a:solidFill>
                        <a:ln w="3172">
                          <a:solidFill>
                            <a:srgbClr val="000000"/>
                          </a:solidFill>
                          <a:prstDash val="solid"/>
                        </a:ln>
                      </wps:spPr>
                      <wps:txbx>
                        <w:txbxContent>
                          <w:p w14:paraId="1663EA6C" w14:textId="77777777" w:rsidR="00EC2A58" w:rsidRPr="0082040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889F423" w14:textId="77777777" w:rsidR="004B1112" w:rsidRPr="007F0CBD" w:rsidRDefault="004B1112" w:rsidP="004B1112">
                            <w:pPr>
                              <w:shd w:val="clear" w:color="auto" w:fill="FFFFFF"/>
                              <w:spacing w:after="0" w:line="235" w:lineRule="atLeast"/>
                              <w:jc w:val="both"/>
                              <w:rPr>
                                <w:rFonts w:eastAsia="Times New Roman" w:cs="Arial"/>
                                <w:color w:val="222222"/>
                                <w:lang w:val="fr-FR" w:eastAsia="fr-FR"/>
                              </w:rPr>
                            </w:pPr>
                            <w:r w:rsidRPr="007F0CBD">
                              <w:rPr>
                                <w:rFonts w:eastAsia="Times New Roman" w:cs="Arial"/>
                                <w:color w:val="222222"/>
                                <w:lang w:val="fr-FR" w:eastAsia="fr-FR"/>
                              </w:rPr>
                              <w:t>Ce document rend compte des avancées réalisées dans la mise en œuvre de la Résolution 05.09 (Rev.COP12) </w:t>
                            </w:r>
                            <w:r w:rsidRPr="007F0CBD">
                              <w:rPr>
                                <w:rFonts w:eastAsia="Times New Roman" w:cs="Arial"/>
                                <w:i/>
                                <w:iCs/>
                                <w:color w:val="222222"/>
                                <w:lang w:val="fr-FR" w:eastAsia="fr-FR"/>
                              </w:rPr>
                              <w:t>Approbation des Plans d'action pour certaines espèces d'oiseaux migrateurs inscrites aux Annexes I et II</w:t>
                            </w:r>
                            <w:r w:rsidRPr="007F0CBD">
                              <w:rPr>
                                <w:rFonts w:eastAsia="Times New Roman" w:cs="Arial"/>
                                <w:color w:val="222222"/>
                                <w:lang w:val="fr-FR" w:eastAsia="fr-FR"/>
                              </w:rPr>
                              <w:t>, et de la Résolution 12.12 (Rev.COP14) </w:t>
                            </w:r>
                            <w:r w:rsidRPr="007F0CBD">
                              <w:rPr>
                                <w:rFonts w:eastAsia="Times New Roman" w:cs="Arial"/>
                                <w:i/>
                                <w:iCs/>
                                <w:color w:val="222222"/>
                                <w:lang w:val="fr-FR" w:eastAsia="fr-FR"/>
                              </w:rPr>
                              <w:t>Plans d'action pour les oiseaux,</w:t>
                            </w:r>
                            <w:r w:rsidRPr="007F0CBD">
                              <w:rPr>
                                <w:rFonts w:eastAsia="Times New Roman" w:cs="Arial"/>
                                <w:color w:val="222222"/>
                                <w:lang w:val="fr-FR" w:eastAsia="fr-FR"/>
                              </w:rPr>
                              <w:t> ainsi que les décisions connexes 14.144–14.147 </w:t>
                            </w:r>
                            <w:r w:rsidRPr="007F0CBD">
                              <w:rPr>
                                <w:rFonts w:eastAsia="Times New Roman" w:cs="Arial"/>
                                <w:i/>
                                <w:iCs/>
                                <w:color w:val="222222"/>
                                <w:lang w:val="fr-FR" w:eastAsia="fr-FR"/>
                              </w:rPr>
                              <w:t>Plans d'action pour les oiseaux</w:t>
                            </w:r>
                            <w:r w:rsidRPr="007F0CBD">
                              <w:rPr>
                                <w:rFonts w:eastAsia="Times New Roman" w:cs="Arial"/>
                                <w:color w:val="222222"/>
                                <w:lang w:val="fr-FR" w:eastAsia="fr-FR"/>
                              </w:rPr>
                              <w:t>. Il propose un projet d'amendements à la Résolution 12.12 (Rev.COP14) concernant l'approbation d'un plan d'action multi-espèces pour les outardes, ainsi que la suppression des décisions 14.144–14.147 et l'adoption de nouvelles décisions.</w:t>
                            </w:r>
                          </w:p>
                          <w:p w14:paraId="2F678C00" w14:textId="77777777" w:rsidR="004B1112" w:rsidRPr="007F0CBD" w:rsidRDefault="004B1112" w:rsidP="004B1112">
                            <w:pPr>
                              <w:shd w:val="clear" w:color="auto" w:fill="FFFFFF"/>
                              <w:spacing w:after="0" w:line="235" w:lineRule="atLeast"/>
                              <w:jc w:val="both"/>
                              <w:rPr>
                                <w:rFonts w:eastAsia="Times New Roman" w:cs="Arial"/>
                                <w:color w:val="222222"/>
                                <w:lang w:val="fr-FR" w:eastAsia="fr-FR"/>
                              </w:rPr>
                            </w:pPr>
                            <w:r w:rsidRPr="007F0CBD">
                              <w:rPr>
                                <w:rFonts w:eastAsia="Times New Roman" w:cs="Arial"/>
                                <w:color w:val="222222"/>
                                <w:lang w:val="fr-FR" w:eastAsia="fr-FR"/>
                              </w:rPr>
                              <w:t> </w:t>
                            </w:r>
                          </w:p>
                          <w:p w14:paraId="3272B910" w14:textId="77777777" w:rsidR="004B1112" w:rsidRPr="007F0CBD" w:rsidRDefault="004B1112" w:rsidP="004B1112">
                            <w:pPr>
                              <w:shd w:val="clear" w:color="auto" w:fill="FFFFFF"/>
                              <w:spacing w:after="0" w:line="240" w:lineRule="auto"/>
                              <w:rPr>
                                <w:rFonts w:eastAsia="Times New Roman" w:cs="Arial"/>
                                <w:color w:val="222222"/>
                                <w:sz w:val="24"/>
                                <w:szCs w:val="24"/>
                                <w:lang w:val="fr-FR" w:eastAsia="fr-FR"/>
                              </w:rPr>
                            </w:pPr>
                            <w:r w:rsidRPr="007F0CBD">
                              <w:rPr>
                                <w:rFonts w:eastAsia="Times New Roman" w:cs="Arial"/>
                                <w:color w:val="222222"/>
                                <w:lang w:val="fr-FR" w:eastAsia="fr-FR"/>
                              </w:rPr>
                              <w:t>Le projet de Résolution et de décisions ci-joint soutiendrait la réalisation de la cible 1.1 du Plan stratégique pour les espèces </w:t>
                            </w:r>
                            <w:r>
                              <w:rPr>
                                <w:rFonts w:eastAsia="Times New Roman" w:cs="Arial"/>
                                <w:color w:val="222222"/>
                                <w:sz w:val="24"/>
                                <w:szCs w:val="24"/>
                                <w:lang w:val="fr-FR" w:eastAsia="fr-FR"/>
                              </w:rPr>
                              <w:t>migratric</w:t>
                            </w:r>
                            <w:r w:rsidRPr="007F0CBD">
                              <w:rPr>
                                <w:rFonts w:cs="Arial"/>
                                <w:lang w:val="fr-FR"/>
                              </w:rPr>
                              <w:t>es 2024–2032.</w:t>
                            </w:r>
                          </w:p>
                          <w:p w14:paraId="7FEB7F92" w14:textId="77777777" w:rsidR="004B1112" w:rsidRDefault="004B1112"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83.25pt;height:20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" strokeweight=".08811mm">
                <v:textbox>
                  <w:txbxContent>
                    <w:p w14:paraId="1663EA6C" w14:textId="77777777" w:rsidR="00EC2A58" w:rsidRPr="0082040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889F423" w14:textId="77777777" w:rsidR="004B1112" w:rsidRPr="007F0CBD" w:rsidRDefault="004B1112" w:rsidP="004B1112">
                      <w:pPr>
                        <w:shd w:val="clear" w:color="auto" w:fill="FFFFFF"/>
                        <w:spacing w:after="0" w:line="235" w:lineRule="atLeast"/>
                        <w:jc w:val="both"/>
                        <w:rPr>
                          <w:rFonts w:eastAsia="Times New Roman" w:cs="Arial"/>
                          <w:color w:val="222222"/>
                          <w:lang w:val="fr-FR" w:eastAsia="fr-FR"/>
                        </w:rPr>
                      </w:pPr>
                      <w:r w:rsidRPr="007F0CBD">
                        <w:rPr>
                          <w:rFonts w:eastAsia="Times New Roman" w:cs="Arial"/>
                          <w:color w:val="222222"/>
                          <w:lang w:val="fr-FR" w:eastAsia="fr-FR"/>
                        </w:rPr>
                        <w:t>Ce document rend compte des avancées réalisées dans la mise en œuvre de la Résolution 05.09 (Rev.COP12) </w:t>
                      </w:r>
                      <w:r w:rsidRPr="007F0CBD">
                        <w:rPr>
                          <w:rFonts w:eastAsia="Times New Roman" w:cs="Arial"/>
                          <w:i/>
                          <w:iCs/>
                          <w:color w:val="222222"/>
                          <w:lang w:val="fr-FR" w:eastAsia="fr-FR"/>
                        </w:rPr>
                        <w:t>Approbation des Plans d'action pour certaines espèces d'oiseaux migrateurs inscrites aux Annexes I et II</w:t>
                      </w:r>
                      <w:r w:rsidRPr="007F0CBD">
                        <w:rPr>
                          <w:rFonts w:eastAsia="Times New Roman" w:cs="Arial"/>
                          <w:color w:val="222222"/>
                          <w:lang w:val="fr-FR" w:eastAsia="fr-FR"/>
                        </w:rPr>
                        <w:t>, et de la Résolution 12.12 (Rev.COP14) </w:t>
                      </w:r>
                      <w:r w:rsidRPr="007F0CBD">
                        <w:rPr>
                          <w:rFonts w:eastAsia="Times New Roman" w:cs="Arial"/>
                          <w:i/>
                          <w:iCs/>
                          <w:color w:val="222222"/>
                          <w:lang w:val="fr-FR" w:eastAsia="fr-FR"/>
                        </w:rPr>
                        <w:t>Plans d'action pour les oiseaux,</w:t>
                      </w:r>
                      <w:r w:rsidRPr="007F0CBD">
                        <w:rPr>
                          <w:rFonts w:eastAsia="Times New Roman" w:cs="Arial"/>
                          <w:color w:val="222222"/>
                          <w:lang w:val="fr-FR" w:eastAsia="fr-FR"/>
                        </w:rPr>
                        <w:t> ainsi que les décisions connexes 14.144–14.147 </w:t>
                      </w:r>
                      <w:r w:rsidRPr="007F0CBD">
                        <w:rPr>
                          <w:rFonts w:eastAsia="Times New Roman" w:cs="Arial"/>
                          <w:i/>
                          <w:iCs/>
                          <w:color w:val="222222"/>
                          <w:lang w:val="fr-FR" w:eastAsia="fr-FR"/>
                        </w:rPr>
                        <w:t>Plans d'action pour les oiseaux</w:t>
                      </w:r>
                      <w:r w:rsidRPr="007F0CBD">
                        <w:rPr>
                          <w:rFonts w:eastAsia="Times New Roman" w:cs="Arial"/>
                          <w:color w:val="222222"/>
                          <w:lang w:val="fr-FR" w:eastAsia="fr-FR"/>
                        </w:rPr>
                        <w:t>. Il propose un projet d'amendements à la Résolution 12.12 (Rev.COP14) concernant l'approbation d'un plan d'action multi-espèces pour les outardes, ainsi que la suppression des décisions 14.144–14.147 et l'adoption de nouvelles décisions.</w:t>
                      </w:r>
                    </w:p>
                    <w:p w14:paraId="2F678C00" w14:textId="77777777" w:rsidR="004B1112" w:rsidRPr="007F0CBD" w:rsidRDefault="004B1112" w:rsidP="004B1112">
                      <w:pPr>
                        <w:shd w:val="clear" w:color="auto" w:fill="FFFFFF"/>
                        <w:spacing w:after="0" w:line="235" w:lineRule="atLeast"/>
                        <w:jc w:val="both"/>
                        <w:rPr>
                          <w:rFonts w:eastAsia="Times New Roman" w:cs="Arial"/>
                          <w:color w:val="222222"/>
                          <w:lang w:val="fr-FR" w:eastAsia="fr-FR"/>
                        </w:rPr>
                      </w:pPr>
                      <w:r w:rsidRPr="007F0CBD">
                        <w:rPr>
                          <w:rFonts w:eastAsia="Times New Roman" w:cs="Arial"/>
                          <w:color w:val="222222"/>
                          <w:lang w:val="fr-FR" w:eastAsia="fr-FR"/>
                        </w:rPr>
                        <w:t> </w:t>
                      </w:r>
                    </w:p>
                    <w:p w14:paraId="3272B910" w14:textId="77777777" w:rsidR="004B1112" w:rsidRPr="007F0CBD" w:rsidRDefault="004B1112" w:rsidP="004B1112">
                      <w:pPr>
                        <w:shd w:val="clear" w:color="auto" w:fill="FFFFFF"/>
                        <w:spacing w:after="0" w:line="240" w:lineRule="auto"/>
                        <w:rPr>
                          <w:rFonts w:eastAsia="Times New Roman" w:cs="Arial"/>
                          <w:color w:val="222222"/>
                          <w:sz w:val="24"/>
                          <w:szCs w:val="24"/>
                          <w:lang w:val="fr-FR" w:eastAsia="fr-FR"/>
                        </w:rPr>
                      </w:pPr>
                      <w:r w:rsidRPr="007F0CBD">
                        <w:rPr>
                          <w:rFonts w:eastAsia="Times New Roman" w:cs="Arial"/>
                          <w:color w:val="222222"/>
                          <w:lang w:val="fr-FR" w:eastAsia="fr-FR"/>
                        </w:rPr>
                        <w:t>Le projet de Résolution et de décisions ci-joint soutiendrait la réalisation de la cible 1.1 du Plan stratégique pour les espèces </w:t>
                      </w:r>
                      <w:r>
                        <w:rPr>
                          <w:rFonts w:eastAsia="Times New Roman" w:cs="Arial"/>
                          <w:color w:val="222222"/>
                          <w:sz w:val="24"/>
                          <w:szCs w:val="24"/>
                          <w:lang w:val="fr-FR" w:eastAsia="fr-FR"/>
                        </w:rPr>
                        <w:t>migratric</w:t>
                      </w:r>
                      <w:r w:rsidRPr="007F0CBD">
                        <w:rPr>
                          <w:rFonts w:cs="Arial"/>
                          <w:lang w:val="fr-FR"/>
                        </w:rPr>
                        <w:t>es 2024–2032.</w:t>
                      </w:r>
                    </w:p>
                    <w:p w14:paraId="7FEB7F92" w14:textId="77777777" w:rsidR="004B1112" w:rsidRDefault="004B1112"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6F10B63A" w14:textId="7EAA2C55" w:rsidR="004E234B" w:rsidRDefault="004E234B" w:rsidP="00EC2A58">
      <w:pPr>
        <w:spacing w:after="0" w:line="240" w:lineRule="auto"/>
        <w:rPr>
          <w:lang w:val="fr-FR"/>
        </w:rPr>
      </w:pPr>
      <w:r>
        <w:rPr>
          <w:lang w:val="fr-FR"/>
        </w:rPr>
        <w:br w:type="page"/>
      </w:r>
    </w:p>
    <w:p w14:paraId="6F2BB4BF" w14:textId="29092A55" w:rsidR="00896FBB" w:rsidRPr="008D7FE6" w:rsidRDefault="008D7FE6" w:rsidP="008D7FE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sidRPr="003B3330">
        <w:rPr>
          <w:rFonts w:eastAsia="Times New Roman" w:cs="Arial"/>
          <w:b/>
          <w:bCs/>
          <w:lang w:val="fr-FR"/>
        </w:rPr>
        <w:lastRenderedPageBreak/>
        <w:t>PLANS D'ACTION POUR LES OISEAUX</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AD4481"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lang w:val="fr-FR"/>
        </w:rPr>
      </w:pPr>
      <w:r w:rsidRPr="00896FBB">
        <w:rPr>
          <w:rFonts w:eastAsia="Arial" w:cs="Arial"/>
          <w:u w:val="single"/>
          <w:lang w:val="fr-FR"/>
        </w:rPr>
        <w:t>Contexte</w:t>
      </w:r>
    </w:p>
    <w:p w14:paraId="66697A42" w14:textId="77777777" w:rsidR="00EC2A58" w:rsidRDefault="00EC2A58" w:rsidP="00EC2A58">
      <w:pPr>
        <w:spacing w:after="0" w:line="240" w:lineRule="auto"/>
        <w:rPr>
          <w:lang w:val="fr-FR"/>
        </w:rPr>
      </w:pPr>
    </w:p>
    <w:p w14:paraId="25868BA5" w14:textId="77777777" w:rsidR="008D7FE6" w:rsidRPr="003B3330" w:rsidRDefault="008D7FE6" w:rsidP="008D7FE6">
      <w:pPr>
        <w:numPr>
          <w:ilvl w:val="0"/>
          <w:numId w:val="2"/>
        </w:numPr>
        <w:spacing w:after="80" w:line="240" w:lineRule="auto"/>
        <w:ind w:left="540" w:hanging="540"/>
        <w:contextualSpacing/>
        <w:jc w:val="both"/>
        <w:rPr>
          <w:lang w:val="fr-FR"/>
        </w:rPr>
      </w:pPr>
      <w:r w:rsidRPr="003B3330">
        <w:rPr>
          <w:lang w:val="fr-FR"/>
        </w:rPr>
        <w:t>Trois résolutions de la CMS appellent à une action sur des espèces spécifiques d'oiseaux migrateurs :</w:t>
      </w:r>
    </w:p>
    <w:p w14:paraId="35A8019F" w14:textId="77777777" w:rsidR="008D7FE6" w:rsidRPr="003B3330" w:rsidRDefault="008D7FE6" w:rsidP="00A31328">
      <w:pPr>
        <w:pStyle w:val="ListParagraph"/>
        <w:numPr>
          <w:ilvl w:val="0"/>
          <w:numId w:val="3"/>
        </w:numPr>
        <w:spacing w:after="80" w:line="240" w:lineRule="auto"/>
        <w:ind w:left="896" w:hanging="357"/>
        <w:contextualSpacing w:val="0"/>
        <w:jc w:val="both"/>
        <w:rPr>
          <w:lang w:val="fr-FR"/>
        </w:rPr>
      </w:pPr>
      <w:r w:rsidRPr="003B3330">
        <w:rPr>
          <w:lang w:val="fr-FR"/>
        </w:rPr>
        <w:t xml:space="preserve">Dans la </w:t>
      </w:r>
      <w:hyperlink r:id="rId12" w:history="1">
        <w:r w:rsidRPr="003B3330">
          <w:rPr>
            <w:rStyle w:val="Hyperlink"/>
            <w:lang w:val="fr-FR"/>
          </w:rPr>
          <w:t>Résolution 05.09 (Rev.COP12)</w:t>
        </w:r>
      </w:hyperlink>
      <w:r w:rsidRPr="003B3330">
        <w:rPr>
          <w:lang w:val="fr-FR"/>
        </w:rPr>
        <w:t xml:space="preserve"> </w:t>
      </w:r>
      <w:r w:rsidRPr="003B3330">
        <w:rPr>
          <w:i/>
          <w:iCs/>
          <w:lang w:val="fr-FR"/>
        </w:rPr>
        <w:t>Approbation des plans d'action pour certaines espèces d'oiseaux migrateurs inscrites aux Annexes I et II</w:t>
      </w:r>
      <w:r w:rsidRPr="003B3330">
        <w:rPr>
          <w:lang w:val="fr-FR"/>
        </w:rPr>
        <w:t xml:space="preserve">, la Conférence des Parties (COP) demande </w:t>
      </w:r>
      <w:r w:rsidRPr="003B3330">
        <w:rPr>
          <w:iCs/>
          <w:lang w:val="fr-FR"/>
        </w:rPr>
        <w:t>au Secrétariat et au Conseil scientifique d'aider les Parties États de l'aire de répartition à mettre en œuvre les plans d'action existants pour les espèces d'oiseaux.</w:t>
      </w:r>
    </w:p>
    <w:p w14:paraId="095311F3" w14:textId="63BF5617" w:rsidR="008D7FE6" w:rsidRPr="0090047A" w:rsidRDefault="008D7FE6" w:rsidP="00475593">
      <w:pPr>
        <w:numPr>
          <w:ilvl w:val="0"/>
          <w:numId w:val="3"/>
        </w:numPr>
        <w:spacing w:after="80" w:line="240" w:lineRule="auto"/>
        <w:contextualSpacing/>
        <w:jc w:val="both"/>
        <w:rPr>
          <w:lang w:val="fr-FR"/>
        </w:rPr>
      </w:pPr>
      <w:r w:rsidRPr="0090047A">
        <w:rPr>
          <w:lang w:val="fr-FR"/>
        </w:rPr>
        <w:t xml:space="preserve">Dans </w:t>
      </w:r>
      <w:hyperlink r:id="rId13" w:history="1">
        <w:r w:rsidRPr="0090047A">
          <w:rPr>
            <w:rStyle w:val="Hyperlink"/>
            <w:lang w:val="fr-FR"/>
          </w:rPr>
          <w:t>Résolution 11.17 (Rev.COP13)/Rev.1</w:t>
        </w:r>
      </w:hyperlink>
      <w:r w:rsidRPr="0090047A">
        <w:rPr>
          <w:lang w:val="fr-FR"/>
        </w:rPr>
        <w:t xml:space="preserve"> </w:t>
      </w:r>
      <w:r w:rsidRPr="0090047A">
        <w:rPr>
          <w:i/>
          <w:iCs/>
          <w:lang w:val="fr-FR"/>
        </w:rPr>
        <w:t xml:space="preserve">Plan d'action pour les oiseaux terrestres migrateurs d'Afrique-Eurasie </w:t>
      </w:r>
      <w:r w:rsidRPr="0090047A">
        <w:rPr>
          <w:lang w:val="fr-FR"/>
        </w:rPr>
        <w:t>(AEMLAP</w:t>
      </w:r>
      <w:r w:rsidRPr="0090047A">
        <w:rPr>
          <w:i/>
          <w:iCs/>
          <w:lang w:val="fr-FR"/>
        </w:rPr>
        <w:t xml:space="preserve"> ; </w:t>
      </w:r>
      <w:r w:rsidRPr="0090047A">
        <w:rPr>
          <w:lang w:val="fr-FR"/>
        </w:rPr>
        <w:t>voir</w:t>
      </w:r>
      <w:r w:rsidR="008E4140" w:rsidRPr="0090047A">
        <w:rPr>
          <w:lang w:val="fr-FR"/>
        </w:rPr>
        <w:t xml:space="preserve"> </w:t>
      </w:r>
      <w:r w:rsidR="000A47AC" w:rsidRPr="00DD42AE">
        <w:rPr>
          <w:lang w:val="fr-FR"/>
        </w:rPr>
        <w:t>UNEP/CMS/COP15/Doc.</w:t>
      </w:r>
      <w:r w:rsidR="00DD42AE" w:rsidRPr="00DD42AE">
        <w:rPr>
          <w:lang w:val="fr-FR"/>
        </w:rPr>
        <w:t>26.5</w:t>
      </w:r>
      <w:r w:rsidRPr="0090047A">
        <w:rPr>
          <w:lang w:val="fr-FR"/>
        </w:rPr>
        <w:t xml:space="preserve">), la COP </w:t>
      </w:r>
      <w:r w:rsidRPr="0090047A">
        <w:rPr>
          <w:rFonts w:cs="Arial"/>
          <w:iCs/>
          <w:lang w:val="fr-FR"/>
        </w:rPr>
        <w:t>demande au Groupe de travail sur les oiseaux terrestres migrateurs d'Afrique-Eurasie et au Conseil scientifique de la CMS, en liaison avec le Secrétariat, le Groupe d'étude sur les oiseaux terrestres migrateurs (MLSG) et le Plan d'action des Amis des oiseaux terrestres (FLAP), de soutenir la mise en œuvre des Plans d'action pour le Rollier d'Europe (</w:t>
      </w:r>
      <w:r w:rsidRPr="0090047A">
        <w:rPr>
          <w:rFonts w:cs="Arial"/>
          <w:i/>
          <w:lang w:val="fr-FR"/>
        </w:rPr>
        <w:t>Coracias garrulus</w:t>
      </w:r>
      <w:r w:rsidRPr="0090047A">
        <w:rPr>
          <w:rFonts w:cs="Arial"/>
          <w:iCs/>
          <w:lang w:val="fr-FR"/>
        </w:rPr>
        <w:t>)</w:t>
      </w:r>
      <w:r w:rsidRPr="0090047A">
        <w:rPr>
          <w:rStyle w:val="FootnoteReference"/>
          <w:rFonts w:cs="Arial"/>
          <w:iCs/>
          <w:lang w:val="fr-FR"/>
        </w:rPr>
        <w:footnoteReference w:id="1"/>
      </w:r>
      <w:r w:rsidR="00E76528" w:rsidRPr="0090047A">
        <w:rPr>
          <w:rFonts w:cs="Arial"/>
          <w:iCs/>
          <w:lang w:val="fr-FR"/>
        </w:rPr>
        <w:t>,</w:t>
      </w:r>
      <w:r w:rsidRPr="0090047A">
        <w:rPr>
          <w:rFonts w:cs="Arial"/>
          <w:iCs/>
          <w:lang w:val="fr-FR"/>
        </w:rPr>
        <w:t xml:space="preserve"> la Tourterelle des bois (</w:t>
      </w:r>
      <w:r w:rsidRPr="0090047A">
        <w:rPr>
          <w:rFonts w:cs="Arial"/>
          <w:i/>
          <w:lang w:val="fr-FR"/>
        </w:rPr>
        <w:t>Streptopelia turtur</w:t>
      </w:r>
      <w:r w:rsidRPr="0090047A">
        <w:rPr>
          <w:rFonts w:cs="Arial"/>
          <w:iCs/>
          <w:lang w:val="fr-FR"/>
        </w:rPr>
        <w:t>)</w:t>
      </w:r>
      <w:r w:rsidRPr="0090047A">
        <w:rPr>
          <w:rStyle w:val="FootnoteReference"/>
          <w:rFonts w:cs="Arial"/>
          <w:iCs/>
          <w:lang w:val="fr-FR"/>
        </w:rPr>
        <w:footnoteReference w:id="2"/>
      </w:r>
      <w:r w:rsidRPr="0090047A">
        <w:rPr>
          <w:rFonts w:cs="Arial"/>
          <w:iCs/>
          <w:lang w:val="fr-FR"/>
        </w:rPr>
        <w:t xml:space="preserve"> </w:t>
      </w:r>
      <w:r w:rsidR="009517C9" w:rsidRPr="0090047A">
        <w:rPr>
          <w:rFonts w:cs="Arial"/>
          <w:iCs/>
          <w:lang w:val="fr-FR"/>
        </w:rPr>
        <w:t>e</w:t>
      </w:r>
      <w:r w:rsidR="009A4E85" w:rsidRPr="0090047A">
        <w:rPr>
          <w:rFonts w:cs="Arial"/>
          <w:iCs/>
          <w:lang w:val="fr-FR"/>
        </w:rPr>
        <w:t>t le</w:t>
      </w:r>
      <w:r w:rsidRPr="0090047A">
        <w:rPr>
          <w:rFonts w:cs="Arial"/>
          <w:iCs/>
          <w:lang w:val="fr-FR"/>
        </w:rPr>
        <w:t xml:space="preserve"> Bruant auréole (</w:t>
      </w:r>
      <w:r w:rsidRPr="0090047A">
        <w:rPr>
          <w:rFonts w:cs="Arial"/>
          <w:i/>
          <w:lang w:val="fr-FR"/>
        </w:rPr>
        <w:t>Emberiza aureola</w:t>
      </w:r>
      <w:r w:rsidRPr="0090047A">
        <w:rPr>
          <w:rFonts w:cs="Arial"/>
          <w:iCs/>
          <w:lang w:val="fr-FR"/>
        </w:rPr>
        <w:t>)</w:t>
      </w:r>
      <w:r w:rsidR="00B84FF2" w:rsidRPr="0090047A">
        <w:rPr>
          <w:rFonts w:cs="Arial"/>
          <w:lang w:val="fr-FR"/>
        </w:rPr>
        <w:t xml:space="preserve">. </w:t>
      </w:r>
      <w:r w:rsidR="0090047A" w:rsidRPr="0090047A">
        <w:rPr>
          <w:rFonts w:cs="Arial"/>
          <w:lang w:val="fr-FR"/>
        </w:rPr>
        <w:t>Elle demande en outre aux Parties de prendre d'urgence des mesures concrètes pour faire face aux menaces qui pèsent sur les outardes migratrices, un groupe d’espèces d’oiseaux terrestres migrateurs fortement menacées et en déclin qui subissent une pression particulière du fait d’abattages illégaux, de prélèvements non durables, de collisions avec les infrastructures électriques et de la perte et la dégradation des habitats, comme indiqué dans les plans d’action pour les espèces concernées</w:t>
      </w:r>
    </w:p>
    <w:p w14:paraId="52E43AF1" w14:textId="5F7795E0" w:rsidR="008D7FE6" w:rsidRPr="004A5CC0" w:rsidRDefault="008D7FE6" w:rsidP="008D7FE6">
      <w:pPr>
        <w:pStyle w:val="ListParagraph"/>
        <w:numPr>
          <w:ilvl w:val="0"/>
          <w:numId w:val="3"/>
        </w:numPr>
        <w:spacing w:after="0" w:line="240" w:lineRule="auto"/>
        <w:jc w:val="both"/>
        <w:rPr>
          <w:lang w:val="fr-FR"/>
        </w:rPr>
      </w:pPr>
      <w:r w:rsidRPr="003B3330">
        <w:rPr>
          <w:rFonts w:cs="Arial"/>
          <w:lang w:val="fr-FR"/>
        </w:rPr>
        <w:t xml:space="preserve">Par la </w:t>
      </w:r>
      <w:hyperlink r:id="rId14" w:history="1">
        <w:r w:rsidRPr="003B3330">
          <w:rPr>
            <w:rStyle w:val="Hyperlink"/>
            <w:rFonts w:cs="Arial"/>
            <w:lang w:val="fr-FR"/>
          </w:rPr>
          <w:t>Résolution 12.12 (Rev.COP13)</w:t>
        </w:r>
      </w:hyperlink>
      <w:r w:rsidRPr="003B3330">
        <w:rPr>
          <w:rFonts w:cs="Arial"/>
          <w:lang w:val="fr-FR"/>
        </w:rPr>
        <w:t xml:space="preserve"> </w:t>
      </w:r>
      <w:r w:rsidRPr="003B3330">
        <w:rPr>
          <w:rFonts w:cs="Arial"/>
          <w:i/>
          <w:iCs/>
          <w:lang w:val="fr-FR"/>
        </w:rPr>
        <w:t>Plans d'action pour les oiseaux</w:t>
      </w:r>
      <w:r w:rsidRPr="003B3330">
        <w:rPr>
          <w:rFonts w:cs="Arial"/>
          <w:lang w:val="fr-FR"/>
        </w:rPr>
        <w:t>, la</w:t>
      </w:r>
      <w:r w:rsidRPr="003B3330">
        <w:rPr>
          <w:lang w:val="fr-FR"/>
        </w:rPr>
        <w:t xml:space="preserve"> COP1</w:t>
      </w:r>
      <w:r w:rsidR="00BF544A">
        <w:rPr>
          <w:lang w:val="fr-FR"/>
        </w:rPr>
        <w:t>4</w:t>
      </w:r>
      <w:r w:rsidRPr="003B3330">
        <w:rPr>
          <w:lang w:val="fr-FR"/>
        </w:rPr>
        <w:t xml:space="preserve"> </w:t>
      </w:r>
      <w:r w:rsidRPr="003B3330">
        <w:rPr>
          <w:rFonts w:cs="Arial"/>
          <w:lang w:val="fr-FR"/>
        </w:rPr>
        <w:t>a approuvé des plans d'action pour plusieurs espèces</w:t>
      </w:r>
      <w:r w:rsidRPr="003B3330">
        <w:rPr>
          <w:rStyle w:val="FootnoteReference"/>
          <w:rFonts w:cs="Arial"/>
          <w:lang w:val="fr-FR"/>
        </w:rPr>
        <w:footnoteReference w:id="3"/>
      </w:r>
      <w:r w:rsidRPr="003B3330">
        <w:rPr>
          <w:rFonts w:cs="Arial"/>
          <w:vertAlign w:val="superscript"/>
          <w:lang w:val="fr-FR"/>
        </w:rPr>
        <w:t>,</w:t>
      </w:r>
      <w:r w:rsidRPr="003B3330">
        <w:rPr>
          <w:rStyle w:val="FootnoteReference"/>
          <w:rFonts w:cs="Arial"/>
          <w:lang w:val="fr-FR"/>
        </w:rPr>
        <w:footnoteReference w:id="4"/>
      </w:r>
      <w:r w:rsidRPr="003B3330">
        <w:rPr>
          <w:rFonts w:cs="Arial"/>
          <w:lang w:val="fr-FR"/>
        </w:rPr>
        <w:t xml:space="preserve"> et a demandé aux Parties de prendre les mesures nécessaires pour mettre en œuvre ces plans.</w:t>
      </w:r>
    </w:p>
    <w:p w14:paraId="68D9E282" w14:textId="77777777" w:rsidR="004A5CC0" w:rsidRPr="003B3330" w:rsidRDefault="004A5CC0" w:rsidP="004A5CC0">
      <w:pPr>
        <w:pStyle w:val="ListParagraph"/>
        <w:spacing w:after="0" w:line="240" w:lineRule="auto"/>
        <w:ind w:left="900"/>
        <w:jc w:val="both"/>
        <w:rPr>
          <w:lang w:val="fr-FR"/>
        </w:rPr>
      </w:pPr>
    </w:p>
    <w:p w14:paraId="303DA93A" w14:textId="7AE1938B" w:rsidR="00BA33FE" w:rsidRDefault="004A5CC0" w:rsidP="00BB75B0">
      <w:pPr>
        <w:pStyle w:val="ListParagraph"/>
        <w:numPr>
          <w:ilvl w:val="0"/>
          <w:numId w:val="2"/>
        </w:numPr>
        <w:spacing w:after="0" w:line="240" w:lineRule="auto"/>
        <w:ind w:left="567" w:hanging="567"/>
        <w:jc w:val="both"/>
        <w:rPr>
          <w:lang w:val="fr-FR"/>
        </w:rPr>
      </w:pPr>
      <w:r>
        <w:rPr>
          <w:lang w:val="fr-FR"/>
        </w:rPr>
        <w:t>L</w:t>
      </w:r>
      <w:r w:rsidR="00D9464D">
        <w:rPr>
          <w:lang w:val="fr-FR"/>
        </w:rPr>
        <w:t>a</w:t>
      </w:r>
      <w:r>
        <w:rPr>
          <w:lang w:val="fr-FR"/>
        </w:rPr>
        <w:t xml:space="preserve"> COP1</w:t>
      </w:r>
      <w:r w:rsidR="00D9464D">
        <w:rPr>
          <w:lang w:val="fr-FR"/>
        </w:rPr>
        <w:t xml:space="preserve">4 </w:t>
      </w:r>
      <w:r w:rsidR="00D9464D" w:rsidRPr="00050EA2">
        <w:rPr>
          <w:rFonts w:cs="Arial"/>
          <w:lang w:val="fr-FR"/>
        </w:rPr>
        <w:t xml:space="preserve">a également adopté les décisions 14.144–14.147 </w:t>
      </w:r>
      <w:r w:rsidR="00D9464D" w:rsidRPr="00050EA2">
        <w:rPr>
          <w:rFonts w:cs="Arial"/>
          <w:i/>
          <w:iCs/>
          <w:lang w:val="fr-FR"/>
        </w:rPr>
        <w:t>Plans d'action pour les oiseaux</w:t>
      </w:r>
      <w:r w:rsidR="00D9464D" w:rsidRPr="00050EA2">
        <w:rPr>
          <w:rFonts w:cs="Arial"/>
          <w:lang w:val="fr-FR"/>
        </w:rPr>
        <w:t>, dont le contenu est le suivant</w:t>
      </w:r>
      <w:r w:rsidR="00D9464D">
        <w:rPr>
          <w:rFonts w:cs="Arial"/>
          <w:lang w:val="fr-FR"/>
        </w:rPr>
        <w:t> :</w:t>
      </w:r>
    </w:p>
    <w:p w14:paraId="0A334C19" w14:textId="77777777" w:rsidR="00FC05E3" w:rsidRDefault="00FC05E3" w:rsidP="00FC05E3">
      <w:pPr>
        <w:pStyle w:val="ListParagraph"/>
        <w:spacing w:after="0" w:line="240" w:lineRule="auto"/>
        <w:ind w:left="709"/>
        <w:jc w:val="both"/>
        <w:rPr>
          <w:i/>
          <w:iCs/>
          <w:sz w:val="20"/>
          <w:szCs w:val="20"/>
          <w:lang w:val="fr-FR"/>
        </w:rPr>
      </w:pPr>
    </w:p>
    <w:p w14:paraId="736B2179" w14:textId="779EAD67" w:rsidR="004A5CC0" w:rsidRDefault="00390AED" w:rsidP="00FC05E3">
      <w:pPr>
        <w:pStyle w:val="ListParagraph"/>
        <w:spacing w:after="0" w:line="240" w:lineRule="auto"/>
        <w:ind w:left="709"/>
        <w:jc w:val="both"/>
        <w:rPr>
          <w:b/>
          <w:bCs/>
          <w:i/>
          <w:iCs/>
          <w:sz w:val="20"/>
          <w:szCs w:val="20"/>
          <w:lang w:val="fr-FR"/>
        </w:rPr>
      </w:pPr>
      <w:r w:rsidRPr="00FC05E3">
        <w:rPr>
          <w:b/>
          <w:bCs/>
          <w:i/>
          <w:iCs/>
          <w:sz w:val="20"/>
          <w:szCs w:val="20"/>
          <w:lang w:val="fr-FR"/>
        </w:rPr>
        <w:t xml:space="preserve">14.144 </w:t>
      </w:r>
      <w:r w:rsidR="00215880" w:rsidRPr="00FC05E3">
        <w:rPr>
          <w:b/>
          <w:bCs/>
          <w:i/>
          <w:iCs/>
          <w:sz w:val="20"/>
          <w:szCs w:val="20"/>
          <w:lang w:val="fr-FR"/>
        </w:rPr>
        <w:t>à l’adresse des Parties et non-parties, des OIG, des ONG et des autres parties prenantes</w:t>
      </w:r>
    </w:p>
    <w:p w14:paraId="76089A04" w14:textId="77777777" w:rsidR="00FC05E3" w:rsidRPr="00FC05E3" w:rsidRDefault="00FC05E3" w:rsidP="00FC05E3">
      <w:pPr>
        <w:pStyle w:val="ListParagraph"/>
        <w:spacing w:after="0" w:line="240" w:lineRule="auto"/>
        <w:ind w:left="709"/>
        <w:jc w:val="both"/>
        <w:rPr>
          <w:b/>
          <w:bCs/>
          <w:i/>
          <w:iCs/>
          <w:sz w:val="20"/>
          <w:szCs w:val="20"/>
          <w:lang w:val="fr-FR"/>
        </w:rPr>
      </w:pPr>
    </w:p>
    <w:p w14:paraId="0741999F" w14:textId="1473C550" w:rsidR="005019C0" w:rsidRPr="00FC05E3" w:rsidRDefault="005019C0" w:rsidP="00FC05E3">
      <w:pPr>
        <w:pStyle w:val="ListParagraph"/>
        <w:spacing w:after="0" w:line="240" w:lineRule="auto"/>
        <w:ind w:left="709"/>
        <w:jc w:val="both"/>
        <w:rPr>
          <w:i/>
          <w:iCs/>
          <w:sz w:val="20"/>
          <w:szCs w:val="20"/>
          <w:lang w:val="fr-FR"/>
        </w:rPr>
      </w:pPr>
      <w:r w:rsidRPr="00FC05E3">
        <w:rPr>
          <w:i/>
          <w:iCs/>
          <w:sz w:val="20"/>
          <w:szCs w:val="20"/>
          <w:lang w:val="fr-FR"/>
        </w:rPr>
        <w:t>Les Parties et non-Parties, notamment les États de l’aire de répartition du bec-en-ciseaux à collier (Rynchops albicollis), de même que les organisations et parties prenantes concernées, sont encouragés à progresser rapidement dans l'élaboration d'une proposition d'inscription de l'espèce à l'Annexe I de la CMS et d'un plan d'action pour une seule espèce, ainsi que dans sa mise en œuvre, y compris la poursuite de l'étude de l'état de l'espèce, pour examen à la COP15.</w:t>
      </w:r>
    </w:p>
    <w:p w14:paraId="21B3F0FE" w14:textId="2EF183BD" w:rsidR="00D9464D" w:rsidRDefault="00D9464D" w:rsidP="00FC05E3">
      <w:pPr>
        <w:pStyle w:val="ListParagraph"/>
        <w:spacing w:after="0" w:line="240" w:lineRule="auto"/>
        <w:ind w:left="709"/>
        <w:jc w:val="both"/>
        <w:rPr>
          <w:i/>
          <w:iCs/>
          <w:sz w:val="20"/>
          <w:szCs w:val="20"/>
          <w:lang w:val="fr-FR"/>
        </w:rPr>
      </w:pPr>
      <w:r>
        <w:rPr>
          <w:i/>
          <w:iCs/>
          <w:sz w:val="20"/>
          <w:szCs w:val="20"/>
          <w:lang w:val="fr-FR"/>
        </w:rPr>
        <w:br w:type="page"/>
      </w:r>
    </w:p>
    <w:p w14:paraId="6790358E" w14:textId="1D6F4088" w:rsidR="00B261FB" w:rsidRDefault="00390AED" w:rsidP="00FC05E3">
      <w:pPr>
        <w:pStyle w:val="ListParagraph"/>
        <w:spacing w:after="0" w:line="240" w:lineRule="auto"/>
        <w:ind w:left="709"/>
        <w:jc w:val="both"/>
        <w:rPr>
          <w:b/>
          <w:bCs/>
          <w:i/>
          <w:iCs/>
          <w:sz w:val="20"/>
          <w:szCs w:val="20"/>
          <w:lang w:val="fr-FR"/>
        </w:rPr>
      </w:pPr>
      <w:r w:rsidRPr="00FC05E3">
        <w:rPr>
          <w:b/>
          <w:bCs/>
          <w:i/>
          <w:iCs/>
          <w:sz w:val="20"/>
          <w:szCs w:val="20"/>
          <w:lang w:val="fr-FR"/>
        </w:rPr>
        <w:lastRenderedPageBreak/>
        <w:t xml:space="preserve">14.145 </w:t>
      </w:r>
      <w:r w:rsidR="00B261FB" w:rsidRPr="00FC05E3">
        <w:rPr>
          <w:b/>
          <w:bCs/>
          <w:i/>
          <w:iCs/>
          <w:sz w:val="20"/>
          <w:szCs w:val="20"/>
          <w:lang w:val="fr-FR"/>
        </w:rPr>
        <w:t>à l’adresse des Parties et non-parties, des OIG, des ONG et des autres parties prenantes</w:t>
      </w:r>
    </w:p>
    <w:p w14:paraId="6E072120" w14:textId="77777777" w:rsidR="00E8392D" w:rsidRDefault="00E8392D" w:rsidP="00FC05E3">
      <w:pPr>
        <w:pStyle w:val="ListParagraph"/>
        <w:spacing w:after="0" w:line="240" w:lineRule="auto"/>
        <w:ind w:left="709"/>
        <w:jc w:val="both"/>
        <w:rPr>
          <w:b/>
          <w:bCs/>
          <w:i/>
          <w:iCs/>
          <w:sz w:val="20"/>
          <w:szCs w:val="20"/>
          <w:lang w:val="fr-FR"/>
        </w:rPr>
      </w:pPr>
    </w:p>
    <w:p w14:paraId="28C97991" w14:textId="3E1502AA" w:rsidR="00166945" w:rsidRPr="00166945" w:rsidRDefault="00166945" w:rsidP="00FC05E3">
      <w:pPr>
        <w:pStyle w:val="ListParagraph"/>
        <w:spacing w:after="0" w:line="240" w:lineRule="auto"/>
        <w:ind w:left="709"/>
        <w:jc w:val="both"/>
        <w:rPr>
          <w:i/>
          <w:iCs/>
          <w:sz w:val="20"/>
          <w:szCs w:val="20"/>
          <w:lang w:val="fr-FR"/>
        </w:rPr>
      </w:pPr>
      <w:r w:rsidRPr="00166945">
        <w:rPr>
          <w:i/>
          <w:iCs/>
          <w:sz w:val="20"/>
          <w:szCs w:val="20"/>
          <w:lang w:val="fr-FR"/>
        </w:rPr>
        <w:t>Les Parties et non-Parties, notamment les États de l'aire de répartition de l'aigle des steppes (Aquila nipalensis), de même que les organisations et parties prenantes concernées, sont invités à progresser rapidement dans l’élaboration et la mise en œuvre d'un Plan d'action par espèce, en particulier dans le cadre de l'Initiative pour la voie de migration d'Asie centrale visée dans la Résolution 14.13, et notamment à étudier plus avant l’état de cette espèce, à rendre compte des progrès réalisés et à présenter des mesures envisageables au titre de la CMS pour adoption à la COP15, le cas échéant.</w:t>
      </w:r>
    </w:p>
    <w:p w14:paraId="0418EBF5" w14:textId="77777777" w:rsidR="00B261FB" w:rsidRPr="00BB75B0" w:rsidRDefault="00B261FB" w:rsidP="00BB75B0">
      <w:pPr>
        <w:spacing w:after="0" w:line="240" w:lineRule="auto"/>
        <w:jc w:val="both"/>
        <w:rPr>
          <w:i/>
          <w:iCs/>
          <w:sz w:val="20"/>
          <w:szCs w:val="20"/>
          <w:lang w:val="fr-FR"/>
        </w:rPr>
      </w:pPr>
    </w:p>
    <w:p w14:paraId="73604916" w14:textId="77777777" w:rsidR="00802728" w:rsidRDefault="00DA12FB" w:rsidP="00FC05E3">
      <w:pPr>
        <w:pStyle w:val="ListParagraph"/>
        <w:spacing w:after="0"/>
        <w:ind w:left="709"/>
        <w:jc w:val="both"/>
        <w:rPr>
          <w:i/>
          <w:iCs/>
          <w:sz w:val="20"/>
          <w:szCs w:val="20"/>
          <w:lang w:val="fr-FR"/>
        </w:rPr>
      </w:pPr>
      <w:r w:rsidRPr="00DA12FB">
        <w:rPr>
          <w:b/>
          <w:bCs/>
          <w:i/>
          <w:iCs/>
          <w:sz w:val="20"/>
          <w:szCs w:val="20"/>
          <w:lang w:val="fr-FR"/>
        </w:rPr>
        <w:t xml:space="preserve">Décision </w:t>
      </w:r>
      <w:r w:rsidRPr="00802728">
        <w:rPr>
          <w:b/>
          <w:bCs/>
          <w:i/>
          <w:iCs/>
          <w:sz w:val="20"/>
          <w:szCs w:val="20"/>
          <w:lang w:val="fr-FR"/>
        </w:rPr>
        <w:t xml:space="preserve">146. </w:t>
      </w:r>
      <w:r w:rsidRPr="00DA12FB">
        <w:rPr>
          <w:b/>
          <w:bCs/>
          <w:i/>
          <w:iCs/>
          <w:sz w:val="20"/>
          <w:szCs w:val="20"/>
          <w:lang w:val="fr-FR"/>
        </w:rPr>
        <w:t>à l’adresse du Comité permanent</w:t>
      </w:r>
      <w:r w:rsidRPr="00DA12FB">
        <w:rPr>
          <w:i/>
          <w:iCs/>
          <w:sz w:val="20"/>
          <w:szCs w:val="20"/>
          <w:lang w:val="fr-FR"/>
        </w:rPr>
        <w:t xml:space="preserve"> </w:t>
      </w:r>
    </w:p>
    <w:p w14:paraId="7C8756C6" w14:textId="77777777" w:rsidR="00802728" w:rsidRDefault="00802728" w:rsidP="00FC05E3">
      <w:pPr>
        <w:pStyle w:val="ListParagraph"/>
        <w:spacing w:after="0"/>
        <w:ind w:left="709"/>
        <w:jc w:val="both"/>
        <w:rPr>
          <w:i/>
          <w:iCs/>
          <w:sz w:val="20"/>
          <w:szCs w:val="20"/>
          <w:lang w:val="fr-FR"/>
        </w:rPr>
      </w:pPr>
    </w:p>
    <w:p w14:paraId="133A90AC" w14:textId="66DC6AC8" w:rsidR="00DA12FB" w:rsidRPr="00802728" w:rsidRDefault="00DA12FB" w:rsidP="00802728">
      <w:pPr>
        <w:pStyle w:val="ListParagraph"/>
        <w:spacing w:after="0"/>
        <w:ind w:left="709"/>
        <w:jc w:val="both"/>
        <w:rPr>
          <w:i/>
          <w:iCs/>
          <w:sz w:val="20"/>
          <w:szCs w:val="20"/>
          <w:lang w:val="fr-FR"/>
        </w:rPr>
      </w:pPr>
      <w:r w:rsidRPr="00DA12FB">
        <w:rPr>
          <w:i/>
          <w:iCs/>
          <w:sz w:val="20"/>
          <w:szCs w:val="20"/>
          <w:lang w:val="fr-FR"/>
        </w:rPr>
        <w:t>Après consultation du Conseil scientifique, le Comité permanent examinera et adoptera le plan d'action pour le</w:t>
      </w:r>
      <w:r w:rsidR="009E254E">
        <w:rPr>
          <w:i/>
          <w:iCs/>
          <w:sz w:val="20"/>
          <w:szCs w:val="20"/>
          <w:lang w:val="fr-FR"/>
        </w:rPr>
        <w:t xml:space="preserve"> </w:t>
      </w:r>
      <w:r w:rsidRPr="00802728">
        <w:rPr>
          <w:i/>
          <w:iCs/>
          <w:sz w:val="20"/>
          <w:szCs w:val="20"/>
          <w:lang w:val="fr-FR"/>
        </w:rPr>
        <w:t>Faucon concolore dès sa finalisation, pendant la période intersessions séparant la COP14 et la COP15.</w:t>
      </w:r>
    </w:p>
    <w:p w14:paraId="34E6D68A" w14:textId="77777777" w:rsidR="00DA12FB" w:rsidRPr="00FC05E3" w:rsidRDefault="00DA12FB" w:rsidP="00FC05E3">
      <w:pPr>
        <w:pStyle w:val="ListParagraph"/>
        <w:spacing w:after="0" w:line="240" w:lineRule="auto"/>
        <w:ind w:left="709"/>
        <w:jc w:val="both"/>
        <w:rPr>
          <w:i/>
          <w:iCs/>
          <w:sz w:val="20"/>
          <w:szCs w:val="20"/>
          <w:lang w:val="fr-FR"/>
        </w:rPr>
      </w:pPr>
    </w:p>
    <w:p w14:paraId="6AB220B5" w14:textId="77777777" w:rsidR="009E254E" w:rsidRDefault="00DA12FB" w:rsidP="00FC05E3">
      <w:pPr>
        <w:pStyle w:val="ListParagraph"/>
        <w:spacing w:after="0" w:line="240" w:lineRule="auto"/>
        <w:ind w:left="709"/>
        <w:jc w:val="both"/>
        <w:rPr>
          <w:i/>
          <w:iCs/>
          <w:sz w:val="20"/>
          <w:szCs w:val="20"/>
          <w:lang w:val="fr-FR"/>
        </w:rPr>
      </w:pPr>
      <w:r w:rsidRPr="009E254E">
        <w:rPr>
          <w:b/>
          <w:bCs/>
          <w:i/>
          <w:iCs/>
          <w:sz w:val="20"/>
          <w:szCs w:val="20"/>
          <w:lang w:val="fr-FR"/>
        </w:rPr>
        <w:t>Décision 147 à l’adresse du Secrétariat</w:t>
      </w:r>
      <w:r w:rsidRPr="00FC05E3">
        <w:rPr>
          <w:i/>
          <w:iCs/>
          <w:sz w:val="20"/>
          <w:szCs w:val="20"/>
          <w:lang w:val="fr-FR"/>
        </w:rPr>
        <w:t xml:space="preserve"> </w:t>
      </w:r>
    </w:p>
    <w:p w14:paraId="13CE97B5" w14:textId="77777777" w:rsidR="009E254E" w:rsidRDefault="009E254E" w:rsidP="00FC05E3">
      <w:pPr>
        <w:pStyle w:val="ListParagraph"/>
        <w:spacing w:after="0" w:line="240" w:lineRule="auto"/>
        <w:ind w:left="709"/>
        <w:jc w:val="both"/>
        <w:rPr>
          <w:i/>
          <w:iCs/>
          <w:sz w:val="20"/>
          <w:szCs w:val="20"/>
          <w:lang w:val="fr-FR"/>
        </w:rPr>
      </w:pPr>
    </w:p>
    <w:p w14:paraId="5EC12864" w14:textId="77777777" w:rsidR="009E254E" w:rsidRDefault="00DA12FB" w:rsidP="00FC05E3">
      <w:pPr>
        <w:pStyle w:val="ListParagraph"/>
        <w:spacing w:after="0" w:line="240" w:lineRule="auto"/>
        <w:ind w:left="709"/>
        <w:jc w:val="both"/>
        <w:rPr>
          <w:i/>
          <w:iCs/>
          <w:sz w:val="20"/>
          <w:szCs w:val="20"/>
          <w:lang w:val="fr-FR"/>
        </w:rPr>
      </w:pPr>
      <w:r w:rsidRPr="00FC05E3">
        <w:rPr>
          <w:i/>
          <w:iCs/>
          <w:sz w:val="20"/>
          <w:szCs w:val="20"/>
          <w:lang w:val="fr-FR"/>
        </w:rPr>
        <w:t xml:space="preserve">Le Secrétariat est chargé de : </w:t>
      </w:r>
    </w:p>
    <w:p w14:paraId="016D4B3B" w14:textId="77777777" w:rsidR="009D0DC1" w:rsidRDefault="009D0DC1" w:rsidP="00FC05E3">
      <w:pPr>
        <w:pStyle w:val="ListParagraph"/>
        <w:spacing w:after="0" w:line="240" w:lineRule="auto"/>
        <w:ind w:left="709"/>
        <w:jc w:val="both"/>
        <w:rPr>
          <w:i/>
          <w:iCs/>
          <w:sz w:val="20"/>
          <w:szCs w:val="20"/>
          <w:lang w:val="fr-FR"/>
        </w:rPr>
      </w:pPr>
    </w:p>
    <w:p w14:paraId="6AA1EAD0" w14:textId="67934DE3" w:rsidR="009D0DC1" w:rsidRDefault="00DA12FB" w:rsidP="009D0DC1">
      <w:pPr>
        <w:pStyle w:val="ListParagraph"/>
        <w:spacing w:after="0" w:line="240" w:lineRule="auto"/>
        <w:ind w:left="1134" w:hanging="425"/>
        <w:jc w:val="both"/>
        <w:rPr>
          <w:i/>
          <w:iCs/>
          <w:sz w:val="20"/>
          <w:szCs w:val="20"/>
          <w:lang w:val="fr-FR"/>
        </w:rPr>
      </w:pPr>
      <w:r w:rsidRPr="00FC05E3">
        <w:rPr>
          <w:i/>
          <w:iCs/>
          <w:sz w:val="20"/>
          <w:szCs w:val="20"/>
          <w:lang w:val="fr-FR"/>
        </w:rPr>
        <w:t xml:space="preserve">a) </w:t>
      </w:r>
      <w:r w:rsidR="009D0DC1">
        <w:rPr>
          <w:i/>
          <w:iCs/>
          <w:sz w:val="20"/>
          <w:szCs w:val="20"/>
          <w:lang w:val="fr-FR"/>
        </w:rPr>
        <w:tab/>
      </w:r>
      <w:r w:rsidRPr="00FC05E3">
        <w:rPr>
          <w:i/>
          <w:iCs/>
          <w:sz w:val="20"/>
          <w:szCs w:val="20"/>
          <w:lang w:val="fr-FR"/>
        </w:rPr>
        <w:t xml:space="preserve">porter les plans d’action à l’attention de tous les États de l’aire de répartition et organisations intergouvernementales concernées, d’inviter les États de l’aire de répartition qui ne sont pas encore Parties à la CMS à ratifier ou adhérer à la Convention (ou tout au moins à soutenir le plan d’action pertinent) et à suivre et rendre compte de la mise en œuvre de ces plans d’action au cours de la période intersessions menant à la 15e Session de la Conférence des Parties (COP15) ; et </w:t>
      </w:r>
    </w:p>
    <w:p w14:paraId="5F2784A5" w14:textId="77777777" w:rsidR="009D0DC1" w:rsidRDefault="009D0DC1" w:rsidP="009D0DC1">
      <w:pPr>
        <w:pStyle w:val="ListParagraph"/>
        <w:spacing w:after="0" w:line="240" w:lineRule="auto"/>
        <w:ind w:left="1134" w:hanging="425"/>
        <w:jc w:val="both"/>
        <w:rPr>
          <w:i/>
          <w:iCs/>
          <w:sz w:val="20"/>
          <w:szCs w:val="20"/>
          <w:lang w:val="fr-FR"/>
        </w:rPr>
      </w:pPr>
    </w:p>
    <w:p w14:paraId="5413F40A" w14:textId="191FE41F" w:rsidR="00DA12FB" w:rsidRDefault="00DA12FB" w:rsidP="009D0DC1">
      <w:pPr>
        <w:pStyle w:val="ListParagraph"/>
        <w:spacing w:after="0" w:line="240" w:lineRule="auto"/>
        <w:ind w:left="1134" w:hanging="425"/>
        <w:jc w:val="both"/>
        <w:rPr>
          <w:i/>
          <w:iCs/>
          <w:sz w:val="20"/>
          <w:szCs w:val="20"/>
          <w:lang w:val="fr-FR"/>
        </w:rPr>
      </w:pPr>
      <w:r w:rsidRPr="00FC05E3">
        <w:rPr>
          <w:i/>
          <w:iCs/>
          <w:sz w:val="20"/>
          <w:szCs w:val="20"/>
          <w:lang w:val="fr-FR"/>
        </w:rPr>
        <w:t xml:space="preserve">b) </w:t>
      </w:r>
      <w:r w:rsidR="009D0DC1">
        <w:rPr>
          <w:i/>
          <w:iCs/>
          <w:sz w:val="20"/>
          <w:szCs w:val="20"/>
          <w:lang w:val="fr-FR"/>
        </w:rPr>
        <w:tab/>
      </w:r>
      <w:r w:rsidRPr="00FC05E3">
        <w:rPr>
          <w:i/>
          <w:iCs/>
          <w:sz w:val="20"/>
          <w:szCs w:val="20"/>
          <w:lang w:val="fr-FR"/>
        </w:rPr>
        <w:t>de travailler en coordination avec le Secrétariat du Partenariat sur l’itinéraire aérien Asie orientale-Australasie (EAFP) s’agissant de la mise en œuvre des Plans d’action pour le fuligule de Baer, le courlis de Sibérie, la frégate d’Andrews, le pélican dalmate et l’érismature à tête blanche, et avec le Secrétariat de l’Accord sur la conservation des oiseaux d’eau migrateurs d’Afrique de l’Eurasie (AEWA) s’agissant des Plans d’action pour le pélican dalmate et l’érismature à tête blanche au cours de la période intersessions menant à la COP15 ;</w:t>
      </w:r>
    </w:p>
    <w:p w14:paraId="6403EA6B" w14:textId="77777777" w:rsidR="009D0DC1" w:rsidRDefault="009D0DC1" w:rsidP="00716885">
      <w:pPr>
        <w:pStyle w:val="ListParagraph"/>
        <w:spacing w:after="0" w:line="240" w:lineRule="auto"/>
        <w:ind w:left="567" w:hanging="567"/>
        <w:jc w:val="both"/>
        <w:rPr>
          <w:lang w:val="fr-FR"/>
        </w:rPr>
      </w:pPr>
    </w:p>
    <w:p w14:paraId="005AD47F" w14:textId="77777777" w:rsidR="00716885" w:rsidRPr="00050EA2" w:rsidRDefault="00716885" w:rsidP="00716885">
      <w:pPr>
        <w:spacing w:after="0" w:line="240" w:lineRule="auto"/>
        <w:contextualSpacing/>
        <w:jc w:val="both"/>
        <w:rPr>
          <w:rFonts w:cs="Arial"/>
          <w:u w:val="single"/>
          <w:lang w:val="fr-FR"/>
        </w:rPr>
      </w:pPr>
      <w:r w:rsidRPr="00050EA2">
        <w:rPr>
          <w:rFonts w:cs="Arial"/>
          <w:u w:val="single"/>
          <w:lang w:val="fr-FR"/>
        </w:rPr>
        <w:t>Activités de mise en œuvre des Résolutions 05.09 (Rev.COP12) et 12.12 (Rev.COP14) et des décisions 14.144–14.147</w:t>
      </w:r>
    </w:p>
    <w:p w14:paraId="06C9A20F" w14:textId="77777777" w:rsidR="00716885" w:rsidRPr="00716885" w:rsidRDefault="00716885" w:rsidP="00716885">
      <w:pPr>
        <w:spacing w:after="0" w:line="240" w:lineRule="auto"/>
        <w:jc w:val="both"/>
        <w:rPr>
          <w:lang w:val="fr-FR"/>
        </w:rPr>
      </w:pPr>
    </w:p>
    <w:p w14:paraId="05CD5471" w14:textId="77777777" w:rsidR="004A0C71" w:rsidRPr="00050EA2" w:rsidRDefault="00FE3E5B" w:rsidP="004A0C71">
      <w:pPr>
        <w:numPr>
          <w:ilvl w:val="0"/>
          <w:numId w:val="2"/>
        </w:numPr>
        <w:spacing w:after="80" w:line="240" w:lineRule="auto"/>
        <w:ind w:left="540" w:hanging="540"/>
        <w:contextualSpacing/>
        <w:jc w:val="both"/>
        <w:rPr>
          <w:rFonts w:cs="Arial"/>
          <w:iCs/>
          <w:lang w:val="fr-FR"/>
        </w:rPr>
      </w:pPr>
      <w:r w:rsidRPr="003B3330">
        <w:rPr>
          <w:iCs/>
          <w:lang w:val="fr-FR"/>
        </w:rPr>
        <w:t xml:space="preserve">Le Secrétariat a soutenu la mise en œuvre des plans d'action pour les oiseaux adoptés dans le cadre de la CMS à travers divers processus, en coopération avec les Parties et d'autres États de l'aire de répartition non-Parties et les parties prenantes. </w:t>
      </w:r>
      <w:r w:rsidR="004A0C71" w:rsidRPr="00050EA2">
        <w:rPr>
          <w:rFonts w:cs="Arial"/>
          <w:iCs/>
          <w:lang w:val="fr-FR"/>
        </w:rPr>
        <w:t>Conformément à la décision 14.147, le Secrétariat de la CMS a tenu plusieurs réunions de coordination et des échanges d'informations</w:t>
      </w:r>
      <w:r w:rsidR="004A0C71" w:rsidRPr="00050EA2">
        <w:rPr>
          <w:rFonts w:cs="Arial"/>
          <w:iCs/>
          <w:color w:val="000000" w:themeColor="text1"/>
          <w:lang w:val="fr-FR"/>
        </w:rPr>
        <w:t xml:space="preserve"> </w:t>
      </w:r>
      <w:r w:rsidR="004A0C71" w:rsidRPr="00050EA2">
        <w:rPr>
          <w:rFonts w:cs="Arial"/>
          <w:iCs/>
          <w:lang w:val="fr-FR"/>
        </w:rPr>
        <w:t>avec les Secrétariats de l'Accord sur la conservation des oiseaux d'eau migrateurs d'Afrique-Eurasie (AEWA) et le Partenariat pour la voie de migration Asie de l'Est-Australasie (EAAFP), les avancées suivantes étant menées par le Secrétariat de l'AEWA :</w:t>
      </w:r>
    </w:p>
    <w:p w14:paraId="4123537A" w14:textId="312D1778" w:rsidR="009D0DC1" w:rsidRPr="004A0C71" w:rsidRDefault="009D0DC1" w:rsidP="004A0C71">
      <w:pPr>
        <w:pStyle w:val="ListParagraph"/>
        <w:spacing w:after="0" w:line="240" w:lineRule="auto"/>
        <w:ind w:left="567"/>
        <w:jc w:val="both"/>
        <w:rPr>
          <w:lang w:val="fr-FR"/>
        </w:rPr>
      </w:pPr>
    </w:p>
    <w:p w14:paraId="4C45A95F" w14:textId="77777777" w:rsidR="00482E73" w:rsidRPr="00050EA2" w:rsidRDefault="00482E73" w:rsidP="00482E73">
      <w:pPr>
        <w:pStyle w:val="ListParagraph"/>
        <w:numPr>
          <w:ilvl w:val="0"/>
          <w:numId w:val="10"/>
        </w:numPr>
        <w:spacing w:after="0" w:line="240" w:lineRule="auto"/>
        <w:jc w:val="both"/>
        <w:rPr>
          <w:rFonts w:eastAsia="Times New Roman"/>
          <w:lang w:val="fr-FR"/>
        </w:rPr>
      </w:pPr>
      <w:hyperlink r:id="rId15" w:history="1">
        <w:r w:rsidRPr="00050EA2">
          <w:rPr>
            <w:rStyle w:val="Hyperlink"/>
            <w:rFonts w:eastAsia="Times New Roman"/>
            <w:lang w:val="fr-FR"/>
          </w:rPr>
          <w:t>Pélican Frisé (</w:t>
        </w:r>
        <w:r w:rsidRPr="00050EA2">
          <w:rPr>
            <w:rStyle w:val="Hyperlink"/>
            <w:rFonts w:eastAsia="Times New Roman"/>
            <w:i/>
            <w:iCs/>
            <w:lang w:val="fr-FR"/>
          </w:rPr>
          <w:t>Pelecanus crispus</w:t>
        </w:r>
        <w:r w:rsidRPr="00050EA2">
          <w:rPr>
            <w:rStyle w:val="Hyperlink"/>
            <w:rFonts w:eastAsia="Times New Roman"/>
            <w:lang w:val="fr-FR"/>
          </w:rPr>
          <w:t>)</w:t>
        </w:r>
      </w:hyperlink>
      <w:r w:rsidRPr="00050EA2">
        <w:rPr>
          <w:rFonts w:eastAsia="Times New Roman"/>
          <w:lang w:val="fr-FR"/>
        </w:rPr>
        <w:t xml:space="preserve"> :</w:t>
      </w:r>
    </w:p>
    <w:p w14:paraId="277F82FF" w14:textId="77777777" w:rsidR="00482E73" w:rsidRPr="00050EA2" w:rsidRDefault="00482E73" w:rsidP="00482E73">
      <w:pPr>
        <w:pStyle w:val="ListParagraph"/>
        <w:spacing w:after="0" w:line="240" w:lineRule="auto"/>
        <w:ind w:left="900"/>
        <w:jc w:val="both"/>
        <w:rPr>
          <w:rFonts w:eastAsia="Times New Roman"/>
          <w:lang w:val="fr-FR"/>
        </w:rPr>
      </w:pPr>
    </w:p>
    <w:p w14:paraId="61D1302D" w14:textId="77777777" w:rsidR="00482E73" w:rsidRPr="00050EA2" w:rsidRDefault="00482E73" w:rsidP="00482E73">
      <w:pPr>
        <w:pStyle w:val="ListParagraph"/>
        <w:spacing w:after="0" w:line="240" w:lineRule="auto"/>
        <w:ind w:left="900"/>
        <w:jc w:val="both"/>
        <w:rPr>
          <w:rFonts w:eastAsia="Times New Roman"/>
          <w:lang w:val="fr-FR"/>
        </w:rPr>
      </w:pPr>
      <w:r w:rsidRPr="00050EA2">
        <w:rPr>
          <w:rFonts w:eastAsia="Times New Roman"/>
          <w:lang w:val="fr-FR"/>
        </w:rPr>
        <w:t xml:space="preserve">Le Secrétariat de l'AEWA a conclu un protocole d'accord avec la Société pour la Protection de </w:t>
      </w:r>
      <w:r w:rsidRPr="00050EA2">
        <w:rPr>
          <w:rFonts w:eastAsia="Times New Roman"/>
          <w:color w:val="000000" w:themeColor="text1"/>
          <w:lang w:val="fr-FR"/>
        </w:rPr>
        <w:t>Prespa</w:t>
      </w:r>
      <w:r w:rsidRPr="00050EA2">
        <w:rPr>
          <w:rFonts w:eastAsia="Times New Roman"/>
          <w:lang w:val="fr-FR"/>
        </w:rPr>
        <w:t xml:space="preserve"> (SPP</w:t>
      </w:r>
      <w:r w:rsidRPr="00050EA2">
        <w:rPr>
          <w:rFonts w:eastAsia="Times New Roman" w:cs="Arial"/>
          <w:lang w:val="fr-FR"/>
        </w:rPr>
        <w:t>).</w:t>
      </w:r>
      <w:r w:rsidRPr="00050EA2">
        <w:rPr>
          <w:rStyle w:val="FootnoteReference"/>
          <w:rFonts w:eastAsia="Times New Roman" w:cs="Arial"/>
          <w:lang w:val="fr-FR"/>
        </w:rPr>
        <w:footnoteReference w:id="5"/>
      </w:r>
      <w:r w:rsidRPr="00050EA2">
        <w:rPr>
          <w:rFonts w:eastAsia="Times New Roman" w:cs="Arial"/>
          <w:vertAlign w:val="superscript"/>
          <w:lang w:val="fr-FR"/>
        </w:rPr>
        <w:t xml:space="preserve"> </w:t>
      </w:r>
      <w:r w:rsidRPr="00050EA2">
        <w:rPr>
          <w:rFonts w:eastAsia="Times New Roman" w:cs="Arial"/>
          <w:lang w:val="fr-FR"/>
        </w:rPr>
        <w:t>D</w:t>
      </w:r>
      <w:r w:rsidRPr="00050EA2">
        <w:rPr>
          <w:rFonts w:eastAsia="Times New Roman"/>
          <w:lang w:val="fr-FR"/>
        </w:rPr>
        <w:t xml:space="preserve">ans le cadre de cet accord, la SPP fournit un coordinateur pour un Groupe de travail international (GTI) de l'AEWA consacré au Pélican Frisé. Les États de l'aire de répartition ont été invités à désigner des représentants gouvernementaux et des experts nationaux pour siéger au sein du </w:t>
      </w:r>
      <w:r w:rsidRPr="00050EA2">
        <w:rPr>
          <w:rFonts w:eastAsia="Times New Roman"/>
          <w:lang w:val="fr-FR"/>
        </w:rPr>
        <w:lastRenderedPageBreak/>
        <w:t xml:space="preserve">GTI, et une première réunion en ligne sera organisée avant la fin de l'année 2025. </w:t>
      </w:r>
      <w:r w:rsidRPr="00050EA2">
        <w:rPr>
          <w:rFonts w:eastAsia="Times New Roman"/>
          <w:color w:val="000000" w:themeColor="text1"/>
          <w:lang w:val="fr-FR"/>
        </w:rPr>
        <w:t>Un projet notable,</w:t>
      </w:r>
      <w:r w:rsidRPr="00050EA2">
        <w:rPr>
          <w:rFonts w:eastAsia="Times New Roman"/>
          <w:lang w:val="fr-FR"/>
        </w:rPr>
        <w:t xml:space="preserve"> le Pelican Way of LIFE (LIFE18 NAT/NL/000716), vise à conserver l'espèce le long de la voie de migration mer Noire-Méditerranée sur 27 sites en Roumanie, Bulgarie, Grèce et Ukraine. Le projet est coordonné par la Société Ornithologique Hellénique (HOS, BirdLife en Grèce) et se déroule de 2019 à 2025.</w:t>
      </w:r>
      <w:r w:rsidRPr="00050EA2">
        <w:rPr>
          <w:rFonts w:eastAsia="Times New Roman"/>
          <w:color w:val="000000" w:themeColor="text1"/>
          <w:lang w:val="fr-FR"/>
        </w:rPr>
        <w:t xml:space="preserve"> Il</w:t>
      </w:r>
      <w:r w:rsidRPr="00050EA2">
        <w:rPr>
          <w:rFonts w:eastAsia="Times New Roman"/>
          <w:lang w:val="fr-FR"/>
        </w:rPr>
        <w:t xml:space="preserve"> soutient également le renforcement des capacités et les activités de recherche en Türkiye, en Albanie, au Monténégro et en Macédoine du Nord (</w:t>
      </w:r>
      <w:hyperlink r:id="rId16">
        <w:r w:rsidRPr="00050EA2">
          <w:rPr>
            <w:rStyle w:val="Hyperlink"/>
            <w:rFonts w:eastAsia="Times New Roman"/>
            <w:lang w:val="fr-FR"/>
          </w:rPr>
          <w:t>https://life-pelicans.com/</w:t>
        </w:r>
      </w:hyperlink>
      <w:r w:rsidRPr="00050EA2">
        <w:rPr>
          <w:rFonts w:eastAsia="Times New Roman"/>
          <w:lang w:val="fr-FR"/>
        </w:rPr>
        <w:t>).</w:t>
      </w:r>
    </w:p>
    <w:p w14:paraId="31320963" w14:textId="77777777" w:rsidR="00482E73" w:rsidRPr="00050EA2" w:rsidRDefault="00482E73" w:rsidP="00482E73">
      <w:pPr>
        <w:pStyle w:val="ListParagraph"/>
        <w:spacing w:after="0" w:line="240" w:lineRule="auto"/>
        <w:ind w:left="900"/>
        <w:jc w:val="both"/>
        <w:rPr>
          <w:rFonts w:eastAsia="Times New Roman"/>
          <w:lang w:val="fr-FR"/>
        </w:rPr>
      </w:pPr>
    </w:p>
    <w:p w14:paraId="679EE90A" w14:textId="77777777" w:rsidR="00482E73" w:rsidRPr="00050EA2" w:rsidRDefault="00482E73" w:rsidP="00482E73">
      <w:pPr>
        <w:pStyle w:val="ListParagraph"/>
        <w:numPr>
          <w:ilvl w:val="0"/>
          <w:numId w:val="10"/>
        </w:numPr>
        <w:spacing w:after="0" w:line="240" w:lineRule="auto"/>
        <w:jc w:val="both"/>
        <w:rPr>
          <w:rFonts w:eastAsia="Times New Roman"/>
          <w:lang w:val="fr-FR"/>
        </w:rPr>
      </w:pPr>
      <w:hyperlink r:id="rId17" w:history="1">
        <w:r w:rsidRPr="00050EA2">
          <w:rPr>
            <w:rStyle w:val="Hyperlink"/>
            <w:rFonts w:eastAsia="Times New Roman"/>
            <w:lang w:val="fr-FR"/>
          </w:rPr>
          <w:t>Érismature à tête blanche (</w:t>
        </w:r>
        <w:r w:rsidRPr="00050EA2">
          <w:rPr>
            <w:rStyle w:val="Hyperlink"/>
            <w:rFonts w:eastAsia="Times New Roman"/>
            <w:i/>
            <w:iCs/>
            <w:lang w:val="fr-FR"/>
          </w:rPr>
          <w:t>Oxyura leucocephala</w:t>
        </w:r>
        <w:r w:rsidRPr="00050EA2">
          <w:rPr>
            <w:rStyle w:val="Hyperlink"/>
            <w:rFonts w:eastAsia="Times New Roman"/>
            <w:lang w:val="fr-FR"/>
          </w:rPr>
          <w:t>)</w:t>
        </w:r>
      </w:hyperlink>
      <w:r w:rsidRPr="00050EA2">
        <w:rPr>
          <w:rFonts w:eastAsia="Times New Roman"/>
          <w:lang w:val="fr-FR"/>
        </w:rPr>
        <w:t xml:space="preserve"> :</w:t>
      </w:r>
    </w:p>
    <w:p w14:paraId="565F08D0" w14:textId="77777777" w:rsidR="00482E73" w:rsidRPr="00050EA2" w:rsidRDefault="00482E73" w:rsidP="00482E73">
      <w:pPr>
        <w:pStyle w:val="ListParagraph"/>
        <w:spacing w:after="0" w:line="240" w:lineRule="auto"/>
        <w:ind w:left="900"/>
        <w:jc w:val="both"/>
        <w:rPr>
          <w:rFonts w:eastAsia="Times New Roman"/>
          <w:lang w:val="fr-FR"/>
        </w:rPr>
      </w:pPr>
    </w:p>
    <w:p w14:paraId="16E1E7C9" w14:textId="77777777" w:rsidR="00482E73" w:rsidRPr="00050EA2" w:rsidRDefault="00482E73" w:rsidP="00482E73">
      <w:pPr>
        <w:pStyle w:val="ListParagraph"/>
        <w:spacing w:after="0" w:line="240" w:lineRule="auto"/>
        <w:ind w:left="900"/>
        <w:jc w:val="both"/>
        <w:rPr>
          <w:rFonts w:eastAsia="Times New Roman"/>
          <w:lang w:val="fr-FR"/>
        </w:rPr>
      </w:pPr>
      <w:r w:rsidRPr="00050EA2">
        <w:rPr>
          <w:rFonts w:eastAsia="Times New Roman"/>
          <w:lang w:val="fr-FR"/>
        </w:rPr>
        <w:t xml:space="preserve">Un GTI de l'AEWA existe également pour l'érismature à tête blanche, </w:t>
      </w:r>
      <w:r w:rsidRPr="00050EA2">
        <w:rPr>
          <w:rFonts w:eastAsia="Times New Roman"/>
          <w:color w:val="000000" w:themeColor="text1"/>
          <w:lang w:val="fr-FR"/>
        </w:rPr>
        <w:t xml:space="preserve">mais le groupe </w:t>
      </w:r>
      <w:r w:rsidRPr="00050EA2">
        <w:rPr>
          <w:rFonts w:eastAsia="Times New Roman"/>
          <w:lang w:val="fr-FR"/>
        </w:rPr>
        <w:t>est en suspens depuis plusieurs années. Le Secrétariat de l'AEWA s'efforcera de relancer les activités du GTI au cours de la prochaine période triennale. La 9</w:t>
      </w:r>
      <w:r w:rsidRPr="00050EA2">
        <w:rPr>
          <w:rFonts w:eastAsia="Times New Roman"/>
          <w:vertAlign w:val="superscript"/>
          <w:lang w:val="fr-FR"/>
        </w:rPr>
        <w:t>e</w:t>
      </w:r>
      <w:r w:rsidRPr="00050EA2">
        <w:rPr>
          <w:rFonts w:eastAsia="Times New Roman"/>
          <w:lang w:val="fr-FR"/>
        </w:rPr>
        <w:t xml:space="preserve"> édition du Rapport de l'AEWA sur l'état de conservation (en cours d'élaboration au moment de la rédaction du présent document) a évalué </w:t>
      </w:r>
      <w:r w:rsidRPr="00050EA2">
        <w:rPr>
          <w:rFonts w:eastAsia="Times New Roman"/>
          <w:color w:val="000000" w:themeColor="text1"/>
          <w:lang w:val="fr-FR"/>
        </w:rPr>
        <w:t xml:space="preserve">le </w:t>
      </w:r>
      <w:r w:rsidRPr="00050EA2">
        <w:rPr>
          <w:rFonts w:eastAsia="Times New Roman"/>
          <w:lang w:val="fr-FR"/>
        </w:rPr>
        <w:t>Plan d'action international par espèce (ISSAP) pour la conservation de l'Érismature à tête blanche comme ayant fait des progrès mesurables vers son but et son objectif déclarés.</w:t>
      </w:r>
    </w:p>
    <w:p w14:paraId="7385C3C9" w14:textId="77777777" w:rsidR="00482E73" w:rsidRPr="00050EA2" w:rsidRDefault="00482E73" w:rsidP="00482E73">
      <w:pPr>
        <w:spacing w:after="80" w:line="240" w:lineRule="auto"/>
        <w:ind w:left="540"/>
        <w:contextualSpacing/>
        <w:jc w:val="both"/>
        <w:rPr>
          <w:rFonts w:cs="Arial"/>
          <w:iCs/>
          <w:lang w:val="fr-FR"/>
        </w:rPr>
      </w:pPr>
    </w:p>
    <w:p w14:paraId="6DB4F7F1" w14:textId="5E2AEBDE" w:rsidR="00482E73" w:rsidRPr="00050EA2" w:rsidRDefault="00482E73" w:rsidP="00482E73">
      <w:pPr>
        <w:numPr>
          <w:ilvl w:val="0"/>
          <w:numId w:val="2"/>
        </w:numPr>
        <w:spacing w:after="80" w:line="240" w:lineRule="auto"/>
        <w:ind w:left="540" w:hanging="540"/>
        <w:contextualSpacing/>
        <w:jc w:val="both"/>
        <w:rPr>
          <w:rFonts w:cs="Arial"/>
          <w:iCs/>
          <w:lang w:val="fr-FR"/>
        </w:rPr>
      </w:pPr>
      <w:r w:rsidRPr="00050EA2">
        <w:rPr>
          <w:rFonts w:cs="Arial"/>
          <w:iCs/>
          <w:lang w:val="fr-FR"/>
        </w:rPr>
        <w:t xml:space="preserve">En coordination avec le </w:t>
      </w:r>
      <w:r w:rsidRPr="00050EA2">
        <w:rPr>
          <w:iCs/>
          <w:lang w:val="fr-FR"/>
        </w:rPr>
        <w:t xml:space="preserve">Secrétariat de l'EAAFP, des activités contre le prélèvement illégal d'oiseaux, une menace majeure pour le fuligule de Baer, le pélican frisé, le courlis de Sibérie et la frégate d'Andrews, </w:t>
      </w:r>
      <w:r w:rsidRPr="00050EA2">
        <w:rPr>
          <w:iCs/>
          <w:color w:val="000000" w:themeColor="text1"/>
          <w:lang w:val="fr-FR"/>
        </w:rPr>
        <w:t xml:space="preserve">ont été menées par l'intermédiaire </w:t>
      </w:r>
      <w:r w:rsidRPr="00050EA2">
        <w:rPr>
          <w:iCs/>
          <w:lang w:val="fr-FR"/>
        </w:rPr>
        <w:t xml:space="preserve">du </w:t>
      </w:r>
      <w:hyperlink r:id="rId18" w:history="1">
        <w:r w:rsidRPr="00050EA2">
          <w:rPr>
            <w:rStyle w:val="Hyperlink"/>
            <w:iCs/>
            <w:lang w:val="fr-FR"/>
          </w:rPr>
          <w:t>Groupe de travail intergouvernemental sur les prélèvements illégaux d'oiseaux migrateurs en Asie-Pacifique (ITTEA)</w:t>
        </w:r>
      </w:hyperlink>
      <w:r w:rsidRPr="00050EA2">
        <w:rPr>
          <w:iCs/>
          <w:lang w:val="fr-FR"/>
        </w:rPr>
        <w:t>.</w:t>
      </w:r>
      <w:r w:rsidRPr="00050EA2">
        <w:rPr>
          <w:iCs/>
          <w:color w:val="EE0000"/>
          <w:lang w:val="fr-FR"/>
        </w:rPr>
        <w:t xml:space="preserve"> </w:t>
      </w:r>
      <w:r w:rsidRPr="00050EA2">
        <w:rPr>
          <w:iCs/>
          <w:lang w:val="fr-FR"/>
        </w:rPr>
        <w:t xml:space="preserve">L'ITTEA est considéré comme la plateforme la plus efficace pour coordonner, mettre en œuvre et promouvoir les activités relatives à la voie de migration Asie de l'Est-Australasie et, en particulier, pour répondre à la menace que représente le prélèvement illégal de ces espèces prioritaires (voir le document </w:t>
      </w:r>
      <w:r w:rsidRPr="007E3A7A">
        <w:rPr>
          <w:iCs/>
          <w:lang w:val="fr-FR"/>
        </w:rPr>
        <w:t>UNEP/CMS/COP15/Doc.</w:t>
      </w:r>
      <w:r w:rsidR="007E3A7A" w:rsidRPr="007E3A7A">
        <w:rPr>
          <w:iCs/>
          <w:lang w:val="fr-FR"/>
        </w:rPr>
        <w:t>26.1</w:t>
      </w:r>
      <w:r w:rsidRPr="007E3A7A">
        <w:rPr>
          <w:iCs/>
          <w:lang w:val="fr-FR"/>
        </w:rPr>
        <w:t>).</w:t>
      </w:r>
      <w:r w:rsidRPr="00050EA2">
        <w:rPr>
          <w:iCs/>
          <w:lang w:val="fr-FR"/>
        </w:rPr>
        <w:t xml:space="preserve"> </w:t>
      </w:r>
      <w:r w:rsidRPr="00050EA2">
        <w:rPr>
          <w:iCs/>
          <w:color w:val="000000" w:themeColor="text1"/>
          <w:lang w:val="fr-FR"/>
        </w:rPr>
        <w:t xml:space="preserve">Parmi ces activités figurent </w:t>
      </w:r>
      <w:r w:rsidRPr="00050EA2">
        <w:rPr>
          <w:iCs/>
          <w:lang w:val="fr-FR"/>
        </w:rPr>
        <w:t>:</w:t>
      </w:r>
    </w:p>
    <w:p w14:paraId="5298D78E" w14:textId="77777777" w:rsidR="00482E73" w:rsidRPr="00050EA2" w:rsidRDefault="00482E73" w:rsidP="00482E73">
      <w:pPr>
        <w:pStyle w:val="ListParagraph"/>
        <w:jc w:val="both"/>
        <w:rPr>
          <w:rFonts w:cs="Arial"/>
          <w:iCs/>
          <w:lang w:val="fr-FR"/>
        </w:rPr>
      </w:pPr>
    </w:p>
    <w:p w14:paraId="4C9237EE" w14:textId="77777777" w:rsidR="00482E73" w:rsidRPr="00050EA2" w:rsidRDefault="00482E73" w:rsidP="00482E73">
      <w:pPr>
        <w:pStyle w:val="ListParagraph"/>
        <w:numPr>
          <w:ilvl w:val="0"/>
          <w:numId w:val="9"/>
        </w:numPr>
        <w:ind w:left="900"/>
        <w:jc w:val="both"/>
        <w:rPr>
          <w:rFonts w:cs="Arial"/>
          <w:iCs/>
          <w:u w:val="single"/>
          <w:lang w:val="fr-FR"/>
        </w:rPr>
      </w:pPr>
      <w:hyperlink r:id="rId19" w:history="1">
        <w:r w:rsidRPr="00050EA2">
          <w:rPr>
            <w:rStyle w:val="Hyperlink"/>
            <w:rFonts w:cs="Arial"/>
            <w:iCs/>
            <w:lang w:val="fr-FR"/>
          </w:rPr>
          <w:t>Courlis de Sibérie (</w:t>
        </w:r>
        <w:r w:rsidRPr="00050EA2">
          <w:rPr>
            <w:rStyle w:val="Hyperlink"/>
            <w:rFonts w:cs="Arial"/>
            <w:i/>
            <w:lang w:val="fr-FR"/>
          </w:rPr>
          <w:t>Numenius madagascariensis</w:t>
        </w:r>
        <w:r w:rsidRPr="00050EA2">
          <w:rPr>
            <w:rStyle w:val="Hyperlink"/>
            <w:rFonts w:cs="Arial"/>
            <w:iCs/>
            <w:lang w:val="fr-FR"/>
          </w:rPr>
          <w:t>)</w:t>
        </w:r>
      </w:hyperlink>
      <w:r w:rsidRPr="00050EA2">
        <w:rPr>
          <w:lang w:val="fr-FR"/>
        </w:rPr>
        <w:t xml:space="preserve"> :</w:t>
      </w:r>
    </w:p>
    <w:p w14:paraId="20787B08" w14:textId="77777777" w:rsidR="00482E73" w:rsidRPr="00050EA2" w:rsidRDefault="00482E73" w:rsidP="00482E73">
      <w:pPr>
        <w:pStyle w:val="ListParagraph"/>
        <w:ind w:left="900"/>
        <w:jc w:val="both"/>
        <w:rPr>
          <w:rFonts w:cs="Arial"/>
          <w:iCs/>
          <w:u w:val="single"/>
          <w:lang w:val="fr-FR"/>
        </w:rPr>
      </w:pPr>
    </w:p>
    <w:p w14:paraId="4914A604" w14:textId="77777777" w:rsidR="00482E73" w:rsidRPr="00050EA2" w:rsidRDefault="00482E73" w:rsidP="007E3A7A">
      <w:pPr>
        <w:pStyle w:val="ListParagraph"/>
        <w:spacing w:after="0" w:line="240" w:lineRule="auto"/>
        <w:ind w:left="902"/>
        <w:contextualSpacing w:val="0"/>
        <w:jc w:val="both"/>
        <w:rPr>
          <w:rFonts w:cs="Arial"/>
          <w:iCs/>
          <w:lang w:val="fr-FR"/>
        </w:rPr>
      </w:pPr>
      <w:r w:rsidRPr="00050EA2">
        <w:rPr>
          <w:rFonts w:cs="Arial"/>
          <w:iCs/>
          <w:lang w:val="fr-FR"/>
        </w:rPr>
        <w:t xml:space="preserve">Sur la base des résultats du premier projet entrepris avec le soutien du bureau de Kuching de la Malaysian Nature Society (MNSKB ; voir le rapport à la COP14 : </w:t>
      </w:r>
      <w:hyperlink r:id="rId20" w:history="1">
        <w:r w:rsidRPr="00050EA2">
          <w:rPr>
            <w:rStyle w:val="Hyperlink"/>
            <w:rFonts w:cs="Arial"/>
            <w:iCs/>
            <w:lang w:val="fr-FR"/>
          </w:rPr>
          <w:t>UNEP/CMS/COP14/Inf.28.5.1a</w:t>
        </w:r>
      </w:hyperlink>
      <w:r w:rsidRPr="00050EA2">
        <w:rPr>
          <w:rFonts w:cs="Arial"/>
          <w:iCs/>
          <w:lang w:val="fr-FR"/>
        </w:rPr>
        <w:t xml:space="preserve">), en décembre 2024, un autre accord de financement à petite échelle (AFPE) a été signé avec la MNSKB concernant </w:t>
      </w:r>
      <w:r w:rsidRPr="00050EA2">
        <w:rPr>
          <w:rFonts w:cs="Arial"/>
          <w:i/>
          <w:lang w:val="fr-FR"/>
        </w:rPr>
        <w:t>des enquêtes et l'initiation d'un programme de suivi à long terme du courlis de Sibérie, contribuant aux estimations de référence du prélèvement illégal d'oiseaux</w:t>
      </w:r>
      <w:r w:rsidRPr="00050EA2">
        <w:rPr>
          <w:rFonts w:cs="Arial"/>
          <w:iCs/>
          <w:lang w:val="fr-FR"/>
        </w:rPr>
        <w:t>. Le projet se déroulera jusqu'en mars 2026. Ses objectifs sont les suivants : i) soutenir une nouvelle étude des sites potentiellement importants à Bornéo pour les courlis de Sibérie qui n'ont pas été visités depuis 2011, ainsi que des sites supplémentaires identifiés lors d'études exploratoires récentes ; ii) clarifier la distribution locale, la phénologie de la migration et les mouvements des courlis de Sibérie dans la baie de Bako-Buntal, zone importante pour la conservation des oiseaux et zone clé pour la biodiversité,</w:t>
      </w:r>
      <w:r w:rsidRPr="00050EA2">
        <w:rPr>
          <w:rFonts w:cs="Arial"/>
          <w:iCs/>
          <w:color w:val="000000" w:themeColor="text1"/>
          <w:lang w:val="fr-FR"/>
        </w:rPr>
        <w:t xml:space="preserve"> ainsi que </w:t>
      </w:r>
      <w:r w:rsidRPr="00050EA2">
        <w:rPr>
          <w:rFonts w:cs="Arial"/>
          <w:iCs/>
          <w:lang w:val="fr-FR"/>
        </w:rPr>
        <w:t>les sites recensés lors d'études récentes ; et iii) soutenir les activités de renforcement des capacités qui conduisent à la mise en place d'un programme de surveillance à long terme pour les zones importantes pour la conservation des oiseaux et les zones clés pour la biodiversité où le courlis de Sibérie est présent.</w:t>
      </w:r>
    </w:p>
    <w:p w14:paraId="3831C590" w14:textId="77777777" w:rsidR="00482E73" w:rsidRPr="00050EA2" w:rsidRDefault="00482E73" w:rsidP="00482E73">
      <w:pPr>
        <w:pStyle w:val="ListParagraph"/>
        <w:ind w:left="900"/>
        <w:jc w:val="both"/>
        <w:rPr>
          <w:rFonts w:cs="Arial"/>
          <w:iCs/>
          <w:lang w:val="fr-FR"/>
        </w:rPr>
      </w:pPr>
    </w:p>
    <w:p w14:paraId="6875048B" w14:textId="77777777" w:rsidR="00482E73" w:rsidRPr="00050EA2" w:rsidRDefault="00482E73" w:rsidP="00482E73">
      <w:pPr>
        <w:pStyle w:val="ListParagraph"/>
        <w:numPr>
          <w:ilvl w:val="0"/>
          <w:numId w:val="9"/>
        </w:numPr>
        <w:spacing w:after="0" w:line="240" w:lineRule="auto"/>
        <w:ind w:left="901" w:hanging="357"/>
        <w:contextualSpacing w:val="0"/>
        <w:jc w:val="both"/>
        <w:rPr>
          <w:rFonts w:cs="Arial"/>
          <w:iCs/>
          <w:lang w:val="fr-FR"/>
        </w:rPr>
      </w:pPr>
      <w:hyperlink r:id="rId21" w:history="1">
        <w:r w:rsidRPr="00050EA2">
          <w:rPr>
            <w:rStyle w:val="Hyperlink"/>
            <w:rFonts w:cs="Arial"/>
            <w:iCs/>
            <w:lang w:val="fr-FR"/>
          </w:rPr>
          <w:t>Frégate d'Andrews (</w:t>
        </w:r>
        <w:r w:rsidRPr="00050EA2">
          <w:rPr>
            <w:rStyle w:val="Hyperlink"/>
            <w:rFonts w:cs="Arial"/>
            <w:i/>
            <w:lang w:val="fr-FR"/>
          </w:rPr>
          <w:t>Fregata andrewsi</w:t>
        </w:r>
        <w:r w:rsidRPr="00050EA2">
          <w:rPr>
            <w:rStyle w:val="Hyperlink"/>
            <w:rFonts w:cs="Arial"/>
            <w:iCs/>
            <w:lang w:val="fr-FR"/>
          </w:rPr>
          <w:t>)</w:t>
        </w:r>
      </w:hyperlink>
      <w:r w:rsidRPr="00050EA2">
        <w:rPr>
          <w:rFonts w:cs="Arial"/>
          <w:iCs/>
          <w:lang w:val="fr-FR"/>
        </w:rPr>
        <w:t xml:space="preserve"> </w:t>
      </w:r>
      <w:r w:rsidRPr="00050EA2">
        <w:rPr>
          <w:rFonts w:cs="Arial"/>
          <w:iCs/>
          <w:color w:val="000000" w:themeColor="text1"/>
          <w:lang w:val="fr-FR"/>
        </w:rPr>
        <w:t>et Courlis de Sibérie</w:t>
      </w:r>
      <w:r w:rsidRPr="00050EA2">
        <w:rPr>
          <w:rFonts w:cs="Arial"/>
          <w:iCs/>
          <w:lang w:val="fr-FR"/>
        </w:rPr>
        <w:t xml:space="preserve"> :</w:t>
      </w:r>
    </w:p>
    <w:p w14:paraId="6C3C4387" w14:textId="77777777" w:rsidR="00482E73" w:rsidRPr="00050EA2" w:rsidRDefault="00482E73" w:rsidP="00482E73">
      <w:pPr>
        <w:pStyle w:val="ListParagraph"/>
        <w:spacing w:after="0" w:line="240" w:lineRule="auto"/>
        <w:ind w:left="901"/>
        <w:contextualSpacing w:val="0"/>
        <w:jc w:val="both"/>
        <w:rPr>
          <w:rFonts w:cs="Arial"/>
          <w:iCs/>
          <w:lang w:val="fr-FR"/>
        </w:rPr>
      </w:pPr>
    </w:p>
    <w:p w14:paraId="5EF7759F" w14:textId="77777777" w:rsidR="00482E73" w:rsidRPr="00050EA2" w:rsidRDefault="00482E73" w:rsidP="00482E73">
      <w:pPr>
        <w:pStyle w:val="ListParagraph"/>
        <w:spacing w:after="0" w:line="240" w:lineRule="auto"/>
        <w:ind w:left="902"/>
        <w:contextualSpacing w:val="0"/>
        <w:jc w:val="both"/>
        <w:rPr>
          <w:rFonts w:cs="Arial"/>
          <w:iCs/>
          <w:color w:val="000000" w:themeColor="text1"/>
          <w:lang w:val="fr-FR"/>
        </w:rPr>
      </w:pPr>
      <w:r w:rsidRPr="00050EA2">
        <w:rPr>
          <w:rFonts w:cs="Arial"/>
          <w:iCs/>
          <w:lang w:val="fr-FR"/>
        </w:rPr>
        <w:t xml:space="preserve">Un AFPE avec BirdLife International Asia sur </w:t>
      </w:r>
      <w:r w:rsidRPr="00050EA2">
        <w:rPr>
          <w:rFonts w:cs="Arial"/>
          <w:i/>
          <w:lang w:val="fr-FR"/>
        </w:rPr>
        <w:t>le développement d'outils pour aborder l'étendue, l'échelle et les facteurs influençant le prélèvement illégal d'oiseaux migrateurs</w:t>
      </w:r>
      <w:r w:rsidRPr="00050EA2">
        <w:rPr>
          <w:rFonts w:cs="Arial"/>
          <w:iCs/>
          <w:lang w:val="fr-FR"/>
        </w:rPr>
        <w:t xml:space="preserve"> a été signé en juin 2024 dans le but de i) développer des outils de tableau </w:t>
      </w:r>
      <w:r w:rsidRPr="00050EA2">
        <w:rPr>
          <w:rFonts w:cs="Arial"/>
          <w:iCs/>
          <w:lang w:val="fr-FR"/>
        </w:rPr>
        <w:lastRenderedPageBreak/>
        <w:t>de bord similaires à celui utilisé par le Groupe de travail spécial sur l'abattage, le prélèvement et le commerce illégaux d'oiseaux migrateurs en méditerranée (</w:t>
      </w:r>
      <w:hyperlink r:id="rId22" w:history="1">
        <w:r w:rsidRPr="00050EA2">
          <w:rPr>
            <w:rStyle w:val="Hyperlink"/>
            <w:rFonts w:cs="Arial"/>
            <w:iCs/>
            <w:lang w:val="fr-FR"/>
          </w:rPr>
          <w:t>MIKT</w:t>
        </w:r>
      </w:hyperlink>
      <w:r w:rsidRPr="00050EA2">
        <w:rPr>
          <w:rFonts w:cs="Arial"/>
          <w:iCs/>
          <w:lang w:val="fr-FR"/>
        </w:rPr>
        <w:t xml:space="preserve">) ; et ii) diffuser des orientations et des outils qui amélioreront les capacités de surveillance et d'évaluation des partenaires locaux et gouvernementaux </w:t>
      </w:r>
      <w:r w:rsidRPr="00050EA2">
        <w:rPr>
          <w:rFonts w:cs="Arial"/>
          <w:iCs/>
          <w:color w:val="000000" w:themeColor="text1"/>
          <w:lang w:val="fr-FR"/>
        </w:rPr>
        <w:t xml:space="preserve">pour lutter contre les prélèvements illégaux d'oiseaux migrateurs. </w:t>
      </w:r>
    </w:p>
    <w:p w14:paraId="56683E09" w14:textId="77777777" w:rsidR="00482E73" w:rsidRPr="00050EA2" w:rsidRDefault="00482E73" w:rsidP="00482E73">
      <w:pPr>
        <w:pStyle w:val="ListParagraph"/>
        <w:spacing w:after="0" w:line="240" w:lineRule="auto"/>
        <w:ind w:left="902"/>
        <w:contextualSpacing w:val="0"/>
        <w:jc w:val="both"/>
        <w:rPr>
          <w:rFonts w:cs="Arial"/>
          <w:iCs/>
          <w:lang w:val="fr-FR"/>
        </w:rPr>
      </w:pPr>
    </w:p>
    <w:p w14:paraId="7820C0F9" w14:textId="61E023D2" w:rsidR="00482E73" w:rsidRPr="00050EA2" w:rsidRDefault="00482E73" w:rsidP="00482E73">
      <w:pPr>
        <w:pStyle w:val="ListParagraph"/>
        <w:spacing w:after="0" w:line="240" w:lineRule="auto"/>
        <w:ind w:left="902"/>
        <w:contextualSpacing w:val="0"/>
        <w:jc w:val="both"/>
        <w:rPr>
          <w:rFonts w:cs="Arial"/>
          <w:iCs/>
          <w:lang w:val="fr-FR"/>
        </w:rPr>
      </w:pPr>
      <w:r w:rsidRPr="00050EA2">
        <w:rPr>
          <w:rFonts w:cs="Arial"/>
          <w:iCs/>
          <w:color w:val="000000" w:themeColor="text1"/>
          <w:lang w:val="fr-FR"/>
        </w:rPr>
        <w:t>Les projets de la MNSKB et de BirdLife International</w:t>
      </w:r>
      <w:r w:rsidRPr="00050EA2">
        <w:rPr>
          <w:rFonts w:cs="Arial"/>
          <w:iCs/>
          <w:lang w:val="fr-FR"/>
        </w:rPr>
        <w:t xml:space="preserve"> sont tous deux financés par le gouvernement australien et devraient durer jusqu'au deuxième trimestre de 2026. Il est prévu de présenter les résultats préliminaires lors de la 12</w:t>
      </w:r>
      <w:r w:rsidRPr="00050EA2">
        <w:rPr>
          <w:rFonts w:cs="Arial"/>
          <w:iCs/>
          <w:vertAlign w:val="superscript"/>
          <w:lang w:val="fr-FR"/>
        </w:rPr>
        <w:t>e</w:t>
      </w:r>
      <w:r w:rsidRPr="00050EA2">
        <w:rPr>
          <w:rFonts w:cs="Arial"/>
          <w:iCs/>
          <w:lang w:val="fr-FR"/>
        </w:rPr>
        <w:t xml:space="preserve"> Réunion des partenaires de l'EAAFP (MOP12), qui se tiendra à Cebu, aux Philippines, en novembre 2025 (voir également le document </w:t>
      </w:r>
      <w:r w:rsidRPr="004B0663">
        <w:rPr>
          <w:rFonts w:cs="Arial"/>
          <w:iCs/>
          <w:lang w:val="fr-FR"/>
        </w:rPr>
        <w:t>UNEP/CMS/COP15/Doc.</w:t>
      </w:r>
      <w:r w:rsidR="004B0663" w:rsidRPr="004B0663">
        <w:rPr>
          <w:rFonts w:cs="Arial"/>
          <w:iCs/>
          <w:lang w:val="fr-FR"/>
        </w:rPr>
        <w:t>26.1</w:t>
      </w:r>
      <w:r w:rsidRPr="00050EA2">
        <w:rPr>
          <w:rFonts w:cs="Arial"/>
          <w:iCs/>
          <w:lang w:val="fr-FR"/>
        </w:rPr>
        <w:t xml:space="preserve"> pour plus de détails sur les projets de l'ITTEA). </w:t>
      </w:r>
    </w:p>
    <w:p w14:paraId="1B980B44" w14:textId="77777777" w:rsidR="00482E73" w:rsidRPr="00050EA2" w:rsidRDefault="00482E73" w:rsidP="00482E73">
      <w:pPr>
        <w:pStyle w:val="ListParagraph"/>
        <w:spacing w:after="0" w:line="240" w:lineRule="auto"/>
        <w:ind w:left="902"/>
        <w:contextualSpacing w:val="0"/>
        <w:jc w:val="both"/>
        <w:rPr>
          <w:rFonts w:cs="Arial"/>
          <w:iCs/>
          <w:lang w:val="fr-FR"/>
        </w:rPr>
      </w:pPr>
    </w:p>
    <w:p w14:paraId="32F4FE74" w14:textId="77777777" w:rsidR="00482E73" w:rsidRPr="00050EA2" w:rsidRDefault="00482E73" w:rsidP="00482E73">
      <w:pPr>
        <w:pStyle w:val="ListParagraph"/>
        <w:numPr>
          <w:ilvl w:val="0"/>
          <w:numId w:val="9"/>
        </w:numPr>
        <w:ind w:left="900"/>
        <w:jc w:val="both"/>
        <w:rPr>
          <w:rFonts w:cs="Arial"/>
          <w:iCs/>
          <w:lang w:val="fr-FR"/>
        </w:rPr>
      </w:pPr>
      <w:hyperlink r:id="rId23" w:history="1">
        <w:r w:rsidRPr="00050EA2">
          <w:rPr>
            <w:rStyle w:val="Hyperlink"/>
            <w:rFonts w:cs="Arial"/>
            <w:iCs/>
            <w:lang w:val="fr-FR"/>
          </w:rPr>
          <w:t xml:space="preserve">Fuligule de Baer </w:t>
        </w:r>
      </w:hyperlink>
      <w:r w:rsidRPr="00050EA2">
        <w:rPr>
          <w:rFonts w:cs="Arial"/>
          <w:iCs/>
          <w:lang w:val="fr-FR"/>
        </w:rPr>
        <w:t xml:space="preserve">: </w:t>
      </w:r>
    </w:p>
    <w:p w14:paraId="7BD27E4E" w14:textId="77777777" w:rsidR="00482E73" w:rsidRPr="00050EA2" w:rsidRDefault="00482E73" w:rsidP="00BF1CF0">
      <w:pPr>
        <w:pStyle w:val="ListParagraph"/>
        <w:spacing w:after="0" w:line="240" w:lineRule="auto"/>
        <w:ind w:left="902"/>
        <w:contextualSpacing w:val="0"/>
        <w:jc w:val="both"/>
        <w:rPr>
          <w:rFonts w:cs="Arial"/>
          <w:iCs/>
          <w:lang w:val="fr-FR"/>
        </w:rPr>
      </w:pPr>
    </w:p>
    <w:p w14:paraId="55447231" w14:textId="77777777" w:rsidR="00482E73" w:rsidRPr="00050EA2" w:rsidRDefault="00482E73" w:rsidP="00BF1CF0">
      <w:pPr>
        <w:pStyle w:val="ListParagraph"/>
        <w:spacing w:after="0" w:line="240" w:lineRule="auto"/>
        <w:ind w:left="902"/>
        <w:contextualSpacing w:val="0"/>
        <w:jc w:val="both"/>
        <w:rPr>
          <w:rFonts w:cs="Arial"/>
          <w:iCs/>
          <w:lang w:val="fr-FR"/>
        </w:rPr>
      </w:pPr>
      <w:r w:rsidRPr="00050EA2">
        <w:rPr>
          <w:rFonts w:cs="Arial"/>
          <w:iCs/>
          <w:lang w:val="fr-FR"/>
        </w:rPr>
        <w:t xml:space="preserve">Les activités sont coordonnées avec l'aide de l'équipe spéciale du fuligule de Baer de l'EAAFP Le Wildfowl &amp; Wetlands Trust (WWT) a commencé à développer les </w:t>
      </w:r>
      <w:r w:rsidRPr="00050EA2">
        <w:rPr>
          <w:rFonts w:cs="Arial"/>
          <w:i/>
          <w:lang w:val="fr-FR"/>
        </w:rPr>
        <w:t>Bonnes pratiques de gestion des zones humides pour le fuligule de Baer Aythya baeri, une espèce en danger critique d'extinction</w:t>
      </w:r>
      <w:r w:rsidRPr="00050EA2">
        <w:rPr>
          <w:rFonts w:cs="Arial"/>
          <w:iCs/>
          <w:lang w:val="fr-FR"/>
        </w:rPr>
        <w:t>. Le document devrait être publié par l'équipe spéciale du fuligule de Baer avant la MOP12 de l'EAAFP.</w:t>
      </w:r>
    </w:p>
    <w:p w14:paraId="3DDDA562" w14:textId="77777777" w:rsidR="00482E73" w:rsidRPr="00050EA2" w:rsidRDefault="00482E73" w:rsidP="00482E73">
      <w:pPr>
        <w:pStyle w:val="ListParagraph"/>
        <w:spacing w:after="0" w:line="240" w:lineRule="auto"/>
        <w:ind w:left="1080"/>
        <w:jc w:val="both"/>
        <w:rPr>
          <w:rFonts w:cs="Arial"/>
          <w:iCs/>
          <w:lang w:val="fr-FR"/>
        </w:rPr>
      </w:pPr>
    </w:p>
    <w:p w14:paraId="7B1E636F" w14:textId="77777777" w:rsidR="00482E73" w:rsidRPr="00050EA2" w:rsidRDefault="00482E73" w:rsidP="00482E73">
      <w:pPr>
        <w:numPr>
          <w:ilvl w:val="0"/>
          <w:numId w:val="2"/>
        </w:numPr>
        <w:spacing w:after="80" w:line="240" w:lineRule="auto"/>
        <w:ind w:left="540" w:hanging="540"/>
        <w:jc w:val="both"/>
        <w:rPr>
          <w:rFonts w:cs="Arial"/>
          <w:iCs/>
          <w:lang w:val="fr-FR"/>
        </w:rPr>
      </w:pPr>
      <w:r w:rsidRPr="00050EA2">
        <w:rPr>
          <w:rFonts w:cs="Arial"/>
          <w:iCs/>
          <w:lang w:val="fr-FR"/>
        </w:rPr>
        <w:t>Le Secrétariat a également contribué à un examen intermédiaire du plan d'action pour le courlis de Sibérie, qui a été coordonné par l'</w:t>
      </w:r>
      <w:hyperlink r:id="rId24" w:history="1">
        <w:r w:rsidRPr="00050EA2">
          <w:rPr>
            <w:rStyle w:val="Hyperlink"/>
            <w:rFonts w:cs="Arial"/>
            <w:iCs/>
            <w:lang w:val="fr-FR"/>
          </w:rPr>
          <w:t>équipe spéciale du courlis de Sibérie</w:t>
        </w:r>
      </w:hyperlink>
      <w:r w:rsidRPr="00050EA2">
        <w:rPr>
          <w:rFonts w:cs="Arial"/>
          <w:iCs/>
          <w:lang w:val="fr-FR"/>
        </w:rPr>
        <w:t xml:space="preserve"> de l'EAAFP en 2025. Pour les développements menés par l'équipe spéciale et les détails de l'examen intermédiaire, voir le document </w:t>
      </w:r>
      <w:hyperlink r:id="rId25" w:history="1">
        <w:r w:rsidRPr="00050EA2">
          <w:rPr>
            <w:rStyle w:val="Hyperlink"/>
            <w:rFonts w:cs="Arial"/>
            <w:iCs/>
            <w:lang w:val="fr-FR"/>
          </w:rPr>
          <w:t>EAAFP/MOP12/Draft Decision 15</w:t>
        </w:r>
      </w:hyperlink>
      <w:r w:rsidRPr="00050EA2">
        <w:rPr>
          <w:rFonts w:cs="Arial"/>
          <w:iCs/>
          <w:lang w:val="fr-FR"/>
        </w:rPr>
        <w:t xml:space="preserve"> et son </w:t>
      </w:r>
      <w:hyperlink r:id="rId26" w:history="1">
        <w:r w:rsidRPr="00050EA2">
          <w:rPr>
            <w:rStyle w:val="Hyperlink"/>
            <w:rFonts w:cs="Arial"/>
            <w:iCs/>
            <w:lang w:val="fr-FR"/>
          </w:rPr>
          <w:t>Annexe A</w:t>
        </w:r>
      </w:hyperlink>
      <w:r w:rsidRPr="00050EA2">
        <w:rPr>
          <w:rFonts w:cs="Arial"/>
          <w:iCs/>
          <w:lang w:val="fr-FR"/>
        </w:rPr>
        <w:t xml:space="preserve">. </w:t>
      </w:r>
    </w:p>
    <w:p w14:paraId="57D99A6D" w14:textId="77777777" w:rsidR="00482E73" w:rsidRPr="00050EA2" w:rsidRDefault="00482E73" w:rsidP="00482E73">
      <w:pPr>
        <w:spacing w:after="80" w:line="240" w:lineRule="auto"/>
        <w:ind w:left="540"/>
        <w:contextualSpacing/>
        <w:jc w:val="both"/>
        <w:rPr>
          <w:rFonts w:cs="Arial"/>
          <w:iCs/>
          <w:lang w:val="fr-FR"/>
        </w:rPr>
      </w:pPr>
    </w:p>
    <w:p w14:paraId="5206203D" w14:textId="77777777" w:rsidR="00482E73" w:rsidRPr="00050EA2" w:rsidRDefault="00482E73" w:rsidP="00482E73">
      <w:pPr>
        <w:spacing w:after="0" w:line="240" w:lineRule="auto"/>
        <w:contextualSpacing/>
        <w:jc w:val="both"/>
        <w:rPr>
          <w:rFonts w:cs="Arial"/>
          <w:i/>
          <w:iCs/>
          <w:u w:val="single"/>
          <w:lang w:val="fr-FR"/>
        </w:rPr>
      </w:pPr>
      <w:r w:rsidRPr="00050EA2">
        <w:rPr>
          <w:rFonts w:cs="Arial"/>
          <w:i/>
          <w:iCs/>
          <w:u w:val="single"/>
          <w:lang w:val="fr-FR"/>
        </w:rPr>
        <w:t>Plan d'action international par espèce pour le faucon concolore</w:t>
      </w:r>
    </w:p>
    <w:p w14:paraId="500F996E" w14:textId="77777777" w:rsidR="00482E73" w:rsidRPr="00050EA2" w:rsidRDefault="00482E73" w:rsidP="00482E73">
      <w:pPr>
        <w:spacing w:after="0" w:line="240" w:lineRule="auto"/>
        <w:contextualSpacing/>
        <w:jc w:val="both"/>
        <w:rPr>
          <w:rFonts w:cs="Arial"/>
          <w:i/>
          <w:iCs/>
          <w:u w:val="single"/>
          <w:lang w:val="fr-FR"/>
        </w:rPr>
      </w:pPr>
    </w:p>
    <w:p w14:paraId="017DDF91" w14:textId="77777777" w:rsidR="00482E73" w:rsidRPr="00050EA2" w:rsidRDefault="00482E73" w:rsidP="00482E73">
      <w:pPr>
        <w:numPr>
          <w:ilvl w:val="0"/>
          <w:numId w:val="2"/>
        </w:numPr>
        <w:spacing w:after="80" w:line="240" w:lineRule="auto"/>
        <w:ind w:left="540" w:hanging="540"/>
        <w:contextualSpacing/>
        <w:jc w:val="both"/>
        <w:rPr>
          <w:rFonts w:cs="Arial"/>
          <w:iCs/>
          <w:lang w:val="fr-FR"/>
        </w:rPr>
      </w:pPr>
      <w:r w:rsidRPr="00050EA2">
        <w:rPr>
          <w:rFonts w:cs="Arial"/>
          <w:lang w:val="fr-FR"/>
        </w:rPr>
        <w:t xml:space="preserve">Le Secrétariat, par l'intermédiaire de l'Unité de coordination </w:t>
      </w:r>
      <w:r w:rsidRPr="00050EA2">
        <w:rPr>
          <w:rFonts w:cs="Arial"/>
          <w:color w:val="000000" w:themeColor="text1"/>
          <w:lang w:val="fr-FR"/>
        </w:rPr>
        <w:t xml:space="preserve">(UC) </w:t>
      </w:r>
      <w:r w:rsidRPr="00050EA2">
        <w:rPr>
          <w:rFonts w:cs="Arial"/>
          <w:lang w:val="fr-FR"/>
        </w:rPr>
        <w:t>du Mémorandum d'entente sur la Conservation des Oiseaux de Proie Migrateurs d'Afrique et d'Eurasie (MdE Rapaces), a finalisé le projet de plan d'action pour le faucon concolore. Le Conseil scientifique a recommandé son adoption lors de la 7</w:t>
      </w:r>
      <w:r w:rsidRPr="00050EA2">
        <w:rPr>
          <w:rFonts w:cs="Arial"/>
          <w:vertAlign w:val="superscript"/>
          <w:lang w:val="fr-FR"/>
        </w:rPr>
        <w:t>e</w:t>
      </w:r>
      <w:r w:rsidRPr="00050EA2">
        <w:rPr>
          <w:rFonts w:cs="Arial"/>
          <w:lang w:val="fr-FR"/>
        </w:rPr>
        <w:t xml:space="preserve"> réunion de son Comité de session et il a ensuite été approuvé par le Comité permanent, conformément à la décision 14.146.</w:t>
      </w:r>
    </w:p>
    <w:p w14:paraId="54F65F8B" w14:textId="77777777" w:rsidR="00482E73" w:rsidRPr="00050EA2" w:rsidRDefault="00482E73" w:rsidP="00482E73">
      <w:pPr>
        <w:spacing w:after="80" w:line="240" w:lineRule="auto"/>
        <w:ind w:left="540"/>
        <w:contextualSpacing/>
        <w:jc w:val="both"/>
        <w:rPr>
          <w:rFonts w:cs="Arial"/>
          <w:iCs/>
          <w:lang w:val="fr-FR"/>
        </w:rPr>
      </w:pPr>
    </w:p>
    <w:p w14:paraId="0ABC353C" w14:textId="77777777" w:rsidR="00482E73" w:rsidRPr="00050EA2" w:rsidRDefault="00482E73" w:rsidP="00482E73">
      <w:pPr>
        <w:numPr>
          <w:ilvl w:val="0"/>
          <w:numId w:val="2"/>
        </w:numPr>
        <w:spacing w:after="80" w:line="240" w:lineRule="auto"/>
        <w:ind w:left="540" w:hanging="540"/>
        <w:contextualSpacing/>
        <w:jc w:val="both"/>
        <w:rPr>
          <w:rFonts w:cs="Arial"/>
          <w:iCs/>
          <w:lang w:val="fr-FR"/>
        </w:rPr>
      </w:pPr>
      <w:r w:rsidRPr="00050EA2">
        <w:rPr>
          <w:rFonts w:cs="Arial"/>
          <w:lang w:val="fr-FR"/>
        </w:rPr>
        <w:t xml:space="preserve">L'Unité de coordination a contacté les États de l'aire de répartition </w:t>
      </w:r>
      <w:r w:rsidRPr="00050EA2">
        <w:rPr>
          <w:rFonts w:cs="Arial"/>
          <w:color w:val="000000" w:themeColor="text1"/>
          <w:lang w:val="fr-FR"/>
        </w:rPr>
        <w:t>pour désigner un coordinateur</w:t>
      </w:r>
      <w:r w:rsidRPr="00050EA2">
        <w:rPr>
          <w:rFonts w:cs="Arial"/>
          <w:lang w:val="fr-FR"/>
        </w:rPr>
        <w:t>. Pour mieux faire connaître l'espèce, elle a organisé, en coopération avec le National Center for Wildlife du Royaume d'Arabie saoudite, un événement sur l'espèce hébergé par le PNUE dans son pavillon lors de la 16</w:t>
      </w:r>
      <w:r w:rsidRPr="00050EA2">
        <w:rPr>
          <w:rFonts w:cs="Arial"/>
          <w:vertAlign w:val="superscript"/>
          <w:lang w:val="fr-FR"/>
        </w:rPr>
        <w:t>e</w:t>
      </w:r>
      <w:r w:rsidRPr="00050EA2">
        <w:rPr>
          <w:rFonts w:cs="Arial"/>
          <w:lang w:val="fr-FR"/>
        </w:rPr>
        <w:t xml:space="preserve"> Session de la Conférence des Parties à la Convention des Nations Unies sur la lutte contre la désertification (COP16 de la CNULD), et elle a fait une présentation sur le Plan d'action pour le faucon concolore lors d'un événement pendant la COP16 de la CNULD organisé au pavillon du Bahreïn.</w:t>
      </w:r>
    </w:p>
    <w:p w14:paraId="715306A7" w14:textId="77777777" w:rsidR="00482E73" w:rsidRPr="00050EA2" w:rsidRDefault="00482E73" w:rsidP="00482E73">
      <w:pPr>
        <w:spacing w:after="0" w:line="240" w:lineRule="auto"/>
        <w:ind w:left="540"/>
        <w:contextualSpacing/>
        <w:jc w:val="both"/>
        <w:rPr>
          <w:rFonts w:cs="Arial"/>
          <w:iCs/>
          <w:lang w:val="fr-FR"/>
        </w:rPr>
      </w:pPr>
    </w:p>
    <w:p w14:paraId="193315ED" w14:textId="77777777" w:rsidR="00482E73" w:rsidRPr="00050EA2" w:rsidRDefault="00482E73" w:rsidP="00482E73">
      <w:pPr>
        <w:spacing w:after="0" w:line="240" w:lineRule="auto"/>
        <w:contextualSpacing/>
        <w:jc w:val="both"/>
        <w:rPr>
          <w:rFonts w:cs="Arial"/>
          <w:i/>
          <w:iCs/>
          <w:u w:val="single"/>
          <w:lang w:val="fr-FR"/>
        </w:rPr>
      </w:pPr>
      <w:r w:rsidRPr="00050EA2">
        <w:rPr>
          <w:rFonts w:cs="Arial"/>
          <w:i/>
          <w:iCs/>
          <w:u w:val="single"/>
          <w:lang w:val="fr-FR"/>
        </w:rPr>
        <w:t>Plan d'action mondial pour l'aigle des steppes</w:t>
      </w:r>
    </w:p>
    <w:p w14:paraId="57DCF63E" w14:textId="77777777" w:rsidR="00482E73" w:rsidRPr="00050EA2" w:rsidRDefault="00482E73" w:rsidP="00482E73">
      <w:pPr>
        <w:spacing w:after="0" w:line="240" w:lineRule="auto"/>
        <w:contextualSpacing/>
        <w:jc w:val="both"/>
        <w:rPr>
          <w:rFonts w:cs="Arial"/>
          <w:i/>
          <w:iCs/>
          <w:u w:val="single"/>
          <w:lang w:val="fr-FR"/>
        </w:rPr>
      </w:pPr>
    </w:p>
    <w:p w14:paraId="52DF9DDC" w14:textId="77777777" w:rsidR="00482E73" w:rsidRPr="00050EA2" w:rsidRDefault="00482E73" w:rsidP="00320799">
      <w:pPr>
        <w:numPr>
          <w:ilvl w:val="0"/>
          <w:numId w:val="2"/>
        </w:numPr>
        <w:spacing w:after="0" w:line="240" w:lineRule="auto"/>
        <w:ind w:left="539" w:hanging="539"/>
        <w:jc w:val="both"/>
        <w:rPr>
          <w:rFonts w:cs="Arial"/>
          <w:lang w:val="fr-FR"/>
        </w:rPr>
      </w:pPr>
      <w:r w:rsidRPr="00050EA2">
        <w:rPr>
          <w:rFonts w:cs="Arial"/>
          <w:lang w:val="fr-FR"/>
        </w:rPr>
        <w:t xml:space="preserve">Le Secrétariat, par l'entremise de l'UC du MdE Rapaces, a contacté un certain nombre de Parties et Signataires clés ainsi que des Partenaires coopérants du MdE, afin d'identifier des soutiens pour le développement du Plan d'action pour l'aigle des steppes. La Royal Society for the Protection of Birds (RSPB) a désigné un membre de son personnel pour agir en tant que coordinateur du Plan d'action et a organisé, en coopération avec le MdE Rapaces et avec le soutien de l'Association pour la conservation de la biodiversité du Kazakhstan, un </w:t>
      </w:r>
      <w:hyperlink r:id="rId27" w:history="1">
        <w:r w:rsidRPr="00050EA2">
          <w:rPr>
            <w:rStyle w:val="Hyperlink"/>
            <w:rFonts w:cs="Arial"/>
            <w:lang w:val="fr-FR"/>
          </w:rPr>
          <w:t>atelier d'experts</w:t>
        </w:r>
      </w:hyperlink>
      <w:r w:rsidRPr="00050EA2">
        <w:rPr>
          <w:rFonts w:cs="Arial"/>
          <w:lang w:val="fr-FR"/>
        </w:rPr>
        <w:t xml:space="preserve"> à Astana, au </w:t>
      </w:r>
      <w:r w:rsidRPr="00050EA2">
        <w:rPr>
          <w:rFonts w:cs="Arial"/>
          <w:lang w:val="fr-FR"/>
        </w:rPr>
        <w:lastRenderedPageBreak/>
        <w:t xml:space="preserve">Kazakhstan, entre le 6 et le 8 mai 2025, afin de lancer l'élaboration du Plan d'action mondial pour l'aigle des steppes. </w:t>
      </w:r>
    </w:p>
    <w:p w14:paraId="67B7EBFE" w14:textId="77777777" w:rsidR="00482E73" w:rsidRPr="00050EA2" w:rsidRDefault="00482E73" w:rsidP="00482E73">
      <w:pPr>
        <w:pStyle w:val="ListParagraph"/>
        <w:spacing w:after="0" w:line="240" w:lineRule="auto"/>
        <w:rPr>
          <w:rFonts w:cs="Arial"/>
          <w:lang w:val="fr-FR"/>
        </w:rPr>
      </w:pPr>
    </w:p>
    <w:p w14:paraId="15E55EC5" w14:textId="77777777" w:rsidR="00482E73" w:rsidRPr="00050EA2" w:rsidRDefault="00482E73" w:rsidP="00482E73">
      <w:pPr>
        <w:numPr>
          <w:ilvl w:val="0"/>
          <w:numId w:val="2"/>
        </w:numPr>
        <w:spacing w:after="0" w:line="240" w:lineRule="auto"/>
        <w:ind w:left="540" w:hanging="540"/>
        <w:contextualSpacing/>
        <w:jc w:val="both"/>
        <w:rPr>
          <w:rFonts w:cs="Arial"/>
          <w:lang w:val="fr-FR"/>
        </w:rPr>
      </w:pPr>
      <w:r w:rsidRPr="00050EA2">
        <w:rPr>
          <w:rFonts w:cs="Arial"/>
          <w:lang w:val="fr-FR"/>
        </w:rPr>
        <w:t xml:space="preserve">L'UC du MdE Rapaces a mis en place un groupe de travail, composé d'experts et de représentants des États, pour contribuer au Plan d'action. L'UC a transmis le premier projet au groupe de travail pour consultation, en demandant que les commentaires soient soumis d'ici septembre 2025. </w:t>
      </w:r>
    </w:p>
    <w:p w14:paraId="1B7169D6" w14:textId="77777777" w:rsidR="00482E73" w:rsidRPr="00050EA2" w:rsidRDefault="00482E73" w:rsidP="00482E73">
      <w:pPr>
        <w:pStyle w:val="ListParagraph"/>
        <w:spacing w:after="0" w:line="240" w:lineRule="auto"/>
        <w:ind w:left="1080"/>
        <w:rPr>
          <w:rFonts w:cs="Arial"/>
          <w:iCs/>
          <w:lang w:val="fr-FR"/>
        </w:rPr>
      </w:pPr>
    </w:p>
    <w:p w14:paraId="68F5E80B" w14:textId="77777777" w:rsidR="00482E73" w:rsidRPr="00050EA2" w:rsidRDefault="00482E73" w:rsidP="00482E73">
      <w:pPr>
        <w:pStyle w:val="ListParagraph"/>
        <w:spacing w:after="0" w:line="240" w:lineRule="auto"/>
        <w:ind w:left="0"/>
        <w:rPr>
          <w:rFonts w:cs="Arial"/>
          <w:iCs/>
          <w:lang w:val="fr-FR"/>
        </w:rPr>
      </w:pPr>
      <w:r w:rsidRPr="00050EA2">
        <w:rPr>
          <w:u w:val="single"/>
          <w:lang w:val="fr-FR"/>
        </w:rPr>
        <w:t>Activités visant à mettre en œuvre la Résolution 11.17 (Rev.COP14) en ce qui concerne les plans d'action par espèce</w:t>
      </w:r>
    </w:p>
    <w:p w14:paraId="3CD3DBC4" w14:textId="77777777" w:rsidR="00482E73" w:rsidRPr="00050EA2" w:rsidRDefault="00482E73" w:rsidP="00482E73">
      <w:pPr>
        <w:spacing w:after="0" w:line="240" w:lineRule="auto"/>
        <w:ind w:left="540"/>
        <w:contextualSpacing/>
        <w:jc w:val="both"/>
        <w:rPr>
          <w:rFonts w:cs="Arial"/>
          <w:lang w:val="fr-FR"/>
        </w:rPr>
      </w:pPr>
    </w:p>
    <w:p w14:paraId="26A2CC04" w14:textId="0E3889A5" w:rsidR="00482E73" w:rsidRPr="00890BB6" w:rsidRDefault="00482E73" w:rsidP="00933C17">
      <w:pPr>
        <w:pStyle w:val="ListParagraph"/>
        <w:numPr>
          <w:ilvl w:val="0"/>
          <w:numId w:val="9"/>
        </w:numPr>
        <w:spacing w:after="0" w:line="240" w:lineRule="auto"/>
        <w:ind w:left="567" w:hanging="567"/>
        <w:jc w:val="both"/>
        <w:rPr>
          <w:rFonts w:cs="Arial"/>
          <w:iCs/>
          <w:lang w:val="fr-FR"/>
        </w:rPr>
      </w:pPr>
      <w:hyperlink r:id="rId28" w:history="1">
        <w:r w:rsidRPr="00890BB6">
          <w:rPr>
            <w:rStyle w:val="Hyperlink"/>
            <w:rFonts w:cs="Arial"/>
            <w:iCs/>
            <w:lang w:val="fr-FR"/>
          </w:rPr>
          <w:t>Rollier d'Europe (</w:t>
        </w:r>
        <w:r w:rsidRPr="00890BB6">
          <w:rPr>
            <w:rStyle w:val="Hyperlink"/>
            <w:rFonts w:cs="Arial"/>
            <w:i/>
            <w:lang w:val="fr-FR"/>
          </w:rPr>
          <w:t>Coracias garrulus</w:t>
        </w:r>
        <w:r w:rsidRPr="00890BB6">
          <w:rPr>
            <w:rStyle w:val="Hyperlink"/>
            <w:rFonts w:cs="Arial"/>
            <w:iCs/>
            <w:lang w:val="fr-FR"/>
          </w:rPr>
          <w:t>)</w:t>
        </w:r>
      </w:hyperlink>
    </w:p>
    <w:p w14:paraId="4E7978D0" w14:textId="77777777" w:rsidR="00482E73" w:rsidRPr="00050EA2" w:rsidRDefault="00482E73" w:rsidP="00482E73">
      <w:pPr>
        <w:spacing w:after="0" w:line="240" w:lineRule="auto"/>
        <w:contextualSpacing/>
        <w:jc w:val="both"/>
        <w:rPr>
          <w:rFonts w:cs="Arial"/>
          <w:iCs/>
          <w:lang w:val="fr-FR"/>
        </w:rPr>
      </w:pPr>
    </w:p>
    <w:p w14:paraId="251CA8B8" w14:textId="77777777" w:rsidR="00482E73" w:rsidRPr="00050EA2" w:rsidRDefault="00482E73" w:rsidP="00482E73">
      <w:pPr>
        <w:numPr>
          <w:ilvl w:val="0"/>
          <w:numId w:val="2"/>
        </w:numPr>
        <w:spacing w:after="80" w:line="240" w:lineRule="auto"/>
        <w:ind w:left="540" w:hanging="540"/>
        <w:contextualSpacing/>
        <w:jc w:val="both"/>
        <w:rPr>
          <w:iCs/>
          <w:lang w:val="fr-FR"/>
        </w:rPr>
      </w:pPr>
      <w:bookmarkStart w:id="0" w:name="_Hlk138167552"/>
      <w:r w:rsidRPr="00050EA2">
        <w:rPr>
          <w:iCs/>
          <w:lang w:val="fr-FR"/>
        </w:rPr>
        <w:t xml:space="preserve">Les activités dédiées à la promotion du Plan d'action pour le Rollier d'Europe sont incluses dans le </w:t>
      </w:r>
      <w:hyperlink r:id="rId29" w:history="1">
        <w:r w:rsidRPr="00050EA2">
          <w:rPr>
            <w:iCs/>
            <w:color w:val="0070C0"/>
            <w:u w:val="single"/>
            <w:lang w:val="fr-FR"/>
          </w:rPr>
          <w:t>Programme de travail (POW) 2021-2026</w:t>
        </w:r>
      </w:hyperlink>
      <w:r w:rsidRPr="00050EA2">
        <w:rPr>
          <w:iCs/>
          <w:lang w:val="fr-FR"/>
        </w:rPr>
        <w:t xml:space="preserve"> du Groupe de travail sur les oiseaux terrestres migrateurs d'Afrique-Eurasie ainsi que dans son projet de version mise à jour pour la période 2026-2032. Plusieurs organisations, y compris les partenaires de BirdLife (par ex.</w:t>
      </w:r>
      <w:r w:rsidRPr="00050EA2">
        <w:rPr>
          <w:lang w:val="fr-FR"/>
        </w:rPr>
        <w:t xml:space="preserve"> </w:t>
      </w:r>
      <w:hyperlink r:id="rId30" w:history="1">
        <w:r w:rsidRPr="00050EA2">
          <w:rPr>
            <w:rStyle w:val="Hyperlink"/>
            <w:lang w:val="fr-FR"/>
          </w:rPr>
          <w:t>BirdLife South Africa</w:t>
        </w:r>
      </w:hyperlink>
      <w:r w:rsidRPr="00050EA2">
        <w:rPr>
          <w:lang w:val="fr-FR"/>
        </w:rPr>
        <w:t xml:space="preserve">, l'organisation hongroise </w:t>
      </w:r>
      <w:r w:rsidRPr="00050EA2">
        <w:rPr>
          <w:iCs/>
          <w:lang w:val="fr-FR"/>
        </w:rPr>
        <w:t>MME), participent activement à la mise en œuvre de ce Plan d'action aux niveaux local et national</w:t>
      </w:r>
      <w:bookmarkEnd w:id="0"/>
      <w:r w:rsidRPr="00050EA2">
        <w:rPr>
          <w:iCs/>
          <w:lang w:val="fr-FR"/>
        </w:rPr>
        <w:t>.</w:t>
      </w:r>
    </w:p>
    <w:p w14:paraId="5781568F" w14:textId="77777777" w:rsidR="00482E73" w:rsidRPr="00050EA2" w:rsidRDefault="00482E73" w:rsidP="00482E73">
      <w:pPr>
        <w:spacing w:after="0" w:line="240" w:lineRule="auto"/>
        <w:contextualSpacing/>
        <w:jc w:val="both"/>
        <w:rPr>
          <w:rFonts w:cs="Arial"/>
          <w:lang w:val="fr-FR"/>
        </w:rPr>
      </w:pPr>
    </w:p>
    <w:p w14:paraId="17E2A33D" w14:textId="3BD9B146" w:rsidR="00482E73" w:rsidRPr="00890BB6" w:rsidRDefault="00482E73" w:rsidP="00933C17">
      <w:pPr>
        <w:pStyle w:val="ListParagraph"/>
        <w:numPr>
          <w:ilvl w:val="0"/>
          <w:numId w:val="9"/>
        </w:numPr>
        <w:spacing w:after="0" w:line="240" w:lineRule="auto"/>
        <w:ind w:left="567" w:hanging="567"/>
        <w:jc w:val="both"/>
        <w:rPr>
          <w:iCs/>
          <w:lang w:val="fr-FR"/>
        </w:rPr>
      </w:pPr>
      <w:hyperlink r:id="rId31" w:history="1">
        <w:r w:rsidRPr="00890BB6">
          <w:rPr>
            <w:color w:val="0563C1" w:themeColor="hyperlink"/>
            <w:u w:val="single"/>
            <w:lang w:val="fr-FR"/>
          </w:rPr>
          <w:t>Tourterelle des bois</w:t>
        </w:r>
        <w:r w:rsidRPr="00890BB6">
          <w:rPr>
            <w:i/>
            <w:color w:val="0563C1" w:themeColor="hyperlink"/>
            <w:u w:val="single"/>
            <w:lang w:val="fr-FR"/>
          </w:rPr>
          <w:t xml:space="preserve"> (Streptopelia turtur</w:t>
        </w:r>
        <w:r w:rsidRPr="00890BB6">
          <w:rPr>
            <w:iCs/>
            <w:color w:val="0563C1" w:themeColor="hyperlink"/>
            <w:u w:val="single"/>
            <w:lang w:val="fr-FR"/>
          </w:rPr>
          <w:t>)</w:t>
        </w:r>
      </w:hyperlink>
    </w:p>
    <w:p w14:paraId="6C9D153A" w14:textId="77777777" w:rsidR="00482E73" w:rsidRPr="00050EA2" w:rsidRDefault="00482E73" w:rsidP="00482E73">
      <w:pPr>
        <w:spacing w:after="0" w:line="240" w:lineRule="auto"/>
        <w:contextualSpacing/>
        <w:jc w:val="both"/>
        <w:rPr>
          <w:rFonts w:cs="Arial"/>
          <w:iCs/>
          <w:lang w:val="fr-FR"/>
        </w:rPr>
      </w:pPr>
    </w:p>
    <w:p w14:paraId="61444981" w14:textId="77777777" w:rsidR="00482E73" w:rsidRPr="00050EA2" w:rsidRDefault="00482E73" w:rsidP="00482E73">
      <w:pPr>
        <w:numPr>
          <w:ilvl w:val="0"/>
          <w:numId w:val="2"/>
        </w:numPr>
        <w:spacing w:after="80" w:line="240" w:lineRule="auto"/>
        <w:ind w:left="540" w:hanging="540"/>
        <w:contextualSpacing/>
        <w:jc w:val="both"/>
        <w:rPr>
          <w:rFonts w:cs="Arial"/>
          <w:iCs/>
          <w:lang w:val="fr-FR"/>
        </w:rPr>
      </w:pPr>
      <w:r w:rsidRPr="00050EA2">
        <w:rPr>
          <w:rFonts w:cs="Arial"/>
          <w:iCs/>
          <w:lang w:val="fr-FR"/>
        </w:rPr>
        <w:t xml:space="preserve">Le Secrétariat a suivi le processus et les réunions du groupe d'étude de la Commission européenne sur le rétablissement des oiseaux, établi sous l'égide du groupe d'experts sur les directives relatives à la nature (NADEG), ainsi que le </w:t>
      </w:r>
      <w:hyperlink r:id="rId32" w:history="1">
        <w:r w:rsidRPr="00050EA2">
          <w:rPr>
            <w:rStyle w:val="Hyperlink"/>
            <w:rFonts w:cs="Arial"/>
            <w:iCs/>
            <w:lang w:val="fr-FR"/>
          </w:rPr>
          <w:t>groupe d'étude connexe sur le rétablissement des espèces d'oiseaux (pour la tourterelle des bois</w:t>
        </w:r>
      </w:hyperlink>
      <w:r w:rsidRPr="00050EA2">
        <w:rPr>
          <w:lang w:val="fr-FR"/>
        </w:rPr>
        <w:t xml:space="preserve">) </w:t>
      </w:r>
      <w:r w:rsidRPr="00050EA2">
        <w:rPr>
          <w:rFonts w:cs="Arial"/>
          <w:iCs/>
          <w:lang w:val="fr-FR"/>
        </w:rPr>
        <w:t>dans le cadre de la création d'un mécanisme de gestion adaptative des récoltes. Un membre du groupe directeur du Groupe de travail sur les oiseaux terrestres migrateurs d'Afrique-Eurasie, l'Institut de recherche sur les ressources cynégétiques (IREC, Espagne), a signalé un rétablissement de l'espèce dans la voie de migration occidentale après quatre années de moratoire sur la chasse, avec une augmentation significative de la population au cours des dernières années. Dans la voie de migration Centre-Est</w:t>
      </w:r>
      <w:r w:rsidRPr="00050EA2">
        <w:rPr>
          <w:rFonts w:cs="Arial"/>
          <w:iCs/>
          <w:color w:val="000000" w:themeColor="text1"/>
          <w:lang w:val="fr-FR"/>
        </w:rPr>
        <w:t xml:space="preserve">, où les restrictions de chasse n'ont été que partiellement mises en œuvre, le déclin </w:t>
      </w:r>
      <w:r w:rsidRPr="00050EA2">
        <w:rPr>
          <w:rFonts w:cs="Arial"/>
          <w:iCs/>
          <w:lang w:val="fr-FR"/>
        </w:rPr>
        <w:t xml:space="preserve">s'est stabilisé, mais aucune reprise n'est encore évidente. </w:t>
      </w:r>
      <w:r w:rsidRPr="00050EA2">
        <w:rPr>
          <w:rFonts w:cs="Arial"/>
          <w:shd w:val="clear" w:color="auto" w:fill="FFFFFF"/>
          <w:lang w:val="fr-FR"/>
        </w:rPr>
        <w:t>Les activités</w:t>
      </w:r>
      <w:r w:rsidRPr="00050EA2">
        <w:rPr>
          <w:shd w:val="clear" w:color="auto" w:fill="FFFFFF"/>
          <w:lang w:val="fr-FR"/>
        </w:rPr>
        <w:t xml:space="preserve"> </w:t>
      </w:r>
      <w:r w:rsidRPr="00050EA2">
        <w:rPr>
          <w:rFonts w:cs="Arial"/>
          <w:shd w:val="clear" w:color="auto" w:fill="FFFFFF"/>
          <w:lang w:val="fr-FR"/>
        </w:rPr>
        <w:t xml:space="preserve">pour </w:t>
      </w:r>
      <w:r w:rsidRPr="00050EA2">
        <w:rPr>
          <w:rFonts w:cs="Arial"/>
          <w:color w:val="000000" w:themeColor="text1"/>
          <w:shd w:val="clear" w:color="auto" w:fill="FFFFFF"/>
          <w:lang w:val="fr-FR"/>
        </w:rPr>
        <w:t>l'ISSAP pour la conservation de la tourterelle des bois sont incluses dans le programme de travail 2021</w:t>
      </w:r>
      <w:r w:rsidRPr="00050EA2">
        <w:rPr>
          <w:rFonts w:cs="Arial"/>
          <w:color w:val="000000" w:themeColor="text1"/>
          <w:lang w:val="fr-FR"/>
        </w:rPr>
        <w:t>–</w:t>
      </w:r>
      <w:r w:rsidRPr="00050EA2">
        <w:rPr>
          <w:rFonts w:cs="Arial"/>
          <w:color w:val="000000" w:themeColor="text1"/>
          <w:shd w:val="clear" w:color="auto" w:fill="FFFFFF"/>
          <w:lang w:val="fr-FR"/>
        </w:rPr>
        <w:t xml:space="preserve">2026 </w:t>
      </w:r>
      <w:r w:rsidRPr="00050EA2">
        <w:rPr>
          <w:rFonts w:cs="Arial"/>
          <w:color w:val="000000"/>
          <w:shd w:val="clear" w:color="auto" w:fill="FFFFFF"/>
          <w:lang w:val="fr-FR"/>
        </w:rPr>
        <w:t>du Groupe de travail sur les oiseaux terrestres migrateurs d'Afrique-Eurasie, ainsi qu'un projet de programme de travail révisé pour la période 2026</w:t>
      </w:r>
      <w:r w:rsidRPr="00050EA2">
        <w:rPr>
          <w:rFonts w:cs="Arial"/>
          <w:lang w:val="fr-FR"/>
        </w:rPr>
        <w:t>–</w:t>
      </w:r>
      <w:r w:rsidRPr="00050EA2">
        <w:rPr>
          <w:rFonts w:cs="Arial"/>
          <w:color w:val="000000"/>
          <w:shd w:val="clear" w:color="auto" w:fill="FFFFFF"/>
          <w:lang w:val="fr-FR"/>
        </w:rPr>
        <w:t>2032, qui était en cours d'élaboration au moment de la rédaction du présent document.</w:t>
      </w:r>
    </w:p>
    <w:p w14:paraId="13C4C863" w14:textId="77777777" w:rsidR="00482E73" w:rsidRPr="00050EA2" w:rsidRDefault="00482E73" w:rsidP="00482E73">
      <w:pPr>
        <w:spacing w:after="80" w:line="240" w:lineRule="auto"/>
        <w:ind w:left="540"/>
        <w:contextualSpacing/>
        <w:jc w:val="both"/>
        <w:rPr>
          <w:rFonts w:cs="Arial"/>
          <w:iCs/>
          <w:lang w:val="fr-FR"/>
        </w:rPr>
      </w:pPr>
    </w:p>
    <w:p w14:paraId="7F482E5D" w14:textId="1FA6CE6A" w:rsidR="00482E73" w:rsidRPr="006C3445" w:rsidRDefault="00482E73" w:rsidP="006C3445">
      <w:pPr>
        <w:pStyle w:val="ListParagraph"/>
        <w:numPr>
          <w:ilvl w:val="0"/>
          <w:numId w:val="9"/>
        </w:numPr>
        <w:spacing w:after="0" w:line="240" w:lineRule="auto"/>
        <w:ind w:left="567" w:hanging="567"/>
        <w:jc w:val="both"/>
        <w:rPr>
          <w:i/>
          <w:u w:val="single"/>
          <w:lang w:val="fr-FR"/>
        </w:rPr>
      </w:pPr>
      <w:hyperlink r:id="rId33" w:history="1">
        <w:r w:rsidRPr="006C3445">
          <w:rPr>
            <w:rStyle w:val="Hyperlink"/>
            <w:lang w:val="fr-FR"/>
          </w:rPr>
          <w:t>Bruant auréole</w:t>
        </w:r>
        <w:r w:rsidRPr="006C3445">
          <w:rPr>
            <w:rStyle w:val="Hyperlink"/>
            <w:i/>
            <w:lang w:val="fr-FR"/>
          </w:rPr>
          <w:t xml:space="preserve"> (Emberiza aureola)</w:t>
        </w:r>
      </w:hyperlink>
    </w:p>
    <w:p w14:paraId="0F27B307" w14:textId="77777777" w:rsidR="00482E73" w:rsidRPr="00050EA2" w:rsidRDefault="00482E73" w:rsidP="00482E73">
      <w:pPr>
        <w:spacing w:after="80" w:line="240" w:lineRule="auto"/>
        <w:contextualSpacing/>
        <w:jc w:val="both"/>
        <w:rPr>
          <w:rFonts w:cs="Arial"/>
          <w:iCs/>
          <w:lang w:val="fr-FR"/>
        </w:rPr>
      </w:pPr>
    </w:p>
    <w:p w14:paraId="010BD629" w14:textId="61FFBD81" w:rsidR="00482E73" w:rsidRPr="00050EA2" w:rsidRDefault="00482E73" w:rsidP="00482E73">
      <w:pPr>
        <w:numPr>
          <w:ilvl w:val="0"/>
          <w:numId w:val="2"/>
        </w:numPr>
        <w:spacing w:after="0" w:line="240" w:lineRule="auto"/>
        <w:ind w:left="540" w:hanging="540"/>
        <w:contextualSpacing/>
        <w:jc w:val="both"/>
        <w:rPr>
          <w:rFonts w:cs="Arial"/>
          <w:lang w:val="fr-FR"/>
        </w:rPr>
      </w:pPr>
      <w:r w:rsidRPr="00050EA2">
        <w:rPr>
          <w:rFonts w:cs="Arial"/>
          <w:iCs/>
          <w:lang w:val="fr-FR"/>
        </w:rPr>
        <w:t xml:space="preserve">Le Secrétariat a suivi les activités des parties prenantes en Asie de l'Est qui mettent en œuvre </w:t>
      </w:r>
      <w:r w:rsidRPr="00050EA2">
        <w:rPr>
          <w:rFonts w:cs="Arial"/>
          <w:iCs/>
          <w:color w:val="000000" w:themeColor="text1"/>
          <w:lang w:val="fr-FR"/>
        </w:rPr>
        <w:t>l'</w:t>
      </w:r>
      <w:r w:rsidRPr="00050EA2">
        <w:rPr>
          <w:rFonts w:cs="Arial"/>
          <w:iCs/>
          <w:lang w:val="fr-FR"/>
        </w:rPr>
        <w:t xml:space="preserve">ISSAP pour la conservation du bruant auréole. La menace des prélèvements illégaux de bruants auréoles est abordée dans les activités de l'ITTEA (voir </w:t>
      </w:r>
      <w:r w:rsidRPr="003A7CB0">
        <w:rPr>
          <w:rFonts w:cs="Arial"/>
          <w:iCs/>
          <w:lang w:val="fr-FR"/>
        </w:rPr>
        <w:t>UNEP/CMS/COP15/Doc.</w:t>
      </w:r>
      <w:r w:rsidR="003A7CB0" w:rsidRPr="003A7CB0">
        <w:rPr>
          <w:rFonts w:cs="Arial"/>
          <w:iCs/>
          <w:lang w:val="fr-FR"/>
        </w:rPr>
        <w:t>26.1</w:t>
      </w:r>
      <w:r w:rsidRPr="003A7CB0">
        <w:rPr>
          <w:rFonts w:cs="Arial"/>
          <w:iCs/>
          <w:lang w:val="fr-FR"/>
        </w:rPr>
        <w:t>). Ces activités comprennent des projets planifiés pour</w:t>
      </w:r>
      <w:r w:rsidRPr="00050EA2">
        <w:rPr>
          <w:rFonts w:cs="Arial"/>
          <w:iCs/>
          <w:lang w:val="fr-FR"/>
        </w:rPr>
        <w:t xml:space="preserve"> créer des outils tels que des tableaux de bord et des études de marché afin de lutter contre les prélèvements illégaux, comme indiqué dans le </w:t>
      </w:r>
      <w:hyperlink r:id="rId34" w:history="1">
        <w:r w:rsidRPr="00050EA2">
          <w:rPr>
            <w:rStyle w:val="Hyperlink"/>
            <w:rFonts w:cs="Arial"/>
            <w:iCs/>
            <w:lang w:val="fr-FR"/>
          </w:rPr>
          <w:t>plan de travail de l'ITTEA</w:t>
        </w:r>
      </w:hyperlink>
      <w:r w:rsidRPr="00050EA2">
        <w:rPr>
          <w:rFonts w:cs="Arial"/>
          <w:iCs/>
          <w:lang w:val="fr-FR"/>
        </w:rPr>
        <w:t xml:space="preserve">. </w:t>
      </w:r>
    </w:p>
    <w:p w14:paraId="3E23825D" w14:textId="7945BA98" w:rsidR="00D6117C" w:rsidRDefault="00D6117C" w:rsidP="00482E73">
      <w:pPr>
        <w:spacing w:after="0" w:line="240" w:lineRule="auto"/>
        <w:contextualSpacing/>
        <w:jc w:val="both"/>
        <w:rPr>
          <w:rFonts w:cs="Arial"/>
          <w:lang w:val="fr-FR"/>
        </w:rPr>
      </w:pPr>
      <w:r>
        <w:rPr>
          <w:rFonts w:cs="Arial"/>
          <w:lang w:val="fr-FR"/>
        </w:rPr>
        <w:br w:type="page"/>
      </w:r>
    </w:p>
    <w:p w14:paraId="734D0EB6" w14:textId="77777777" w:rsidR="00482E73" w:rsidRPr="00050EA2" w:rsidRDefault="00482E73" w:rsidP="00482E73">
      <w:pPr>
        <w:spacing w:after="0" w:line="240" w:lineRule="auto"/>
        <w:contextualSpacing/>
        <w:jc w:val="both"/>
        <w:rPr>
          <w:rFonts w:cs="Arial"/>
          <w:i/>
          <w:iCs/>
          <w:u w:val="single"/>
          <w:lang w:val="fr-FR"/>
        </w:rPr>
      </w:pPr>
      <w:r w:rsidRPr="00050EA2">
        <w:rPr>
          <w:rFonts w:cs="Arial"/>
          <w:i/>
          <w:iCs/>
          <w:u w:val="single"/>
          <w:lang w:val="fr-FR"/>
        </w:rPr>
        <w:lastRenderedPageBreak/>
        <w:t>Plan d'action multi-espèces pour la conservation des outardes d'Afrique, d'Eurasie et d'Australie (MsAP Outardes)</w:t>
      </w:r>
    </w:p>
    <w:p w14:paraId="6E3A5B1E" w14:textId="77777777" w:rsidR="00482E73" w:rsidRPr="00050EA2" w:rsidRDefault="00482E73" w:rsidP="00482E73">
      <w:pPr>
        <w:spacing w:after="0" w:line="240" w:lineRule="auto"/>
        <w:contextualSpacing/>
        <w:jc w:val="both"/>
        <w:rPr>
          <w:rFonts w:cs="Arial"/>
          <w:lang w:val="fr-FR"/>
        </w:rPr>
      </w:pPr>
    </w:p>
    <w:p w14:paraId="4FC6899B" w14:textId="77777777" w:rsidR="00482E73" w:rsidRPr="00050EA2" w:rsidRDefault="00482E73" w:rsidP="00482E73">
      <w:pPr>
        <w:numPr>
          <w:ilvl w:val="0"/>
          <w:numId w:val="2"/>
        </w:numPr>
        <w:spacing w:after="0" w:line="240" w:lineRule="auto"/>
        <w:ind w:left="540" w:hanging="540"/>
        <w:contextualSpacing/>
        <w:jc w:val="both"/>
        <w:rPr>
          <w:rFonts w:cs="Arial"/>
          <w:lang w:val="fr-FR"/>
        </w:rPr>
      </w:pPr>
      <w:r w:rsidRPr="00050EA2">
        <w:rPr>
          <w:rFonts w:cs="Arial"/>
          <w:lang w:val="fr-FR"/>
        </w:rPr>
        <w:t xml:space="preserve">Afin d'aider les Parties à prendre des mesures concrètes pour répondre aux menaces pesant sur les outardes migratrices, un groupe diversifié d'experts, de fonctionnaires et d'organisations de conservation a fondé l'initiative « Bustards Without Borders » (Outardes sans frontières ; BWB). Du 14 au 20 avril 2025, le </w:t>
      </w:r>
      <w:hyperlink r:id="rId35" w:history="1">
        <w:r w:rsidRPr="00050EA2">
          <w:rPr>
            <w:rStyle w:val="Hyperlink"/>
            <w:rFonts w:cs="Arial"/>
            <w:lang w:val="fr-FR"/>
          </w:rPr>
          <w:t>premier atelier sur le développement d'un Plan d'action multi-espèces (MsAP) mondial pour la conservation des espèces d'outardes</w:t>
        </w:r>
      </w:hyperlink>
      <w:r w:rsidRPr="00050EA2">
        <w:rPr>
          <w:rFonts w:cs="Arial"/>
          <w:lang w:val="fr-FR"/>
        </w:rPr>
        <w:t xml:space="preserve"> s'est tenu à Islamabad, au Pakistan ; le Secrétariat y a fourni une orientation sur les processus de la CMS pour le développement, la validation et la mise en œuvre des plans d'action internationaux. </w:t>
      </w:r>
    </w:p>
    <w:p w14:paraId="0E99D4F4" w14:textId="77777777" w:rsidR="00482E73" w:rsidRPr="00050EA2" w:rsidRDefault="00482E73" w:rsidP="00482E73">
      <w:pPr>
        <w:spacing w:after="0" w:line="240" w:lineRule="auto"/>
        <w:ind w:left="540"/>
        <w:contextualSpacing/>
        <w:jc w:val="both"/>
        <w:rPr>
          <w:rFonts w:cs="Arial"/>
          <w:lang w:val="fr-FR"/>
        </w:rPr>
      </w:pPr>
    </w:p>
    <w:p w14:paraId="3E8B5FB8" w14:textId="77777777" w:rsidR="00482E73" w:rsidRPr="00050EA2" w:rsidRDefault="00482E73" w:rsidP="00482E73">
      <w:pPr>
        <w:numPr>
          <w:ilvl w:val="0"/>
          <w:numId w:val="2"/>
        </w:numPr>
        <w:spacing w:after="0" w:line="240" w:lineRule="auto"/>
        <w:ind w:left="540" w:hanging="540"/>
        <w:contextualSpacing/>
        <w:jc w:val="both"/>
        <w:rPr>
          <w:rFonts w:cs="Arial"/>
          <w:lang w:val="fr-FR"/>
        </w:rPr>
      </w:pPr>
      <w:r w:rsidRPr="00050EA2">
        <w:rPr>
          <w:rFonts w:cs="Arial"/>
          <w:lang w:val="fr-FR"/>
        </w:rPr>
        <w:t>Dans l'ensemble, ce nouveau MsAP vise à couvrir les 26 espèces d'outardes dans plus de 100 États de l'aire de répartition. Six espèces sont actuellement inscrites aux Annexes de la CMS : Grande Outarde (</w:t>
      </w:r>
      <w:r w:rsidRPr="00050EA2">
        <w:rPr>
          <w:rFonts w:cs="Arial"/>
          <w:i/>
          <w:iCs/>
          <w:lang w:val="fr-FR"/>
        </w:rPr>
        <w:t>Otis tarda</w:t>
      </w:r>
      <w:r w:rsidRPr="00050EA2">
        <w:rPr>
          <w:rFonts w:cs="Arial"/>
          <w:lang w:val="fr-FR"/>
        </w:rPr>
        <w:t>, annexes I et II) ; Outarde à tête noire (</w:t>
      </w:r>
      <w:r w:rsidRPr="00050EA2">
        <w:rPr>
          <w:rFonts w:cs="Arial"/>
          <w:i/>
          <w:iCs/>
          <w:lang w:val="fr-FR"/>
        </w:rPr>
        <w:t>Ardeotis nigriceps</w:t>
      </w:r>
      <w:r w:rsidRPr="00050EA2">
        <w:rPr>
          <w:rFonts w:cs="Arial"/>
          <w:lang w:val="fr-FR"/>
        </w:rPr>
        <w:t>, annexe I), Outarde houbara (</w:t>
      </w:r>
      <w:r w:rsidRPr="00050EA2">
        <w:rPr>
          <w:rFonts w:cs="Arial"/>
          <w:i/>
          <w:iCs/>
          <w:lang w:val="fr-FR"/>
        </w:rPr>
        <w:t>Chlamydotis undulata</w:t>
      </w:r>
      <w:r w:rsidRPr="00050EA2">
        <w:rPr>
          <w:rFonts w:cs="Arial"/>
          <w:lang w:val="fr-FR"/>
        </w:rPr>
        <w:t>, annexe I), Outarde de Macqueen (</w:t>
      </w:r>
      <w:r w:rsidRPr="00050EA2">
        <w:rPr>
          <w:rFonts w:cs="Arial"/>
          <w:i/>
          <w:iCs/>
          <w:lang w:val="fr-FR"/>
        </w:rPr>
        <w:t>Chlamydotis macqueenii</w:t>
      </w:r>
      <w:r w:rsidRPr="00050EA2">
        <w:rPr>
          <w:rFonts w:cs="Arial"/>
          <w:lang w:val="fr-FR"/>
        </w:rPr>
        <w:t>, annexe II), Outarde du Bengale (</w:t>
      </w:r>
      <w:r w:rsidRPr="00050EA2">
        <w:rPr>
          <w:rFonts w:cs="Arial"/>
          <w:i/>
          <w:iCs/>
          <w:lang w:val="fr-FR"/>
        </w:rPr>
        <w:t>Houbaropsis bengalensis</w:t>
      </w:r>
      <w:r w:rsidRPr="00050EA2">
        <w:rPr>
          <w:rFonts w:cs="Arial"/>
          <w:lang w:val="fr-FR"/>
        </w:rPr>
        <w:t>, annexe I) et Outarde Canepetière (</w:t>
      </w:r>
      <w:r w:rsidRPr="00050EA2">
        <w:rPr>
          <w:rFonts w:cs="Arial"/>
          <w:i/>
          <w:iCs/>
          <w:lang w:val="fr-FR"/>
        </w:rPr>
        <w:t>Tetrax tetrax</w:t>
      </w:r>
      <w:r w:rsidRPr="00050EA2">
        <w:rPr>
          <w:rFonts w:cs="Arial"/>
          <w:lang w:val="fr-FR"/>
        </w:rPr>
        <w:t xml:space="preserve">, annexes I et II). Cinq espèces supplémentaires sont incluses dans la liste des </w:t>
      </w:r>
      <w:r w:rsidRPr="00050EA2">
        <w:rPr>
          <w:rFonts w:cs="Arial"/>
          <w:i/>
          <w:iCs/>
          <w:lang w:val="fr-FR"/>
        </w:rPr>
        <w:t>Taxons aviaires susceptibles</w:t>
      </w:r>
      <w:r w:rsidRPr="00050EA2">
        <w:rPr>
          <w:rFonts w:cs="Arial"/>
          <w:lang w:val="fr-FR"/>
        </w:rPr>
        <w:t xml:space="preserve"> </w:t>
      </w:r>
      <w:r w:rsidRPr="00050EA2">
        <w:rPr>
          <w:rFonts w:cs="Arial"/>
          <w:i/>
          <w:iCs/>
          <w:lang w:val="fr-FR"/>
        </w:rPr>
        <w:t>d'inscription</w:t>
      </w:r>
      <w:r w:rsidRPr="00050EA2">
        <w:rPr>
          <w:rFonts w:cs="Arial"/>
          <w:lang w:val="fr-FR"/>
        </w:rPr>
        <w:t xml:space="preserve"> au titre de la Résolution 14.20 : Outarde de Ludwig (</w:t>
      </w:r>
      <w:r w:rsidRPr="00050EA2">
        <w:rPr>
          <w:rFonts w:cs="Arial"/>
          <w:i/>
          <w:iCs/>
          <w:lang w:val="fr-FR"/>
        </w:rPr>
        <w:t>Neotis ludwigii</w:t>
      </w:r>
      <w:r w:rsidRPr="00050EA2">
        <w:rPr>
          <w:rFonts w:cs="Arial"/>
          <w:lang w:val="fr-FR"/>
        </w:rPr>
        <w:t>), Outarde de Denham (</w:t>
      </w:r>
      <w:r w:rsidRPr="00050EA2">
        <w:rPr>
          <w:rFonts w:cs="Arial"/>
          <w:i/>
          <w:iCs/>
          <w:lang w:val="fr-FR"/>
        </w:rPr>
        <w:t>Neotis denhami</w:t>
      </w:r>
      <w:r w:rsidRPr="00050EA2">
        <w:rPr>
          <w:rFonts w:cs="Arial"/>
          <w:lang w:val="fr-FR"/>
        </w:rPr>
        <w:t>), Outarde nubienne (</w:t>
      </w:r>
      <w:r w:rsidRPr="00050EA2">
        <w:rPr>
          <w:rFonts w:cs="Arial"/>
          <w:i/>
          <w:iCs/>
          <w:lang w:val="fr-FR"/>
        </w:rPr>
        <w:t>Neotis nuba</w:t>
      </w:r>
      <w:r w:rsidRPr="00050EA2">
        <w:rPr>
          <w:rFonts w:cs="Arial"/>
          <w:lang w:val="fr-FR"/>
        </w:rPr>
        <w:t>), Outarde arabe (</w:t>
      </w:r>
      <w:r w:rsidRPr="00050EA2">
        <w:rPr>
          <w:rFonts w:cs="Arial"/>
          <w:i/>
          <w:iCs/>
          <w:lang w:val="fr-FR"/>
        </w:rPr>
        <w:t>Ardeotis arabs</w:t>
      </w:r>
      <w:r w:rsidRPr="00050EA2">
        <w:rPr>
          <w:rFonts w:cs="Arial"/>
          <w:lang w:val="fr-FR"/>
        </w:rPr>
        <w:t>) et Outarde passarage (</w:t>
      </w:r>
      <w:r w:rsidRPr="00050EA2">
        <w:rPr>
          <w:rFonts w:cs="Arial"/>
          <w:i/>
          <w:iCs/>
          <w:lang w:val="fr-FR"/>
        </w:rPr>
        <w:t>Sypheotides indicus</w:t>
      </w:r>
      <w:r w:rsidRPr="00050EA2">
        <w:rPr>
          <w:rFonts w:cs="Arial"/>
          <w:lang w:val="fr-FR"/>
        </w:rPr>
        <w:t xml:space="preserve">). </w:t>
      </w:r>
    </w:p>
    <w:p w14:paraId="03E3EFD6" w14:textId="77777777" w:rsidR="00482E73" w:rsidRPr="00050EA2" w:rsidRDefault="00482E73" w:rsidP="00482E73">
      <w:pPr>
        <w:spacing w:after="0" w:line="240" w:lineRule="auto"/>
        <w:ind w:left="540"/>
        <w:contextualSpacing/>
        <w:jc w:val="both"/>
        <w:rPr>
          <w:rFonts w:cs="Arial"/>
          <w:lang w:val="fr-FR"/>
        </w:rPr>
      </w:pPr>
    </w:p>
    <w:p w14:paraId="5A749DFC" w14:textId="77777777" w:rsidR="00482E73" w:rsidRPr="00050EA2" w:rsidRDefault="00482E73" w:rsidP="00482E73">
      <w:pPr>
        <w:numPr>
          <w:ilvl w:val="0"/>
          <w:numId w:val="2"/>
        </w:numPr>
        <w:spacing w:after="0" w:line="240" w:lineRule="auto"/>
        <w:ind w:left="540" w:hanging="540"/>
        <w:contextualSpacing/>
        <w:jc w:val="both"/>
        <w:rPr>
          <w:rFonts w:cs="Arial"/>
          <w:lang w:val="fr-FR"/>
        </w:rPr>
      </w:pPr>
      <w:r w:rsidRPr="00050EA2">
        <w:rPr>
          <w:rFonts w:cs="Arial"/>
          <w:lang w:val="fr-FR"/>
        </w:rPr>
        <w:t xml:space="preserve">Les compilateurs, sous la direction de la Hongrie, ont soumis le premier projet de MsAP Outardes au Secrétariat en juin 2025. Le Secrétariat l'a diffusé aux États de l'aire de répartition pour consultation. Des commentaires ont été recueillis auprès de plusieurs pays. Après examen attentif des commentaires, la diffusion du deuxième projet est prévue pour septembre 2025. </w:t>
      </w:r>
    </w:p>
    <w:p w14:paraId="46DDC40F" w14:textId="77777777" w:rsidR="00482E73" w:rsidRPr="00050EA2" w:rsidRDefault="00482E73" w:rsidP="00482E73">
      <w:pPr>
        <w:spacing w:after="0" w:line="240" w:lineRule="auto"/>
        <w:rPr>
          <w:rFonts w:cs="Arial"/>
          <w:u w:val="single"/>
          <w:lang w:val="fr-FR"/>
        </w:rPr>
      </w:pPr>
    </w:p>
    <w:p w14:paraId="44B7426C" w14:textId="77777777" w:rsidR="00482E73" w:rsidRPr="00050EA2" w:rsidRDefault="00482E73" w:rsidP="00482E73">
      <w:pPr>
        <w:spacing w:after="0" w:line="240" w:lineRule="auto"/>
        <w:rPr>
          <w:rFonts w:cs="Arial"/>
          <w:u w:val="single"/>
          <w:lang w:val="fr-FR"/>
        </w:rPr>
      </w:pPr>
      <w:r w:rsidRPr="00050EA2">
        <w:rPr>
          <w:rFonts w:cs="Arial"/>
          <w:u w:val="single"/>
          <w:lang w:val="fr-FR"/>
        </w:rPr>
        <w:t>Discussion et analyse</w:t>
      </w:r>
    </w:p>
    <w:p w14:paraId="457C144F" w14:textId="77777777" w:rsidR="00482E73" w:rsidRPr="00050EA2" w:rsidRDefault="00482E73" w:rsidP="00482E73">
      <w:pPr>
        <w:spacing w:after="0" w:line="240" w:lineRule="auto"/>
        <w:rPr>
          <w:rFonts w:cs="Arial"/>
          <w:u w:val="single"/>
          <w:lang w:val="fr-FR"/>
        </w:rPr>
      </w:pPr>
    </w:p>
    <w:p w14:paraId="4423E3D4" w14:textId="77777777" w:rsidR="00482E73" w:rsidRPr="00050EA2" w:rsidRDefault="00482E73" w:rsidP="00482E73">
      <w:pPr>
        <w:numPr>
          <w:ilvl w:val="0"/>
          <w:numId w:val="2"/>
        </w:numPr>
        <w:spacing w:after="0" w:line="240" w:lineRule="auto"/>
        <w:ind w:left="540" w:hanging="540"/>
        <w:contextualSpacing/>
        <w:jc w:val="both"/>
        <w:rPr>
          <w:rFonts w:cs="Arial"/>
          <w:lang w:val="fr-FR"/>
        </w:rPr>
      </w:pPr>
      <w:r w:rsidRPr="00050EA2">
        <w:rPr>
          <w:lang w:val="fr-FR"/>
        </w:rPr>
        <w:t xml:space="preserve">Diverses activités visant à soutenir la mise en œuvre des plans d'action existants pour les espèces d'oiseaux ainsi que l'élaboration de nouveaux plans ont été entreprises depuis la COP14. Ces activités comprenaient des projets concrets organisés au moyen de contrats avec des partenaires de mise en œuvre. Il est important de noter que les parties prenantes (par exemple, BWB) ont activement collaboré avec le Secrétariat pour élaborer le nouveau MsAP Outardes. </w:t>
      </w:r>
    </w:p>
    <w:p w14:paraId="290F7121" w14:textId="77777777" w:rsidR="00E02725" w:rsidRPr="004A0C71" w:rsidRDefault="00E02725" w:rsidP="00E02725">
      <w:pPr>
        <w:spacing w:after="0" w:line="240" w:lineRule="auto"/>
        <w:jc w:val="both"/>
        <w:rPr>
          <w:lang w:val="fr-FR"/>
        </w:rPr>
      </w:pPr>
    </w:p>
    <w:p w14:paraId="16291744" w14:textId="77777777" w:rsidR="00947923" w:rsidRDefault="00F56B8D" w:rsidP="00947923">
      <w:pPr>
        <w:spacing w:after="0" w:line="240" w:lineRule="auto"/>
        <w:ind w:left="567" w:hanging="567"/>
        <w:contextualSpacing/>
        <w:jc w:val="both"/>
        <w:rPr>
          <w:iCs/>
          <w:lang w:val="fr-FR"/>
        </w:rPr>
      </w:pPr>
      <w:r w:rsidRPr="005B4047">
        <w:rPr>
          <w:lang w:val="fr-FR"/>
        </w:rPr>
        <w:t>1</w:t>
      </w:r>
      <w:r w:rsidR="00E3797F" w:rsidRPr="005B4047">
        <w:rPr>
          <w:lang w:val="fr-FR"/>
        </w:rPr>
        <w:t>7</w:t>
      </w:r>
      <w:r>
        <w:rPr>
          <w:sz w:val="20"/>
          <w:szCs w:val="20"/>
          <w:lang w:val="fr-FR"/>
        </w:rPr>
        <w:t>.</w:t>
      </w:r>
      <w:r>
        <w:rPr>
          <w:sz w:val="20"/>
          <w:szCs w:val="20"/>
          <w:lang w:val="fr-FR"/>
        </w:rPr>
        <w:tab/>
      </w:r>
      <w:r w:rsidR="00E3797F" w:rsidRPr="003B3330">
        <w:rPr>
          <w:iCs/>
          <w:lang w:val="fr-FR"/>
        </w:rPr>
        <w:t xml:space="preserve">Le principal défi consiste à assurer le financement de la coordination internationale, de la mise en œuvre et du suivi des plans d'action par espèce </w:t>
      </w:r>
      <w:r w:rsidR="00E216AE">
        <w:rPr>
          <w:iCs/>
          <w:lang w:val="fr-FR"/>
        </w:rPr>
        <w:t xml:space="preserve">internationaux </w:t>
      </w:r>
      <w:r w:rsidR="00E3797F" w:rsidRPr="003B3330">
        <w:rPr>
          <w:iCs/>
          <w:lang w:val="fr-FR"/>
        </w:rPr>
        <w:t>(et multi-espèces), ainsi que de la sensibilisation à ces plans. Le Secrétariat ne dispose pas de capacités ou de fonds suffisants pour mettre en place des mécanismes adéquats de coordination, de suivi et de sensibilisation pour chacun des plans d'action approuvés dans le cadre de la Convention. Les progrès dans la mise en œuvre des mesures de conservation dépendent largement de l'engagement des parties prenantes, tout comme le suivi des actions et des réalisations, qui repose sur des informations activement partagées par les parties et les parties prenantes. Un soutien important n'est possible que grâce aux contributions volontaires, qui permettent d'établir des accords de financement avec les partenaires de mise en œuvre. La majorité des espèces faisant l'objet des plans d'action approuvés par la CMS ont un besoin urgent de mesures de conservation</w:t>
      </w:r>
      <w:r w:rsidR="004D3A43">
        <w:rPr>
          <w:iCs/>
          <w:lang w:val="fr-FR"/>
        </w:rPr>
        <w:t xml:space="preserve">. </w:t>
      </w:r>
      <w:r w:rsidR="00932E3F">
        <w:rPr>
          <w:iCs/>
          <w:lang w:val="fr-FR"/>
        </w:rPr>
        <w:t>A</w:t>
      </w:r>
      <w:r w:rsidR="00E3797F" w:rsidRPr="003B3330">
        <w:rPr>
          <w:iCs/>
          <w:lang w:val="fr-FR"/>
        </w:rPr>
        <w:t>vec les capacités actuellement en place</w:t>
      </w:r>
      <w:r w:rsidR="00932E3F">
        <w:rPr>
          <w:iCs/>
          <w:lang w:val="fr-FR"/>
        </w:rPr>
        <w:t xml:space="preserve"> au sein du Secrétariat</w:t>
      </w:r>
      <w:r w:rsidR="00E3797F" w:rsidRPr="003B3330">
        <w:rPr>
          <w:iCs/>
          <w:lang w:val="fr-FR"/>
        </w:rPr>
        <w:t>, de nombreuses menaces pertinentes ne peuvent être traitées et des mesures promues que par des initiatives thématiques globales (par exemple, pour lutter contre les prises illégales, les obstacles à la migration liés à l'infrastructure, etc.) au niveau international</w:t>
      </w:r>
      <w:r w:rsidR="00947923">
        <w:rPr>
          <w:iCs/>
          <w:lang w:val="fr-FR"/>
        </w:rPr>
        <w:t>.</w:t>
      </w:r>
    </w:p>
    <w:p w14:paraId="2C67CBAA" w14:textId="77777777" w:rsidR="00055A12" w:rsidRDefault="00055A12" w:rsidP="00947923">
      <w:pPr>
        <w:spacing w:after="0" w:line="240" w:lineRule="auto"/>
        <w:ind w:left="567" w:hanging="567"/>
        <w:contextualSpacing/>
        <w:jc w:val="both"/>
        <w:rPr>
          <w:iCs/>
          <w:lang w:val="fr-FR"/>
        </w:rPr>
      </w:pPr>
    </w:p>
    <w:p w14:paraId="5F785AC4" w14:textId="77777777" w:rsidR="002F3FA6" w:rsidRPr="00050EA2" w:rsidRDefault="002F3FA6" w:rsidP="00D6117C">
      <w:pPr>
        <w:numPr>
          <w:ilvl w:val="0"/>
          <w:numId w:val="12"/>
        </w:numPr>
        <w:spacing w:after="0" w:line="240" w:lineRule="auto"/>
        <w:ind w:left="567" w:hanging="567"/>
        <w:jc w:val="both"/>
        <w:rPr>
          <w:lang w:val="fr-FR"/>
        </w:rPr>
      </w:pPr>
      <w:r w:rsidRPr="00050EA2">
        <w:rPr>
          <w:lang w:val="fr-FR"/>
        </w:rPr>
        <w:lastRenderedPageBreak/>
        <w:t xml:space="preserve">Les ISSAP pour le Pélican Frisé et l'Érismature à tête blanche prennent fin en 2027. Le Secrétariat de l'AEWA recommande </w:t>
      </w:r>
      <w:r w:rsidRPr="00050EA2">
        <w:rPr>
          <w:color w:val="000000" w:themeColor="text1"/>
          <w:lang w:val="fr-FR"/>
        </w:rPr>
        <w:t xml:space="preserve">que leur validité </w:t>
      </w:r>
      <w:r w:rsidRPr="00050EA2">
        <w:rPr>
          <w:lang w:val="fr-FR"/>
        </w:rPr>
        <w:t>en vertu de l'AEWA soit prolongée jusqu'en 2028 (10</w:t>
      </w:r>
      <w:r w:rsidRPr="00050EA2">
        <w:rPr>
          <w:vertAlign w:val="superscript"/>
          <w:lang w:val="fr-FR"/>
        </w:rPr>
        <w:t>e</w:t>
      </w:r>
      <w:r w:rsidRPr="00050EA2">
        <w:rPr>
          <w:lang w:val="fr-FR"/>
        </w:rPr>
        <w:t xml:space="preserve"> Réunion des Parties à l'AEWA, MOP10), pour permettre une évaluation, en consultation avec les autres cadres d'adoption (CMS et EAAFP), afin de déterminer si ces ISSAP doivent être prolongés, retirés, révisés ou mis à jour. Une extension en vertu de la CMS pour une courte période est donc recommandée pour permettre la poursuite de la mise en œuvre sur l'ensemble des aires de répartition des espèces sous la coordination du GTI, jusqu'à ce qu'une nouvelle décision soit prise par la COP de la CMS, après consultation de l'AEWA et de l'EAAFP par l'intermédiaire de leurs secrétariats.</w:t>
      </w:r>
    </w:p>
    <w:p w14:paraId="273F0D49" w14:textId="77777777" w:rsidR="002F3FA6" w:rsidRPr="00050EA2" w:rsidRDefault="002F3FA6" w:rsidP="002F3FA6">
      <w:pPr>
        <w:spacing w:after="0" w:line="240" w:lineRule="auto"/>
        <w:rPr>
          <w:rFonts w:cs="Arial"/>
          <w:u w:val="single"/>
          <w:lang w:val="fr-FR"/>
        </w:rPr>
      </w:pPr>
    </w:p>
    <w:p w14:paraId="38ED7B91" w14:textId="77777777" w:rsidR="002F3FA6" w:rsidRPr="00050EA2" w:rsidRDefault="002F3FA6" w:rsidP="002F3FA6">
      <w:pPr>
        <w:spacing w:after="0" w:line="240" w:lineRule="auto"/>
        <w:rPr>
          <w:rFonts w:cs="Arial"/>
          <w:lang w:val="fr-FR"/>
        </w:rPr>
      </w:pPr>
      <w:r w:rsidRPr="00050EA2">
        <w:rPr>
          <w:rFonts w:cs="Arial"/>
          <w:u w:val="single"/>
          <w:lang w:val="fr-FR"/>
        </w:rPr>
        <w:t>Actions recommandées</w:t>
      </w:r>
    </w:p>
    <w:p w14:paraId="09AA3F8C" w14:textId="77777777" w:rsidR="002F3FA6" w:rsidRPr="00050EA2" w:rsidRDefault="002F3FA6" w:rsidP="002F3FA6">
      <w:pPr>
        <w:spacing w:after="0" w:line="240" w:lineRule="auto"/>
        <w:rPr>
          <w:rFonts w:cs="Arial"/>
          <w:lang w:val="fr-FR"/>
        </w:rPr>
      </w:pPr>
    </w:p>
    <w:p w14:paraId="6354977A" w14:textId="77777777" w:rsidR="002F3FA6" w:rsidRPr="00050EA2" w:rsidRDefault="002F3FA6" w:rsidP="00D6117C">
      <w:pPr>
        <w:numPr>
          <w:ilvl w:val="0"/>
          <w:numId w:val="12"/>
        </w:numPr>
        <w:spacing w:after="0" w:line="240" w:lineRule="auto"/>
        <w:ind w:left="540" w:hanging="540"/>
        <w:contextualSpacing/>
        <w:jc w:val="both"/>
        <w:rPr>
          <w:lang w:val="fr-FR"/>
        </w:rPr>
      </w:pPr>
      <w:r w:rsidRPr="00050EA2">
        <w:rPr>
          <w:rFonts w:cs="Arial"/>
          <w:lang w:val="fr-FR" w:eastAsia="en-GB"/>
        </w:rPr>
        <w:t xml:space="preserve">Il est recommandé à la Conférence des Parties </w:t>
      </w:r>
      <w:r w:rsidRPr="00050EA2">
        <w:rPr>
          <w:rFonts w:cs="Arial"/>
          <w:lang w:val="fr-FR"/>
        </w:rPr>
        <w:t>:</w:t>
      </w:r>
    </w:p>
    <w:p w14:paraId="3F44174F" w14:textId="77777777" w:rsidR="002F3FA6" w:rsidRPr="00050EA2" w:rsidRDefault="002F3FA6" w:rsidP="002F3FA6">
      <w:pPr>
        <w:spacing w:after="0" w:line="240" w:lineRule="auto"/>
        <w:ind w:left="540"/>
        <w:contextualSpacing/>
        <w:jc w:val="both"/>
        <w:rPr>
          <w:rFonts w:cs="Arial"/>
          <w:lang w:val="fr-FR"/>
        </w:rPr>
      </w:pPr>
    </w:p>
    <w:p w14:paraId="323F126F" w14:textId="77777777" w:rsidR="002F3FA6" w:rsidRPr="00050EA2" w:rsidRDefault="002F3FA6" w:rsidP="005B4047">
      <w:pPr>
        <w:numPr>
          <w:ilvl w:val="0"/>
          <w:numId w:val="11"/>
        </w:numPr>
        <w:spacing w:after="0" w:line="240" w:lineRule="auto"/>
        <w:ind w:left="993" w:hanging="426"/>
        <w:contextualSpacing/>
        <w:jc w:val="both"/>
        <w:rPr>
          <w:lang w:val="fr-FR"/>
        </w:rPr>
      </w:pPr>
      <w:r w:rsidRPr="00050EA2">
        <w:rPr>
          <w:rFonts w:cs="Arial"/>
          <w:lang w:val="fr-FR"/>
        </w:rPr>
        <w:t>d'adopter les projets d'amendements à la Résolution 12.12 (Rev.COP14) figurant à l'Annexe 1 du présent document ;</w:t>
      </w:r>
    </w:p>
    <w:p w14:paraId="38B2F2E8" w14:textId="77777777" w:rsidR="002F3FA6" w:rsidRPr="00050EA2" w:rsidRDefault="002F3FA6" w:rsidP="005B4047">
      <w:pPr>
        <w:spacing w:after="0" w:line="240" w:lineRule="auto"/>
        <w:ind w:left="993" w:hanging="426"/>
        <w:contextualSpacing/>
        <w:jc w:val="both"/>
        <w:rPr>
          <w:lang w:val="fr-FR"/>
        </w:rPr>
      </w:pPr>
    </w:p>
    <w:p w14:paraId="441D8C2B" w14:textId="77777777" w:rsidR="002F3FA6" w:rsidRPr="00050EA2" w:rsidRDefault="002F3FA6" w:rsidP="005B4047">
      <w:pPr>
        <w:numPr>
          <w:ilvl w:val="0"/>
          <w:numId w:val="11"/>
        </w:numPr>
        <w:spacing w:after="0" w:line="240" w:lineRule="auto"/>
        <w:ind w:left="993" w:hanging="426"/>
        <w:contextualSpacing/>
        <w:jc w:val="both"/>
        <w:rPr>
          <w:lang w:val="fr-FR"/>
        </w:rPr>
      </w:pPr>
      <w:r w:rsidRPr="00050EA2">
        <w:rPr>
          <w:lang w:val="fr-FR"/>
        </w:rPr>
        <w:t xml:space="preserve">d'adopter les projets de décision tels qu'ils figurent à l'Annexe 2 du présent document ; </w:t>
      </w:r>
    </w:p>
    <w:p w14:paraId="3C9717F3" w14:textId="77777777" w:rsidR="002F3FA6" w:rsidRPr="00050EA2" w:rsidRDefault="002F3FA6" w:rsidP="005B4047">
      <w:pPr>
        <w:pStyle w:val="ListParagraph"/>
        <w:ind w:left="993" w:hanging="426"/>
        <w:rPr>
          <w:lang w:val="fr-FR"/>
        </w:rPr>
      </w:pPr>
    </w:p>
    <w:p w14:paraId="0B7EA650" w14:textId="77777777" w:rsidR="002F3FA6" w:rsidRPr="00050EA2" w:rsidRDefault="002F3FA6" w:rsidP="005B4047">
      <w:pPr>
        <w:numPr>
          <w:ilvl w:val="0"/>
          <w:numId w:val="11"/>
        </w:numPr>
        <w:spacing w:after="0" w:line="240" w:lineRule="auto"/>
        <w:ind w:left="993" w:hanging="426"/>
        <w:contextualSpacing/>
        <w:jc w:val="both"/>
        <w:rPr>
          <w:lang w:val="fr-FR"/>
        </w:rPr>
      </w:pPr>
      <w:r w:rsidRPr="00050EA2">
        <w:rPr>
          <w:lang w:val="fr-FR"/>
        </w:rPr>
        <w:t>de supprimer les décisions 14.144 à 14.147.</w:t>
      </w:r>
    </w:p>
    <w:p w14:paraId="2F36AC2F" w14:textId="77777777" w:rsidR="002F3FA6" w:rsidRDefault="002F3FA6" w:rsidP="00947923">
      <w:pPr>
        <w:spacing w:after="0" w:line="240" w:lineRule="auto"/>
        <w:ind w:left="567" w:hanging="567"/>
        <w:contextualSpacing/>
        <w:jc w:val="both"/>
        <w:rPr>
          <w:iCs/>
          <w:lang w:val="fr-FR"/>
        </w:rPr>
      </w:pPr>
    </w:p>
    <w:p w14:paraId="5DF612EF" w14:textId="3938536B" w:rsidR="00E3797F" w:rsidRPr="003B3330" w:rsidRDefault="00E3797F" w:rsidP="00947923">
      <w:pPr>
        <w:spacing w:after="0" w:line="240" w:lineRule="auto"/>
        <w:ind w:left="567" w:hanging="567"/>
        <w:contextualSpacing/>
        <w:jc w:val="both"/>
        <w:rPr>
          <w:iCs/>
          <w:lang w:val="fr-FR"/>
        </w:rPr>
      </w:pPr>
    </w:p>
    <w:p w14:paraId="3FB97732" w14:textId="77777777" w:rsidR="00932E3F" w:rsidRDefault="00932E3F" w:rsidP="00E02725">
      <w:pPr>
        <w:spacing w:after="0" w:line="240" w:lineRule="auto"/>
        <w:jc w:val="both"/>
        <w:rPr>
          <w:sz w:val="20"/>
          <w:szCs w:val="20"/>
          <w:lang w:val="fr-FR"/>
        </w:rPr>
        <w:sectPr w:rsidR="00932E3F" w:rsidSect="007C0105">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568" w:footer="720" w:gutter="0"/>
          <w:cols w:space="720"/>
          <w:titlePg/>
          <w:docGrid w:linePitch="360"/>
        </w:sectPr>
      </w:pPr>
    </w:p>
    <w:p w14:paraId="05F07E99" w14:textId="250D4711" w:rsidR="00E02725" w:rsidRDefault="008429ED" w:rsidP="008429ED">
      <w:pPr>
        <w:spacing w:after="0" w:line="240" w:lineRule="auto"/>
        <w:jc w:val="right"/>
        <w:rPr>
          <w:b/>
          <w:bCs/>
          <w:sz w:val="20"/>
          <w:szCs w:val="20"/>
          <w:lang w:val="fr-FR"/>
        </w:rPr>
      </w:pPr>
      <w:r w:rsidRPr="008429ED">
        <w:rPr>
          <w:b/>
          <w:bCs/>
          <w:sz w:val="20"/>
          <w:szCs w:val="20"/>
          <w:lang w:val="fr-FR"/>
        </w:rPr>
        <w:lastRenderedPageBreak/>
        <w:t>ANNEXE 1</w:t>
      </w:r>
    </w:p>
    <w:p w14:paraId="1AF128B6" w14:textId="77777777" w:rsidR="008429ED" w:rsidRDefault="008429ED" w:rsidP="008429ED">
      <w:pPr>
        <w:spacing w:after="0" w:line="240" w:lineRule="auto"/>
        <w:jc w:val="right"/>
        <w:rPr>
          <w:b/>
          <w:bCs/>
          <w:sz w:val="20"/>
          <w:szCs w:val="20"/>
          <w:lang w:val="fr-FR"/>
        </w:rPr>
      </w:pPr>
    </w:p>
    <w:p w14:paraId="7EB470B3" w14:textId="17D1675B" w:rsidR="00466578" w:rsidRDefault="00466578" w:rsidP="001E76DF">
      <w:pPr>
        <w:spacing w:after="0" w:line="240" w:lineRule="auto"/>
        <w:jc w:val="center"/>
        <w:rPr>
          <w:lang w:val="fr-FR"/>
        </w:rPr>
      </w:pPr>
      <w:r w:rsidRPr="007233B9">
        <w:rPr>
          <w:lang w:val="fr-FR"/>
        </w:rPr>
        <w:t>PROPOSITION DE RÉVISION DE LA RÉSOLUTION 1</w:t>
      </w:r>
      <w:r w:rsidR="001E76DF">
        <w:rPr>
          <w:lang w:val="fr-FR"/>
        </w:rPr>
        <w:t>2.12</w:t>
      </w:r>
      <w:r w:rsidRPr="007233B9">
        <w:rPr>
          <w:lang w:val="fr-FR"/>
        </w:rPr>
        <w:t xml:space="preserve"> (Rev.COP14)</w:t>
      </w:r>
    </w:p>
    <w:p w14:paraId="75AC5888" w14:textId="77777777" w:rsidR="001E76DF" w:rsidRPr="007233B9" w:rsidRDefault="001E76DF" w:rsidP="001E76DF">
      <w:pPr>
        <w:spacing w:after="0" w:line="240" w:lineRule="auto"/>
        <w:jc w:val="center"/>
        <w:rPr>
          <w:lang w:val="fr-FR"/>
        </w:rPr>
      </w:pPr>
    </w:p>
    <w:p w14:paraId="71034A71" w14:textId="798FCB0B" w:rsidR="00466578" w:rsidRDefault="001E76DF" w:rsidP="001E76DF">
      <w:pPr>
        <w:pBdr>
          <w:top w:val="single" w:sz="6" w:space="0" w:color="FFFFFF"/>
          <w:left w:val="single" w:sz="6" w:space="0" w:color="FFFFFF"/>
          <w:bottom w:val="single" w:sz="6" w:space="0" w:color="FFFFFF"/>
          <w:right w:val="single" w:sz="6" w:space="0" w:color="FFFFFF"/>
        </w:pBdr>
        <w:spacing w:after="0" w:line="240" w:lineRule="auto"/>
        <w:ind w:left="-85" w:right="-357"/>
        <w:jc w:val="center"/>
        <w:outlineLvl w:val="1"/>
        <w:rPr>
          <w:rFonts w:cs="Arial"/>
          <w:b/>
          <w:lang w:val="fr-FR"/>
        </w:rPr>
      </w:pPr>
      <w:r w:rsidRPr="0090738E">
        <w:rPr>
          <w:rFonts w:cs="Arial"/>
          <w:b/>
          <w:lang w:val="fr-FR"/>
        </w:rPr>
        <w:t>PLANS D</w:t>
      </w:r>
      <w:r>
        <w:rPr>
          <w:rFonts w:cs="Arial"/>
          <w:b/>
          <w:lang w:val="fr-FR"/>
        </w:rPr>
        <w:t>’</w:t>
      </w:r>
      <w:r w:rsidRPr="0090738E">
        <w:rPr>
          <w:rFonts w:cs="Arial"/>
          <w:b/>
          <w:lang w:val="fr-FR"/>
        </w:rPr>
        <w:t>ACTION POUR LES OISEAUX</w:t>
      </w:r>
    </w:p>
    <w:p w14:paraId="3064507E" w14:textId="77777777" w:rsidR="001E76DF" w:rsidRPr="001E76DF" w:rsidRDefault="001E76DF" w:rsidP="001E76DF">
      <w:pPr>
        <w:pBdr>
          <w:top w:val="single" w:sz="6" w:space="0" w:color="FFFFFF"/>
          <w:left w:val="single" w:sz="6" w:space="0" w:color="FFFFFF"/>
          <w:bottom w:val="single" w:sz="6" w:space="0" w:color="FFFFFF"/>
          <w:right w:val="single" w:sz="6" w:space="0" w:color="FFFFFF"/>
        </w:pBdr>
        <w:spacing w:after="0" w:line="240" w:lineRule="auto"/>
        <w:ind w:left="-85" w:right="-357"/>
        <w:jc w:val="center"/>
        <w:outlineLvl w:val="1"/>
        <w:rPr>
          <w:rFonts w:cs="Arial"/>
          <w:b/>
          <w:lang w:val="fr-FR"/>
        </w:rPr>
      </w:pPr>
    </w:p>
    <w:p w14:paraId="264BD7B3" w14:textId="77777777" w:rsidR="00466578" w:rsidRPr="007233B9" w:rsidRDefault="00466578" w:rsidP="001E76DF">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285B815A" w14:textId="77777777" w:rsidR="00466578" w:rsidRDefault="00466578" w:rsidP="001E76DF">
      <w:pPr>
        <w:pBdr>
          <w:top w:val="single" w:sz="6" w:space="0" w:color="FFFFFF"/>
          <w:left w:val="single" w:sz="6" w:space="0" w:color="FFFFFF"/>
          <w:bottom w:val="single" w:sz="6" w:space="0" w:color="FFFFFF"/>
          <w:right w:val="single" w:sz="6" w:space="0" w:color="FFFFFF"/>
        </w:pBdr>
        <w:spacing w:after="0" w:line="240" w:lineRule="auto"/>
        <w:ind w:left="-85" w:right="-357"/>
        <w:jc w:val="center"/>
        <w:outlineLvl w:val="1"/>
        <w:rPr>
          <w:rFonts w:cs="Arial"/>
          <w:b/>
          <w:lang w:val="fr-FR"/>
        </w:rPr>
      </w:pPr>
    </w:p>
    <w:p w14:paraId="542DDE42" w14:textId="77777777" w:rsidR="00466578" w:rsidRDefault="00466578" w:rsidP="001E76DF">
      <w:pPr>
        <w:pBdr>
          <w:top w:val="single" w:sz="6" w:space="0" w:color="FFFFFF"/>
          <w:left w:val="single" w:sz="6" w:space="0" w:color="FFFFFF"/>
          <w:bottom w:val="single" w:sz="6" w:space="0" w:color="FFFFFF"/>
          <w:right w:val="single" w:sz="6" w:space="0" w:color="FFFFFF"/>
        </w:pBdr>
        <w:spacing w:after="0" w:line="240" w:lineRule="auto"/>
        <w:ind w:left="-85" w:right="-357"/>
        <w:jc w:val="center"/>
        <w:outlineLvl w:val="1"/>
        <w:rPr>
          <w:rFonts w:cs="Arial"/>
          <w:b/>
          <w:lang w:val="fr-FR"/>
        </w:rPr>
      </w:pPr>
    </w:p>
    <w:p w14:paraId="6291E3B3" w14:textId="77777777" w:rsidR="00FA6621" w:rsidRPr="00E6195F" w:rsidRDefault="00FA6621" w:rsidP="00FA6621">
      <w:pPr>
        <w:spacing w:after="0" w:line="240" w:lineRule="auto"/>
        <w:jc w:val="center"/>
        <w:rPr>
          <w:rFonts w:cs="Arial"/>
          <w:lang w:val="fr-FR"/>
        </w:rPr>
      </w:pPr>
      <w:r w:rsidRPr="00E6195F">
        <w:rPr>
          <w:rFonts w:cs="Arial"/>
          <w:lang w:val="fr-FR"/>
        </w:rPr>
        <w:t xml:space="preserve">Adoptée par la Conférence des Parties lors de sa 14 </w:t>
      </w:r>
      <w:r w:rsidRPr="00E6195F">
        <w:rPr>
          <w:rFonts w:cs="Arial"/>
          <w:vertAlign w:val="superscript"/>
          <w:lang w:val="fr-FR"/>
        </w:rPr>
        <w:t>e</w:t>
      </w:r>
      <w:r w:rsidRPr="00E6195F">
        <w:rPr>
          <w:rFonts w:cs="Arial"/>
          <w:lang w:val="fr-FR"/>
        </w:rPr>
        <w:t>réunion (Samarcande, février 2024)</w:t>
      </w:r>
    </w:p>
    <w:p w14:paraId="11D9454A" w14:textId="77777777" w:rsidR="00FA6621" w:rsidRPr="00E6195F" w:rsidRDefault="00FA6621" w:rsidP="00FA6621">
      <w:pPr>
        <w:spacing w:after="0" w:line="240" w:lineRule="auto"/>
        <w:rPr>
          <w:rFonts w:cs="Arial"/>
          <w:lang w:val="fr-FR"/>
        </w:rPr>
      </w:pPr>
    </w:p>
    <w:p w14:paraId="5743D3A4" w14:textId="77777777" w:rsidR="00FA6621" w:rsidRPr="00E6195F" w:rsidRDefault="00FA6621" w:rsidP="00FA6621">
      <w:pPr>
        <w:pBdr>
          <w:top w:val="single" w:sz="6" w:space="0" w:color="FFFFFF"/>
          <w:left w:val="single" w:sz="6" w:space="0" w:color="FFFFFF"/>
          <w:bottom w:val="single" w:sz="6" w:space="0" w:color="FFFFFF"/>
          <w:right w:val="single" w:sz="6" w:space="0" w:color="FFFFFF"/>
        </w:pBdr>
        <w:spacing w:after="0" w:line="240" w:lineRule="auto"/>
        <w:ind w:right="-360"/>
        <w:outlineLvl w:val="1"/>
        <w:rPr>
          <w:rFonts w:cs="Arial"/>
          <w:lang w:val="fr-FR"/>
        </w:rPr>
      </w:pPr>
    </w:p>
    <w:p w14:paraId="601B176A" w14:textId="77777777" w:rsidR="00FA6621" w:rsidRPr="0090738E" w:rsidRDefault="00FA6621" w:rsidP="00FA6621">
      <w:pPr>
        <w:adjustRightInd w:val="0"/>
        <w:spacing w:after="0" w:line="240" w:lineRule="auto"/>
        <w:jc w:val="both"/>
        <w:rPr>
          <w:rFonts w:cs="Arial"/>
          <w:i/>
          <w:lang w:val="fr-FR"/>
        </w:rPr>
      </w:pPr>
      <w:r w:rsidRPr="0090738E">
        <w:rPr>
          <w:rFonts w:cs="Arial"/>
          <w:i/>
          <w:lang w:val="fr-FR"/>
        </w:rPr>
        <w:t xml:space="preserve">Rappelant </w:t>
      </w:r>
      <w:r w:rsidRPr="0090738E">
        <w:rPr>
          <w:rFonts w:cs="Arial"/>
          <w:iCs/>
          <w:lang w:val="fr-FR"/>
        </w:rPr>
        <w:t xml:space="preserve">la </w:t>
      </w:r>
      <w:r>
        <w:rPr>
          <w:rFonts w:cs="Arial"/>
          <w:iCs/>
          <w:lang w:val="fr-FR"/>
        </w:rPr>
        <w:t>résolution</w:t>
      </w:r>
      <w:r w:rsidRPr="0090738E">
        <w:rPr>
          <w:rFonts w:cs="Arial"/>
          <w:iCs/>
          <w:lang w:val="fr-FR"/>
        </w:rPr>
        <w:t xml:space="preserve"> 11.14</w:t>
      </w:r>
      <w:r w:rsidRPr="0090738E">
        <w:rPr>
          <w:rFonts w:cs="Arial"/>
          <w:vertAlign w:val="superscript"/>
        </w:rPr>
        <w:footnoteReference w:id="6"/>
      </w:r>
      <w:r>
        <w:rPr>
          <w:rFonts w:cs="Arial"/>
          <w:i/>
          <w:lang w:val="fr-FR"/>
        </w:rPr>
        <w:t xml:space="preserve">, </w:t>
      </w:r>
      <w:r w:rsidRPr="0090738E">
        <w:rPr>
          <w:rFonts w:cs="Arial"/>
          <w:i/>
          <w:lang w:val="fr-FR"/>
        </w:rPr>
        <w:t xml:space="preserve">Programme de travail sur les oiseaux migrateurs et les voies de migration, </w:t>
      </w:r>
      <w:r w:rsidRPr="0090738E">
        <w:rPr>
          <w:rFonts w:cs="Arial"/>
          <w:iCs/>
          <w:lang w:val="fr-FR"/>
        </w:rPr>
        <w:t>qui recommand</w:t>
      </w:r>
      <w:r>
        <w:rPr>
          <w:rFonts w:cs="Arial"/>
          <w:iCs/>
          <w:lang w:val="fr-FR"/>
        </w:rPr>
        <w:t>ait</w:t>
      </w:r>
      <w:r w:rsidRPr="0090738E">
        <w:rPr>
          <w:rFonts w:cs="Arial"/>
          <w:iCs/>
          <w:lang w:val="fr-FR"/>
        </w:rPr>
        <w:t xml:space="preserve"> l’élaboration, l’adoption et la mise en œuvre de plans d’action par espèce pour les espèces prioritaires, conformément aux priorités de la CMS </w:t>
      </w:r>
      <w:r>
        <w:rPr>
          <w:rFonts w:cs="Arial"/>
          <w:iCs/>
          <w:lang w:val="fr-FR"/>
        </w:rPr>
        <w:t>relatives aux</w:t>
      </w:r>
      <w:r w:rsidRPr="0090738E">
        <w:rPr>
          <w:rFonts w:cs="Arial"/>
          <w:iCs/>
          <w:lang w:val="fr-FR"/>
        </w:rPr>
        <w:t xml:space="preserve"> </w:t>
      </w:r>
      <w:r>
        <w:rPr>
          <w:rFonts w:cs="Arial"/>
          <w:iCs/>
          <w:lang w:val="fr-FR"/>
        </w:rPr>
        <w:t>a</w:t>
      </w:r>
      <w:r w:rsidRPr="0090738E">
        <w:rPr>
          <w:rFonts w:cs="Arial"/>
          <w:iCs/>
          <w:lang w:val="fr-FR"/>
        </w:rPr>
        <w:t xml:space="preserve">ctions concertées et en coopération, </w:t>
      </w:r>
      <w:r>
        <w:rPr>
          <w:rFonts w:cs="Arial"/>
          <w:iCs/>
          <w:lang w:val="fr-FR"/>
        </w:rPr>
        <w:t>notamment pour</w:t>
      </w:r>
      <w:r w:rsidRPr="0090738E">
        <w:rPr>
          <w:rFonts w:cs="Arial"/>
          <w:iCs/>
          <w:lang w:val="fr-FR"/>
        </w:rPr>
        <w:t xml:space="preserve"> le bruant auréole</w:t>
      </w:r>
      <w:r w:rsidRPr="0090738E">
        <w:rPr>
          <w:rFonts w:cs="Arial"/>
          <w:i/>
          <w:lang w:val="fr-FR"/>
        </w:rPr>
        <w:t xml:space="preserve"> </w:t>
      </w:r>
      <w:r w:rsidRPr="000D0783">
        <w:rPr>
          <w:rFonts w:cs="Arial"/>
          <w:lang w:val="fr-FR"/>
        </w:rPr>
        <w:t>(</w:t>
      </w:r>
      <w:r w:rsidRPr="0090738E">
        <w:rPr>
          <w:rFonts w:cs="Arial"/>
          <w:i/>
          <w:lang w:val="fr-FR"/>
        </w:rPr>
        <w:t>Emberiza</w:t>
      </w:r>
      <w:r>
        <w:rPr>
          <w:rFonts w:cs="Arial"/>
          <w:i/>
          <w:lang w:val="fr-FR"/>
        </w:rPr>
        <w:t> </w:t>
      </w:r>
      <w:r w:rsidRPr="0090738E">
        <w:rPr>
          <w:rFonts w:cs="Arial"/>
          <w:i/>
          <w:lang w:val="fr-FR"/>
        </w:rPr>
        <w:t>aureola</w:t>
      </w:r>
      <w:r w:rsidRPr="000D0783">
        <w:rPr>
          <w:rFonts w:cs="Arial"/>
          <w:lang w:val="fr-FR"/>
        </w:rPr>
        <w:t>)</w:t>
      </w:r>
      <w:r w:rsidRPr="0090738E">
        <w:rPr>
          <w:rFonts w:cs="Arial"/>
          <w:i/>
          <w:lang w:val="fr-FR"/>
        </w:rPr>
        <w:t xml:space="preserve">, </w:t>
      </w:r>
      <w:r w:rsidRPr="006D7399">
        <w:rPr>
          <w:rFonts w:cs="Arial"/>
          <w:iCs/>
          <w:lang w:val="fr-FR"/>
        </w:rPr>
        <w:t>l</w:t>
      </w:r>
      <w:r w:rsidRPr="0090738E">
        <w:rPr>
          <w:rFonts w:cs="Arial"/>
          <w:iCs/>
          <w:lang w:val="fr-FR"/>
        </w:rPr>
        <w:t>e fuligule de Baer</w:t>
      </w:r>
      <w:r w:rsidRPr="0090738E">
        <w:rPr>
          <w:rFonts w:cs="Arial"/>
          <w:i/>
          <w:lang w:val="fr-FR"/>
        </w:rPr>
        <w:t xml:space="preserve"> </w:t>
      </w:r>
      <w:r w:rsidRPr="000D0783">
        <w:rPr>
          <w:rFonts w:cs="Arial"/>
          <w:lang w:val="fr-FR"/>
        </w:rPr>
        <w:t>(</w:t>
      </w:r>
      <w:r w:rsidRPr="0090738E">
        <w:rPr>
          <w:rFonts w:cs="Arial"/>
          <w:i/>
          <w:lang w:val="fr-FR"/>
        </w:rPr>
        <w:t>Aythya</w:t>
      </w:r>
      <w:r>
        <w:rPr>
          <w:rFonts w:cs="Arial"/>
          <w:i/>
          <w:lang w:val="fr-FR"/>
        </w:rPr>
        <w:t> </w:t>
      </w:r>
      <w:r w:rsidRPr="0090738E">
        <w:rPr>
          <w:rFonts w:cs="Arial"/>
          <w:i/>
          <w:lang w:val="fr-FR"/>
        </w:rPr>
        <w:t>baeri</w:t>
      </w:r>
      <w:r w:rsidRPr="000D0783">
        <w:rPr>
          <w:rFonts w:cs="Arial"/>
          <w:lang w:val="fr-FR"/>
        </w:rPr>
        <w:t>)</w:t>
      </w:r>
      <w:r w:rsidRPr="0090738E">
        <w:rPr>
          <w:rFonts w:cs="Arial"/>
          <w:i/>
          <w:lang w:val="fr-FR"/>
        </w:rPr>
        <w:t xml:space="preserve"> </w:t>
      </w:r>
      <w:r w:rsidRPr="0090738E">
        <w:rPr>
          <w:rFonts w:cs="Arial"/>
          <w:iCs/>
          <w:lang w:val="fr-FR"/>
        </w:rPr>
        <w:t>et le courlis de Sibérie</w:t>
      </w:r>
      <w:r w:rsidRPr="0090738E">
        <w:rPr>
          <w:rFonts w:cs="Arial"/>
          <w:i/>
          <w:lang w:val="fr-FR"/>
        </w:rPr>
        <w:t xml:space="preserve"> </w:t>
      </w:r>
      <w:r w:rsidRPr="000D0783">
        <w:rPr>
          <w:rFonts w:cs="Arial"/>
          <w:lang w:val="fr-FR"/>
        </w:rPr>
        <w:t>(</w:t>
      </w:r>
      <w:r w:rsidRPr="0090738E">
        <w:rPr>
          <w:rFonts w:cs="Arial"/>
          <w:i/>
          <w:lang w:val="fr-FR"/>
        </w:rPr>
        <w:t>Numenius</w:t>
      </w:r>
      <w:r>
        <w:rPr>
          <w:rFonts w:cs="Arial"/>
          <w:i/>
          <w:lang w:val="fr-FR"/>
        </w:rPr>
        <w:t> </w:t>
      </w:r>
      <w:r w:rsidRPr="0090738E">
        <w:rPr>
          <w:rFonts w:cs="Arial"/>
          <w:i/>
          <w:lang w:val="fr-FR"/>
        </w:rPr>
        <w:t>madagascariensis</w:t>
      </w:r>
      <w:r w:rsidRPr="000D0783">
        <w:rPr>
          <w:rFonts w:cs="Arial"/>
          <w:lang w:val="fr-FR"/>
        </w:rPr>
        <w:t>)</w:t>
      </w:r>
      <w:r w:rsidRPr="0090738E">
        <w:rPr>
          <w:rFonts w:cs="Arial"/>
          <w:lang w:val="fr-FR"/>
        </w:rPr>
        <w:t>,</w:t>
      </w:r>
    </w:p>
    <w:p w14:paraId="0A5E1960" w14:textId="77777777" w:rsidR="00FA6621" w:rsidRPr="0090738E" w:rsidRDefault="00FA6621" w:rsidP="00FA6621">
      <w:pPr>
        <w:adjustRightInd w:val="0"/>
        <w:spacing w:after="0" w:line="240" w:lineRule="auto"/>
        <w:jc w:val="both"/>
        <w:rPr>
          <w:rFonts w:cs="Arial"/>
          <w:i/>
          <w:lang w:val="fr-FR"/>
        </w:rPr>
      </w:pPr>
    </w:p>
    <w:p w14:paraId="57001F83" w14:textId="77777777" w:rsidR="00FA6621" w:rsidRPr="0090738E" w:rsidRDefault="00FA6621" w:rsidP="00FA6621">
      <w:pPr>
        <w:adjustRightInd w:val="0"/>
        <w:spacing w:after="0" w:line="240" w:lineRule="auto"/>
        <w:jc w:val="both"/>
        <w:rPr>
          <w:rFonts w:cs="Arial"/>
          <w:lang w:val="fr-FR"/>
        </w:rPr>
      </w:pPr>
      <w:r w:rsidRPr="0090738E">
        <w:rPr>
          <w:rFonts w:cs="Arial"/>
          <w:i/>
          <w:lang w:val="fr-FR"/>
        </w:rPr>
        <w:t xml:space="preserve">Rappelant également </w:t>
      </w:r>
      <w:r w:rsidRPr="0090738E">
        <w:rPr>
          <w:rFonts w:cs="Arial"/>
          <w:lang w:val="fr-FR"/>
        </w:rPr>
        <w:t xml:space="preserve">la </w:t>
      </w:r>
      <w:r>
        <w:rPr>
          <w:rFonts w:cs="Arial"/>
          <w:lang w:val="fr-FR"/>
        </w:rPr>
        <w:t>résolution </w:t>
      </w:r>
      <w:r w:rsidRPr="0090738E">
        <w:rPr>
          <w:rFonts w:cs="Arial"/>
          <w:lang w:val="fr-FR"/>
        </w:rPr>
        <w:t>11.17</w:t>
      </w:r>
      <w:r>
        <w:rPr>
          <w:rFonts w:cs="Arial"/>
          <w:lang w:val="fr-FR"/>
        </w:rPr>
        <w:t>,</w:t>
      </w:r>
      <w:r w:rsidRPr="0090738E">
        <w:rPr>
          <w:rFonts w:cs="Arial"/>
          <w:lang w:val="fr-FR"/>
        </w:rPr>
        <w:t xml:space="preserve"> (Rev.</w:t>
      </w:r>
      <w:r>
        <w:rPr>
          <w:rFonts w:cs="Arial"/>
          <w:lang w:val="fr-FR"/>
        </w:rPr>
        <w:t> </w:t>
      </w:r>
      <w:r w:rsidRPr="0090738E">
        <w:rPr>
          <w:rFonts w:cs="Arial"/>
          <w:lang w:val="fr-FR"/>
        </w:rPr>
        <w:t>COP12)</w:t>
      </w:r>
      <w:r w:rsidRPr="0090738E">
        <w:rPr>
          <w:rFonts w:cs="Arial"/>
          <w:vertAlign w:val="superscript"/>
          <w:lang w:val="en-GB"/>
        </w:rPr>
        <w:footnoteReference w:id="7"/>
      </w:r>
      <w:r>
        <w:rPr>
          <w:rFonts w:cs="Arial"/>
          <w:i/>
          <w:lang w:val="fr-FR"/>
        </w:rPr>
        <w:t xml:space="preserve">, </w:t>
      </w:r>
      <w:r w:rsidRPr="0090738E">
        <w:rPr>
          <w:rFonts w:cs="Arial"/>
          <w:i/>
          <w:lang w:val="fr-FR"/>
        </w:rPr>
        <w:t>Plan d’action pour les oiseaux terrestres migrateurs d’Afrique-Eurasie</w:t>
      </w:r>
      <w:r w:rsidRPr="0090738E">
        <w:rPr>
          <w:rFonts w:cs="Arial"/>
          <w:lang w:val="fr-FR"/>
        </w:rPr>
        <w:t xml:space="preserve">, qui demande au Groupe de travail sur les oiseaux terrestres et au Conseil scientifique, avec le soutien du Secrétariat de la CMS, d’élaborer, en tant que nouvel enjeu, des </w:t>
      </w:r>
      <w:r>
        <w:rPr>
          <w:rFonts w:cs="Arial"/>
          <w:lang w:val="fr-FR"/>
        </w:rPr>
        <w:t>p</w:t>
      </w:r>
      <w:r w:rsidRPr="0090738E">
        <w:rPr>
          <w:rFonts w:cs="Arial"/>
          <w:lang w:val="fr-FR"/>
        </w:rPr>
        <w:t>lans d’action pour le bruant auréole</w:t>
      </w:r>
      <w:r>
        <w:rPr>
          <w:rFonts w:cs="Arial"/>
          <w:lang w:val="fr-FR"/>
        </w:rPr>
        <w:t xml:space="preserve"> </w:t>
      </w:r>
      <w:r w:rsidRPr="000D0783">
        <w:rPr>
          <w:rFonts w:cs="Arial"/>
          <w:lang w:val="fr-FR"/>
        </w:rPr>
        <w:t>(</w:t>
      </w:r>
      <w:r w:rsidRPr="006D7399">
        <w:rPr>
          <w:rFonts w:cs="Arial"/>
          <w:i/>
          <w:lang w:val="fr-FR"/>
        </w:rPr>
        <w:t>Emberiza</w:t>
      </w:r>
      <w:r>
        <w:rPr>
          <w:rFonts w:cs="Arial"/>
          <w:i/>
          <w:lang w:val="fr-FR"/>
        </w:rPr>
        <w:t> </w:t>
      </w:r>
      <w:r w:rsidRPr="006D7399">
        <w:rPr>
          <w:rFonts w:cs="Arial"/>
          <w:i/>
          <w:lang w:val="fr-FR"/>
        </w:rPr>
        <w:t>aureola</w:t>
      </w:r>
      <w:r w:rsidRPr="000D0783">
        <w:rPr>
          <w:rFonts w:cs="Arial"/>
          <w:lang w:val="fr-FR"/>
        </w:rPr>
        <w:t>)</w:t>
      </w:r>
      <w:r w:rsidRPr="0090738E">
        <w:rPr>
          <w:rFonts w:cs="Arial"/>
          <w:lang w:val="fr-FR"/>
        </w:rPr>
        <w:t>, la tourterelle des bois (</w:t>
      </w:r>
      <w:r w:rsidRPr="0090738E">
        <w:rPr>
          <w:rFonts w:cs="Arial"/>
          <w:i/>
          <w:iCs/>
          <w:lang w:val="fr-FR"/>
        </w:rPr>
        <w:t>Streptopelia</w:t>
      </w:r>
      <w:r>
        <w:rPr>
          <w:rFonts w:cs="Arial"/>
          <w:i/>
          <w:iCs/>
          <w:lang w:val="fr-FR"/>
        </w:rPr>
        <w:t> </w:t>
      </w:r>
      <w:r w:rsidRPr="0090738E">
        <w:rPr>
          <w:rFonts w:cs="Arial"/>
          <w:i/>
          <w:iCs/>
          <w:lang w:val="fr-FR"/>
        </w:rPr>
        <w:t>turtur</w:t>
      </w:r>
      <w:r w:rsidRPr="0090738E">
        <w:rPr>
          <w:rFonts w:cs="Arial"/>
          <w:lang w:val="fr-FR"/>
        </w:rPr>
        <w:t>) et le rollier d’Europe (</w:t>
      </w:r>
      <w:r w:rsidRPr="0090738E">
        <w:rPr>
          <w:rFonts w:cs="Arial"/>
          <w:i/>
          <w:iCs/>
          <w:lang w:val="fr-FR"/>
        </w:rPr>
        <w:t>Coracias</w:t>
      </w:r>
      <w:r>
        <w:rPr>
          <w:rFonts w:cs="Arial"/>
          <w:i/>
          <w:iCs/>
          <w:lang w:val="fr-FR"/>
        </w:rPr>
        <w:t> </w:t>
      </w:r>
      <w:r w:rsidRPr="0090738E">
        <w:rPr>
          <w:rFonts w:cs="Arial"/>
          <w:i/>
          <w:iCs/>
          <w:lang w:val="fr-FR"/>
        </w:rPr>
        <w:t>garrulus</w:t>
      </w:r>
      <w:r w:rsidRPr="0090738E">
        <w:rPr>
          <w:rFonts w:cs="Arial"/>
          <w:lang w:val="fr-FR"/>
        </w:rPr>
        <w:t>),</w:t>
      </w:r>
    </w:p>
    <w:p w14:paraId="3AC5C1CD" w14:textId="77777777" w:rsidR="00FA6621" w:rsidRDefault="00FA6621" w:rsidP="00FA6621">
      <w:pPr>
        <w:adjustRightInd w:val="0"/>
        <w:spacing w:after="0" w:line="240" w:lineRule="auto"/>
        <w:jc w:val="both"/>
        <w:rPr>
          <w:rFonts w:cs="Arial"/>
          <w:i/>
          <w:highlight w:val="yellow"/>
          <w:lang w:val="fr-FR"/>
        </w:rPr>
      </w:pPr>
    </w:p>
    <w:p w14:paraId="0CE16146" w14:textId="57CAAB06" w:rsidR="00726940" w:rsidRPr="007C73EF" w:rsidRDefault="007C73EF" w:rsidP="00FA6621">
      <w:pPr>
        <w:adjustRightInd w:val="0"/>
        <w:spacing w:after="0" w:line="240" w:lineRule="auto"/>
        <w:jc w:val="both"/>
        <w:rPr>
          <w:rFonts w:cs="Arial"/>
          <w:strike/>
          <w:u w:val="single"/>
          <w:lang w:val="fr-FR"/>
        </w:rPr>
      </w:pPr>
      <w:r w:rsidRPr="00050EA2">
        <w:rPr>
          <w:rFonts w:cs="Arial"/>
          <w:i/>
          <w:iCs/>
          <w:u w:val="single"/>
          <w:lang w:val="fr-FR"/>
        </w:rPr>
        <w:t>Rappelant également la</w:t>
      </w:r>
      <w:r w:rsidRPr="00050EA2">
        <w:rPr>
          <w:rFonts w:cs="Arial"/>
          <w:u w:val="single"/>
          <w:lang w:val="fr-FR"/>
        </w:rPr>
        <w:t xml:space="preserve"> Résolution 11.17</w:t>
      </w:r>
      <w:r w:rsidRPr="00050EA2">
        <w:rPr>
          <w:rFonts w:cs="Arial"/>
          <w:u w:val="single"/>
          <w:vertAlign w:val="superscript"/>
          <w:lang w:val="fr-FR"/>
        </w:rPr>
        <w:t xml:space="preserve"> </w:t>
      </w:r>
      <w:r w:rsidRPr="00050EA2">
        <w:rPr>
          <w:rFonts w:cs="Arial"/>
          <w:u w:val="single"/>
          <w:lang w:val="fr-FR"/>
        </w:rPr>
        <w:t xml:space="preserve">(Rev.COP14), </w:t>
      </w:r>
      <w:r w:rsidRPr="00050EA2">
        <w:rPr>
          <w:rFonts w:cs="Arial"/>
          <w:i/>
          <w:u w:val="single"/>
          <w:lang w:val="fr-FR"/>
        </w:rPr>
        <w:t>Plan d’action pour les oiseaux terrestres migrateurs d’Afrique-Eurasie</w:t>
      </w:r>
      <w:r w:rsidRPr="00050EA2">
        <w:rPr>
          <w:rFonts w:cs="Arial"/>
          <w:u w:val="single"/>
          <w:lang w:val="fr-FR"/>
        </w:rPr>
        <w:t>, qui demande en outre aux Parties de prendre d'urgence des mesures concrètes pour faire face aux menaces qui pèsent sur les outardes migratrices, un groupe d’espèces d’oiseaux terrestres migrateurs fortement menacées et en déclin qui subissent une pression particulière du fait de l'intensification de l'agriculture, des collisions avec les infrastructures électriques, des prélèvements illégaux et non durables, et de la perte des habitats,</w:t>
      </w:r>
    </w:p>
    <w:p w14:paraId="47422CF1" w14:textId="77777777" w:rsidR="00726940" w:rsidRPr="0082040F" w:rsidRDefault="00726940" w:rsidP="00FA6621">
      <w:pPr>
        <w:adjustRightInd w:val="0"/>
        <w:spacing w:after="0" w:line="240" w:lineRule="auto"/>
        <w:jc w:val="both"/>
        <w:rPr>
          <w:rFonts w:cs="Arial"/>
          <w:i/>
          <w:highlight w:val="yellow"/>
          <w:lang w:val="fr-FR"/>
        </w:rPr>
      </w:pPr>
    </w:p>
    <w:p w14:paraId="4FA8ADD0" w14:textId="77777777" w:rsidR="00FA6621" w:rsidRPr="0090738E" w:rsidRDefault="00FA6621" w:rsidP="00FA6621">
      <w:pPr>
        <w:adjustRightInd w:val="0"/>
        <w:spacing w:after="0" w:line="240" w:lineRule="auto"/>
        <w:jc w:val="both"/>
        <w:rPr>
          <w:rFonts w:cs="Arial"/>
          <w:u w:val="single"/>
          <w:lang w:val="fr-FR"/>
        </w:rPr>
      </w:pPr>
      <w:r w:rsidRPr="0090738E">
        <w:rPr>
          <w:rFonts w:cs="Arial"/>
          <w:i/>
          <w:lang w:val="fr-FR"/>
        </w:rPr>
        <w:t xml:space="preserve">Notant </w:t>
      </w:r>
      <w:r w:rsidRPr="0090738E">
        <w:rPr>
          <w:rFonts w:cs="Arial"/>
          <w:lang w:val="fr-FR"/>
        </w:rPr>
        <w:t xml:space="preserve">que le Plan d’action pour le fuligule de Baer a été adopté </w:t>
      </w:r>
      <w:r>
        <w:rPr>
          <w:rFonts w:cs="Arial"/>
          <w:lang w:val="fr-FR"/>
        </w:rPr>
        <w:t>par</w:t>
      </w:r>
      <w:r w:rsidRPr="0090738E">
        <w:rPr>
          <w:rFonts w:cs="Arial"/>
          <w:lang w:val="fr-FR"/>
        </w:rPr>
        <w:t xml:space="preserve"> la 8</w:t>
      </w:r>
      <w:r w:rsidRPr="0090738E">
        <w:rPr>
          <w:rFonts w:cs="Arial"/>
          <w:vertAlign w:val="superscript"/>
          <w:lang w:val="fr-FR"/>
        </w:rPr>
        <w:t>e</w:t>
      </w:r>
      <w:r>
        <w:rPr>
          <w:rFonts w:cs="Arial"/>
          <w:lang w:val="fr-FR"/>
        </w:rPr>
        <w:t> R</w:t>
      </w:r>
      <w:r w:rsidRPr="0090738E">
        <w:rPr>
          <w:rFonts w:cs="Arial"/>
          <w:lang w:val="fr-FR"/>
        </w:rPr>
        <w:t xml:space="preserve">éunion </w:t>
      </w:r>
      <w:r>
        <w:rPr>
          <w:rFonts w:cs="Arial"/>
          <w:lang w:val="fr-FR"/>
        </w:rPr>
        <w:t>des partenaires</w:t>
      </w:r>
      <w:r w:rsidRPr="0090738E">
        <w:rPr>
          <w:rFonts w:cs="Arial"/>
          <w:lang w:val="fr-FR"/>
        </w:rPr>
        <w:t xml:space="preserve"> </w:t>
      </w:r>
      <w:r>
        <w:rPr>
          <w:rFonts w:cs="Arial"/>
          <w:lang w:val="fr-FR"/>
        </w:rPr>
        <w:t>(MOP8) de</w:t>
      </w:r>
      <w:r w:rsidRPr="0090738E">
        <w:rPr>
          <w:rFonts w:cs="Arial"/>
          <w:lang w:val="fr-FR"/>
        </w:rPr>
        <w:t xml:space="preserve"> </w:t>
      </w:r>
      <w:r>
        <w:rPr>
          <w:rFonts w:cs="Arial"/>
          <w:lang w:val="fr-FR"/>
        </w:rPr>
        <w:t>la voie de migration</w:t>
      </w:r>
      <w:r w:rsidRPr="0090738E">
        <w:rPr>
          <w:rFonts w:cs="Arial"/>
          <w:lang w:val="fr-FR"/>
        </w:rPr>
        <w:t xml:space="preserve"> Asie </w:t>
      </w:r>
      <w:r>
        <w:rPr>
          <w:rFonts w:cs="Arial"/>
          <w:lang w:val="fr-FR"/>
        </w:rPr>
        <w:t>de l’Est</w:t>
      </w:r>
      <w:r w:rsidRPr="0090738E">
        <w:rPr>
          <w:rFonts w:cs="Arial"/>
          <w:lang w:val="fr-FR"/>
        </w:rPr>
        <w:t>-Australasie (EA</w:t>
      </w:r>
      <w:r>
        <w:rPr>
          <w:rFonts w:cs="Arial"/>
          <w:lang w:val="fr-FR"/>
        </w:rPr>
        <w:t>A</w:t>
      </w:r>
      <w:r w:rsidRPr="0090738E">
        <w:rPr>
          <w:rFonts w:cs="Arial"/>
          <w:lang w:val="fr-FR"/>
        </w:rPr>
        <w:t xml:space="preserve">FP) au Japon en 2015, que le Plan d’action pour le courlis de Sibérie a été adopté </w:t>
      </w:r>
      <w:r>
        <w:rPr>
          <w:rFonts w:cs="Arial"/>
          <w:lang w:val="fr-FR"/>
        </w:rPr>
        <w:t>par</w:t>
      </w:r>
      <w:r w:rsidRPr="0090738E">
        <w:rPr>
          <w:rFonts w:cs="Arial"/>
          <w:lang w:val="fr-FR"/>
        </w:rPr>
        <w:t xml:space="preserve"> la </w:t>
      </w:r>
      <w:r>
        <w:rPr>
          <w:rFonts w:cs="Arial"/>
          <w:lang w:val="fr-FR"/>
        </w:rPr>
        <w:t>MOP9</w:t>
      </w:r>
      <w:r w:rsidRPr="0090738E">
        <w:rPr>
          <w:rFonts w:cs="Arial"/>
          <w:lang w:val="fr-FR"/>
        </w:rPr>
        <w:t xml:space="preserve"> de l’EA</w:t>
      </w:r>
      <w:r>
        <w:rPr>
          <w:rFonts w:cs="Arial"/>
          <w:lang w:val="fr-FR"/>
        </w:rPr>
        <w:t>A</w:t>
      </w:r>
      <w:r w:rsidRPr="0090738E">
        <w:rPr>
          <w:rFonts w:cs="Arial"/>
          <w:lang w:val="fr-FR"/>
        </w:rPr>
        <w:t xml:space="preserve">FP à Singapour en 2017, que le Plan d’action pour le pélican </w:t>
      </w:r>
      <w:r>
        <w:rPr>
          <w:rFonts w:cs="Arial"/>
          <w:lang w:val="fr-FR"/>
        </w:rPr>
        <w:t>frisé</w:t>
      </w:r>
      <w:r w:rsidRPr="0090738E">
        <w:rPr>
          <w:rFonts w:cs="Arial"/>
          <w:lang w:val="fr-FR"/>
        </w:rPr>
        <w:t xml:space="preserve"> (</w:t>
      </w:r>
      <w:r>
        <w:rPr>
          <w:rFonts w:cs="Arial"/>
          <w:i/>
          <w:iCs/>
          <w:lang w:val="fr-FR"/>
        </w:rPr>
        <w:t>Pelecanus </w:t>
      </w:r>
      <w:r w:rsidRPr="0090738E">
        <w:rPr>
          <w:rFonts w:cs="Arial"/>
          <w:i/>
          <w:iCs/>
          <w:lang w:val="fr-FR"/>
        </w:rPr>
        <w:t>crispus</w:t>
      </w:r>
      <w:r w:rsidRPr="0090738E">
        <w:rPr>
          <w:rFonts w:cs="Arial"/>
          <w:lang w:val="fr-FR"/>
        </w:rPr>
        <w:t xml:space="preserve">) a été adopté par la </w:t>
      </w:r>
      <w:r>
        <w:rPr>
          <w:rFonts w:cs="Arial"/>
          <w:lang w:val="fr-FR"/>
        </w:rPr>
        <w:t>MOP</w:t>
      </w:r>
      <w:r w:rsidRPr="0090738E">
        <w:rPr>
          <w:rFonts w:cs="Arial"/>
          <w:lang w:val="fr-FR"/>
        </w:rPr>
        <w:t>10 de l’E</w:t>
      </w:r>
      <w:r>
        <w:rPr>
          <w:rFonts w:cs="Arial"/>
          <w:lang w:val="fr-FR"/>
        </w:rPr>
        <w:t>A</w:t>
      </w:r>
      <w:r w:rsidRPr="0090738E">
        <w:rPr>
          <w:rFonts w:cs="Arial"/>
          <w:lang w:val="fr-FR"/>
        </w:rPr>
        <w:t>AFP à Changjiang</w:t>
      </w:r>
      <w:r>
        <w:rPr>
          <w:rFonts w:cs="Arial"/>
          <w:lang w:val="fr-FR"/>
        </w:rPr>
        <w:t xml:space="preserve"> (</w:t>
      </w:r>
      <w:r w:rsidRPr="0090738E">
        <w:rPr>
          <w:rFonts w:cs="Arial"/>
          <w:lang w:val="fr-FR"/>
        </w:rPr>
        <w:t>Chine</w:t>
      </w:r>
      <w:r>
        <w:rPr>
          <w:rFonts w:cs="Arial"/>
          <w:lang w:val="fr-FR"/>
        </w:rPr>
        <w:t>)</w:t>
      </w:r>
      <w:r w:rsidRPr="0090738E">
        <w:rPr>
          <w:rFonts w:cs="Arial"/>
          <w:lang w:val="fr-FR"/>
        </w:rPr>
        <w:t xml:space="preserve"> en 2018,</w:t>
      </w:r>
      <w:r>
        <w:rPr>
          <w:rFonts w:cs="Arial"/>
          <w:lang w:val="fr-FR"/>
        </w:rPr>
        <w:t xml:space="preserve"> </w:t>
      </w:r>
      <w:r w:rsidRPr="0090738E">
        <w:rPr>
          <w:rFonts w:cs="Arial"/>
          <w:lang w:val="fr-FR"/>
        </w:rPr>
        <w:t>que les Plans d’action pour l’érismature à tête blanche (</w:t>
      </w:r>
      <w:r>
        <w:rPr>
          <w:rFonts w:cs="Arial"/>
          <w:i/>
          <w:iCs/>
          <w:lang w:val="fr-FR"/>
        </w:rPr>
        <w:t>Oxyura </w:t>
      </w:r>
      <w:r w:rsidRPr="0090738E">
        <w:rPr>
          <w:rFonts w:cs="Arial"/>
          <w:i/>
          <w:iCs/>
          <w:lang w:val="fr-FR"/>
        </w:rPr>
        <w:t>leucocephala</w:t>
      </w:r>
      <w:r w:rsidRPr="000D0783">
        <w:rPr>
          <w:rFonts w:cs="Arial"/>
          <w:iCs/>
          <w:lang w:val="fr-FR"/>
        </w:rPr>
        <w:t>)</w:t>
      </w:r>
      <w:r w:rsidRPr="0090738E">
        <w:rPr>
          <w:rFonts w:cs="Arial"/>
          <w:lang w:val="fr-FR"/>
        </w:rPr>
        <w:t xml:space="preserve"> et le pélican </w:t>
      </w:r>
      <w:r>
        <w:rPr>
          <w:rFonts w:cs="Arial"/>
          <w:lang w:val="fr-FR"/>
        </w:rPr>
        <w:t>frisé</w:t>
      </w:r>
      <w:r w:rsidRPr="0090738E">
        <w:rPr>
          <w:rFonts w:cs="Arial"/>
          <w:lang w:val="fr-FR"/>
        </w:rPr>
        <w:t xml:space="preserve"> ont été adoptés </w:t>
      </w:r>
      <w:r>
        <w:rPr>
          <w:rFonts w:cs="Arial"/>
          <w:lang w:val="fr-FR"/>
        </w:rPr>
        <w:t>à</w:t>
      </w:r>
      <w:r w:rsidRPr="0090738E">
        <w:rPr>
          <w:rFonts w:cs="Arial"/>
          <w:lang w:val="fr-FR"/>
        </w:rPr>
        <w:t xml:space="preserve"> la 7</w:t>
      </w:r>
      <w:r w:rsidRPr="0090738E">
        <w:rPr>
          <w:rFonts w:cs="Arial"/>
          <w:vertAlign w:val="superscript"/>
          <w:lang w:val="fr-FR"/>
        </w:rPr>
        <w:t>e</w:t>
      </w:r>
      <w:r>
        <w:rPr>
          <w:rFonts w:cs="Arial"/>
          <w:lang w:val="fr-FR"/>
        </w:rPr>
        <w:t> </w:t>
      </w:r>
      <w:r w:rsidRPr="0090738E">
        <w:rPr>
          <w:rFonts w:cs="Arial"/>
          <w:lang w:val="fr-FR"/>
        </w:rPr>
        <w:t>session de la Réunion des Parties à l’Accord sur la conservation des oiseaux d’eau migrateurs d’Afrique-Eurasie (AEWA) à Durban</w:t>
      </w:r>
      <w:r>
        <w:rPr>
          <w:rFonts w:cs="Arial"/>
          <w:lang w:val="fr-FR"/>
        </w:rPr>
        <w:t xml:space="preserve"> (</w:t>
      </w:r>
      <w:r w:rsidRPr="0090738E">
        <w:rPr>
          <w:rFonts w:cs="Arial"/>
          <w:lang w:val="fr-FR"/>
        </w:rPr>
        <w:t>Afrique du Sud</w:t>
      </w:r>
      <w:r>
        <w:rPr>
          <w:rFonts w:cs="Arial"/>
          <w:lang w:val="fr-FR"/>
        </w:rPr>
        <w:t>)</w:t>
      </w:r>
      <w:r w:rsidRPr="0090738E">
        <w:rPr>
          <w:rFonts w:cs="Arial"/>
          <w:lang w:val="fr-FR"/>
        </w:rPr>
        <w:t xml:space="preserve"> en 2018</w:t>
      </w:r>
      <w:r w:rsidRPr="0090738E">
        <w:rPr>
          <w:lang w:val="fr-FR"/>
        </w:rPr>
        <w:t xml:space="preserve"> </w:t>
      </w:r>
      <w:r w:rsidRPr="006D7399">
        <w:rPr>
          <w:lang w:val="fr-FR"/>
        </w:rPr>
        <w:t xml:space="preserve">et </w:t>
      </w:r>
      <w:r w:rsidRPr="006D7399">
        <w:rPr>
          <w:rFonts w:cs="Arial"/>
          <w:lang w:val="fr-FR"/>
        </w:rPr>
        <w:t>que le Plan d</w:t>
      </w:r>
      <w:r>
        <w:rPr>
          <w:rFonts w:cs="Arial"/>
          <w:lang w:val="fr-FR"/>
        </w:rPr>
        <w:t>’</w:t>
      </w:r>
      <w:r w:rsidRPr="006D7399">
        <w:rPr>
          <w:rFonts w:cs="Arial"/>
          <w:lang w:val="fr-FR"/>
        </w:rPr>
        <w:t>action pour les frégates d</w:t>
      </w:r>
      <w:r>
        <w:rPr>
          <w:rFonts w:cs="Arial"/>
          <w:lang w:val="fr-FR"/>
        </w:rPr>
        <w:t>’</w:t>
      </w:r>
      <w:r w:rsidRPr="006D7399">
        <w:rPr>
          <w:rFonts w:cs="Arial"/>
          <w:lang w:val="fr-FR"/>
        </w:rPr>
        <w:t>Andrews a été adopté par la MOP11 de l</w:t>
      </w:r>
      <w:r>
        <w:rPr>
          <w:rFonts w:cs="Arial"/>
          <w:lang w:val="fr-FR"/>
        </w:rPr>
        <w:t>’</w:t>
      </w:r>
      <w:r w:rsidRPr="006D7399">
        <w:rPr>
          <w:rFonts w:cs="Arial"/>
          <w:lang w:val="fr-FR"/>
        </w:rPr>
        <w:t>EAAFP, à Brisbane</w:t>
      </w:r>
      <w:r>
        <w:rPr>
          <w:rFonts w:cs="Arial"/>
          <w:lang w:val="fr-FR"/>
        </w:rPr>
        <w:t xml:space="preserve"> (Australie) </w:t>
      </w:r>
      <w:r w:rsidRPr="006D7399">
        <w:rPr>
          <w:rFonts w:cs="Arial"/>
          <w:lang w:val="fr-FR"/>
        </w:rPr>
        <w:t>en 2023,</w:t>
      </w:r>
    </w:p>
    <w:p w14:paraId="1520E453" w14:textId="77777777" w:rsidR="00FA6621" w:rsidRPr="0090738E" w:rsidRDefault="00FA6621" w:rsidP="00FA6621">
      <w:pPr>
        <w:adjustRightInd w:val="0"/>
        <w:spacing w:after="0" w:line="240" w:lineRule="auto"/>
        <w:jc w:val="both"/>
        <w:rPr>
          <w:rFonts w:cs="Arial"/>
          <w:i/>
          <w:lang w:val="fr-FR"/>
        </w:rPr>
      </w:pPr>
    </w:p>
    <w:p w14:paraId="29E3FCE0" w14:textId="77777777" w:rsidR="00FA6621" w:rsidRPr="0090738E" w:rsidRDefault="00FA6621" w:rsidP="00FA6621">
      <w:pPr>
        <w:adjustRightInd w:val="0"/>
        <w:spacing w:after="0" w:line="240" w:lineRule="auto"/>
        <w:jc w:val="both"/>
        <w:rPr>
          <w:rFonts w:cs="Arial"/>
          <w:lang w:val="fr-FR"/>
        </w:rPr>
      </w:pPr>
      <w:r w:rsidRPr="00726940">
        <w:rPr>
          <w:rFonts w:cs="Arial"/>
          <w:i/>
          <w:strike/>
          <w:lang w:val="fr-FR"/>
        </w:rPr>
        <w:t>Notant également</w:t>
      </w:r>
      <w:r w:rsidRPr="00726940">
        <w:rPr>
          <w:rFonts w:cs="Arial"/>
          <w:strike/>
          <w:lang w:val="fr-FR"/>
        </w:rPr>
        <w:t xml:space="preserve"> le projet EuroSAP, parrainé par la Commission européenne et coordonné par BirdLife International, dans le cadre duquel les Plans d’action pour la tourterelle des bois, le pélican frisé et l’érismature à tête blanche ont été finalisés début 2018</w:t>
      </w:r>
      <w:r w:rsidRPr="0090738E">
        <w:rPr>
          <w:rFonts w:cs="Arial"/>
          <w:lang w:val="fr-FR"/>
        </w:rPr>
        <w:t xml:space="preserve">, </w:t>
      </w:r>
    </w:p>
    <w:p w14:paraId="2A68E41C" w14:textId="77777777" w:rsidR="00FA6621" w:rsidRPr="0090738E" w:rsidRDefault="00FA6621" w:rsidP="00FA6621">
      <w:pPr>
        <w:adjustRightInd w:val="0"/>
        <w:spacing w:after="0" w:line="240" w:lineRule="auto"/>
        <w:jc w:val="both"/>
        <w:rPr>
          <w:rFonts w:cs="Arial"/>
          <w:lang w:val="fr-FR"/>
        </w:rPr>
      </w:pPr>
    </w:p>
    <w:p w14:paraId="25F43B2C" w14:textId="4891E862" w:rsidR="00AE41BF" w:rsidRPr="00AE41BF" w:rsidRDefault="00FA6621" w:rsidP="00AE41BF">
      <w:pPr>
        <w:adjustRightInd w:val="0"/>
        <w:spacing w:after="0" w:line="240" w:lineRule="auto"/>
        <w:jc w:val="both"/>
        <w:rPr>
          <w:rFonts w:cs="Arial"/>
          <w:lang w:val="fr-FR"/>
        </w:rPr>
      </w:pPr>
      <w:r w:rsidRPr="008C345C">
        <w:rPr>
          <w:rFonts w:cs="Arial"/>
          <w:i/>
          <w:iCs/>
          <w:strike/>
          <w:lang w:val="fr-FR"/>
        </w:rPr>
        <w:t>Notant en outre</w:t>
      </w:r>
      <w:r w:rsidRPr="0090738E">
        <w:rPr>
          <w:rFonts w:cs="Arial"/>
          <w:i/>
          <w:iCs/>
          <w:lang w:val="fr-FR"/>
        </w:rPr>
        <w:t xml:space="preserve"> </w:t>
      </w:r>
      <w:r w:rsidR="008C345C">
        <w:rPr>
          <w:rFonts w:cs="Arial"/>
          <w:i/>
          <w:iCs/>
          <w:u w:val="single"/>
          <w:lang w:val="fr-FR"/>
        </w:rPr>
        <w:t xml:space="preserve">Reconnaissant </w:t>
      </w:r>
      <w:r w:rsidRPr="0090738E">
        <w:rPr>
          <w:rFonts w:cs="Arial"/>
          <w:lang w:val="fr-FR"/>
        </w:rPr>
        <w:t xml:space="preserve">que le Comité permanent de la CMS a adopté les Plans d’action pour la tourterelle des bois, l’érismature à tête blanche et le pélican </w:t>
      </w:r>
      <w:r>
        <w:rPr>
          <w:rFonts w:cs="Arial"/>
          <w:lang w:val="fr-FR"/>
        </w:rPr>
        <w:t>frisé</w:t>
      </w:r>
      <w:r w:rsidRPr="0090738E">
        <w:rPr>
          <w:rFonts w:cs="Arial"/>
          <w:lang w:val="fr-FR"/>
        </w:rPr>
        <w:t xml:space="preserve"> </w:t>
      </w:r>
      <w:r>
        <w:rPr>
          <w:rFonts w:cs="Arial"/>
          <w:lang w:val="fr-FR"/>
        </w:rPr>
        <w:t>à</w:t>
      </w:r>
      <w:r w:rsidRPr="0090738E">
        <w:rPr>
          <w:rFonts w:cs="Arial"/>
          <w:lang w:val="fr-FR"/>
        </w:rPr>
        <w:t xml:space="preserve"> sa 48</w:t>
      </w:r>
      <w:r w:rsidRPr="0090738E">
        <w:rPr>
          <w:rFonts w:cs="Arial"/>
          <w:vertAlign w:val="superscript"/>
          <w:lang w:val="fr-FR"/>
        </w:rPr>
        <w:t>e</w:t>
      </w:r>
      <w:r>
        <w:rPr>
          <w:rFonts w:cs="Arial"/>
          <w:lang w:val="fr-FR"/>
        </w:rPr>
        <w:t> </w:t>
      </w:r>
      <w:r w:rsidRPr="0090738E">
        <w:rPr>
          <w:rFonts w:cs="Arial"/>
          <w:lang w:val="fr-FR"/>
        </w:rPr>
        <w:t>réunion,</w:t>
      </w:r>
      <w:r w:rsidR="00AE41BF">
        <w:rPr>
          <w:rFonts w:cs="Arial"/>
          <w:lang w:val="fr-FR"/>
        </w:rPr>
        <w:t xml:space="preserve"> </w:t>
      </w:r>
      <w:r w:rsidR="00B242F5" w:rsidRPr="00050EA2">
        <w:rPr>
          <w:rFonts w:cs="Arial"/>
          <w:u w:val="single"/>
          <w:lang w:val="fr-FR"/>
        </w:rPr>
        <w:t>e plan d'action pour le Bruant auréole par correspondance en novembre 2023, ainsi que le plan d'action international par espèce pour le Faucon concolore et le plan d'action pour la conservation des vautours en Afrique de l'Ouest lors de sa 56</w:t>
      </w:r>
      <w:r w:rsidR="00B242F5" w:rsidRPr="00050EA2">
        <w:rPr>
          <w:rFonts w:cs="Arial"/>
          <w:u w:val="single"/>
          <w:vertAlign w:val="superscript"/>
          <w:lang w:val="fr-FR"/>
        </w:rPr>
        <w:t>e</w:t>
      </w:r>
      <w:r w:rsidR="00B242F5" w:rsidRPr="00050EA2">
        <w:rPr>
          <w:rFonts w:cs="Arial"/>
          <w:u w:val="single"/>
          <w:lang w:val="fr-FR"/>
        </w:rPr>
        <w:t xml:space="preserve"> réunion,</w:t>
      </w:r>
    </w:p>
    <w:p w14:paraId="38AE23F8" w14:textId="77777777" w:rsidR="00FA6621" w:rsidRPr="00AE41BF" w:rsidRDefault="00FA6621" w:rsidP="00FA6621">
      <w:pPr>
        <w:adjustRightInd w:val="0"/>
        <w:spacing w:after="0" w:line="240" w:lineRule="auto"/>
        <w:jc w:val="both"/>
        <w:rPr>
          <w:rFonts w:cs="Arial"/>
          <w:strike/>
          <w:lang w:val="fr-FR"/>
        </w:rPr>
      </w:pPr>
      <w:r w:rsidRPr="00AE41BF">
        <w:rPr>
          <w:rFonts w:cs="Arial"/>
          <w:i/>
          <w:strike/>
          <w:lang w:val="fr-FR"/>
        </w:rPr>
        <w:lastRenderedPageBreak/>
        <w:t xml:space="preserve">Reconnaissant </w:t>
      </w:r>
      <w:r w:rsidRPr="00AE41BF">
        <w:rPr>
          <w:rFonts w:cs="Arial"/>
          <w:strike/>
          <w:lang w:val="fr-FR"/>
        </w:rPr>
        <w:t>les progrès accomplis dans l’élaboration du plan d’action pour le bruant auréole, y compris le rigoureux processus scientifique et participatif visant à la réussite de sa finalisation et de sa mise en œuvre,</w:t>
      </w:r>
    </w:p>
    <w:p w14:paraId="41D20308" w14:textId="77777777" w:rsidR="00AE41BF" w:rsidRPr="00AE41BF" w:rsidRDefault="00AE41BF" w:rsidP="00FA6621">
      <w:pPr>
        <w:adjustRightInd w:val="0"/>
        <w:spacing w:after="0" w:line="240" w:lineRule="auto"/>
        <w:jc w:val="both"/>
        <w:rPr>
          <w:rFonts w:cs="Arial"/>
          <w:strike/>
          <w:lang w:val="fr-FR"/>
        </w:rPr>
      </w:pPr>
    </w:p>
    <w:p w14:paraId="169A91C8" w14:textId="77777777" w:rsidR="00FA6621" w:rsidRDefault="00FA6621" w:rsidP="00FA6621">
      <w:pPr>
        <w:adjustRightInd w:val="0"/>
        <w:spacing w:after="0" w:line="240" w:lineRule="auto"/>
        <w:jc w:val="both"/>
        <w:rPr>
          <w:rFonts w:cs="Arial"/>
          <w:lang w:val="fr-FR"/>
        </w:rPr>
      </w:pPr>
      <w:r w:rsidRPr="0090738E">
        <w:rPr>
          <w:rFonts w:cs="Arial"/>
          <w:i/>
          <w:iCs/>
          <w:lang w:val="fr-FR"/>
        </w:rPr>
        <w:t>Préoccupée</w:t>
      </w:r>
      <w:r w:rsidRPr="0090738E">
        <w:rPr>
          <w:rFonts w:cs="Arial"/>
          <w:lang w:val="fr-FR"/>
        </w:rPr>
        <w:t xml:space="preserve"> par l’état de conservation du bec-en-ciseaux à collier (</w:t>
      </w:r>
      <w:r w:rsidRPr="0090738E">
        <w:rPr>
          <w:rFonts w:cs="Arial"/>
          <w:i/>
          <w:iCs/>
          <w:lang w:val="fr-FR"/>
        </w:rPr>
        <w:t>Rynchops albicollis</w:t>
      </w:r>
      <w:r w:rsidRPr="0090738E">
        <w:rPr>
          <w:rFonts w:cs="Arial"/>
          <w:lang w:val="fr-FR"/>
        </w:rPr>
        <w:t xml:space="preserve">) et de ses habitats fluviaux et côtiers, tenant compte de la possible extinction de l’espèce en Asie du Sud-Est et du déclin marqué de sa population en Asie du Sud </w:t>
      </w:r>
      <w:r>
        <w:rPr>
          <w:rFonts w:cs="Arial"/>
          <w:lang w:val="fr-FR"/>
        </w:rPr>
        <w:t>qui a été détecté au</w:t>
      </w:r>
      <w:r w:rsidRPr="0090738E">
        <w:rPr>
          <w:rFonts w:cs="Arial"/>
          <w:lang w:val="fr-FR"/>
        </w:rPr>
        <w:t xml:space="preserve"> début</w:t>
      </w:r>
      <w:r>
        <w:rPr>
          <w:rFonts w:cs="Arial"/>
          <w:lang w:val="fr-FR"/>
        </w:rPr>
        <w:t xml:space="preserve"> de </w:t>
      </w:r>
      <w:r w:rsidRPr="0090738E">
        <w:rPr>
          <w:rFonts w:cs="Arial"/>
          <w:lang w:val="fr-FR"/>
        </w:rPr>
        <w:t>2020, et se félicitant de l</w:t>
      </w:r>
      <w:r>
        <w:rPr>
          <w:rFonts w:cs="Arial"/>
          <w:lang w:val="fr-FR"/>
        </w:rPr>
        <w:t>’</w:t>
      </w:r>
      <w:r w:rsidRPr="0090738E">
        <w:rPr>
          <w:rFonts w:cs="Arial"/>
          <w:lang w:val="fr-FR"/>
        </w:rPr>
        <w:t>initiative des Gouvernements de l’Inde et du Bangladesh visant à élaborer une proposition d</w:t>
      </w:r>
      <w:r>
        <w:rPr>
          <w:rFonts w:cs="Arial"/>
          <w:lang w:val="fr-FR"/>
        </w:rPr>
        <w:t>’</w:t>
      </w:r>
      <w:r w:rsidRPr="0090738E">
        <w:rPr>
          <w:rFonts w:cs="Arial"/>
          <w:lang w:val="fr-FR"/>
        </w:rPr>
        <w:t>inscription de l</w:t>
      </w:r>
      <w:r>
        <w:rPr>
          <w:rFonts w:cs="Arial"/>
          <w:lang w:val="fr-FR"/>
        </w:rPr>
        <w:t>’</w:t>
      </w:r>
      <w:r w:rsidRPr="0090738E">
        <w:rPr>
          <w:rFonts w:cs="Arial"/>
          <w:lang w:val="fr-FR"/>
        </w:rPr>
        <w:t xml:space="preserve">espèce aux </w:t>
      </w:r>
      <w:r>
        <w:rPr>
          <w:rFonts w:cs="Arial"/>
          <w:lang w:val="fr-FR"/>
        </w:rPr>
        <w:t>A</w:t>
      </w:r>
      <w:r w:rsidRPr="0090738E">
        <w:rPr>
          <w:rFonts w:cs="Arial"/>
          <w:lang w:val="fr-FR"/>
        </w:rPr>
        <w:t>nnexes de la CMS et à diriger l</w:t>
      </w:r>
      <w:r>
        <w:rPr>
          <w:rFonts w:cs="Arial"/>
          <w:lang w:val="fr-FR"/>
        </w:rPr>
        <w:t>’</w:t>
      </w:r>
      <w:r w:rsidRPr="0090738E">
        <w:rPr>
          <w:rFonts w:cs="Arial"/>
          <w:lang w:val="fr-FR"/>
        </w:rPr>
        <w:t>élaboration d</w:t>
      </w:r>
      <w:r>
        <w:rPr>
          <w:rFonts w:cs="Arial"/>
          <w:lang w:val="fr-FR"/>
        </w:rPr>
        <w:t>’</w:t>
      </w:r>
      <w:r w:rsidRPr="0090738E">
        <w:rPr>
          <w:rFonts w:cs="Arial"/>
          <w:lang w:val="fr-FR"/>
        </w:rPr>
        <w:t xml:space="preserve">un </w:t>
      </w:r>
      <w:r>
        <w:rPr>
          <w:rFonts w:cs="Arial"/>
          <w:lang w:val="fr-FR"/>
        </w:rPr>
        <w:t>p</w:t>
      </w:r>
      <w:r w:rsidRPr="0090738E">
        <w:rPr>
          <w:rFonts w:cs="Arial"/>
          <w:lang w:val="fr-FR"/>
        </w:rPr>
        <w:t xml:space="preserve">lan d’action international </w:t>
      </w:r>
      <w:r w:rsidRPr="000D0783">
        <w:rPr>
          <w:rFonts w:cs="Arial"/>
          <w:iCs/>
          <w:lang w:val="fr-FR"/>
        </w:rPr>
        <w:t>pour cette espèce</w:t>
      </w:r>
      <w:r w:rsidRPr="0090738E">
        <w:rPr>
          <w:rFonts w:cs="Arial"/>
          <w:lang w:val="fr-FR"/>
        </w:rPr>
        <w:t>, en collaboration avec d</w:t>
      </w:r>
      <w:r>
        <w:rPr>
          <w:rFonts w:cs="Arial"/>
          <w:lang w:val="fr-FR"/>
        </w:rPr>
        <w:t>’</w:t>
      </w:r>
      <w:r w:rsidRPr="0090738E">
        <w:rPr>
          <w:rFonts w:cs="Arial"/>
          <w:lang w:val="fr-FR"/>
        </w:rPr>
        <w:t>autres États de l’aire de répartition et parties prenantes concernés,</w:t>
      </w:r>
    </w:p>
    <w:p w14:paraId="42D7753B" w14:textId="77777777" w:rsidR="00FA6621" w:rsidRDefault="00FA6621" w:rsidP="00FA6621">
      <w:pPr>
        <w:adjustRightInd w:val="0"/>
        <w:spacing w:after="0" w:line="240" w:lineRule="auto"/>
        <w:jc w:val="both"/>
        <w:rPr>
          <w:rFonts w:cs="Arial"/>
          <w:lang w:val="fr-FR"/>
        </w:rPr>
      </w:pPr>
    </w:p>
    <w:p w14:paraId="5EB92E86" w14:textId="77777777" w:rsidR="00FA6621" w:rsidRPr="00AE41BF" w:rsidRDefault="00FA6621" w:rsidP="00FA6621">
      <w:pPr>
        <w:adjustRightInd w:val="0"/>
        <w:spacing w:after="0" w:line="240" w:lineRule="auto"/>
        <w:jc w:val="both"/>
        <w:rPr>
          <w:rFonts w:cs="Arial"/>
          <w:strike/>
          <w:lang w:val="fr-FR"/>
        </w:rPr>
      </w:pPr>
      <w:r w:rsidRPr="00AE41BF">
        <w:rPr>
          <w:rFonts w:cs="Arial"/>
          <w:i/>
          <w:iCs/>
          <w:strike/>
          <w:lang w:val="fr-FR"/>
        </w:rPr>
        <w:t>Notant</w:t>
      </w:r>
      <w:r w:rsidRPr="00AE41BF">
        <w:rPr>
          <w:rFonts w:cs="Arial"/>
          <w:strike/>
          <w:lang w:val="fr-FR"/>
        </w:rPr>
        <w:t xml:space="preserve"> que lors de la troisième Réunion des Signataires du Mémorandum d’Entente sur la conservation des oiseaux de proie migrateurs (MdE Rapaces), l’aigle des steppes (</w:t>
      </w:r>
      <w:r w:rsidRPr="00AE41BF">
        <w:rPr>
          <w:rFonts w:cs="Arial"/>
          <w:i/>
          <w:strike/>
          <w:lang w:val="fr-FR"/>
        </w:rPr>
        <w:t>Aquila nipalensis</w:t>
      </w:r>
      <w:r w:rsidRPr="00AE41BF">
        <w:rPr>
          <w:rFonts w:cs="Arial"/>
          <w:strike/>
          <w:lang w:val="fr-FR"/>
        </w:rPr>
        <w:t>) a été classé espèce hautement prioritaire pour l’élaboration d’un plan d’action international par espèce, conformément à la « Lettre de proposition sur la nécessité de créer un plan d’action mondial pour l’aigle des steppes » envoyée au MdE Rapaces à l’issue de la deuxième Conférence internationale scientifique et pratique « Aigles du Paléarctique : étude et conservation » en septembre 2018, qui a demandé à la CMS de faire progresser les actions en faveur de la conservation de l’aigle des steppes, et</w:t>
      </w:r>
    </w:p>
    <w:p w14:paraId="013ABF92" w14:textId="77777777" w:rsidR="00FA6621" w:rsidRDefault="00FA6621" w:rsidP="00FA6621">
      <w:pPr>
        <w:adjustRightInd w:val="0"/>
        <w:spacing w:after="0" w:line="240" w:lineRule="auto"/>
        <w:jc w:val="both"/>
        <w:rPr>
          <w:rFonts w:cs="Arial"/>
          <w:lang w:val="fr-FR"/>
        </w:rPr>
      </w:pPr>
    </w:p>
    <w:p w14:paraId="065B87E3" w14:textId="77777777" w:rsidR="00CC142E" w:rsidRPr="00050EA2" w:rsidRDefault="00CC142E" w:rsidP="00CC142E">
      <w:pPr>
        <w:spacing w:after="0" w:line="240" w:lineRule="auto"/>
        <w:jc w:val="both"/>
        <w:rPr>
          <w:rFonts w:cs="Arial"/>
          <w:u w:val="single"/>
          <w:lang w:val="fr-FR"/>
        </w:rPr>
      </w:pPr>
      <w:r w:rsidRPr="00050EA2">
        <w:rPr>
          <w:rFonts w:cs="Arial"/>
          <w:i/>
          <w:iCs/>
          <w:u w:val="single"/>
          <w:lang w:val="fr-FR"/>
        </w:rPr>
        <w:t xml:space="preserve">Reconnaissant </w:t>
      </w:r>
      <w:r w:rsidRPr="00050EA2">
        <w:rPr>
          <w:rFonts w:cs="Arial"/>
          <w:u w:val="single"/>
          <w:lang w:val="fr-FR"/>
        </w:rPr>
        <w:t>le soutien financier et en nature de plusieurs gouvernements, organisations et parties prenantes pour appuyer la mise en œuvre de la cible 1.1 du Plan stratégique de Samarcande pour les espèces migratrices 2024-2032, à travers le développement de plans d'action par espèce en tant qu'outils pour des actions coopératives de conservation et de gestion coopératives, et</w:t>
      </w:r>
    </w:p>
    <w:p w14:paraId="58019551" w14:textId="77777777" w:rsidR="00AE41BF" w:rsidRPr="00CC142E" w:rsidRDefault="00AE41BF" w:rsidP="00FA6621">
      <w:pPr>
        <w:adjustRightInd w:val="0"/>
        <w:spacing w:after="0" w:line="240" w:lineRule="auto"/>
        <w:jc w:val="both"/>
        <w:rPr>
          <w:rFonts w:cs="Arial"/>
          <w:lang w:val="fr-FR"/>
        </w:rPr>
      </w:pPr>
    </w:p>
    <w:p w14:paraId="45D4054D" w14:textId="77777777" w:rsidR="00FA6621" w:rsidRPr="00F12BCD" w:rsidRDefault="00FA6621" w:rsidP="00FA6621">
      <w:pPr>
        <w:adjustRightInd w:val="0"/>
        <w:spacing w:after="0" w:line="240" w:lineRule="auto"/>
        <w:jc w:val="both"/>
        <w:rPr>
          <w:rFonts w:cs="Arial"/>
          <w:lang w:val="fr-CH"/>
        </w:rPr>
      </w:pPr>
      <w:r>
        <w:rPr>
          <w:rFonts w:cs="Arial"/>
          <w:i/>
          <w:iCs/>
          <w:lang w:val="fr-FR"/>
        </w:rPr>
        <w:t>Notant</w:t>
      </w:r>
      <w:r>
        <w:rPr>
          <w:rFonts w:cs="Arial"/>
          <w:lang w:val="fr-FR"/>
        </w:rPr>
        <w:t xml:space="preserve"> </w:t>
      </w:r>
      <w:r w:rsidRPr="00F6507E">
        <w:rPr>
          <w:rFonts w:cs="Arial"/>
          <w:lang w:val="fr-FR"/>
        </w:rPr>
        <w:t>l</w:t>
      </w:r>
      <w:r>
        <w:rPr>
          <w:rFonts w:cs="Arial"/>
          <w:lang w:val="fr-FR"/>
        </w:rPr>
        <w:t>’</w:t>
      </w:r>
      <w:r w:rsidRPr="00F6507E">
        <w:rPr>
          <w:rFonts w:cs="Arial"/>
          <w:lang w:val="fr-FR"/>
        </w:rPr>
        <w:t>importance des plans d</w:t>
      </w:r>
      <w:r>
        <w:rPr>
          <w:rFonts w:cs="Arial"/>
          <w:lang w:val="fr-FR"/>
        </w:rPr>
        <w:t>’</w:t>
      </w:r>
      <w:r w:rsidRPr="00F6507E">
        <w:rPr>
          <w:rFonts w:cs="Arial"/>
          <w:lang w:val="fr-FR"/>
        </w:rPr>
        <w:t xml:space="preserve">action par espèce </w:t>
      </w:r>
      <w:r>
        <w:rPr>
          <w:rFonts w:cs="Arial"/>
          <w:lang w:val="fr-FR"/>
        </w:rPr>
        <w:t>pour contribuer au</w:t>
      </w:r>
      <w:r w:rsidRPr="00F6507E">
        <w:rPr>
          <w:rFonts w:cs="Arial"/>
          <w:lang w:val="fr-FR"/>
        </w:rPr>
        <w:t xml:space="preserve"> </w:t>
      </w:r>
      <w:r>
        <w:rPr>
          <w:rFonts w:cs="Arial"/>
          <w:lang w:val="fr-FR"/>
        </w:rPr>
        <w:t>C</w:t>
      </w:r>
      <w:r w:rsidRPr="00F6507E">
        <w:rPr>
          <w:rFonts w:cs="Arial"/>
          <w:lang w:val="fr-FR"/>
        </w:rPr>
        <w:t xml:space="preserve">adre mondial </w:t>
      </w:r>
      <w:r>
        <w:rPr>
          <w:rFonts w:cs="Arial"/>
          <w:lang w:val="fr-FR"/>
        </w:rPr>
        <w:t>de</w:t>
      </w:r>
      <w:r w:rsidRPr="00F6507E">
        <w:rPr>
          <w:rFonts w:cs="Arial"/>
          <w:lang w:val="fr-FR"/>
        </w:rPr>
        <w:t xml:space="preserve"> la biodiversité de Kunming-Montréal </w:t>
      </w:r>
      <w:r>
        <w:rPr>
          <w:rFonts w:cs="Arial"/>
          <w:lang w:val="fr-FR"/>
        </w:rPr>
        <w:t>afin de stopper</w:t>
      </w:r>
      <w:r w:rsidRPr="00F6507E">
        <w:rPr>
          <w:rFonts w:cs="Arial"/>
          <w:lang w:val="fr-FR"/>
        </w:rPr>
        <w:t xml:space="preserve"> et </w:t>
      </w:r>
      <w:r>
        <w:rPr>
          <w:rFonts w:cs="Arial"/>
          <w:lang w:val="fr-FR"/>
        </w:rPr>
        <w:t>d’</w:t>
      </w:r>
      <w:r w:rsidRPr="00F6507E">
        <w:rPr>
          <w:rFonts w:cs="Arial"/>
          <w:lang w:val="fr-FR"/>
        </w:rPr>
        <w:t xml:space="preserve">inverser la perte de biodiversité et, en particulier, </w:t>
      </w:r>
      <w:r>
        <w:rPr>
          <w:rFonts w:cs="Arial"/>
          <w:lang w:val="fr-FR"/>
        </w:rPr>
        <w:t xml:space="preserve">de </w:t>
      </w:r>
      <w:r w:rsidRPr="003B6DF9">
        <w:rPr>
          <w:rFonts w:cs="Arial"/>
          <w:lang w:val="fr-CH"/>
        </w:rPr>
        <w:t xml:space="preserve">mettre fin </w:t>
      </w:r>
      <w:r>
        <w:rPr>
          <w:rFonts w:cs="Arial"/>
          <w:lang w:val="fr-CH"/>
        </w:rPr>
        <w:t xml:space="preserve">aux </w:t>
      </w:r>
      <w:r w:rsidRPr="003B6DF9">
        <w:rPr>
          <w:rFonts w:cs="Arial"/>
          <w:lang w:val="fr-CH"/>
        </w:rPr>
        <w:t>extinction</w:t>
      </w:r>
      <w:r>
        <w:rPr>
          <w:rFonts w:cs="Arial"/>
          <w:lang w:val="fr-CH"/>
        </w:rPr>
        <w:t>s</w:t>
      </w:r>
      <w:r w:rsidRPr="003B6DF9">
        <w:rPr>
          <w:rFonts w:cs="Arial"/>
          <w:lang w:val="fr-CH"/>
        </w:rPr>
        <w:t xml:space="preserve"> d</w:t>
      </w:r>
      <w:r>
        <w:rPr>
          <w:rFonts w:cs="Arial"/>
          <w:lang w:val="fr-CH"/>
        </w:rPr>
        <w:t>’</w:t>
      </w:r>
      <w:r w:rsidRPr="003B6DF9">
        <w:rPr>
          <w:rFonts w:cs="Arial"/>
          <w:lang w:val="fr-CH"/>
        </w:rPr>
        <w:t>origine anthropique</w:t>
      </w:r>
      <w:r>
        <w:rPr>
          <w:rFonts w:cs="Arial"/>
          <w:lang w:val="fr-FR"/>
        </w:rPr>
        <w:t>,</w:t>
      </w:r>
      <w:r w:rsidRPr="00F6507E">
        <w:rPr>
          <w:rFonts w:cs="Arial"/>
          <w:lang w:val="fr-FR"/>
        </w:rPr>
        <w:t xml:space="preserve"> </w:t>
      </w:r>
      <w:r>
        <w:rPr>
          <w:rFonts w:cs="Arial"/>
          <w:lang w:val="fr-FR"/>
        </w:rPr>
        <w:t xml:space="preserve">de </w:t>
      </w:r>
      <w:r w:rsidRPr="00F6507E">
        <w:rPr>
          <w:rFonts w:cs="Arial"/>
          <w:lang w:val="fr-FR"/>
        </w:rPr>
        <w:t>réduire considérablement le risque d</w:t>
      </w:r>
      <w:r>
        <w:rPr>
          <w:rFonts w:cs="Arial"/>
          <w:lang w:val="fr-FR"/>
        </w:rPr>
        <w:t>’</w:t>
      </w:r>
      <w:r w:rsidRPr="00F6507E">
        <w:rPr>
          <w:rFonts w:cs="Arial"/>
          <w:lang w:val="fr-FR"/>
        </w:rPr>
        <w:t xml:space="preserve">extinction </w:t>
      </w:r>
      <w:r>
        <w:rPr>
          <w:rFonts w:cs="Arial"/>
          <w:lang w:val="fr-FR"/>
        </w:rPr>
        <w:t>des</w:t>
      </w:r>
      <w:r w:rsidRPr="00F6507E">
        <w:rPr>
          <w:rFonts w:cs="Arial"/>
          <w:lang w:val="fr-FR"/>
        </w:rPr>
        <w:t xml:space="preserve"> espèces, </w:t>
      </w:r>
      <w:r>
        <w:rPr>
          <w:rFonts w:cs="Arial"/>
          <w:lang w:val="fr-FR"/>
        </w:rPr>
        <w:t>et</w:t>
      </w:r>
      <w:r w:rsidRPr="00F6507E">
        <w:rPr>
          <w:rFonts w:cs="Arial"/>
          <w:lang w:val="fr-FR"/>
        </w:rPr>
        <w:t xml:space="preserve"> </w:t>
      </w:r>
      <w:r>
        <w:rPr>
          <w:rFonts w:cs="Arial"/>
          <w:lang w:val="fr-FR"/>
        </w:rPr>
        <w:t>de</w:t>
      </w:r>
      <w:r w:rsidRPr="00F6507E">
        <w:rPr>
          <w:rFonts w:cs="Arial"/>
          <w:lang w:val="fr-FR"/>
        </w:rPr>
        <w:t xml:space="preserve"> </w:t>
      </w:r>
      <w:r>
        <w:rPr>
          <w:rFonts w:cs="Arial"/>
          <w:lang w:val="fr-FR"/>
        </w:rPr>
        <w:t>préserver</w:t>
      </w:r>
      <w:r w:rsidRPr="00F6507E">
        <w:rPr>
          <w:rFonts w:cs="Arial"/>
          <w:lang w:val="fr-FR"/>
        </w:rPr>
        <w:t xml:space="preserve"> et rétablir la diversité génétique au sein des populations d</w:t>
      </w:r>
      <w:r>
        <w:rPr>
          <w:rFonts w:cs="Arial"/>
          <w:lang w:val="fr-FR"/>
        </w:rPr>
        <w:t>’</w:t>
      </w:r>
      <w:r w:rsidRPr="00F6507E">
        <w:rPr>
          <w:rFonts w:cs="Arial"/>
          <w:lang w:val="fr-FR"/>
        </w:rPr>
        <w:t>espèces sauvages et entre elles,</w:t>
      </w:r>
    </w:p>
    <w:p w14:paraId="71DC3CD4" w14:textId="77777777" w:rsidR="00FA6621" w:rsidRPr="0090738E" w:rsidRDefault="00FA6621" w:rsidP="00FA6621">
      <w:pPr>
        <w:adjustRightInd w:val="0"/>
        <w:spacing w:after="0" w:line="240" w:lineRule="auto"/>
        <w:jc w:val="both"/>
        <w:rPr>
          <w:rFonts w:cs="Arial"/>
          <w:i/>
          <w:strike/>
          <w:lang w:val="fr-FR"/>
        </w:rPr>
      </w:pPr>
    </w:p>
    <w:p w14:paraId="29167EDD" w14:textId="77777777" w:rsidR="00FA6621" w:rsidRPr="0090738E" w:rsidRDefault="00FA6621" w:rsidP="00FA6621">
      <w:pPr>
        <w:spacing w:after="0" w:line="240" w:lineRule="auto"/>
        <w:rPr>
          <w:rFonts w:cs="Arial"/>
          <w:lang w:val="fr-FR"/>
        </w:rPr>
      </w:pPr>
    </w:p>
    <w:p w14:paraId="5F0DA2D9" w14:textId="77777777" w:rsidR="00FA6621" w:rsidRPr="0090738E" w:rsidRDefault="00FA6621" w:rsidP="00FA6621">
      <w:pPr>
        <w:adjustRightInd w:val="0"/>
        <w:spacing w:after="0" w:line="240" w:lineRule="auto"/>
        <w:jc w:val="center"/>
        <w:rPr>
          <w:rFonts w:cs="Arial"/>
          <w:i/>
          <w:lang w:val="fr-FR"/>
        </w:rPr>
      </w:pPr>
      <w:r w:rsidRPr="0090738E">
        <w:rPr>
          <w:rFonts w:cs="Arial"/>
          <w:i/>
          <w:lang w:val="fr-FR"/>
        </w:rPr>
        <w:t>La Conférence des Parties à la</w:t>
      </w:r>
    </w:p>
    <w:p w14:paraId="292D5260" w14:textId="77777777" w:rsidR="00FA6621" w:rsidRPr="0090738E" w:rsidRDefault="00FA6621" w:rsidP="00FA6621">
      <w:pPr>
        <w:adjustRightInd w:val="0"/>
        <w:spacing w:after="0" w:line="240" w:lineRule="auto"/>
        <w:jc w:val="center"/>
        <w:rPr>
          <w:rFonts w:cs="Arial"/>
          <w:i/>
          <w:lang w:val="fr-FR"/>
        </w:rPr>
      </w:pPr>
      <w:r w:rsidRPr="0090738E">
        <w:rPr>
          <w:rFonts w:cs="Arial"/>
          <w:i/>
          <w:lang w:val="fr-FR"/>
        </w:rPr>
        <w:t>Convention sur la conservation des espèces migratrices appartenant à la faune sauvage</w:t>
      </w:r>
    </w:p>
    <w:p w14:paraId="4ABDE3CC" w14:textId="77777777" w:rsidR="00FA6621" w:rsidRPr="0090738E" w:rsidRDefault="00FA6621" w:rsidP="00FA6621">
      <w:pPr>
        <w:adjustRightInd w:val="0"/>
        <w:spacing w:after="0" w:line="240" w:lineRule="auto"/>
        <w:jc w:val="both"/>
        <w:rPr>
          <w:rFonts w:cs="Arial"/>
          <w:highlight w:val="yellow"/>
          <w:lang w:val="fr-FR"/>
        </w:rPr>
      </w:pPr>
    </w:p>
    <w:p w14:paraId="71D8E86A" w14:textId="77777777" w:rsidR="00FA6621" w:rsidRPr="0090738E" w:rsidRDefault="00FA6621" w:rsidP="00FA6621">
      <w:pPr>
        <w:adjustRightInd w:val="0"/>
        <w:spacing w:after="0" w:line="240" w:lineRule="auto"/>
        <w:jc w:val="both"/>
        <w:rPr>
          <w:rFonts w:cs="Arial"/>
          <w:highlight w:val="yellow"/>
          <w:lang w:val="fr-FR"/>
        </w:rPr>
      </w:pPr>
    </w:p>
    <w:p w14:paraId="29592C83" w14:textId="77777777" w:rsidR="00FA6621" w:rsidRPr="0090738E" w:rsidRDefault="00FA6621" w:rsidP="00FA6621">
      <w:pPr>
        <w:numPr>
          <w:ilvl w:val="0"/>
          <w:numId w:val="6"/>
        </w:numPr>
        <w:suppressAutoHyphens/>
        <w:adjustRightInd w:val="0"/>
        <w:spacing w:after="0" w:line="240" w:lineRule="auto"/>
        <w:ind w:left="567" w:hanging="567"/>
        <w:jc w:val="both"/>
        <w:rPr>
          <w:rFonts w:cs="Arial"/>
          <w:lang w:val="fr-FR"/>
        </w:rPr>
      </w:pPr>
      <w:bookmarkStart w:id="1" w:name="_Hlk499195752"/>
      <w:r w:rsidRPr="0090738E">
        <w:rPr>
          <w:rFonts w:cs="Arial"/>
          <w:i/>
          <w:lang w:val="fr-FR"/>
        </w:rPr>
        <w:t xml:space="preserve">Adopte </w:t>
      </w:r>
      <w:r w:rsidRPr="0090738E">
        <w:rPr>
          <w:rFonts w:cs="Arial"/>
          <w:lang w:val="fr-FR"/>
        </w:rPr>
        <w:t xml:space="preserve">les plans d’action par espèce suivants, tels </w:t>
      </w:r>
      <w:r w:rsidRPr="003B6DF9">
        <w:rPr>
          <w:lang w:val="fr-FR"/>
        </w:rPr>
        <w:t>qu</w:t>
      </w:r>
      <w:r>
        <w:rPr>
          <w:lang w:val="fr-FR"/>
        </w:rPr>
        <w:t>’</w:t>
      </w:r>
      <w:r w:rsidRPr="003B6DF9">
        <w:rPr>
          <w:lang w:val="fr-FR"/>
        </w:rPr>
        <w:t xml:space="preserve">ils ont été soumis </w:t>
      </w:r>
      <w:r w:rsidRPr="0090738E">
        <w:rPr>
          <w:rFonts w:cs="Arial"/>
          <w:lang w:val="fr-FR"/>
        </w:rPr>
        <w:t>à la COP12 :</w:t>
      </w:r>
    </w:p>
    <w:p w14:paraId="5D0D56C2" w14:textId="77777777" w:rsidR="00FA6621" w:rsidRPr="0090738E" w:rsidRDefault="00FA6621" w:rsidP="00FA6621">
      <w:pPr>
        <w:adjustRightInd w:val="0"/>
        <w:spacing w:after="0" w:line="240" w:lineRule="auto"/>
        <w:ind w:left="567"/>
        <w:jc w:val="both"/>
        <w:rPr>
          <w:rFonts w:cs="Arial"/>
          <w:lang w:val="fr-FR"/>
        </w:rPr>
      </w:pPr>
      <w:r>
        <w:rPr>
          <w:rFonts w:cs="Arial"/>
          <w:lang w:val="fr-FR"/>
        </w:rPr>
        <w:t>UNEP/CMS/COP12/Doc.24.1.7,</w:t>
      </w:r>
      <w:r w:rsidRPr="0090738E">
        <w:rPr>
          <w:rFonts w:cs="Arial"/>
          <w:lang w:val="fr-FR"/>
        </w:rPr>
        <w:t xml:space="preserve"> </w:t>
      </w:r>
      <w:r w:rsidRPr="00E20AF2">
        <w:rPr>
          <w:rFonts w:cs="Arial"/>
          <w:i/>
          <w:lang w:val="fr-FR"/>
        </w:rPr>
        <w:t>Plan d’action pour le courlis de Sibérie</w:t>
      </w:r>
      <w:r>
        <w:rPr>
          <w:rFonts w:cs="Arial"/>
          <w:lang w:val="fr-FR"/>
        </w:rPr>
        <w:t> </w:t>
      </w:r>
      <w:r w:rsidRPr="0090738E">
        <w:rPr>
          <w:rFonts w:cs="Arial"/>
          <w:lang w:val="fr-FR"/>
        </w:rPr>
        <w:t>;</w:t>
      </w:r>
    </w:p>
    <w:p w14:paraId="63C64104" w14:textId="77777777" w:rsidR="00FA6621" w:rsidRPr="0090738E" w:rsidRDefault="00FA6621" w:rsidP="00FA6621">
      <w:pPr>
        <w:adjustRightInd w:val="0"/>
        <w:spacing w:after="0" w:line="240" w:lineRule="auto"/>
        <w:ind w:left="567"/>
        <w:jc w:val="both"/>
        <w:rPr>
          <w:rFonts w:cs="Arial"/>
          <w:lang w:val="fr-FR"/>
        </w:rPr>
      </w:pPr>
      <w:r>
        <w:rPr>
          <w:rFonts w:cs="Arial"/>
          <w:lang w:val="fr-FR"/>
        </w:rPr>
        <w:t>UNEP/CMS/COP12/Doc.24.1.8,</w:t>
      </w:r>
      <w:r w:rsidRPr="0090738E">
        <w:rPr>
          <w:rFonts w:cs="Arial"/>
          <w:lang w:val="fr-FR"/>
        </w:rPr>
        <w:t xml:space="preserve"> </w:t>
      </w:r>
      <w:r w:rsidRPr="00E20AF2">
        <w:rPr>
          <w:rFonts w:cs="Arial"/>
          <w:i/>
          <w:lang w:val="fr-FR"/>
        </w:rPr>
        <w:t>Plan d’action pour le fuligule de Baer</w:t>
      </w:r>
      <w:r>
        <w:rPr>
          <w:rFonts w:cs="Arial"/>
          <w:lang w:val="fr-FR"/>
        </w:rPr>
        <w:t> </w:t>
      </w:r>
      <w:r w:rsidRPr="0090738E">
        <w:rPr>
          <w:rFonts w:cs="Arial"/>
          <w:lang w:val="fr-FR"/>
        </w:rPr>
        <w:t>;</w:t>
      </w:r>
    </w:p>
    <w:p w14:paraId="47B92FE9" w14:textId="77777777" w:rsidR="00FA6621" w:rsidRDefault="00FA6621" w:rsidP="00FA6621">
      <w:pPr>
        <w:adjustRightInd w:val="0"/>
        <w:spacing w:after="0" w:line="240" w:lineRule="auto"/>
        <w:ind w:left="567"/>
        <w:jc w:val="both"/>
        <w:rPr>
          <w:rFonts w:cs="Arial"/>
          <w:lang w:val="fr-FR"/>
        </w:rPr>
      </w:pPr>
      <w:r w:rsidRPr="0090738E">
        <w:rPr>
          <w:rFonts w:cs="Arial"/>
          <w:lang w:val="fr-FR"/>
        </w:rPr>
        <w:t>UNEP</w:t>
      </w:r>
      <w:r>
        <w:rPr>
          <w:rFonts w:cs="Arial"/>
          <w:lang w:val="fr-FR"/>
        </w:rPr>
        <w:t>/CMS/COP12/Doc.24.1.9,</w:t>
      </w:r>
      <w:r w:rsidRPr="0090738E">
        <w:rPr>
          <w:rFonts w:cs="Arial"/>
          <w:lang w:val="fr-FR"/>
        </w:rPr>
        <w:t xml:space="preserve"> </w:t>
      </w:r>
      <w:r w:rsidRPr="00E20AF2">
        <w:rPr>
          <w:rFonts w:cs="Arial"/>
          <w:i/>
          <w:lang w:val="fr-FR"/>
        </w:rPr>
        <w:t>Plan d’action pour le rollier d’Europe</w:t>
      </w:r>
      <w:r>
        <w:rPr>
          <w:rFonts w:cs="Arial"/>
          <w:lang w:val="fr-FR"/>
        </w:rPr>
        <w:t> </w:t>
      </w:r>
      <w:r w:rsidRPr="0090738E">
        <w:rPr>
          <w:rFonts w:cs="Arial"/>
          <w:lang w:val="fr-FR"/>
        </w:rPr>
        <w:t>;</w:t>
      </w:r>
    </w:p>
    <w:p w14:paraId="266FE858" w14:textId="77777777" w:rsidR="00FA6621" w:rsidRDefault="00FA6621" w:rsidP="00FA6621">
      <w:pPr>
        <w:adjustRightInd w:val="0"/>
        <w:spacing w:after="0" w:line="240" w:lineRule="auto"/>
        <w:ind w:left="567"/>
        <w:jc w:val="both"/>
        <w:rPr>
          <w:rFonts w:cs="Arial"/>
          <w:lang w:val="fr-FR"/>
        </w:rPr>
      </w:pPr>
    </w:p>
    <w:p w14:paraId="2E31449F" w14:textId="77777777" w:rsidR="00FA6621" w:rsidRPr="003B6DF9" w:rsidRDefault="00FA6621" w:rsidP="00FA6621">
      <w:pPr>
        <w:pStyle w:val="ListParagraph"/>
        <w:numPr>
          <w:ilvl w:val="0"/>
          <w:numId w:val="6"/>
        </w:numPr>
        <w:suppressAutoHyphens/>
        <w:adjustRightInd w:val="0"/>
        <w:spacing w:after="0" w:line="240" w:lineRule="auto"/>
        <w:ind w:hanging="502"/>
        <w:contextualSpacing w:val="0"/>
        <w:jc w:val="both"/>
        <w:rPr>
          <w:rFonts w:cs="Arial"/>
          <w:lang w:val="fr-FR"/>
        </w:rPr>
      </w:pPr>
      <w:r w:rsidRPr="003B6DF9">
        <w:rPr>
          <w:i/>
          <w:iCs/>
          <w:lang w:val="fr-FR"/>
        </w:rPr>
        <w:t>Adopte</w:t>
      </w:r>
      <w:r w:rsidRPr="003B6DF9">
        <w:rPr>
          <w:lang w:val="fr-FR"/>
        </w:rPr>
        <w:t xml:space="preserve"> les plans d</w:t>
      </w:r>
      <w:r>
        <w:rPr>
          <w:lang w:val="fr-FR"/>
        </w:rPr>
        <w:t>’</w:t>
      </w:r>
      <w:r w:rsidRPr="003B6DF9">
        <w:rPr>
          <w:lang w:val="fr-FR"/>
        </w:rPr>
        <w:t>action par espèce suivants, tels qu</w:t>
      </w:r>
      <w:r>
        <w:rPr>
          <w:lang w:val="fr-FR"/>
        </w:rPr>
        <w:t>’</w:t>
      </w:r>
      <w:r w:rsidRPr="003B6DF9">
        <w:rPr>
          <w:lang w:val="fr-FR"/>
        </w:rPr>
        <w:t>ils ont été soumis à la COP14</w:t>
      </w:r>
      <w:r>
        <w:rPr>
          <w:lang w:val="fr-FR"/>
        </w:rPr>
        <w:t> </w:t>
      </w:r>
      <w:r w:rsidRPr="003B6DF9">
        <w:rPr>
          <w:lang w:val="fr-FR"/>
        </w:rPr>
        <w:t>:</w:t>
      </w:r>
    </w:p>
    <w:p w14:paraId="33225AA2" w14:textId="77777777" w:rsidR="00FA6621" w:rsidRPr="003B6DF9" w:rsidRDefault="00FA6621" w:rsidP="00FA6621">
      <w:pPr>
        <w:adjustRightInd w:val="0"/>
        <w:spacing w:after="0" w:line="240" w:lineRule="auto"/>
        <w:ind w:left="567"/>
        <w:jc w:val="both"/>
        <w:rPr>
          <w:lang w:val="fr-FR"/>
        </w:rPr>
      </w:pPr>
      <w:r w:rsidRPr="003B6DF9">
        <w:rPr>
          <w:lang w:val="fr-FR"/>
        </w:rPr>
        <w:t>UNEP/CMS/COP14/Doc.28.5.2/Rev.1</w:t>
      </w:r>
      <w:r>
        <w:rPr>
          <w:lang w:val="fr-FR"/>
        </w:rPr>
        <w:t>,</w:t>
      </w:r>
      <w:r w:rsidRPr="003B6DF9">
        <w:rPr>
          <w:lang w:val="fr-FR"/>
        </w:rPr>
        <w:t xml:space="preserve"> </w:t>
      </w:r>
      <w:r w:rsidRPr="003B6DF9">
        <w:rPr>
          <w:i/>
          <w:iCs/>
          <w:lang w:val="fr-FR"/>
        </w:rPr>
        <w:t>Plan d</w:t>
      </w:r>
      <w:r>
        <w:rPr>
          <w:i/>
          <w:iCs/>
          <w:lang w:val="fr-FR"/>
        </w:rPr>
        <w:t>’</w:t>
      </w:r>
      <w:r w:rsidRPr="003B6DF9">
        <w:rPr>
          <w:i/>
          <w:iCs/>
          <w:lang w:val="fr-FR"/>
        </w:rPr>
        <w:t xml:space="preserve">action international par espèce pour la conservation de la </w:t>
      </w:r>
      <w:r>
        <w:rPr>
          <w:i/>
          <w:iCs/>
          <w:lang w:val="fr-FR"/>
        </w:rPr>
        <w:t>f</w:t>
      </w:r>
      <w:r w:rsidRPr="003B6DF9">
        <w:rPr>
          <w:i/>
          <w:iCs/>
          <w:lang w:val="fr-FR"/>
        </w:rPr>
        <w:t>régate d</w:t>
      </w:r>
      <w:r>
        <w:rPr>
          <w:i/>
          <w:iCs/>
          <w:lang w:val="fr-FR"/>
        </w:rPr>
        <w:t>’</w:t>
      </w:r>
      <w:r w:rsidRPr="003B6DF9">
        <w:rPr>
          <w:i/>
          <w:iCs/>
          <w:lang w:val="fr-FR"/>
        </w:rPr>
        <w:t>Andrews</w:t>
      </w:r>
      <w:r>
        <w:rPr>
          <w:i/>
          <w:iCs/>
          <w:lang w:val="fr-FR"/>
        </w:rPr>
        <w:t> </w:t>
      </w:r>
      <w:r w:rsidRPr="003B6DF9">
        <w:rPr>
          <w:lang w:val="fr-FR"/>
        </w:rPr>
        <w:t>;</w:t>
      </w:r>
    </w:p>
    <w:p w14:paraId="47FBCEA5" w14:textId="77777777" w:rsidR="00FA6621" w:rsidRPr="003B6DF9" w:rsidRDefault="00FA6621" w:rsidP="00FA6621">
      <w:pPr>
        <w:adjustRightInd w:val="0"/>
        <w:spacing w:after="0" w:line="240" w:lineRule="auto"/>
        <w:ind w:left="567"/>
        <w:jc w:val="both"/>
        <w:rPr>
          <w:lang w:val="fr-FR"/>
        </w:rPr>
      </w:pPr>
      <w:r w:rsidRPr="003B6DF9">
        <w:rPr>
          <w:lang w:val="fr-FR"/>
        </w:rPr>
        <w:t>UNEP/CMS/COP14/Doc.28.5.3/Rev.1</w:t>
      </w:r>
      <w:r>
        <w:rPr>
          <w:lang w:val="fr-FR"/>
        </w:rPr>
        <w:t>,</w:t>
      </w:r>
      <w:r w:rsidRPr="003B6DF9">
        <w:rPr>
          <w:lang w:val="fr-FR"/>
        </w:rPr>
        <w:t xml:space="preserve"> </w:t>
      </w:r>
      <w:r w:rsidRPr="003B6DF9">
        <w:rPr>
          <w:i/>
          <w:iCs/>
          <w:lang w:val="fr-FR"/>
        </w:rPr>
        <w:t>Plan d</w:t>
      </w:r>
      <w:r>
        <w:rPr>
          <w:i/>
          <w:iCs/>
          <w:lang w:val="fr-FR"/>
        </w:rPr>
        <w:t>’</w:t>
      </w:r>
      <w:r w:rsidRPr="003B6DF9">
        <w:rPr>
          <w:i/>
          <w:iCs/>
          <w:lang w:val="fr-FR"/>
        </w:rPr>
        <w:t xml:space="preserve">action pour la </w:t>
      </w:r>
      <w:r>
        <w:rPr>
          <w:i/>
          <w:iCs/>
          <w:lang w:val="fr-FR"/>
        </w:rPr>
        <w:t>g</w:t>
      </w:r>
      <w:r w:rsidRPr="003B6DF9">
        <w:rPr>
          <w:i/>
          <w:iCs/>
          <w:lang w:val="fr-FR"/>
        </w:rPr>
        <w:t>rande outarde en Asie</w:t>
      </w:r>
      <w:r>
        <w:rPr>
          <w:i/>
          <w:iCs/>
          <w:lang w:val="fr-FR"/>
        </w:rPr>
        <w:t> </w:t>
      </w:r>
      <w:r w:rsidRPr="003B6DF9">
        <w:rPr>
          <w:lang w:val="fr-FR"/>
        </w:rPr>
        <w:t>;</w:t>
      </w:r>
    </w:p>
    <w:p w14:paraId="01AFD31A" w14:textId="77777777" w:rsidR="006D4261" w:rsidRPr="00AD4481" w:rsidRDefault="006D4261" w:rsidP="006D4261">
      <w:pPr>
        <w:adjustRightInd w:val="0"/>
        <w:spacing w:after="0" w:line="240" w:lineRule="auto"/>
        <w:jc w:val="both"/>
        <w:rPr>
          <w:rFonts w:cs="Arial"/>
          <w:lang w:val="fr-FR"/>
        </w:rPr>
      </w:pPr>
    </w:p>
    <w:p w14:paraId="4B3F5FAA" w14:textId="77777777" w:rsidR="00C57932" w:rsidRPr="00050EA2" w:rsidRDefault="00C57932" w:rsidP="00C57932">
      <w:pPr>
        <w:adjustRightInd w:val="0"/>
        <w:spacing w:after="0" w:line="240" w:lineRule="auto"/>
        <w:jc w:val="both"/>
        <w:rPr>
          <w:rFonts w:cs="Arial"/>
          <w:u w:val="single"/>
          <w:lang w:val="fr-FR"/>
        </w:rPr>
      </w:pPr>
      <w:r w:rsidRPr="00050EA2">
        <w:rPr>
          <w:rFonts w:cs="Arial"/>
          <w:u w:val="single"/>
          <w:lang w:val="fr-FR"/>
        </w:rPr>
        <w:t xml:space="preserve">2.bis </w:t>
      </w:r>
      <w:r w:rsidRPr="00050EA2">
        <w:rPr>
          <w:rFonts w:cs="Arial"/>
          <w:i/>
          <w:iCs/>
          <w:u w:val="single"/>
          <w:lang w:val="fr-FR"/>
        </w:rPr>
        <w:t>Adopte</w:t>
      </w:r>
      <w:r w:rsidRPr="00050EA2">
        <w:rPr>
          <w:rFonts w:cs="Arial"/>
          <w:u w:val="single"/>
          <w:lang w:val="fr-FR"/>
        </w:rPr>
        <w:t xml:space="preserve"> les plans d'action par espèce suivants, tels qu'ils ont été soumis à la COP15 :</w:t>
      </w:r>
    </w:p>
    <w:p w14:paraId="5945E61B" w14:textId="1C9B96B9" w:rsidR="00C57932" w:rsidRPr="00050EA2" w:rsidRDefault="00C57932" w:rsidP="00C57932">
      <w:pPr>
        <w:adjustRightInd w:val="0"/>
        <w:spacing w:after="0" w:line="240" w:lineRule="auto"/>
        <w:ind w:left="540"/>
        <w:jc w:val="both"/>
        <w:rPr>
          <w:rFonts w:cs="Arial"/>
          <w:u w:val="single"/>
          <w:lang w:val="fr-FR"/>
        </w:rPr>
      </w:pPr>
      <w:r w:rsidRPr="00050EA2">
        <w:rPr>
          <w:rFonts w:cs="Arial"/>
          <w:u w:val="single"/>
          <w:lang w:val="fr-FR"/>
        </w:rPr>
        <w:t>UNEP/CMS/COP15/Doc.</w:t>
      </w:r>
      <w:r w:rsidR="004971B4">
        <w:rPr>
          <w:rFonts w:cs="Arial"/>
          <w:u w:val="single"/>
          <w:lang w:val="fr-FR"/>
        </w:rPr>
        <w:t>26.4.2</w:t>
      </w:r>
      <w:r w:rsidRPr="00050EA2">
        <w:rPr>
          <w:rFonts w:cs="Arial"/>
          <w:u w:val="single"/>
          <w:lang w:val="fr-FR"/>
        </w:rPr>
        <w:t xml:space="preserve"> - </w:t>
      </w:r>
      <w:r w:rsidRPr="00050EA2">
        <w:rPr>
          <w:rFonts w:cs="Arial"/>
          <w:i/>
          <w:iCs/>
          <w:u w:val="single"/>
          <w:lang w:val="fr-FR"/>
        </w:rPr>
        <w:t>Plan d'action multi-espèces pour la conservation des outardes d'Afrique, d'Eurasie et d'Australie (MsAP Outardes)</w:t>
      </w:r>
      <w:r w:rsidRPr="00050EA2">
        <w:rPr>
          <w:rFonts w:cs="Arial"/>
          <w:u w:val="single"/>
          <w:lang w:val="fr-FR"/>
        </w:rPr>
        <w:t>, en ce qui concerne les espèces d'outardes inscrites aux annexes de la CMS ;</w:t>
      </w:r>
    </w:p>
    <w:p w14:paraId="5C3D78A5" w14:textId="178E65B0" w:rsidR="006D4261" w:rsidRDefault="00C57932" w:rsidP="00C57932">
      <w:pPr>
        <w:adjustRightInd w:val="0"/>
        <w:spacing w:after="0" w:line="240" w:lineRule="auto"/>
        <w:ind w:left="567"/>
        <w:jc w:val="both"/>
        <w:rPr>
          <w:rFonts w:cs="Arial"/>
          <w:i/>
          <w:iCs/>
          <w:u w:val="single"/>
          <w:lang w:val="fr-FR"/>
        </w:rPr>
      </w:pPr>
      <w:r w:rsidRPr="00050EA2">
        <w:rPr>
          <w:rFonts w:cs="Arial"/>
          <w:u w:val="single"/>
          <w:lang w:val="fr-FR"/>
        </w:rPr>
        <w:t>UNEP/CMS/COP15/Doc.</w:t>
      </w:r>
      <w:r w:rsidR="004971B4">
        <w:rPr>
          <w:rFonts w:cs="Arial"/>
          <w:u w:val="single"/>
          <w:lang w:val="fr-FR"/>
        </w:rPr>
        <w:t>26.4.3</w:t>
      </w:r>
      <w:r w:rsidRPr="00050EA2">
        <w:rPr>
          <w:rFonts w:cs="Arial"/>
          <w:u w:val="single"/>
          <w:lang w:val="fr-FR"/>
        </w:rPr>
        <w:t xml:space="preserve"> - </w:t>
      </w:r>
      <w:r w:rsidRPr="00050EA2">
        <w:rPr>
          <w:rFonts w:cs="Arial"/>
          <w:i/>
          <w:iCs/>
          <w:u w:val="single"/>
          <w:lang w:val="fr-FR"/>
        </w:rPr>
        <w:t>Plan d'action mondial pour l'Aigle des steppes</w:t>
      </w:r>
      <w:r>
        <w:rPr>
          <w:rFonts w:cs="Arial"/>
          <w:i/>
          <w:iCs/>
          <w:u w:val="single"/>
          <w:lang w:val="fr-FR"/>
        </w:rPr>
        <w:t>,</w:t>
      </w:r>
    </w:p>
    <w:p w14:paraId="1CA26272" w14:textId="77777777" w:rsidR="001B0881" w:rsidRPr="0090738E" w:rsidRDefault="001B0881" w:rsidP="00C57932">
      <w:pPr>
        <w:adjustRightInd w:val="0"/>
        <w:spacing w:after="0" w:line="240" w:lineRule="auto"/>
        <w:ind w:left="567"/>
        <w:jc w:val="both"/>
        <w:rPr>
          <w:rFonts w:cs="Arial"/>
          <w:lang w:val="fr-FR"/>
        </w:rPr>
      </w:pPr>
    </w:p>
    <w:bookmarkEnd w:id="1"/>
    <w:p w14:paraId="294E50C1" w14:textId="77777777" w:rsidR="00FA6621" w:rsidRPr="006D4261" w:rsidRDefault="00FA6621" w:rsidP="00FA6621">
      <w:pPr>
        <w:numPr>
          <w:ilvl w:val="0"/>
          <w:numId w:val="6"/>
        </w:numPr>
        <w:suppressAutoHyphens/>
        <w:adjustRightInd w:val="0"/>
        <w:spacing w:after="0" w:line="240" w:lineRule="auto"/>
        <w:ind w:left="567" w:hanging="567"/>
        <w:jc w:val="both"/>
        <w:rPr>
          <w:rFonts w:cs="Arial"/>
          <w:strike/>
          <w:lang w:val="fr-FR"/>
        </w:rPr>
      </w:pPr>
      <w:r w:rsidRPr="006D4261">
        <w:rPr>
          <w:rFonts w:cs="Arial"/>
          <w:i/>
          <w:strike/>
          <w:lang w:val="fr-FR"/>
        </w:rPr>
        <w:lastRenderedPageBreak/>
        <w:t>Reconnaît</w:t>
      </w:r>
      <w:r w:rsidRPr="006D4261">
        <w:rPr>
          <w:rFonts w:cs="Arial"/>
          <w:strike/>
          <w:lang w:val="fr-FR"/>
        </w:rPr>
        <w:t xml:space="preserve"> l’adoption des Plans d’action pour l’érismature à tête blanche, la tourterelle des bois et le pélican frisé par le Comité permanent à sa 48</w:t>
      </w:r>
      <w:r w:rsidRPr="006D4261">
        <w:rPr>
          <w:rFonts w:cs="Arial"/>
          <w:strike/>
          <w:vertAlign w:val="superscript"/>
          <w:lang w:val="fr-FR"/>
        </w:rPr>
        <w:t>e</w:t>
      </w:r>
      <w:r w:rsidRPr="006D4261">
        <w:rPr>
          <w:rFonts w:cs="Arial"/>
          <w:strike/>
          <w:lang w:val="fr-FR"/>
        </w:rPr>
        <w:t> réunion conformément au mandat que lui a confié la Conférence des Parties à sa 12</w:t>
      </w:r>
      <w:r w:rsidRPr="006D4261">
        <w:rPr>
          <w:rFonts w:cs="Arial"/>
          <w:strike/>
          <w:vertAlign w:val="superscript"/>
          <w:lang w:val="fr-FR"/>
        </w:rPr>
        <w:t>e</w:t>
      </w:r>
      <w:r w:rsidRPr="006D4261">
        <w:rPr>
          <w:rFonts w:cs="Arial"/>
          <w:strike/>
          <w:lang w:val="fr-FR"/>
        </w:rPr>
        <w:t> session, tels que présentés dans les documents :</w:t>
      </w:r>
    </w:p>
    <w:p w14:paraId="3C7CB61C" w14:textId="77777777" w:rsidR="00FA6621" w:rsidRPr="006D4261" w:rsidRDefault="00FA6621" w:rsidP="00FA6621">
      <w:pPr>
        <w:adjustRightInd w:val="0"/>
        <w:spacing w:after="0" w:line="240" w:lineRule="auto"/>
        <w:ind w:left="567"/>
        <w:jc w:val="both"/>
        <w:rPr>
          <w:rFonts w:cs="Arial"/>
          <w:strike/>
          <w:lang w:val="fr-FR"/>
        </w:rPr>
      </w:pPr>
      <w:r w:rsidRPr="006D4261">
        <w:rPr>
          <w:rFonts w:cs="Arial"/>
          <w:strike/>
          <w:lang w:val="fr-FR"/>
        </w:rPr>
        <w:t xml:space="preserve">UNEP/CMS/StC48/Doc.18, </w:t>
      </w:r>
      <w:r w:rsidRPr="006D4261">
        <w:rPr>
          <w:rFonts w:cs="Arial"/>
          <w:i/>
          <w:strike/>
          <w:lang w:val="fr-FR"/>
        </w:rPr>
        <w:t>Adoption de plans d’action pour des espèces d’oiseaux </w:t>
      </w:r>
      <w:r w:rsidRPr="006D4261">
        <w:rPr>
          <w:rFonts w:cs="Arial"/>
          <w:strike/>
          <w:lang w:val="fr-FR"/>
        </w:rPr>
        <w:t>;</w:t>
      </w:r>
    </w:p>
    <w:p w14:paraId="17631A47" w14:textId="77777777" w:rsidR="00FA6621" w:rsidRPr="006D4261" w:rsidRDefault="00FA6621" w:rsidP="00FA6621">
      <w:pPr>
        <w:adjustRightInd w:val="0"/>
        <w:spacing w:after="0" w:line="240" w:lineRule="auto"/>
        <w:ind w:left="567"/>
        <w:jc w:val="both"/>
        <w:rPr>
          <w:rFonts w:cs="Arial"/>
          <w:strike/>
          <w:lang w:val="fr-FR"/>
        </w:rPr>
      </w:pPr>
      <w:r w:rsidRPr="006D4261">
        <w:rPr>
          <w:rFonts w:cs="Arial"/>
          <w:strike/>
          <w:lang w:val="fr-FR"/>
        </w:rPr>
        <w:t xml:space="preserve">UNEP/CMS/StC48/Doc.18/Annexe 1, </w:t>
      </w:r>
      <w:bookmarkStart w:id="2" w:name="_Hlk20224306"/>
      <w:r w:rsidRPr="006D4261">
        <w:rPr>
          <w:rFonts w:cs="Arial"/>
          <w:i/>
          <w:strike/>
          <w:lang w:val="fr-FR"/>
        </w:rPr>
        <w:t>Plan d’action international par espèce pour la conservation de l’érismature à tête blanche</w:t>
      </w:r>
      <w:bookmarkEnd w:id="2"/>
      <w:r w:rsidRPr="006D4261">
        <w:rPr>
          <w:rFonts w:cs="Arial"/>
          <w:i/>
          <w:strike/>
          <w:lang w:val="fr-FR"/>
        </w:rPr>
        <w:t> </w:t>
      </w:r>
      <w:r w:rsidRPr="006D4261">
        <w:rPr>
          <w:rFonts w:cs="Arial"/>
          <w:strike/>
          <w:lang w:val="fr-FR"/>
        </w:rPr>
        <w:t>;</w:t>
      </w:r>
    </w:p>
    <w:p w14:paraId="4FF3E1EB" w14:textId="77777777" w:rsidR="00FA6621" w:rsidRPr="006D4261" w:rsidRDefault="00FA6621" w:rsidP="00FA6621">
      <w:pPr>
        <w:adjustRightInd w:val="0"/>
        <w:spacing w:after="0" w:line="240" w:lineRule="auto"/>
        <w:ind w:left="567"/>
        <w:jc w:val="both"/>
        <w:rPr>
          <w:rFonts w:cs="Arial"/>
          <w:strike/>
          <w:lang w:val="fr-FR"/>
        </w:rPr>
      </w:pPr>
      <w:r w:rsidRPr="006D4261">
        <w:rPr>
          <w:rFonts w:cs="Arial"/>
          <w:strike/>
          <w:lang w:val="fr-FR"/>
        </w:rPr>
        <w:t xml:space="preserve">UNEP/CMS/StC48/Doc.18/Annexe 2/Rev.1, </w:t>
      </w:r>
      <w:r w:rsidRPr="006D4261">
        <w:rPr>
          <w:rFonts w:cs="Arial"/>
          <w:i/>
          <w:strike/>
          <w:lang w:val="fr-FR"/>
        </w:rPr>
        <w:t>Plan d’action international par espèce pour la conservation de la tourterelle des bois </w:t>
      </w:r>
      <w:r w:rsidRPr="006D4261">
        <w:rPr>
          <w:rFonts w:cs="Arial"/>
          <w:strike/>
          <w:lang w:val="fr-FR"/>
        </w:rPr>
        <w:t>;</w:t>
      </w:r>
    </w:p>
    <w:p w14:paraId="5A2EE330" w14:textId="77777777" w:rsidR="00FA6621" w:rsidRPr="006D4261" w:rsidRDefault="00FA6621" w:rsidP="00FA6621">
      <w:pPr>
        <w:spacing w:after="0" w:line="240" w:lineRule="auto"/>
        <w:ind w:left="567"/>
        <w:jc w:val="both"/>
        <w:rPr>
          <w:rFonts w:cs="Arial"/>
          <w:i/>
          <w:strike/>
          <w:lang w:val="fr-FR"/>
        </w:rPr>
      </w:pPr>
      <w:r w:rsidRPr="006D4261">
        <w:rPr>
          <w:rFonts w:cs="Arial"/>
          <w:strike/>
          <w:lang w:val="fr-FR"/>
        </w:rPr>
        <w:t xml:space="preserve">UNEP/CMS/StC48/Doc.18/Annexe 3, </w:t>
      </w:r>
      <w:r w:rsidRPr="006D4261">
        <w:rPr>
          <w:rFonts w:cs="Arial"/>
          <w:i/>
          <w:strike/>
          <w:lang w:val="fr-FR"/>
        </w:rPr>
        <w:t>Plan d’action international par espèce pour la conservation du pélican frisé ;</w:t>
      </w:r>
    </w:p>
    <w:p w14:paraId="53CE9B14" w14:textId="77777777" w:rsidR="00FA6621" w:rsidRDefault="00FA6621" w:rsidP="00FA6621">
      <w:pPr>
        <w:spacing w:after="0" w:line="240" w:lineRule="auto"/>
        <w:ind w:left="567"/>
        <w:jc w:val="both"/>
        <w:rPr>
          <w:lang w:val="fr-FR"/>
        </w:rPr>
      </w:pPr>
    </w:p>
    <w:p w14:paraId="2137B564" w14:textId="39B6511D" w:rsidR="00C2107F" w:rsidRPr="006B21D6" w:rsidRDefault="00C2107F" w:rsidP="00C2107F">
      <w:pPr>
        <w:adjustRightInd w:val="0"/>
        <w:spacing w:after="0" w:line="240" w:lineRule="auto"/>
        <w:ind w:left="540" w:hanging="540"/>
        <w:jc w:val="both"/>
        <w:rPr>
          <w:rFonts w:cs="Arial"/>
          <w:u w:val="single"/>
          <w:lang w:val="fr-FR"/>
        </w:rPr>
      </w:pPr>
      <w:r w:rsidRPr="006B21D6">
        <w:rPr>
          <w:rFonts w:cs="Arial"/>
          <w:u w:val="single"/>
          <w:lang w:val="fr-FR"/>
        </w:rPr>
        <w:t>3.bis</w:t>
      </w:r>
      <w:r w:rsidRPr="006B21D6">
        <w:rPr>
          <w:rFonts w:cs="Arial"/>
          <w:u w:val="single"/>
          <w:lang w:val="fr-FR"/>
        </w:rPr>
        <w:tab/>
      </w:r>
      <w:r w:rsidR="006B21D6" w:rsidRPr="006B21D6">
        <w:rPr>
          <w:rFonts w:cs="Arial"/>
          <w:i/>
          <w:iCs/>
          <w:u w:val="single"/>
          <w:lang w:val="fr-FR"/>
        </w:rPr>
        <w:t>Décide</w:t>
      </w:r>
      <w:r w:rsidR="006B21D6" w:rsidRPr="006B21D6">
        <w:rPr>
          <w:rFonts w:cs="Arial"/>
          <w:u w:val="single"/>
          <w:lang w:val="fr-FR"/>
        </w:rPr>
        <w:t xml:space="preserve"> de prolonger la validité du Plan d'action international par espèce (ISSAP) pour le Pélican Frisé et de l'ISSAP pour l'Érismature à tête blanche, tous deux adoptés par le Comité permanent de la CMS lors de sa 48e réunion, </w:t>
      </w:r>
      <w:r w:rsidR="006B21D6" w:rsidRPr="006B21D6">
        <w:rPr>
          <w:iCs/>
          <w:u w:val="single"/>
          <w:lang w:val="fr-FR"/>
        </w:rPr>
        <w:t>pour permettre la poursuite de la mise en œuvre sur l'ensemble des aires de répartition des espèces, sous la coordination des</w:t>
      </w:r>
      <w:r w:rsidR="006B21D6" w:rsidRPr="006B21D6">
        <w:rPr>
          <w:rFonts w:eastAsia="Times New Roman"/>
          <w:u w:val="single"/>
          <w:lang w:val="fr-FR"/>
        </w:rPr>
        <w:t xml:space="preserve"> groupes de travail internationaux concernés,</w:t>
      </w:r>
      <w:r w:rsidR="006B21D6" w:rsidRPr="006B21D6">
        <w:rPr>
          <w:iCs/>
          <w:u w:val="single"/>
          <w:lang w:val="fr-FR"/>
        </w:rPr>
        <w:t xml:space="preserve"> jusqu'à ce qu'une nouvelle décision soit prise par la Conférence des Parties concernant l'extension, la révision, la mise à jour ou le retrait potentiels de ces ISSAP en coordination avec </w:t>
      </w:r>
      <w:r w:rsidR="006B21D6" w:rsidRPr="006B21D6">
        <w:rPr>
          <w:u w:val="single"/>
          <w:lang w:val="fr-FR"/>
        </w:rPr>
        <w:t>l'AEWA et, pour le Pélican Frisé, le Partenariat pour la voie de migration Asie de l'Est-Australasie</w:t>
      </w:r>
      <w:r w:rsidR="006B21D6" w:rsidRPr="006B21D6">
        <w:rPr>
          <w:iCs/>
          <w:u w:val="single"/>
          <w:lang w:val="fr-FR"/>
        </w:rPr>
        <w:t xml:space="preserve"> ;</w:t>
      </w:r>
      <w:r w:rsidRPr="006B21D6">
        <w:rPr>
          <w:iCs/>
          <w:u w:val="single"/>
          <w:lang w:val="fr-FR"/>
        </w:rPr>
        <w:t xml:space="preserve"> </w:t>
      </w:r>
    </w:p>
    <w:p w14:paraId="5139607E" w14:textId="77777777" w:rsidR="00C2107F" w:rsidRPr="006B21D6" w:rsidRDefault="00C2107F" w:rsidP="00C2107F">
      <w:pPr>
        <w:spacing w:after="0" w:line="240" w:lineRule="auto"/>
        <w:jc w:val="both"/>
        <w:rPr>
          <w:lang w:val="fr-FR"/>
        </w:rPr>
      </w:pPr>
    </w:p>
    <w:p w14:paraId="382024A9" w14:textId="77777777" w:rsidR="00FA6621" w:rsidRPr="0090738E" w:rsidRDefault="00FA6621" w:rsidP="00FA6621">
      <w:pPr>
        <w:numPr>
          <w:ilvl w:val="0"/>
          <w:numId w:val="6"/>
        </w:numPr>
        <w:suppressAutoHyphens/>
        <w:spacing w:after="0" w:line="240" w:lineRule="auto"/>
        <w:ind w:left="567" w:hanging="567"/>
        <w:jc w:val="both"/>
        <w:rPr>
          <w:lang w:val="fr-FR"/>
        </w:rPr>
      </w:pPr>
      <w:r>
        <w:rPr>
          <w:rFonts w:cs="Arial"/>
          <w:i/>
          <w:lang w:val="fr-FR"/>
        </w:rPr>
        <w:t>Prie instamment</w:t>
      </w:r>
      <w:r w:rsidRPr="0090738E">
        <w:rPr>
          <w:rFonts w:cs="Arial"/>
          <w:i/>
          <w:lang w:val="fr-FR"/>
        </w:rPr>
        <w:t xml:space="preserve"> </w:t>
      </w:r>
      <w:r w:rsidRPr="0090738E">
        <w:rPr>
          <w:rFonts w:cs="Arial"/>
          <w:lang w:val="fr-FR"/>
        </w:rPr>
        <w:t xml:space="preserve">les Parties et </w:t>
      </w:r>
      <w:r w:rsidRPr="000D0783">
        <w:rPr>
          <w:rFonts w:cs="Arial"/>
          <w:lang w:val="fr-FR"/>
        </w:rPr>
        <w:t>invite</w:t>
      </w:r>
      <w:r w:rsidRPr="0090738E">
        <w:rPr>
          <w:rFonts w:cs="Arial"/>
          <w:lang w:val="fr-FR"/>
        </w:rPr>
        <w:t xml:space="preserve"> les États de l’aire de répartition non-Parties à mettre en œuvre les dispositions pertinentes de tous les plans d’action pour les oiseaux qui ont été adoptés par la Conférence des Parties à ce jour</w:t>
      </w:r>
      <w:r>
        <w:rPr>
          <w:rFonts w:cs="Arial"/>
          <w:lang w:val="fr-FR"/>
        </w:rPr>
        <w:t> </w:t>
      </w:r>
      <w:r w:rsidRPr="0090738E">
        <w:rPr>
          <w:lang w:val="fr-FR"/>
        </w:rPr>
        <w:t>;</w:t>
      </w:r>
    </w:p>
    <w:p w14:paraId="442B2B6E" w14:textId="77777777" w:rsidR="00FA6621" w:rsidRPr="0090738E" w:rsidRDefault="00FA6621" w:rsidP="00FA6621">
      <w:pPr>
        <w:adjustRightInd w:val="0"/>
        <w:spacing w:after="0" w:line="240" w:lineRule="auto"/>
        <w:ind w:left="567" w:hanging="567"/>
        <w:jc w:val="both"/>
        <w:rPr>
          <w:rFonts w:cs="Arial"/>
          <w:lang w:val="fr-FR"/>
        </w:rPr>
      </w:pPr>
    </w:p>
    <w:p w14:paraId="472DF21A" w14:textId="77777777" w:rsidR="00FA6621" w:rsidRPr="0090738E" w:rsidRDefault="00FA6621" w:rsidP="00FA6621">
      <w:pPr>
        <w:numPr>
          <w:ilvl w:val="0"/>
          <w:numId w:val="6"/>
        </w:numPr>
        <w:suppressAutoHyphens/>
        <w:spacing w:after="0" w:line="240" w:lineRule="auto"/>
        <w:ind w:left="567" w:hanging="567"/>
        <w:jc w:val="both"/>
        <w:rPr>
          <w:lang w:val="fr-FR"/>
        </w:rPr>
      </w:pPr>
      <w:r w:rsidRPr="0090738E">
        <w:rPr>
          <w:rFonts w:cs="Arial"/>
          <w:i/>
          <w:lang w:val="fr-FR"/>
        </w:rPr>
        <w:t xml:space="preserve">Encourage </w:t>
      </w:r>
      <w:r w:rsidRPr="000D0783">
        <w:rPr>
          <w:rFonts w:cs="Arial"/>
          <w:lang w:val="fr-FR"/>
        </w:rPr>
        <w:t>les</w:t>
      </w:r>
      <w:r w:rsidRPr="0090738E">
        <w:rPr>
          <w:rFonts w:cs="Arial"/>
          <w:lang w:val="fr-FR"/>
        </w:rPr>
        <w:t xml:space="preserve"> autres Parties à apporter un soutien technique et/ou financier aux activités décrites dans les plans d’action</w:t>
      </w:r>
      <w:r>
        <w:rPr>
          <w:rFonts w:cs="Arial"/>
          <w:lang w:val="fr-FR"/>
        </w:rPr>
        <w:t> </w:t>
      </w:r>
      <w:r w:rsidRPr="0090738E">
        <w:rPr>
          <w:lang w:val="fr-FR"/>
        </w:rPr>
        <w:t>;</w:t>
      </w:r>
      <w:r>
        <w:rPr>
          <w:lang w:val="fr-FR"/>
        </w:rPr>
        <w:t xml:space="preserve"> et</w:t>
      </w:r>
    </w:p>
    <w:p w14:paraId="48ADB2CD" w14:textId="77777777" w:rsidR="00FA6621" w:rsidRPr="0090738E" w:rsidRDefault="00FA6621" w:rsidP="00FA6621">
      <w:pPr>
        <w:spacing w:after="0" w:line="240" w:lineRule="auto"/>
        <w:ind w:left="720"/>
        <w:jc w:val="both"/>
        <w:rPr>
          <w:lang w:val="fr-FR"/>
        </w:rPr>
      </w:pPr>
    </w:p>
    <w:p w14:paraId="4AB136C4" w14:textId="77777777" w:rsidR="00FA6621" w:rsidRPr="00622570" w:rsidRDefault="00FA6621" w:rsidP="00FA6621">
      <w:pPr>
        <w:numPr>
          <w:ilvl w:val="0"/>
          <w:numId w:val="6"/>
        </w:numPr>
        <w:suppressAutoHyphens/>
        <w:adjustRightInd w:val="0"/>
        <w:spacing w:after="0" w:line="240" w:lineRule="auto"/>
        <w:ind w:left="567" w:hanging="567"/>
        <w:jc w:val="both"/>
        <w:rPr>
          <w:rFonts w:cs="Arial"/>
          <w:lang w:val="fr-FR"/>
        </w:rPr>
      </w:pPr>
      <w:r w:rsidRPr="0090738E">
        <w:rPr>
          <w:rFonts w:cs="Arial"/>
          <w:i/>
          <w:lang w:val="fr-FR"/>
        </w:rPr>
        <w:t>Demande</w:t>
      </w:r>
      <w:r w:rsidRPr="0090738E">
        <w:rPr>
          <w:rFonts w:cs="Arial"/>
          <w:lang w:val="fr-FR"/>
        </w:rPr>
        <w:t xml:space="preserve"> aux Parties de rendre compte des progrès accomplis dans la mise en œuvre des plans d’action </w:t>
      </w:r>
      <w:r>
        <w:rPr>
          <w:rFonts w:cs="Arial"/>
          <w:lang w:val="fr-FR"/>
        </w:rPr>
        <w:t>à</w:t>
      </w:r>
      <w:r w:rsidRPr="0090738E">
        <w:rPr>
          <w:rFonts w:cs="Arial"/>
          <w:lang w:val="fr-FR"/>
        </w:rPr>
        <w:t xml:space="preserve"> chaque session de la Conférence des Parties dans le cadre de leur rapport national</w:t>
      </w:r>
      <w:r w:rsidRPr="00C2107F">
        <w:rPr>
          <w:rFonts w:cs="Arial"/>
          <w:strike/>
          <w:lang w:val="fr-FR"/>
        </w:rPr>
        <w:t>, y compris en ce qui concerne le plan d’action pour le bruant auréole</w:t>
      </w:r>
      <w:r w:rsidRPr="00C2107F">
        <w:rPr>
          <w:strike/>
          <w:lang w:val="fr-FR"/>
        </w:rPr>
        <w:t xml:space="preserve"> et le plan d’action pour le faucon concolore (</w:t>
      </w:r>
      <w:r w:rsidRPr="00C2107F">
        <w:rPr>
          <w:i/>
          <w:strike/>
          <w:lang w:val="fr-FR"/>
        </w:rPr>
        <w:t>Falco concolor</w:t>
      </w:r>
      <w:r w:rsidRPr="00C2107F">
        <w:rPr>
          <w:strike/>
          <w:lang w:val="fr-FR"/>
        </w:rPr>
        <w:t>)</w:t>
      </w:r>
      <w:r w:rsidRPr="00C2107F">
        <w:rPr>
          <w:rFonts w:cs="Arial"/>
          <w:strike/>
          <w:lang w:val="fr-FR"/>
        </w:rPr>
        <w:t>, une fois achevés</w:t>
      </w:r>
      <w:r w:rsidRPr="0090738E">
        <w:rPr>
          <w:rFonts w:cs="Arial"/>
          <w:lang w:val="fr-FR"/>
        </w:rPr>
        <w:t>.</w:t>
      </w:r>
    </w:p>
    <w:p w14:paraId="600BB9F5" w14:textId="77777777" w:rsidR="00C2107F" w:rsidRDefault="00C2107F" w:rsidP="00FA6621">
      <w:pPr>
        <w:spacing w:after="0" w:line="240" w:lineRule="auto"/>
        <w:jc w:val="both"/>
        <w:rPr>
          <w:b/>
          <w:bCs/>
          <w:sz w:val="20"/>
          <w:szCs w:val="20"/>
          <w:lang w:val="fr-FR"/>
        </w:rPr>
        <w:sectPr w:rsidR="00C2107F" w:rsidSect="007C0105">
          <w:headerReference w:type="even" r:id="rId42"/>
          <w:headerReference w:type="default" r:id="rId43"/>
          <w:headerReference w:type="first" r:id="rId44"/>
          <w:footerReference w:type="first" r:id="rId45"/>
          <w:pgSz w:w="11906" w:h="16838" w:code="9"/>
          <w:pgMar w:top="1440" w:right="1440" w:bottom="1440" w:left="1440" w:header="568" w:footer="720" w:gutter="0"/>
          <w:cols w:space="720"/>
          <w:titlePg/>
          <w:docGrid w:linePitch="360"/>
        </w:sectPr>
      </w:pPr>
    </w:p>
    <w:p w14:paraId="7090E09F" w14:textId="33A2133A" w:rsidR="008429ED" w:rsidRDefault="00C2107F" w:rsidP="00C2107F">
      <w:pPr>
        <w:spacing w:after="0" w:line="240" w:lineRule="auto"/>
        <w:jc w:val="right"/>
        <w:rPr>
          <w:b/>
          <w:bCs/>
          <w:lang w:val="fr-FR"/>
        </w:rPr>
      </w:pPr>
      <w:r w:rsidRPr="00C2107F">
        <w:rPr>
          <w:b/>
          <w:bCs/>
          <w:lang w:val="fr-FR"/>
        </w:rPr>
        <w:lastRenderedPageBreak/>
        <w:t>ANNEXE 2</w:t>
      </w:r>
    </w:p>
    <w:p w14:paraId="4972DD10" w14:textId="77777777" w:rsidR="00C2107F" w:rsidRDefault="00C2107F" w:rsidP="00C2107F">
      <w:pPr>
        <w:spacing w:after="0" w:line="240" w:lineRule="auto"/>
        <w:jc w:val="both"/>
        <w:rPr>
          <w:lang w:val="fr-FR"/>
        </w:rPr>
      </w:pPr>
    </w:p>
    <w:p w14:paraId="33834180" w14:textId="77777777" w:rsidR="00847F94" w:rsidRPr="003B3330" w:rsidRDefault="00847F94" w:rsidP="006A442A">
      <w:pPr>
        <w:pStyle w:val="Firstnumbering"/>
        <w:numPr>
          <w:ilvl w:val="0"/>
          <w:numId w:val="0"/>
        </w:numPr>
        <w:ind w:left="720" w:hanging="720"/>
        <w:rPr>
          <w:rFonts w:cs="Arial"/>
          <w:lang w:val="fr-FR"/>
        </w:rPr>
      </w:pPr>
    </w:p>
    <w:p w14:paraId="4D7490BC" w14:textId="77777777" w:rsidR="00847F94" w:rsidRPr="003B3330" w:rsidRDefault="00847F94" w:rsidP="00847F94">
      <w:pPr>
        <w:pStyle w:val="Firstnumbering"/>
        <w:numPr>
          <w:ilvl w:val="0"/>
          <w:numId w:val="0"/>
        </w:numPr>
        <w:ind w:left="567"/>
        <w:jc w:val="center"/>
        <w:rPr>
          <w:rFonts w:cs="Arial"/>
          <w:lang w:val="fr-FR"/>
        </w:rPr>
      </w:pPr>
      <w:r w:rsidRPr="003B3330">
        <w:rPr>
          <w:rFonts w:cs="Arial"/>
          <w:lang w:val="fr-FR"/>
        </w:rPr>
        <w:t>PROJET DE DÉCISION</w:t>
      </w:r>
      <w:r>
        <w:rPr>
          <w:rFonts w:cs="Arial"/>
          <w:lang w:val="fr-FR"/>
        </w:rPr>
        <w:t>S</w:t>
      </w:r>
    </w:p>
    <w:p w14:paraId="0BE14FD8" w14:textId="77777777" w:rsidR="00847F94" w:rsidRPr="003B3330" w:rsidRDefault="00847F94" w:rsidP="00847F94">
      <w:pPr>
        <w:pStyle w:val="Firstnumbering"/>
        <w:numPr>
          <w:ilvl w:val="0"/>
          <w:numId w:val="0"/>
        </w:numPr>
        <w:ind w:left="567"/>
        <w:jc w:val="center"/>
        <w:rPr>
          <w:rFonts w:cs="Arial"/>
          <w:lang w:val="fr-FR"/>
        </w:rPr>
      </w:pPr>
    </w:p>
    <w:p w14:paraId="5DC0D940" w14:textId="77777777" w:rsidR="00847F94" w:rsidRPr="003B3330" w:rsidRDefault="00847F94" w:rsidP="00847F94">
      <w:pPr>
        <w:pStyle w:val="Firstnumbering"/>
        <w:numPr>
          <w:ilvl w:val="0"/>
          <w:numId w:val="0"/>
        </w:numPr>
        <w:ind w:left="567"/>
        <w:jc w:val="center"/>
        <w:rPr>
          <w:rFonts w:cs="Arial"/>
          <w:b/>
          <w:lang w:val="fr-FR"/>
        </w:rPr>
      </w:pPr>
      <w:r w:rsidRPr="003B3330">
        <w:rPr>
          <w:rFonts w:cs="Arial"/>
          <w:b/>
          <w:lang w:val="fr-FR"/>
        </w:rPr>
        <w:t>PLANS D'ACTION POUR LES OISEAUX</w:t>
      </w:r>
    </w:p>
    <w:p w14:paraId="4A5B468A" w14:textId="77777777" w:rsidR="00847F94" w:rsidRPr="003B3330" w:rsidRDefault="00847F94" w:rsidP="00847F94">
      <w:pPr>
        <w:pStyle w:val="Firstnumbering"/>
        <w:numPr>
          <w:ilvl w:val="0"/>
          <w:numId w:val="0"/>
        </w:numPr>
        <w:ind w:left="567"/>
        <w:jc w:val="both"/>
        <w:rPr>
          <w:rFonts w:cs="Arial"/>
          <w:b/>
          <w:lang w:val="fr-FR"/>
        </w:rPr>
      </w:pPr>
    </w:p>
    <w:p w14:paraId="2AADF141" w14:textId="77777777" w:rsidR="00847F94" w:rsidRPr="003B3330" w:rsidRDefault="00847F94" w:rsidP="00847F94">
      <w:pPr>
        <w:pStyle w:val="Firstnumbering"/>
        <w:numPr>
          <w:ilvl w:val="0"/>
          <w:numId w:val="0"/>
        </w:numPr>
        <w:ind w:left="567" w:hanging="567"/>
        <w:jc w:val="both"/>
        <w:rPr>
          <w:rFonts w:cs="Arial"/>
          <w:b/>
          <w:i/>
          <w:lang w:val="fr-FR"/>
        </w:rPr>
      </w:pPr>
    </w:p>
    <w:p w14:paraId="0AFDB2B1" w14:textId="77777777" w:rsidR="00847F94" w:rsidRPr="003B3330" w:rsidRDefault="00847F94" w:rsidP="00847F94">
      <w:pPr>
        <w:pStyle w:val="Firstnumbering"/>
        <w:numPr>
          <w:ilvl w:val="0"/>
          <w:numId w:val="0"/>
        </w:numPr>
        <w:jc w:val="both"/>
        <w:rPr>
          <w:rFonts w:cs="Arial"/>
          <w:b/>
          <w:i/>
          <w:lang w:val="fr-FR"/>
        </w:rPr>
      </w:pPr>
      <w:r w:rsidRPr="003B3330">
        <w:rPr>
          <w:rFonts w:cs="Arial"/>
          <w:b/>
          <w:i/>
          <w:lang w:val="fr-FR"/>
        </w:rPr>
        <w:t xml:space="preserve">Décision adressée </w:t>
      </w:r>
      <w:r>
        <w:rPr>
          <w:rFonts w:cs="Arial"/>
          <w:b/>
          <w:i/>
          <w:lang w:val="fr-FR"/>
        </w:rPr>
        <w:t xml:space="preserve">au </w:t>
      </w:r>
      <w:r w:rsidRPr="003B3330">
        <w:rPr>
          <w:rFonts w:cs="Arial"/>
          <w:b/>
          <w:i/>
          <w:lang w:val="fr-FR"/>
        </w:rPr>
        <w:t>Secrétariat</w:t>
      </w:r>
    </w:p>
    <w:p w14:paraId="41BCDC82" w14:textId="77777777" w:rsidR="00847F94" w:rsidRPr="003B3330" w:rsidRDefault="00847F94" w:rsidP="00847F94">
      <w:pPr>
        <w:pStyle w:val="Firstnumbering"/>
        <w:numPr>
          <w:ilvl w:val="0"/>
          <w:numId w:val="0"/>
        </w:numPr>
        <w:ind w:left="567"/>
        <w:jc w:val="both"/>
        <w:rPr>
          <w:rFonts w:cs="Arial"/>
          <w:bCs/>
          <w:iCs/>
          <w:lang w:val="fr-FR"/>
        </w:rPr>
      </w:pPr>
    </w:p>
    <w:p w14:paraId="05644783" w14:textId="2EAC725C" w:rsidR="00847F94" w:rsidRPr="003B3330" w:rsidRDefault="00847F94" w:rsidP="002E20D4">
      <w:pPr>
        <w:pStyle w:val="Firstnumbering"/>
        <w:numPr>
          <w:ilvl w:val="0"/>
          <w:numId w:val="0"/>
        </w:numPr>
        <w:ind w:left="709" w:hanging="709"/>
        <w:jc w:val="both"/>
        <w:rPr>
          <w:rFonts w:cs="Arial"/>
          <w:bCs/>
          <w:iCs/>
          <w:lang w:val="fr-FR"/>
        </w:rPr>
      </w:pPr>
      <w:r w:rsidRPr="003B3330">
        <w:rPr>
          <w:rFonts w:cs="Arial"/>
          <w:bCs/>
          <w:iCs/>
          <w:lang w:val="fr-FR"/>
        </w:rPr>
        <w:t>1</w:t>
      </w:r>
      <w:r w:rsidR="002E20D4">
        <w:rPr>
          <w:rFonts w:cs="Arial"/>
          <w:bCs/>
          <w:iCs/>
          <w:lang w:val="fr-FR"/>
        </w:rPr>
        <w:t>5</w:t>
      </w:r>
      <w:r w:rsidRPr="003B3330">
        <w:rPr>
          <w:rFonts w:cs="Arial"/>
          <w:bCs/>
          <w:iCs/>
          <w:lang w:val="fr-FR"/>
        </w:rPr>
        <w:t>.</w:t>
      </w:r>
      <w:r w:rsidR="002E20D4">
        <w:rPr>
          <w:rFonts w:cs="Arial"/>
          <w:bCs/>
          <w:iCs/>
          <w:lang w:val="fr-FR"/>
        </w:rPr>
        <w:t>AA</w:t>
      </w:r>
      <w:r w:rsidRPr="003B3330">
        <w:rPr>
          <w:rFonts w:cs="Arial"/>
          <w:bCs/>
          <w:iCs/>
          <w:lang w:val="fr-FR"/>
        </w:rPr>
        <w:t xml:space="preserve"> </w:t>
      </w:r>
      <w:r>
        <w:rPr>
          <w:rFonts w:cs="Arial"/>
          <w:bCs/>
          <w:iCs/>
          <w:lang w:val="fr-FR"/>
        </w:rPr>
        <w:tab/>
      </w:r>
      <w:r w:rsidRPr="003B3330">
        <w:rPr>
          <w:rFonts w:cs="Arial"/>
          <w:bCs/>
          <w:iCs/>
          <w:lang w:val="fr-FR"/>
        </w:rPr>
        <w:t xml:space="preserve">Le Secrétariat est chargé de : </w:t>
      </w:r>
    </w:p>
    <w:p w14:paraId="73182FB9" w14:textId="77777777" w:rsidR="00847F94" w:rsidRPr="003B3330" w:rsidRDefault="00847F94" w:rsidP="00847F94">
      <w:pPr>
        <w:pStyle w:val="Firstnumbering"/>
        <w:numPr>
          <w:ilvl w:val="0"/>
          <w:numId w:val="0"/>
        </w:numPr>
        <w:jc w:val="both"/>
        <w:rPr>
          <w:bCs/>
          <w:iCs/>
          <w:lang w:val="fr-FR"/>
        </w:rPr>
      </w:pPr>
    </w:p>
    <w:p w14:paraId="01EBC2D3" w14:textId="6355D282" w:rsidR="00847F94" w:rsidRPr="00756572" w:rsidRDefault="002F5A89" w:rsidP="00756572">
      <w:pPr>
        <w:pStyle w:val="Firstnumbering"/>
        <w:numPr>
          <w:ilvl w:val="0"/>
          <w:numId w:val="8"/>
        </w:numPr>
        <w:ind w:left="1276" w:hanging="567"/>
        <w:jc w:val="both"/>
        <w:rPr>
          <w:bCs/>
          <w:iCs/>
          <w:lang w:val="fr-FR"/>
        </w:rPr>
      </w:pPr>
      <w:r w:rsidRPr="00756572">
        <w:rPr>
          <w:bCs/>
          <w:iCs/>
          <w:lang w:val="fr-FR"/>
        </w:rPr>
        <w:t>porter les plans d’action à l’attention de tous les États de l’aire de répartition et organisations intergouvernementales concernées, d’inviter les États de l’aire de répartition qui ne sont pas encore Parties à la CMS à ratifier ou adhérer à la Convention (ou tout au moins à soutenir le plan d’action pertinent) et à suivre et rendre compte</w:t>
      </w:r>
      <w:r w:rsidR="005C17A9" w:rsidRPr="00756572">
        <w:rPr>
          <w:bCs/>
          <w:iCs/>
          <w:lang w:val="fr-FR"/>
        </w:rPr>
        <w:t xml:space="preserve"> </w:t>
      </w:r>
      <w:r w:rsidRPr="00756572">
        <w:rPr>
          <w:bCs/>
          <w:iCs/>
          <w:lang w:val="fr-FR"/>
        </w:rPr>
        <w:t>de la mise en œuvre de ces plans d’action</w:t>
      </w:r>
      <w:r w:rsidR="00756572" w:rsidRPr="00756572">
        <w:rPr>
          <w:bCs/>
          <w:iCs/>
          <w:lang w:val="fr-FR"/>
        </w:rPr>
        <w:t>,</w:t>
      </w:r>
      <w:r w:rsidRPr="00756572">
        <w:rPr>
          <w:bCs/>
          <w:iCs/>
          <w:lang w:val="fr-FR"/>
        </w:rPr>
        <w:t xml:space="preserve"> </w:t>
      </w:r>
      <w:r w:rsidR="005C17A9" w:rsidRPr="00756572">
        <w:rPr>
          <w:bCs/>
          <w:iCs/>
          <w:lang w:val="fr-FR"/>
        </w:rPr>
        <w:t xml:space="preserve">dans la mesure du possible </w:t>
      </w:r>
      <w:r w:rsidRPr="00756572">
        <w:rPr>
          <w:bCs/>
          <w:iCs/>
          <w:lang w:val="fr-FR"/>
        </w:rPr>
        <w:t>au cours de la période intersessions menant à la 1</w:t>
      </w:r>
      <w:r w:rsidR="00756572" w:rsidRPr="00756572">
        <w:rPr>
          <w:bCs/>
          <w:iCs/>
          <w:lang w:val="fr-FR"/>
        </w:rPr>
        <w:t>6</w:t>
      </w:r>
      <w:r w:rsidRPr="00756572">
        <w:rPr>
          <w:bCs/>
          <w:iCs/>
          <w:lang w:val="fr-FR"/>
        </w:rPr>
        <w:t>e Session de la Conférence des Parties (COP1</w:t>
      </w:r>
      <w:r w:rsidR="00756572" w:rsidRPr="00756572">
        <w:rPr>
          <w:bCs/>
          <w:iCs/>
          <w:lang w:val="fr-FR"/>
        </w:rPr>
        <w:t>6</w:t>
      </w:r>
      <w:r w:rsidRPr="00756572">
        <w:rPr>
          <w:bCs/>
          <w:iCs/>
          <w:lang w:val="fr-FR"/>
        </w:rPr>
        <w:t>) ; et</w:t>
      </w:r>
    </w:p>
    <w:p w14:paraId="4C9DBA72" w14:textId="77777777" w:rsidR="00847F94" w:rsidRPr="00756572" w:rsidRDefault="00847F94" w:rsidP="00756572">
      <w:pPr>
        <w:pStyle w:val="Firstnumbering"/>
        <w:numPr>
          <w:ilvl w:val="0"/>
          <w:numId w:val="0"/>
        </w:numPr>
        <w:ind w:left="1276" w:hanging="567"/>
        <w:jc w:val="both"/>
        <w:rPr>
          <w:bCs/>
          <w:iCs/>
          <w:lang w:val="fr-FR"/>
        </w:rPr>
      </w:pPr>
    </w:p>
    <w:p w14:paraId="4623A897" w14:textId="611A8F29" w:rsidR="00847F94" w:rsidRPr="00EA7215" w:rsidRDefault="002E3F50" w:rsidP="00EA7215">
      <w:pPr>
        <w:pStyle w:val="Firstnumbering"/>
        <w:numPr>
          <w:ilvl w:val="0"/>
          <w:numId w:val="8"/>
        </w:numPr>
        <w:ind w:left="1276" w:hanging="567"/>
        <w:jc w:val="both"/>
        <w:rPr>
          <w:rFonts w:cs="Arial"/>
          <w:bCs/>
          <w:iCs/>
          <w:lang w:val="fr-FR"/>
        </w:rPr>
      </w:pPr>
      <w:r w:rsidRPr="00756572">
        <w:rPr>
          <w:rFonts w:cs="Arial"/>
          <w:shd w:val="clear" w:color="auto" w:fill="FFFFFF"/>
          <w:lang w:val="fr-FR"/>
        </w:rPr>
        <w:t xml:space="preserve">de travailler en coordination avec le Secrétariat du Partenariat sur l’itinéraire aérien Asie orientale-Australasie (EAFP) s’agissant de la mise en œuvre des Plans d’action pour le fuligule de Baer, le courlis de Sibérie, la frégate d’Andrews, le pélican dalmate et l’érismature à tête blanche, et avec le Secrétariat de l’Accord sur la conservation des oiseaux d’eau migrateurs d’Afrique de l’Eurasie (AEWA) s’agissant des Plans d’action pour le pélican dalmate et l’érismature à tête blanche </w:t>
      </w:r>
      <w:r w:rsidR="00F22C5B" w:rsidRPr="00F22C5B">
        <w:rPr>
          <w:rFonts w:cs="Arial"/>
          <w:shd w:val="clear" w:color="auto" w:fill="FFFFFF"/>
          <w:lang w:val="fr-FR"/>
        </w:rPr>
        <w:t>qui expirent tous deux en 2027, et ce faisant, déterminer les étapes menant à leur évaluation, leur prolongation, leur révision, leur mise à jour ou leur retrait, pour décision par la COP16</w:t>
      </w:r>
      <w:r w:rsidR="00847F94" w:rsidRPr="00756572">
        <w:rPr>
          <w:rFonts w:cs="Arial"/>
          <w:shd w:val="clear" w:color="auto" w:fill="FFFFFF"/>
          <w:lang w:val="fr-FR"/>
        </w:rPr>
        <w:t>.</w:t>
      </w:r>
    </w:p>
    <w:p w14:paraId="0FACD178" w14:textId="580CC230" w:rsidR="00C2107F" w:rsidRDefault="00C2107F" w:rsidP="00C2107F">
      <w:pPr>
        <w:spacing w:after="0" w:line="240" w:lineRule="auto"/>
        <w:jc w:val="both"/>
        <w:rPr>
          <w:lang w:val="fr-FR"/>
        </w:rPr>
      </w:pPr>
    </w:p>
    <w:p w14:paraId="7FC452B8" w14:textId="77777777" w:rsidR="00AE0B69" w:rsidRDefault="00AE0B69" w:rsidP="00C2107F">
      <w:pPr>
        <w:spacing w:after="0" w:line="240" w:lineRule="auto"/>
        <w:jc w:val="both"/>
        <w:rPr>
          <w:lang w:val="fr-FR"/>
        </w:rPr>
      </w:pPr>
    </w:p>
    <w:p w14:paraId="30074D40" w14:textId="5AC29C75" w:rsidR="00AE0B69" w:rsidRPr="00EA7215" w:rsidRDefault="00AE0B69" w:rsidP="00EA7215">
      <w:pPr>
        <w:spacing w:after="0" w:line="240" w:lineRule="auto"/>
        <w:jc w:val="center"/>
        <w:rPr>
          <w:b/>
          <w:bCs/>
          <w:lang w:val="fr-FR"/>
        </w:rPr>
      </w:pPr>
      <w:r w:rsidRPr="00EA7215">
        <w:rPr>
          <w:b/>
          <w:bCs/>
          <w:lang w:val="fr-FR"/>
        </w:rPr>
        <w:t>PLAN D'ACTION MULTI-ESPÈCES POUR LA CONSERVATION DES OUTARDES D'AFRIQUE, D'EURASIE ET D'AUSTRALIE (</w:t>
      </w:r>
      <w:bookmarkStart w:id="3" w:name="_Hlk212035632"/>
      <w:r w:rsidR="00667E8E" w:rsidRPr="00667E8E">
        <w:rPr>
          <w:rFonts w:cs="Arial"/>
          <w:b/>
          <w:bCs/>
          <w:lang w:val="fr-FR"/>
        </w:rPr>
        <w:t>MsAP Outardes</w:t>
      </w:r>
      <w:bookmarkEnd w:id="3"/>
      <w:r w:rsidRPr="00667E8E">
        <w:rPr>
          <w:b/>
          <w:bCs/>
          <w:lang w:val="fr-FR"/>
        </w:rPr>
        <w:t>)</w:t>
      </w:r>
    </w:p>
    <w:p w14:paraId="232B59E8" w14:textId="77777777" w:rsidR="00AE0B69" w:rsidRPr="00AE0B69" w:rsidRDefault="00AE0B69" w:rsidP="00AE0B69">
      <w:pPr>
        <w:spacing w:after="0" w:line="240" w:lineRule="auto"/>
        <w:jc w:val="both"/>
        <w:rPr>
          <w:lang w:val="fr-FR"/>
        </w:rPr>
      </w:pPr>
    </w:p>
    <w:p w14:paraId="5124E1F6" w14:textId="77777777" w:rsidR="00AE0B69" w:rsidRPr="00AE0B69" w:rsidRDefault="00AE0B69" w:rsidP="00AE0B69">
      <w:pPr>
        <w:spacing w:after="0" w:line="240" w:lineRule="auto"/>
        <w:jc w:val="both"/>
        <w:rPr>
          <w:lang w:val="fr-FR"/>
        </w:rPr>
      </w:pPr>
    </w:p>
    <w:p w14:paraId="0EFD7B8D" w14:textId="0EEAC8C4" w:rsidR="00AE0B69" w:rsidRPr="00624E66" w:rsidRDefault="00744AB6" w:rsidP="00AE0B69">
      <w:pPr>
        <w:spacing w:after="0" w:line="240" w:lineRule="auto"/>
        <w:jc w:val="both"/>
        <w:rPr>
          <w:b/>
          <w:bCs/>
          <w:i/>
          <w:iCs/>
          <w:lang w:val="fr-FR"/>
        </w:rPr>
      </w:pPr>
      <w:r>
        <w:rPr>
          <w:b/>
          <w:bCs/>
          <w:i/>
          <w:iCs/>
          <w:lang w:val="fr-FR"/>
        </w:rPr>
        <w:t>À</w:t>
      </w:r>
      <w:r w:rsidR="00624E66" w:rsidRPr="00624E66">
        <w:rPr>
          <w:b/>
          <w:bCs/>
          <w:i/>
          <w:iCs/>
          <w:lang w:val="fr-FR"/>
        </w:rPr>
        <w:t xml:space="preserve"> l’adresse des </w:t>
      </w:r>
      <w:r w:rsidR="00AE0B69" w:rsidRPr="00624E66">
        <w:rPr>
          <w:b/>
          <w:bCs/>
          <w:i/>
          <w:iCs/>
          <w:lang w:val="fr-FR"/>
        </w:rPr>
        <w:t xml:space="preserve">Parties et </w:t>
      </w:r>
      <w:r w:rsidR="00624E66" w:rsidRPr="00624E66">
        <w:rPr>
          <w:b/>
          <w:bCs/>
          <w:i/>
          <w:iCs/>
          <w:lang w:val="fr-FR"/>
        </w:rPr>
        <w:t>des</w:t>
      </w:r>
      <w:r w:rsidR="00AE0B69" w:rsidRPr="00624E66">
        <w:rPr>
          <w:b/>
          <w:bCs/>
          <w:i/>
          <w:iCs/>
          <w:lang w:val="fr-FR"/>
        </w:rPr>
        <w:t xml:space="preserve"> États de l'aire de répartition non</w:t>
      </w:r>
      <w:r w:rsidR="00624E66" w:rsidRPr="00624E66">
        <w:rPr>
          <w:b/>
          <w:bCs/>
          <w:i/>
          <w:iCs/>
          <w:lang w:val="fr-FR"/>
        </w:rPr>
        <w:t>-</w:t>
      </w:r>
      <w:r w:rsidR="00AE0B69" w:rsidRPr="00624E66">
        <w:rPr>
          <w:b/>
          <w:bCs/>
          <w:i/>
          <w:iCs/>
          <w:lang w:val="fr-FR"/>
        </w:rPr>
        <w:t>Parties</w:t>
      </w:r>
    </w:p>
    <w:p w14:paraId="2D799A41" w14:textId="77777777" w:rsidR="00AE0B69" w:rsidRPr="00AE0B69" w:rsidRDefault="00AE0B69" w:rsidP="00AE0B69">
      <w:pPr>
        <w:spacing w:after="0" w:line="240" w:lineRule="auto"/>
        <w:jc w:val="both"/>
        <w:rPr>
          <w:lang w:val="fr-FR"/>
        </w:rPr>
      </w:pPr>
    </w:p>
    <w:p w14:paraId="2D1F74C6" w14:textId="30B1F6D0" w:rsidR="00AE0B69" w:rsidRPr="00AE0B69" w:rsidRDefault="00AE0B69" w:rsidP="00624E66">
      <w:pPr>
        <w:spacing w:after="0" w:line="240" w:lineRule="auto"/>
        <w:ind w:left="851" w:hanging="851"/>
        <w:jc w:val="both"/>
        <w:rPr>
          <w:lang w:val="fr-FR"/>
        </w:rPr>
      </w:pPr>
      <w:r w:rsidRPr="00AE0B69">
        <w:rPr>
          <w:lang w:val="fr-FR"/>
        </w:rPr>
        <w:t>15.AA</w:t>
      </w:r>
      <w:r w:rsidR="00624E66">
        <w:rPr>
          <w:lang w:val="fr-FR"/>
        </w:rPr>
        <w:tab/>
      </w:r>
      <w:r w:rsidRPr="00AE0B69">
        <w:rPr>
          <w:lang w:val="fr-FR"/>
        </w:rPr>
        <w:t>Les Parties sont invitées et les États de l'aire de répartition non</w:t>
      </w:r>
      <w:r w:rsidR="00624E66">
        <w:rPr>
          <w:lang w:val="fr-FR"/>
        </w:rPr>
        <w:t>-</w:t>
      </w:r>
      <w:r w:rsidRPr="00AE0B69">
        <w:rPr>
          <w:lang w:val="fr-FR"/>
        </w:rPr>
        <w:t>Parties sont encouragés à :</w:t>
      </w:r>
    </w:p>
    <w:p w14:paraId="2ACF9C82" w14:textId="77777777" w:rsidR="00AE0B69" w:rsidRPr="00AE0B69" w:rsidRDefault="00AE0B69" w:rsidP="00AE0B69">
      <w:pPr>
        <w:spacing w:after="0" w:line="240" w:lineRule="auto"/>
        <w:jc w:val="both"/>
        <w:rPr>
          <w:lang w:val="fr-FR"/>
        </w:rPr>
      </w:pPr>
    </w:p>
    <w:p w14:paraId="6EB3E273" w14:textId="604AAC61" w:rsidR="00AE0B69" w:rsidRDefault="00AE0B69" w:rsidP="00154F03">
      <w:pPr>
        <w:spacing w:after="0" w:line="240" w:lineRule="auto"/>
        <w:ind w:left="1418" w:hanging="567"/>
        <w:jc w:val="both"/>
        <w:rPr>
          <w:lang w:val="fr-FR"/>
        </w:rPr>
      </w:pPr>
      <w:r w:rsidRPr="00AE0B69">
        <w:rPr>
          <w:lang w:val="fr-FR"/>
        </w:rPr>
        <w:t>a)</w:t>
      </w:r>
      <w:r w:rsidR="00E06A81">
        <w:rPr>
          <w:lang w:val="fr-FR"/>
        </w:rPr>
        <w:tab/>
      </w:r>
      <w:r w:rsidRPr="00AE0B69">
        <w:rPr>
          <w:lang w:val="fr-FR"/>
        </w:rPr>
        <w:t xml:space="preserve">intégrer le </w:t>
      </w:r>
      <w:r w:rsidR="00667E8E" w:rsidRPr="00667E8E">
        <w:rPr>
          <w:lang w:val="fr-FR"/>
        </w:rPr>
        <w:t>MsAP Outardes</w:t>
      </w:r>
      <w:r w:rsidRPr="00AE0B69">
        <w:rPr>
          <w:lang w:val="fr-FR"/>
        </w:rPr>
        <w:t xml:space="preserve"> dans les législations et stratégies nationales, ainsi que dans les politiques sectorielles concernant la protection de la faune sauvage, la gestion du gibier et l'application des lois connexes, l'agriculture, l'énergie, les transports et l'aménagement du territoire ;</w:t>
      </w:r>
    </w:p>
    <w:p w14:paraId="68272F9E" w14:textId="77777777" w:rsidR="0061498B" w:rsidRDefault="0061498B" w:rsidP="00154F03">
      <w:pPr>
        <w:spacing w:after="0" w:line="240" w:lineRule="auto"/>
        <w:ind w:left="1418" w:hanging="567"/>
        <w:jc w:val="both"/>
        <w:rPr>
          <w:lang w:val="fr-FR"/>
        </w:rPr>
      </w:pPr>
    </w:p>
    <w:p w14:paraId="05B7C80F" w14:textId="07AE087F" w:rsidR="00201A40" w:rsidRPr="00201A40" w:rsidRDefault="00201A40" w:rsidP="00154F03">
      <w:pPr>
        <w:spacing w:after="0" w:line="240" w:lineRule="auto"/>
        <w:ind w:left="1418" w:hanging="567"/>
        <w:jc w:val="both"/>
        <w:rPr>
          <w:lang w:val="fr-FR"/>
        </w:rPr>
      </w:pPr>
      <w:r w:rsidRPr="00201A40">
        <w:rPr>
          <w:lang w:val="fr-FR"/>
        </w:rPr>
        <w:t>b)</w:t>
      </w:r>
      <w:r w:rsidR="0061498B">
        <w:rPr>
          <w:lang w:val="fr-FR"/>
        </w:rPr>
        <w:tab/>
      </w:r>
      <w:r w:rsidRPr="00201A40">
        <w:rPr>
          <w:lang w:val="fr-FR"/>
        </w:rPr>
        <w:t xml:space="preserve">collaborer entre eux et partager les meilleures pratiques pour la mise en œuvre efficace du </w:t>
      </w:r>
      <w:r w:rsidR="005262EF" w:rsidRPr="005262EF">
        <w:rPr>
          <w:lang w:val="fr-FR"/>
        </w:rPr>
        <w:t>MsAP Outardes</w:t>
      </w:r>
      <w:r w:rsidRPr="00201A40">
        <w:rPr>
          <w:lang w:val="fr-FR"/>
        </w:rPr>
        <w:t xml:space="preserve"> ;</w:t>
      </w:r>
    </w:p>
    <w:p w14:paraId="7682A8B5" w14:textId="77777777" w:rsidR="00201A40" w:rsidRPr="00201A40" w:rsidRDefault="00201A40" w:rsidP="00154F03">
      <w:pPr>
        <w:spacing w:after="0" w:line="240" w:lineRule="auto"/>
        <w:ind w:left="1418" w:hanging="567"/>
        <w:jc w:val="both"/>
        <w:rPr>
          <w:lang w:val="fr-FR"/>
        </w:rPr>
      </w:pPr>
    </w:p>
    <w:p w14:paraId="0D8F2FFA" w14:textId="0CC13F88" w:rsidR="00201A40" w:rsidRPr="00201A40" w:rsidRDefault="00201A40" w:rsidP="00154F03">
      <w:pPr>
        <w:spacing w:after="0" w:line="240" w:lineRule="auto"/>
        <w:ind w:left="1418" w:hanging="567"/>
        <w:jc w:val="both"/>
        <w:rPr>
          <w:lang w:val="fr-FR"/>
        </w:rPr>
      </w:pPr>
      <w:r w:rsidRPr="00201A40">
        <w:rPr>
          <w:lang w:val="fr-FR"/>
        </w:rPr>
        <w:t>c)</w:t>
      </w:r>
      <w:r w:rsidR="0061498B">
        <w:rPr>
          <w:lang w:val="fr-FR"/>
        </w:rPr>
        <w:tab/>
      </w:r>
      <w:r w:rsidRPr="00201A40">
        <w:rPr>
          <w:lang w:val="fr-FR"/>
        </w:rPr>
        <w:t>rendre compte des progrès réalisés dans la mise en œuvre de la présente décision et faire rapport au Secrétariat avant la 16e réunion de la Conférence des Parties.</w:t>
      </w:r>
    </w:p>
    <w:p w14:paraId="5BF9CF47" w14:textId="2D1A8A2A" w:rsidR="00201A40" w:rsidRPr="00201A40" w:rsidRDefault="00182194" w:rsidP="00201A40">
      <w:pPr>
        <w:spacing w:after="0" w:line="240" w:lineRule="auto"/>
        <w:jc w:val="both"/>
        <w:rPr>
          <w:lang w:val="fr-FR"/>
        </w:rPr>
      </w:pPr>
      <w:r>
        <w:rPr>
          <w:lang w:val="fr-FR"/>
        </w:rPr>
        <w:br w:type="page"/>
      </w:r>
    </w:p>
    <w:p w14:paraId="5A0CD29F" w14:textId="682E68A6" w:rsidR="00201A40" w:rsidRPr="002E6A7E" w:rsidRDefault="00FB5E05" w:rsidP="00201A40">
      <w:pPr>
        <w:spacing w:after="0" w:line="240" w:lineRule="auto"/>
        <w:jc w:val="both"/>
        <w:rPr>
          <w:b/>
          <w:bCs/>
          <w:i/>
          <w:iCs/>
          <w:lang w:val="fr-FR"/>
        </w:rPr>
      </w:pPr>
      <w:r w:rsidRPr="002E6A7E">
        <w:rPr>
          <w:b/>
          <w:bCs/>
          <w:i/>
          <w:iCs/>
          <w:lang w:val="fr-FR"/>
        </w:rPr>
        <w:lastRenderedPageBreak/>
        <w:t xml:space="preserve">À l’adresse des </w:t>
      </w:r>
      <w:r w:rsidR="00201A40" w:rsidRPr="002E6A7E">
        <w:rPr>
          <w:b/>
          <w:bCs/>
          <w:i/>
          <w:iCs/>
          <w:lang w:val="fr-FR"/>
        </w:rPr>
        <w:t xml:space="preserve">Parties, </w:t>
      </w:r>
      <w:r w:rsidRPr="002E6A7E">
        <w:rPr>
          <w:b/>
          <w:bCs/>
          <w:i/>
          <w:iCs/>
          <w:lang w:val="fr-FR"/>
        </w:rPr>
        <w:t>des</w:t>
      </w:r>
      <w:r w:rsidR="00201A40" w:rsidRPr="002E6A7E">
        <w:rPr>
          <w:b/>
          <w:bCs/>
          <w:i/>
          <w:iCs/>
          <w:lang w:val="fr-FR"/>
        </w:rPr>
        <w:t xml:space="preserve"> États de l'aire de répartition non</w:t>
      </w:r>
      <w:r w:rsidR="00744AB6">
        <w:rPr>
          <w:b/>
          <w:bCs/>
          <w:i/>
          <w:iCs/>
          <w:lang w:val="fr-FR"/>
        </w:rPr>
        <w:t>-</w:t>
      </w:r>
      <w:r w:rsidR="00201A40" w:rsidRPr="002E6A7E">
        <w:rPr>
          <w:b/>
          <w:bCs/>
          <w:i/>
          <w:iCs/>
          <w:lang w:val="fr-FR"/>
        </w:rPr>
        <w:t xml:space="preserve">Parties, </w:t>
      </w:r>
      <w:r w:rsidR="002E6A7E" w:rsidRPr="002E6A7E">
        <w:rPr>
          <w:b/>
          <w:bCs/>
          <w:i/>
          <w:iCs/>
          <w:lang w:val="fr-FR"/>
        </w:rPr>
        <w:t>des</w:t>
      </w:r>
      <w:r w:rsidR="00201A40" w:rsidRPr="002E6A7E">
        <w:rPr>
          <w:b/>
          <w:bCs/>
          <w:i/>
          <w:iCs/>
          <w:lang w:val="fr-FR"/>
        </w:rPr>
        <w:t xml:space="preserve"> organisations intergouvernementales et non gouvernementales</w:t>
      </w:r>
    </w:p>
    <w:p w14:paraId="53D9A36F" w14:textId="77777777" w:rsidR="008E70A5" w:rsidRDefault="008E70A5" w:rsidP="00201A40">
      <w:pPr>
        <w:spacing w:after="0" w:line="240" w:lineRule="auto"/>
        <w:jc w:val="both"/>
        <w:rPr>
          <w:lang w:val="fr-FR"/>
        </w:rPr>
      </w:pPr>
    </w:p>
    <w:p w14:paraId="2C04B83B" w14:textId="7C84D218" w:rsidR="008E70A5" w:rsidRPr="008E70A5" w:rsidRDefault="008E70A5" w:rsidP="002E6A7E">
      <w:pPr>
        <w:spacing w:after="0" w:line="240" w:lineRule="auto"/>
        <w:ind w:left="851" w:hanging="851"/>
        <w:jc w:val="both"/>
        <w:rPr>
          <w:lang w:val="fr-FR"/>
        </w:rPr>
      </w:pPr>
      <w:r w:rsidRPr="008E70A5">
        <w:rPr>
          <w:lang w:val="fr-FR"/>
        </w:rPr>
        <w:t>15.BB</w:t>
      </w:r>
      <w:r w:rsidR="002E6A7E">
        <w:rPr>
          <w:lang w:val="fr-FR"/>
        </w:rPr>
        <w:tab/>
      </w:r>
      <w:r w:rsidRPr="008E70A5">
        <w:rPr>
          <w:lang w:val="fr-FR"/>
        </w:rPr>
        <w:t>Les Parties, les États de l'aire de répartition non</w:t>
      </w:r>
      <w:r w:rsidR="00744AB6">
        <w:rPr>
          <w:lang w:val="fr-FR"/>
        </w:rPr>
        <w:t>-</w:t>
      </w:r>
      <w:r w:rsidRPr="008E70A5">
        <w:rPr>
          <w:lang w:val="fr-FR"/>
        </w:rPr>
        <w:t>Parties, les organisations intergouvernementales et non gouvernementales sont encouragés à :</w:t>
      </w:r>
    </w:p>
    <w:p w14:paraId="4C1C69F4" w14:textId="77777777" w:rsidR="008E70A5" w:rsidRPr="008E70A5" w:rsidRDefault="008E70A5" w:rsidP="008E70A5">
      <w:pPr>
        <w:spacing w:after="0" w:line="240" w:lineRule="auto"/>
        <w:jc w:val="both"/>
        <w:rPr>
          <w:lang w:val="fr-FR"/>
        </w:rPr>
      </w:pPr>
    </w:p>
    <w:p w14:paraId="79198A28" w14:textId="723C37FF" w:rsidR="008E70A5" w:rsidRPr="008E70A5" w:rsidRDefault="008E70A5" w:rsidP="00857572">
      <w:pPr>
        <w:spacing w:after="0" w:line="240" w:lineRule="auto"/>
        <w:ind w:left="1418" w:hanging="567"/>
        <w:jc w:val="both"/>
        <w:rPr>
          <w:lang w:val="fr-FR"/>
        </w:rPr>
      </w:pPr>
      <w:r w:rsidRPr="008E70A5">
        <w:rPr>
          <w:lang w:val="fr-FR"/>
        </w:rPr>
        <w:t>a)</w:t>
      </w:r>
      <w:r w:rsidR="00857572">
        <w:rPr>
          <w:lang w:val="fr-FR"/>
        </w:rPr>
        <w:tab/>
      </w:r>
      <w:r w:rsidRPr="008E70A5">
        <w:rPr>
          <w:lang w:val="fr-FR"/>
        </w:rPr>
        <w:t>mettre en œuvre des actions prioritaires, notamment la protection et la gestion des habitats, la prévention des collisions, la réduction des prélèvements illégaux et non durables et la prédation par des prédateurs subventionnés ;</w:t>
      </w:r>
    </w:p>
    <w:p w14:paraId="63D61C89" w14:textId="77777777" w:rsidR="008E70A5" w:rsidRPr="008E70A5" w:rsidRDefault="008E70A5" w:rsidP="00857572">
      <w:pPr>
        <w:spacing w:after="0" w:line="240" w:lineRule="auto"/>
        <w:ind w:left="1418" w:hanging="567"/>
        <w:jc w:val="both"/>
        <w:rPr>
          <w:lang w:val="fr-FR"/>
        </w:rPr>
      </w:pPr>
    </w:p>
    <w:p w14:paraId="2811A54A" w14:textId="24BCBF2B" w:rsidR="008E70A5" w:rsidRPr="008E70A5" w:rsidRDefault="008E70A5" w:rsidP="00857572">
      <w:pPr>
        <w:spacing w:after="0" w:line="240" w:lineRule="auto"/>
        <w:ind w:left="1418" w:hanging="567"/>
        <w:jc w:val="both"/>
        <w:rPr>
          <w:lang w:val="fr-FR"/>
        </w:rPr>
      </w:pPr>
      <w:r w:rsidRPr="008E70A5">
        <w:rPr>
          <w:lang w:val="fr-FR"/>
        </w:rPr>
        <w:t>b)</w:t>
      </w:r>
      <w:r w:rsidR="00857572">
        <w:rPr>
          <w:lang w:val="fr-FR"/>
        </w:rPr>
        <w:tab/>
      </w:r>
      <w:r w:rsidRPr="008E70A5">
        <w:rPr>
          <w:lang w:val="fr-FR"/>
        </w:rPr>
        <w:t>renforcer la recherche, la surveillance et la sensibilisation ;</w:t>
      </w:r>
    </w:p>
    <w:p w14:paraId="47FEC27A" w14:textId="77777777" w:rsidR="008E70A5" w:rsidRPr="008E70A5" w:rsidRDefault="008E70A5" w:rsidP="00857572">
      <w:pPr>
        <w:spacing w:after="0" w:line="240" w:lineRule="auto"/>
        <w:ind w:left="1418" w:hanging="567"/>
        <w:jc w:val="both"/>
        <w:rPr>
          <w:lang w:val="fr-FR"/>
        </w:rPr>
      </w:pPr>
    </w:p>
    <w:p w14:paraId="13779DD0" w14:textId="3547ACE2" w:rsidR="008E70A5" w:rsidRPr="008E70A5" w:rsidRDefault="008E70A5" w:rsidP="00857572">
      <w:pPr>
        <w:spacing w:after="0" w:line="240" w:lineRule="auto"/>
        <w:ind w:left="1418" w:hanging="567"/>
        <w:jc w:val="both"/>
        <w:rPr>
          <w:lang w:val="fr-FR"/>
        </w:rPr>
      </w:pPr>
      <w:r w:rsidRPr="008E70A5">
        <w:rPr>
          <w:lang w:val="fr-FR"/>
        </w:rPr>
        <w:t>c)</w:t>
      </w:r>
      <w:r w:rsidR="00857572">
        <w:rPr>
          <w:lang w:val="fr-FR"/>
        </w:rPr>
        <w:tab/>
      </w:r>
      <w:r w:rsidRPr="008E70A5">
        <w:rPr>
          <w:lang w:val="fr-FR"/>
        </w:rPr>
        <w:t xml:space="preserve">fournir un soutien financier et technique à la mise en œuvre et à l'évaluation de la mise en œuvre du </w:t>
      </w:r>
      <w:r w:rsidR="005262EF" w:rsidRPr="005262EF">
        <w:rPr>
          <w:lang w:val="fr-FR"/>
        </w:rPr>
        <w:t>MsAP Outardes</w:t>
      </w:r>
      <w:r w:rsidRPr="008E70A5">
        <w:rPr>
          <w:lang w:val="fr-FR"/>
        </w:rPr>
        <w:t>, notamment en ce qui concerne les activités prévues dans les décisions 15.AA et 15.BB ;</w:t>
      </w:r>
    </w:p>
    <w:p w14:paraId="6EEDDFB8" w14:textId="77777777" w:rsidR="008E70A5" w:rsidRPr="008E70A5" w:rsidRDefault="008E70A5" w:rsidP="00744AB6">
      <w:pPr>
        <w:spacing w:after="0" w:line="240" w:lineRule="auto"/>
        <w:jc w:val="both"/>
        <w:rPr>
          <w:lang w:val="fr-FR"/>
        </w:rPr>
      </w:pPr>
    </w:p>
    <w:p w14:paraId="36AC87A9" w14:textId="77777777" w:rsidR="008E70A5" w:rsidRPr="008E70A5" w:rsidRDefault="008E70A5" w:rsidP="008E70A5">
      <w:pPr>
        <w:spacing w:after="0" w:line="240" w:lineRule="auto"/>
        <w:jc w:val="both"/>
        <w:rPr>
          <w:lang w:val="fr-FR"/>
        </w:rPr>
      </w:pPr>
    </w:p>
    <w:p w14:paraId="13DD34F1" w14:textId="1370838B" w:rsidR="008E70A5" w:rsidRPr="00744AB6" w:rsidRDefault="00744AB6" w:rsidP="008E70A5">
      <w:pPr>
        <w:spacing w:after="0" w:line="240" w:lineRule="auto"/>
        <w:jc w:val="both"/>
        <w:rPr>
          <w:b/>
          <w:bCs/>
          <w:i/>
          <w:iCs/>
          <w:lang w:val="fr-FR"/>
        </w:rPr>
      </w:pPr>
      <w:r w:rsidRPr="00744AB6">
        <w:rPr>
          <w:b/>
          <w:bCs/>
          <w:i/>
          <w:iCs/>
          <w:lang w:val="fr-FR"/>
        </w:rPr>
        <w:t>À l’adresse du</w:t>
      </w:r>
      <w:r w:rsidR="008E70A5" w:rsidRPr="00744AB6">
        <w:rPr>
          <w:b/>
          <w:bCs/>
          <w:i/>
          <w:iCs/>
          <w:lang w:val="fr-FR"/>
        </w:rPr>
        <w:t xml:space="preserve"> Conseil scientifique </w:t>
      </w:r>
    </w:p>
    <w:p w14:paraId="2844AD29" w14:textId="77777777" w:rsidR="008E70A5" w:rsidRPr="008E70A5" w:rsidRDefault="008E70A5" w:rsidP="008E70A5">
      <w:pPr>
        <w:spacing w:after="0" w:line="240" w:lineRule="auto"/>
        <w:jc w:val="both"/>
        <w:rPr>
          <w:lang w:val="fr-FR"/>
        </w:rPr>
      </w:pPr>
    </w:p>
    <w:p w14:paraId="6DB3CCCB" w14:textId="1851B16F" w:rsidR="008E70A5" w:rsidRPr="008E70A5" w:rsidRDefault="008E70A5" w:rsidP="00744AB6">
      <w:pPr>
        <w:spacing w:after="0" w:line="240" w:lineRule="auto"/>
        <w:ind w:left="851" w:hanging="851"/>
        <w:jc w:val="both"/>
        <w:rPr>
          <w:lang w:val="fr-FR"/>
        </w:rPr>
      </w:pPr>
      <w:r w:rsidRPr="008E70A5">
        <w:rPr>
          <w:lang w:val="fr-FR"/>
        </w:rPr>
        <w:t>15.CC</w:t>
      </w:r>
      <w:r w:rsidR="00744AB6">
        <w:rPr>
          <w:lang w:val="fr-FR"/>
        </w:rPr>
        <w:tab/>
      </w:r>
      <w:r w:rsidRPr="008E70A5">
        <w:rPr>
          <w:lang w:val="fr-FR"/>
        </w:rPr>
        <w:t xml:space="preserve">Le Conseil scientifique est </w:t>
      </w:r>
      <w:r w:rsidR="00744AB6">
        <w:rPr>
          <w:lang w:val="fr-FR"/>
        </w:rPr>
        <w:t>prié</w:t>
      </w:r>
      <w:r w:rsidRPr="008E70A5">
        <w:rPr>
          <w:lang w:val="fr-FR"/>
        </w:rPr>
        <w:t xml:space="preserve"> :</w:t>
      </w:r>
    </w:p>
    <w:p w14:paraId="25C46BDA" w14:textId="77777777" w:rsidR="008E70A5" w:rsidRPr="008E70A5" w:rsidRDefault="008E70A5" w:rsidP="008E70A5">
      <w:pPr>
        <w:spacing w:after="0" w:line="240" w:lineRule="auto"/>
        <w:jc w:val="both"/>
        <w:rPr>
          <w:lang w:val="fr-FR"/>
        </w:rPr>
      </w:pPr>
    </w:p>
    <w:p w14:paraId="75C7FFA9" w14:textId="5085FF1D" w:rsidR="008E70A5" w:rsidRDefault="008E70A5" w:rsidP="00E6203B">
      <w:pPr>
        <w:spacing w:after="0" w:line="240" w:lineRule="auto"/>
        <w:ind w:left="1418" w:hanging="567"/>
        <w:jc w:val="both"/>
        <w:rPr>
          <w:lang w:val="fr-FR"/>
        </w:rPr>
      </w:pPr>
      <w:r w:rsidRPr="008E70A5">
        <w:rPr>
          <w:lang w:val="fr-FR"/>
        </w:rPr>
        <w:t>a)</w:t>
      </w:r>
      <w:r w:rsidR="00E6203B">
        <w:rPr>
          <w:lang w:val="fr-FR"/>
        </w:rPr>
        <w:tab/>
        <w:t>d’</w:t>
      </w:r>
      <w:r w:rsidRPr="008E70A5">
        <w:rPr>
          <w:lang w:val="fr-FR"/>
        </w:rPr>
        <w:t>examiner le contenu scientifique des rapports d</w:t>
      </w:r>
      <w:r w:rsidR="00E6203B">
        <w:rPr>
          <w:lang w:val="fr-FR"/>
        </w:rPr>
        <w:t>es progrès</w:t>
      </w:r>
      <w:r w:rsidRPr="008E70A5">
        <w:rPr>
          <w:lang w:val="fr-FR"/>
        </w:rPr>
        <w:t xml:space="preserve"> soumis par les États de l'aire de répartition, sous réserve de la disponibilité des ressources.</w:t>
      </w:r>
    </w:p>
    <w:p w14:paraId="2072286C" w14:textId="77777777" w:rsidR="00FE60BF" w:rsidRDefault="00FE60BF" w:rsidP="00FE60BF">
      <w:pPr>
        <w:spacing w:after="0" w:line="240" w:lineRule="auto"/>
        <w:jc w:val="both"/>
        <w:rPr>
          <w:lang w:val="fr-FR"/>
        </w:rPr>
      </w:pPr>
    </w:p>
    <w:p w14:paraId="4A1836A4" w14:textId="77777777" w:rsidR="00ED35EA" w:rsidRPr="00FE60BF" w:rsidRDefault="00ED35EA" w:rsidP="00FE60BF">
      <w:pPr>
        <w:spacing w:after="0" w:line="240" w:lineRule="auto"/>
        <w:jc w:val="both"/>
        <w:rPr>
          <w:lang w:val="fr-FR"/>
        </w:rPr>
      </w:pPr>
    </w:p>
    <w:p w14:paraId="56856949" w14:textId="48E929B9" w:rsidR="00FE60BF" w:rsidRPr="00E60D77" w:rsidRDefault="00E60D77" w:rsidP="00FE60BF">
      <w:pPr>
        <w:spacing w:after="0" w:line="240" w:lineRule="auto"/>
        <w:jc w:val="both"/>
        <w:rPr>
          <w:b/>
          <w:bCs/>
          <w:i/>
          <w:iCs/>
          <w:lang w:val="fr-FR"/>
        </w:rPr>
      </w:pPr>
      <w:r w:rsidRPr="00E60D77">
        <w:rPr>
          <w:b/>
          <w:bCs/>
          <w:i/>
          <w:iCs/>
          <w:lang w:val="fr-FR"/>
        </w:rPr>
        <w:t xml:space="preserve">À l’adresse du </w:t>
      </w:r>
      <w:r w:rsidR="00FE60BF" w:rsidRPr="00E60D77">
        <w:rPr>
          <w:b/>
          <w:bCs/>
          <w:i/>
          <w:iCs/>
          <w:lang w:val="fr-FR"/>
        </w:rPr>
        <w:t>Secrétariat</w:t>
      </w:r>
    </w:p>
    <w:p w14:paraId="5724FC3F" w14:textId="77777777" w:rsidR="00FE60BF" w:rsidRPr="00FE60BF" w:rsidRDefault="00FE60BF" w:rsidP="00FE60BF">
      <w:pPr>
        <w:spacing w:after="0" w:line="240" w:lineRule="auto"/>
        <w:jc w:val="both"/>
        <w:rPr>
          <w:lang w:val="fr-FR"/>
        </w:rPr>
      </w:pPr>
    </w:p>
    <w:p w14:paraId="40EDD7DA" w14:textId="60894612" w:rsidR="00FE60BF" w:rsidRPr="00FE60BF" w:rsidRDefault="00FE60BF" w:rsidP="00E60D77">
      <w:pPr>
        <w:spacing w:after="0" w:line="240" w:lineRule="auto"/>
        <w:ind w:left="851" w:hanging="851"/>
        <w:jc w:val="both"/>
        <w:rPr>
          <w:lang w:val="fr-FR"/>
        </w:rPr>
      </w:pPr>
      <w:r w:rsidRPr="00FE60BF">
        <w:rPr>
          <w:lang w:val="fr-FR"/>
        </w:rPr>
        <w:t>15.DD</w:t>
      </w:r>
      <w:r w:rsidR="00E60D77">
        <w:rPr>
          <w:lang w:val="fr-FR"/>
        </w:rPr>
        <w:tab/>
      </w:r>
      <w:r w:rsidRPr="00FE60BF">
        <w:rPr>
          <w:lang w:val="fr-FR"/>
        </w:rPr>
        <w:t>Sous réserve de la disponibilité de ressources externes, le Secrétariat</w:t>
      </w:r>
      <w:r w:rsidR="001C4F50">
        <w:rPr>
          <w:lang w:val="fr-FR"/>
        </w:rPr>
        <w:t xml:space="preserve"> est prié</w:t>
      </w:r>
      <w:r w:rsidRPr="00FE60BF">
        <w:rPr>
          <w:lang w:val="fr-FR"/>
        </w:rPr>
        <w:t xml:space="preserve"> :</w:t>
      </w:r>
    </w:p>
    <w:p w14:paraId="7F7E8D4C" w14:textId="77777777" w:rsidR="00FE60BF" w:rsidRPr="00FE60BF" w:rsidRDefault="00FE60BF" w:rsidP="00FE60BF">
      <w:pPr>
        <w:spacing w:after="0" w:line="240" w:lineRule="auto"/>
        <w:jc w:val="both"/>
        <w:rPr>
          <w:lang w:val="fr-FR"/>
        </w:rPr>
      </w:pPr>
    </w:p>
    <w:p w14:paraId="34FFAB46" w14:textId="62929FAB" w:rsidR="00FE60BF" w:rsidRPr="00FE60BF" w:rsidRDefault="00FE60BF" w:rsidP="00E60D77">
      <w:pPr>
        <w:spacing w:after="0" w:line="240" w:lineRule="auto"/>
        <w:ind w:left="1418" w:hanging="567"/>
        <w:jc w:val="both"/>
        <w:rPr>
          <w:lang w:val="fr-FR"/>
        </w:rPr>
      </w:pPr>
      <w:r w:rsidRPr="00FE60BF">
        <w:rPr>
          <w:lang w:val="fr-FR"/>
        </w:rPr>
        <w:t>a)</w:t>
      </w:r>
      <w:r w:rsidR="00E60D77">
        <w:rPr>
          <w:lang w:val="fr-FR"/>
        </w:rPr>
        <w:tab/>
      </w:r>
      <w:r w:rsidR="001C4F50">
        <w:rPr>
          <w:lang w:val="fr-FR"/>
        </w:rPr>
        <w:t>d’</w:t>
      </w:r>
      <w:r w:rsidRPr="00FE60BF">
        <w:rPr>
          <w:lang w:val="fr-FR"/>
        </w:rPr>
        <w:t>appu</w:t>
      </w:r>
      <w:r w:rsidR="001C4F50">
        <w:rPr>
          <w:lang w:val="fr-FR"/>
        </w:rPr>
        <w:t>yer</w:t>
      </w:r>
      <w:r w:rsidRPr="00FE60BF">
        <w:rPr>
          <w:lang w:val="fr-FR"/>
        </w:rPr>
        <w:t xml:space="preserve"> la création d'une unité de coordination chargée de la mise en œuvre du </w:t>
      </w:r>
      <w:r w:rsidR="005262EF" w:rsidRPr="005262EF">
        <w:rPr>
          <w:lang w:val="fr-FR"/>
        </w:rPr>
        <w:t>MsAP Outardes</w:t>
      </w:r>
      <w:r w:rsidRPr="00FE60BF">
        <w:rPr>
          <w:lang w:val="fr-FR"/>
        </w:rPr>
        <w:t xml:space="preserve"> ; </w:t>
      </w:r>
    </w:p>
    <w:p w14:paraId="4F5A7046" w14:textId="77777777" w:rsidR="00FE60BF" w:rsidRPr="00FE60BF" w:rsidRDefault="00FE60BF" w:rsidP="00E60D77">
      <w:pPr>
        <w:spacing w:after="0" w:line="240" w:lineRule="auto"/>
        <w:ind w:left="1418" w:hanging="567"/>
        <w:jc w:val="both"/>
        <w:rPr>
          <w:lang w:val="fr-FR"/>
        </w:rPr>
      </w:pPr>
    </w:p>
    <w:p w14:paraId="5B921115" w14:textId="4F0DC6BD" w:rsidR="00FE60BF" w:rsidRPr="00FE60BF" w:rsidRDefault="00FE60BF" w:rsidP="00E60D77">
      <w:pPr>
        <w:spacing w:after="0" w:line="240" w:lineRule="auto"/>
        <w:ind w:left="1418" w:hanging="567"/>
        <w:jc w:val="both"/>
        <w:rPr>
          <w:lang w:val="fr-FR"/>
        </w:rPr>
      </w:pPr>
      <w:r w:rsidRPr="00FE60BF">
        <w:rPr>
          <w:lang w:val="fr-FR"/>
        </w:rPr>
        <w:t>b)</w:t>
      </w:r>
      <w:r w:rsidR="00E60D77">
        <w:rPr>
          <w:lang w:val="fr-FR"/>
        </w:rPr>
        <w:tab/>
      </w:r>
      <w:r w:rsidRPr="00FE60BF">
        <w:rPr>
          <w:lang w:val="fr-FR"/>
        </w:rPr>
        <w:t xml:space="preserve">soutenir la coordination de la mise en œuvre du </w:t>
      </w:r>
      <w:r w:rsidR="000F2B73">
        <w:rPr>
          <w:lang w:val="fr-FR"/>
        </w:rPr>
        <w:t>MAPE Outardes</w:t>
      </w:r>
      <w:r w:rsidR="000F2B73" w:rsidRPr="00FE60BF">
        <w:rPr>
          <w:lang w:val="fr-FR"/>
        </w:rPr>
        <w:t xml:space="preserve"> </w:t>
      </w:r>
      <w:r w:rsidRPr="00FE60BF">
        <w:rPr>
          <w:lang w:val="fr-FR"/>
        </w:rPr>
        <w:t>dans le cadre d'autres instruments et activités pertinents de la CMS, tels que le Plan d'action pour les oiseaux terrestres migrateurs d'Afrique-Eurasie (AEMLAP) et le Groupe de travail sur l'énergie (ETF) ;</w:t>
      </w:r>
    </w:p>
    <w:p w14:paraId="0DA642CD" w14:textId="77777777" w:rsidR="00FE60BF" w:rsidRPr="00FE60BF" w:rsidRDefault="00FE60BF" w:rsidP="00E60D77">
      <w:pPr>
        <w:spacing w:after="0" w:line="240" w:lineRule="auto"/>
        <w:ind w:left="1418" w:hanging="567"/>
        <w:jc w:val="both"/>
        <w:rPr>
          <w:lang w:val="fr-FR"/>
        </w:rPr>
      </w:pPr>
    </w:p>
    <w:p w14:paraId="3E5D62BA" w14:textId="65F2BD58" w:rsidR="00FE60BF" w:rsidRPr="00FE60BF" w:rsidRDefault="00FE60BF" w:rsidP="00E60D77">
      <w:pPr>
        <w:spacing w:after="0" w:line="240" w:lineRule="auto"/>
        <w:ind w:left="1418" w:hanging="567"/>
        <w:jc w:val="both"/>
        <w:rPr>
          <w:lang w:val="fr-FR"/>
        </w:rPr>
      </w:pPr>
      <w:r w:rsidRPr="00FE60BF">
        <w:rPr>
          <w:lang w:val="fr-FR"/>
        </w:rPr>
        <w:t>c)</w:t>
      </w:r>
      <w:r w:rsidR="00E60D77">
        <w:rPr>
          <w:lang w:val="fr-FR"/>
        </w:rPr>
        <w:tab/>
      </w:r>
      <w:r w:rsidRPr="00FE60BF">
        <w:rPr>
          <w:lang w:val="fr-FR"/>
        </w:rPr>
        <w:t>renforcer la coopération avec les AME pertinentes, notamment la CITES et la CDB, et d'autres organisations pertinentes, telles que BirdLife International, l'UICN et la FAO ;</w:t>
      </w:r>
    </w:p>
    <w:p w14:paraId="1FA15283" w14:textId="77777777" w:rsidR="00FE60BF" w:rsidRPr="00FE60BF" w:rsidRDefault="00FE60BF" w:rsidP="00E60D77">
      <w:pPr>
        <w:spacing w:after="0" w:line="240" w:lineRule="auto"/>
        <w:ind w:left="1418" w:hanging="567"/>
        <w:jc w:val="both"/>
        <w:rPr>
          <w:lang w:val="fr-FR"/>
        </w:rPr>
      </w:pPr>
    </w:p>
    <w:p w14:paraId="0AE7365F" w14:textId="0AB9F1C1" w:rsidR="00FE60BF" w:rsidRPr="00FE60BF" w:rsidRDefault="00FE60BF" w:rsidP="00E60D77">
      <w:pPr>
        <w:spacing w:after="0" w:line="240" w:lineRule="auto"/>
        <w:ind w:left="1418" w:hanging="567"/>
        <w:jc w:val="both"/>
        <w:rPr>
          <w:lang w:val="fr-FR"/>
        </w:rPr>
      </w:pPr>
      <w:r w:rsidRPr="00FE60BF">
        <w:rPr>
          <w:lang w:val="fr-FR"/>
        </w:rPr>
        <w:t>d)</w:t>
      </w:r>
      <w:r w:rsidR="00E60D77">
        <w:rPr>
          <w:lang w:val="fr-FR"/>
        </w:rPr>
        <w:tab/>
      </w:r>
      <w:r w:rsidRPr="00FE60BF">
        <w:rPr>
          <w:lang w:val="fr-FR"/>
        </w:rPr>
        <w:t xml:space="preserve">aider à l'élaboration et à la diffusion de matériel de renforcement des capacités, ainsi que d'un modèle de rapport d'étape sur le </w:t>
      </w:r>
      <w:r w:rsidR="00ED35EA" w:rsidRPr="00ED35EA">
        <w:rPr>
          <w:lang w:val="fr-FR"/>
        </w:rPr>
        <w:t>MsAP Outardes</w:t>
      </w:r>
      <w:r w:rsidRPr="00FE60BF">
        <w:rPr>
          <w:lang w:val="fr-FR"/>
        </w:rPr>
        <w:t xml:space="preserve"> et les décisions 15.AA et 15.BB ;</w:t>
      </w:r>
    </w:p>
    <w:p w14:paraId="631D98A0" w14:textId="77777777" w:rsidR="00FE60BF" w:rsidRPr="00FE60BF" w:rsidRDefault="00FE60BF" w:rsidP="00E60D77">
      <w:pPr>
        <w:spacing w:after="0" w:line="240" w:lineRule="auto"/>
        <w:ind w:left="1418" w:hanging="567"/>
        <w:jc w:val="both"/>
        <w:rPr>
          <w:lang w:val="fr-FR"/>
        </w:rPr>
      </w:pPr>
    </w:p>
    <w:p w14:paraId="635B8883" w14:textId="75730AD7" w:rsidR="00FE60BF" w:rsidRPr="00C2107F" w:rsidRDefault="00FE60BF" w:rsidP="00E60D77">
      <w:pPr>
        <w:spacing w:after="0" w:line="240" w:lineRule="auto"/>
        <w:ind w:left="1418" w:hanging="567"/>
        <w:jc w:val="both"/>
        <w:rPr>
          <w:lang w:val="fr-FR"/>
        </w:rPr>
      </w:pPr>
      <w:r w:rsidRPr="00FE60BF">
        <w:rPr>
          <w:lang w:val="fr-FR"/>
        </w:rPr>
        <w:t>e)</w:t>
      </w:r>
      <w:r w:rsidR="00E60D77">
        <w:rPr>
          <w:lang w:val="fr-FR"/>
        </w:rPr>
        <w:tab/>
      </w:r>
      <w:r w:rsidRPr="00FE60BF">
        <w:rPr>
          <w:lang w:val="fr-FR"/>
        </w:rPr>
        <w:t xml:space="preserve">inclure la conservation des outardes dans les activités de communication et de relations publiques afin de sensibiliser le public et de soutenir la mise en œuvre du </w:t>
      </w:r>
      <w:r w:rsidR="00ED35EA" w:rsidRPr="00ED35EA">
        <w:rPr>
          <w:lang w:val="fr-FR"/>
        </w:rPr>
        <w:t>MsAP Outardes</w:t>
      </w:r>
      <w:r w:rsidRPr="00FE60BF">
        <w:rPr>
          <w:lang w:val="fr-FR"/>
        </w:rPr>
        <w:t>.</w:t>
      </w:r>
    </w:p>
    <w:sectPr w:rsidR="00FE60BF" w:rsidRPr="00C2107F" w:rsidSect="007C0105">
      <w:headerReference w:type="default" r:id="rId46"/>
      <w:headerReference w:type="first" r:id="rId47"/>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A119" w14:textId="77777777" w:rsidR="007116FF" w:rsidRDefault="007116FF" w:rsidP="00EC2A58">
      <w:pPr>
        <w:spacing w:after="0" w:line="240" w:lineRule="auto"/>
      </w:pPr>
      <w:r>
        <w:separator/>
      </w:r>
    </w:p>
  </w:endnote>
  <w:endnote w:type="continuationSeparator" w:id="0">
    <w:p w14:paraId="0FB38AFA" w14:textId="77777777" w:rsidR="007116FF" w:rsidRDefault="007116FF"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1BB9439A" w:rsidR="00EC2A58" w:rsidRPr="00EC2A58" w:rsidRDefault="00EC2A58" w:rsidP="006B21D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54D4" w14:textId="77777777" w:rsidR="00ED35EA" w:rsidRDefault="00ED3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40858381"/>
      <w:docPartObj>
        <w:docPartGallery w:val="Page Numbers (Bottom of Page)"/>
        <w:docPartUnique/>
      </w:docPartObj>
    </w:sdtPr>
    <w:sdtEndPr>
      <w:rPr>
        <w:noProof/>
      </w:rPr>
    </w:sdtEndPr>
    <w:sdtContent>
      <w:p w14:paraId="77B927A5" w14:textId="1C003BE8" w:rsidR="006B21D6" w:rsidRPr="006B21D6" w:rsidRDefault="006B21D6" w:rsidP="006B21D6">
        <w:pPr>
          <w:pStyle w:val="Footer"/>
          <w:jc w:val="center"/>
          <w:rPr>
            <w:sz w:val="18"/>
            <w:szCs w:val="18"/>
          </w:rPr>
        </w:pPr>
        <w:r w:rsidRPr="006B21D6">
          <w:rPr>
            <w:sz w:val="18"/>
            <w:szCs w:val="18"/>
          </w:rPr>
          <w:fldChar w:fldCharType="begin"/>
        </w:r>
        <w:r w:rsidRPr="006B21D6">
          <w:rPr>
            <w:sz w:val="18"/>
            <w:szCs w:val="18"/>
          </w:rPr>
          <w:instrText xml:space="preserve"> PAGE   \* MERGEFORMAT </w:instrText>
        </w:r>
        <w:r w:rsidRPr="006B21D6">
          <w:rPr>
            <w:sz w:val="18"/>
            <w:szCs w:val="18"/>
          </w:rPr>
          <w:fldChar w:fldCharType="separate"/>
        </w:r>
        <w:r w:rsidRPr="006B21D6">
          <w:rPr>
            <w:noProof/>
            <w:sz w:val="18"/>
            <w:szCs w:val="18"/>
          </w:rPr>
          <w:t>2</w:t>
        </w:r>
        <w:r w:rsidRPr="006B21D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768F" w14:textId="77777777" w:rsidR="007116FF" w:rsidRDefault="007116FF" w:rsidP="00EC2A58">
      <w:pPr>
        <w:spacing w:after="0" w:line="240" w:lineRule="auto"/>
      </w:pPr>
      <w:r>
        <w:separator/>
      </w:r>
    </w:p>
  </w:footnote>
  <w:footnote w:type="continuationSeparator" w:id="0">
    <w:p w14:paraId="4177F6ED" w14:textId="77777777" w:rsidR="007116FF" w:rsidRDefault="007116FF" w:rsidP="00EC2A58">
      <w:pPr>
        <w:spacing w:after="0" w:line="240" w:lineRule="auto"/>
      </w:pPr>
      <w:r>
        <w:continuationSeparator/>
      </w:r>
    </w:p>
  </w:footnote>
  <w:footnote w:id="1">
    <w:p w14:paraId="1D39747B" w14:textId="77777777" w:rsidR="008D7FE6" w:rsidRPr="005724BE" w:rsidRDefault="008D7FE6" w:rsidP="00764AD7">
      <w:pPr>
        <w:pStyle w:val="FootnoteText"/>
        <w:jc w:val="both"/>
        <w:rPr>
          <w:rFonts w:cs="Arial"/>
          <w:i/>
          <w:sz w:val="16"/>
          <w:szCs w:val="16"/>
          <w:lang w:val="fr-FR"/>
        </w:rPr>
      </w:pPr>
      <w:r>
        <w:rPr>
          <w:rStyle w:val="FootnoteReference"/>
          <w:sz w:val="16"/>
          <w:szCs w:val="16"/>
          <w:lang w:val="fr-FR"/>
        </w:rPr>
        <w:footnoteRef/>
      </w:r>
      <w:r>
        <w:rPr>
          <w:sz w:val="16"/>
          <w:szCs w:val="16"/>
          <w:lang w:val="fr-FR"/>
        </w:rPr>
        <w:t xml:space="preserve"> </w:t>
      </w:r>
      <w:r>
        <w:rPr>
          <w:rFonts w:cs="Arial"/>
          <w:iCs/>
          <w:sz w:val="16"/>
          <w:szCs w:val="16"/>
          <w:lang w:val="fr-FR"/>
        </w:rPr>
        <w:t xml:space="preserve">Adopté par la Résolution 12.12 (Rev.COP13) </w:t>
      </w:r>
      <w:r>
        <w:rPr>
          <w:rFonts w:cs="Arial"/>
          <w:i/>
          <w:sz w:val="16"/>
          <w:szCs w:val="16"/>
          <w:lang w:val="fr-FR"/>
        </w:rPr>
        <w:t>Plans d'action pour les oiseaux.</w:t>
      </w:r>
    </w:p>
  </w:footnote>
  <w:footnote w:id="2">
    <w:p w14:paraId="40365E96" w14:textId="77777777" w:rsidR="008D7FE6" w:rsidRPr="005724BE" w:rsidRDefault="008D7FE6" w:rsidP="00764AD7">
      <w:pPr>
        <w:pStyle w:val="FootnoteText"/>
        <w:jc w:val="both"/>
        <w:rPr>
          <w:sz w:val="16"/>
          <w:szCs w:val="16"/>
          <w:lang w:val="fr-FR"/>
        </w:rPr>
      </w:pPr>
      <w:r>
        <w:rPr>
          <w:rStyle w:val="FootnoteReference"/>
          <w:sz w:val="16"/>
          <w:szCs w:val="16"/>
          <w:lang w:val="fr-FR"/>
        </w:rPr>
        <w:footnoteRef/>
      </w:r>
      <w:r>
        <w:rPr>
          <w:sz w:val="16"/>
          <w:szCs w:val="16"/>
          <w:lang w:val="fr-FR"/>
        </w:rPr>
        <w:t xml:space="preserve"> </w:t>
      </w:r>
      <w:r>
        <w:rPr>
          <w:iCs/>
          <w:sz w:val="16"/>
          <w:szCs w:val="16"/>
          <w:lang w:val="fr-FR"/>
        </w:rPr>
        <w:t>Adopté par la 48</w:t>
      </w:r>
      <w:r>
        <w:rPr>
          <w:iCs/>
          <w:sz w:val="16"/>
          <w:szCs w:val="16"/>
          <w:vertAlign w:val="superscript"/>
          <w:lang w:val="fr-FR"/>
        </w:rPr>
        <w:t>e</w:t>
      </w:r>
      <w:r>
        <w:rPr>
          <w:iCs/>
          <w:sz w:val="16"/>
          <w:szCs w:val="16"/>
          <w:lang w:val="fr-FR"/>
        </w:rPr>
        <w:t xml:space="preserve"> réunion du Comité permanent conformément à la Décision 12.21.</w:t>
      </w:r>
    </w:p>
  </w:footnote>
  <w:footnote w:id="3">
    <w:p w14:paraId="00D77A69" w14:textId="77777777" w:rsidR="008D7FE6" w:rsidRPr="005724BE" w:rsidRDefault="008D7FE6" w:rsidP="00BB75B0">
      <w:pPr>
        <w:spacing w:after="0" w:line="240" w:lineRule="auto"/>
        <w:jc w:val="both"/>
        <w:rPr>
          <w:sz w:val="16"/>
          <w:szCs w:val="16"/>
          <w:lang w:val="fr-FR"/>
        </w:rPr>
      </w:pPr>
      <w:r>
        <w:rPr>
          <w:rStyle w:val="FootnoteReference"/>
          <w:sz w:val="16"/>
          <w:szCs w:val="16"/>
          <w:lang w:val="fr-FR"/>
        </w:rPr>
        <w:footnoteRef/>
      </w:r>
      <w:r>
        <w:rPr>
          <w:sz w:val="16"/>
          <w:szCs w:val="16"/>
          <w:lang w:val="fr-FR"/>
        </w:rPr>
        <w:t xml:space="preserve"> Courlis de Sibérie (</w:t>
      </w:r>
      <w:hyperlink r:id="rId1" w:history="1">
        <w:r>
          <w:rPr>
            <w:rStyle w:val="Hyperlink"/>
            <w:sz w:val="16"/>
            <w:szCs w:val="16"/>
            <w:lang w:val="fr-FR"/>
          </w:rPr>
          <w:t>UNEP/CMS/COP12/Doc.24.1.7</w:t>
        </w:r>
      </w:hyperlink>
      <w:r>
        <w:rPr>
          <w:sz w:val="16"/>
          <w:szCs w:val="16"/>
          <w:lang w:val="fr-FR"/>
        </w:rPr>
        <w:t>), Le Fuligule de Baer (</w:t>
      </w:r>
      <w:hyperlink r:id="rId2" w:history="1">
        <w:r>
          <w:rPr>
            <w:rStyle w:val="Hyperlink"/>
            <w:sz w:val="16"/>
            <w:szCs w:val="16"/>
            <w:lang w:val="fr-FR"/>
          </w:rPr>
          <w:t>UNEP/CMS/COP12/Doc.24.1.8</w:t>
        </w:r>
      </w:hyperlink>
      <w:r>
        <w:rPr>
          <w:sz w:val="16"/>
          <w:szCs w:val="16"/>
          <w:lang w:val="fr-FR"/>
        </w:rPr>
        <w:t>) ; Rollier d'Europe (</w:t>
      </w:r>
      <w:hyperlink r:id="rId3" w:history="1">
        <w:r>
          <w:rPr>
            <w:rStyle w:val="Hyperlink"/>
            <w:sz w:val="16"/>
            <w:szCs w:val="16"/>
            <w:lang w:val="fr-FR"/>
          </w:rPr>
          <w:t>UNEP/CMS/COP12/Doc.24.1.9</w:t>
        </w:r>
      </w:hyperlink>
      <w:r>
        <w:rPr>
          <w:sz w:val="16"/>
          <w:szCs w:val="16"/>
          <w:lang w:val="fr-FR"/>
        </w:rPr>
        <w:t>).</w:t>
      </w:r>
      <w:r>
        <w:rPr>
          <w:rFonts w:cs="Arial"/>
          <w:sz w:val="16"/>
          <w:szCs w:val="16"/>
          <w:lang w:val="fr-FR"/>
        </w:rPr>
        <w:t xml:space="preserve"> </w:t>
      </w:r>
    </w:p>
  </w:footnote>
  <w:footnote w:id="4">
    <w:p w14:paraId="657FC06B" w14:textId="77777777" w:rsidR="008D7FE6" w:rsidRPr="005724BE" w:rsidRDefault="008D7FE6" w:rsidP="00764AD7">
      <w:pPr>
        <w:pStyle w:val="FootnoteText"/>
        <w:jc w:val="both"/>
        <w:rPr>
          <w:sz w:val="16"/>
          <w:szCs w:val="16"/>
          <w:lang w:val="fr-FR"/>
        </w:rPr>
      </w:pPr>
      <w:r>
        <w:rPr>
          <w:rStyle w:val="FootnoteReference"/>
          <w:sz w:val="16"/>
          <w:szCs w:val="16"/>
          <w:lang w:val="fr-FR"/>
        </w:rPr>
        <w:footnoteRef/>
      </w:r>
      <w:r>
        <w:rPr>
          <w:sz w:val="16"/>
          <w:szCs w:val="16"/>
          <w:lang w:val="fr-FR"/>
        </w:rPr>
        <w:t xml:space="preserve"> Conformément au mandat de la 12</w:t>
      </w:r>
      <w:r>
        <w:rPr>
          <w:sz w:val="16"/>
          <w:szCs w:val="16"/>
          <w:vertAlign w:val="superscript"/>
          <w:lang w:val="fr-FR"/>
        </w:rPr>
        <w:t>d</w:t>
      </w:r>
      <w:r>
        <w:rPr>
          <w:sz w:val="16"/>
          <w:szCs w:val="16"/>
          <w:lang w:val="fr-FR"/>
        </w:rPr>
        <w:t xml:space="preserve"> session de la Conférence des Parties, la COP reconnaît également l'adoption des Plans d'action par la 48e session du Comité permanent : </w:t>
      </w:r>
      <w:hyperlink r:id="rId4" w:history="1">
        <w:r>
          <w:rPr>
            <w:rStyle w:val="Hyperlink"/>
            <w:sz w:val="16"/>
            <w:szCs w:val="16"/>
            <w:lang w:val="fr-FR"/>
          </w:rPr>
          <w:t xml:space="preserve">UNEP/CMS/StC48/Doc.18 </w:t>
        </w:r>
      </w:hyperlink>
      <w:r>
        <w:rPr>
          <w:sz w:val="16"/>
          <w:szCs w:val="16"/>
          <w:lang w:val="fr-FR"/>
        </w:rPr>
        <w:t xml:space="preserve"> </w:t>
      </w:r>
      <w:r>
        <w:rPr>
          <w:i/>
          <w:iCs/>
          <w:sz w:val="16"/>
          <w:szCs w:val="16"/>
          <w:lang w:val="fr-FR"/>
        </w:rPr>
        <w:t xml:space="preserve"> Adoption des plans d'action pour les espèces d'oiseaux </w:t>
      </w:r>
      <w:r>
        <w:rPr>
          <w:sz w:val="16"/>
          <w:szCs w:val="16"/>
          <w:lang w:val="fr-FR"/>
        </w:rPr>
        <w:t>; y compris les plans d'action pour l'Érismature à tête blanche (</w:t>
      </w:r>
      <w:hyperlink r:id="rId5" w:history="1">
        <w:r>
          <w:rPr>
            <w:rStyle w:val="Hyperlink"/>
            <w:sz w:val="16"/>
            <w:szCs w:val="16"/>
            <w:lang w:val="fr-FR"/>
          </w:rPr>
          <w:t>UNEP/CMS/StC48/Doc.18/Annex 1</w:t>
        </w:r>
      </w:hyperlink>
      <w:r>
        <w:rPr>
          <w:sz w:val="16"/>
          <w:szCs w:val="16"/>
          <w:lang w:val="fr-FR"/>
        </w:rPr>
        <w:t>), la Tourterelle des bois (</w:t>
      </w:r>
      <w:hyperlink r:id="rId6" w:history="1">
        <w:r>
          <w:rPr>
            <w:rStyle w:val="Hyperlink"/>
            <w:sz w:val="16"/>
            <w:szCs w:val="16"/>
            <w:lang w:val="fr-FR"/>
          </w:rPr>
          <w:t>UNEP/CMS/StC48/Doc.18/Annex 2/Rev.1</w:t>
        </w:r>
      </w:hyperlink>
      <w:r>
        <w:rPr>
          <w:sz w:val="16"/>
          <w:szCs w:val="16"/>
          <w:lang w:val="fr-FR"/>
        </w:rPr>
        <w:t>) et le Pélican frisé (</w:t>
      </w:r>
      <w:hyperlink r:id="rId7" w:history="1">
        <w:r>
          <w:rPr>
            <w:rStyle w:val="Hyperlink"/>
            <w:sz w:val="16"/>
            <w:szCs w:val="16"/>
            <w:lang w:val="fr-FR"/>
          </w:rPr>
          <w:t>UNEP/CMS/StC48/Doc.18/Annex 3</w:t>
        </w:r>
      </w:hyperlink>
      <w:r>
        <w:rPr>
          <w:sz w:val="16"/>
          <w:szCs w:val="16"/>
          <w:lang w:val="fr-FR"/>
        </w:rPr>
        <w:t>).</w:t>
      </w:r>
    </w:p>
  </w:footnote>
  <w:footnote w:id="5">
    <w:p w14:paraId="2FE820A5" w14:textId="77777777" w:rsidR="00482E73" w:rsidRDefault="00482E73" w:rsidP="00482E73">
      <w:pPr>
        <w:pStyle w:val="FootnoteText"/>
        <w:rPr>
          <w:rFonts w:cs="Arial"/>
          <w:sz w:val="16"/>
          <w:szCs w:val="16"/>
          <w:lang w:val="fr-FR"/>
        </w:rPr>
      </w:pPr>
      <w:r>
        <w:rPr>
          <w:rStyle w:val="FootnoteReference"/>
          <w:rFonts w:cs="Arial"/>
          <w:sz w:val="16"/>
          <w:szCs w:val="16"/>
          <w:lang w:val="fr-FR"/>
        </w:rPr>
        <w:footnoteRef/>
      </w:r>
      <w:r>
        <w:rPr>
          <w:rFonts w:cs="Arial"/>
          <w:sz w:val="16"/>
          <w:szCs w:val="16"/>
          <w:vertAlign w:val="superscript"/>
          <w:lang w:val="fr-FR"/>
        </w:rPr>
        <w:t xml:space="preserve"> </w:t>
      </w:r>
      <w:r>
        <w:rPr>
          <w:rFonts w:cs="Arial"/>
          <w:sz w:val="16"/>
          <w:szCs w:val="16"/>
          <w:lang w:val="fr-FR"/>
        </w:rPr>
        <w:t>Une ONG grecque œuvrant à la protection de l'environnement, des espèces sauvages et du paysage de la région des lacs de Prespa.</w:t>
      </w:r>
    </w:p>
  </w:footnote>
  <w:footnote w:id="6">
    <w:p w14:paraId="0B8EE44F" w14:textId="77777777" w:rsidR="00FA6621" w:rsidRPr="004D3F43" w:rsidRDefault="00FA6621" w:rsidP="00FA6621">
      <w:pPr>
        <w:pStyle w:val="FootnoteText"/>
        <w:jc w:val="both"/>
        <w:rPr>
          <w:sz w:val="16"/>
          <w:lang w:val="fr-FR"/>
        </w:rPr>
      </w:pPr>
      <w:r w:rsidRPr="00DE5232">
        <w:rPr>
          <w:rStyle w:val="FootnoteReference"/>
          <w:sz w:val="16"/>
        </w:rPr>
        <w:footnoteRef/>
      </w:r>
      <w:r w:rsidRPr="0094413B">
        <w:rPr>
          <w:sz w:val="16"/>
          <w:lang w:val="fr-FR"/>
        </w:rPr>
        <w:t xml:space="preserve"> </w:t>
      </w:r>
      <w:r w:rsidRPr="000D0783">
        <w:rPr>
          <w:sz w:val="16"/>
          <w:lang w:val="fr-FR"/>
        </w:rPr>
        <w:t>L</w:t>
      </w:r>
      <w:r w:rsidRPr="0094413B">
        <w:rPr>
          <w:sz w:val="16"/>
          <w:lang w:val="fr-FR"/>
        </w:rPr>
        <w:t xml:space="preserve">a </w:t>
      </w:r>
      <w:r>
        <w:rPr>
          <w:sz w:val="16"/>
          <w:lang w:val="fr-FR"/>
        </w:rPr>
        <w:t>résolution</w:t>
      </w:r>
      <w:r w:rsidRPr="0094413B">
        <w:rPr>
          <w:sz w:val="16"/>
          <w:lang w:val="fr-FR"/>
        </w:rPr>
        <w:t xml:space="preserve"> </w:t>
      </w:r>
      <w:r>
        <w:rPr>
          <w:sz w:val="16"/>
          <w:lang w:val="fr-FR"/>
        </w:rPr>
        <w:t>a été abrogée et intégrée à la résolution </w:t>
      </w:r>
      <w:r w:rsidRPr="0094413B">
        <w:rPr>
          <w:sz w:val="16"/>
          <w:lang w:val="fr-FR"/>
        </w:rPr>
        <w:t>12.11</w:t>
      </w:r>
      <w:r>
        <w:rPr>
          <w:sz w:val="16"/>
          <w:lang w:val="fr-FR"/>
        </w:rPr>
        <w:t xml:space="preserve">, </w:t>
      </w:r>
      <w:r w:rsidRPr="00611FAC">
        <w:rPr>
          <w:i/>
          <w:iCs/>
          <w:sz w:val="16"/>
          <w:lang w:val="fr-FR"/>
        </w:rPr>
        <w:t>Voies</w:t>
      </w:r>
      <w:r w:rsidRPr="0094413B">
        <w:rPr>
          <w:i/>
          <w:iCs/>
          <w:sz w:val="16"/>
          <w:lang w:val="fr-FR"/>
        </w:rPr>
        <w:t xml:space="preserve"> de migration</w:t>
      </w:r>
      <w:r w:rsidRPr="004D3F43">
        <w:rPr>
          <w:sz w:val="16"/>
          <w:lang w:val="fr-FR"/>
        </w:rPr>
        <w:t xml:space="preserve">, </w:t>
      </w:r>
      <w:r>
        <w:rPr>
          <w:sz w:val="16"/>
          <w:lang w:val="fr-FR"/>
        </w:rPr>
        <w:t>laquelle</w:t>
      </w:r>
      <w:r w:rsidRPr="004D3F43">
        <w:rPr>
          <w:sz w:val="16"/>
          <w:lang w:val="fr-FR"/>
        </w:rPr>
        <w:t xml:space="preserve"> a été </w:t>
      </w:r>
      <w:r>
        <w:rPr>
          <w:sz w:val="16"/>
          <w:lang w:val="fr-FR"/>
        </w:rPr>
        <w:t>amendée</w:t>
      </w:r>
      <w:r w:rsidRPr="004D3F43">
        <w:rPr>
          <w:sz w:val="16"/>
          <w:lang w:val="fr-FR"/>
        </w:rPr>
        <w:t xml:space="preserve"> à la COP1</w:t>
      </w:r>
      <w:r>
        <w:rPr>
          <w:sz w:val="16"/>
          <w:lang w:val="fr-FR"/>
        </w:rPr>
        <w:t>4.</w:t>
      </w:r>
    </w:p>
  </w:footnote>
  <w:footnote w:id="7">
    <w:p w14:paraId="03D95BC8" w14:textId="77777777" w:rsidR="00FA6621" w:rsidRPr="004D3F43" w:rsidRDefault="00FA6621" w:rsidP="00FA6621">
      <w:pPr>
        <w:pStyle w:val="FootnoteText"/>
        <w:jc w:val="both"/>
        <w:rPr>
          <w:rFonts w:cs="Arial"/>
          <w:sz w:val="16"/>
          <w:szCs w:val="16"/>
          <w:lang w:val="fr-FR"/>
        </w:rPr>
      </w:pPr>
      <w:r w:rsidRPr="00ED6B05">
        <w:rPr>
          <w:rStyle w:val="FootnoteReference"/>
          <w:rFonts w:cs="Arial"/>
          <w:sz w:val="16"/>
          <w:szCs w:val="16"/>
        </w:rPr>
        <w:footnoteRef/>
      </w:r>
      <w:r w:rsidRPr="004D3F43">
        <w:rPr>
          <w:rFonts w:cs="Arial"/>
          <w:sz w:val="16"/>
          <w:szCs w:val="16"/>
          <w:lang w:val="fr-FR"/>
        </w:rPr>
        <w:t xml:space="preserve"> </w:t>
      </w:r>
      <w:r w:rsidRPr="00611FAC">
        <w:rPr>
          <w:rFonts w:cs="Arial"/>
          <w:sz w:val="16"/>
          <w:szCs w:val="16"/>
          <w:lang w:val="fr-FR"/>
        </w:rPr>
        <w:t xml:space="preserve">La </w:t>
      </w:r>
      <w:r>
        <w:rPr>
          <w:rFonts w:cs="Arial"/>
          <w:sz w:val="16"/>
          <w:szCs w:val="16"/>
          <w:lang w:val="fr-FR"/>
        </w:rPr>
        <w:t>résolution</w:t>
      </w:r>
      <w:r w:rsidRPr="00611FAC">
        <w:rPr>
          <w:rFonts w:cs="Arial"/>
          <w:sz w:val="16"/>
          <w:szCs w:val="16"/>
          <w:lang w:val="fr-FR"/>
        </w:rPr>
        <w:t xml:space="preserve"> a été </w:t>
      </w:r>
      <w:r>
        <w:rPr>
          <w:rFonts w:cs="Arial"/>
          <w:sz w:val="16"/>
          <w:szCs w:val="16"/>
          <w:lang w:val="fr-FR"/>
        </w:rPr>
        <w:t>amendée</w:t>
      </w:r>
      <w:r w:rsidRPr="00611FAC">
        <w:rPr>
          <w:rFonts w:cs="Arial"/>
          <w:sz w:val="16"/>
          <w:szCs w:val="16"/>
          <w:lang w:val="fr-FR"/>
        </w:rPr>
        <w:t xml:space="preserve"> par la COP1</w:t>
      </w:r>
      <w:r>
        <w:rPr>
          <w:rFonts w:cs="Arial"/>
          <w:sz w:val="16"/>
          <w:szCs w:val="16"/>
          <w:lang w:val="fr-FR"/>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4DCD20C" w:rsidR="00EC2A58" w:rsidRPr="00482E73"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8D7FE6" w:rsidRPr="00482E73">
      <w:rPr>
        <w:rFonts w:eastAsia="Arial" w:cs="Arial"/>
        <w:i/>
        <w:sz w:val="18"/>
        <w:szCs w:val="18"/>
        <w:lang w:val="fr-FR"/>
      </w:rPr>
      <w:t>26.4.1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760284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764AD7">
      <w:rPr>
        <w:rFonts w:eastAsia="Arial" w:cs="Arial"/>
        <w:i/>
        <w:sz w:val="18"/>
        <w:szCs w:val="18"/>
        <w:lang w:val="fr-FR"/>
      </w:rPr>
      <w:t>UNEP/CMS/COP</w:t>
    </w:r>
    <w:r w:rsidR="00BA33FE" w:rsidRPr="00764AD7">
      <w:rPr>
        <w:rFonts w:eastAsia="Arial" w:cs="Arial"/>
        <w:i/>
        <w:sz w:val="18"/>
        <w:szCs w:val="18"/>
        <w:lang w:val="fr-FR"/>
      </w:rPr>
      <w:t>1</w:t>
    </w:r>
    <w:r w:rsidR="00A95195" w:rsidRPr="00764AD7">
      <w:rPr>
        <w:rFonts w:eastAsia="Arial" w:cs="Arial"/>
        <w:i/>
        <w:sz w:val="18"/>
        <w:szCs w:val="18"/>
        <w:lang w:val="fr-FR"/>
      </w:rPr>
      <w:t>5</w:t>
    </w:r>
    <w:r w:rsidRPr="00764AD7">
      <w:rPr>
        <w:rFonts w:eastAsia="Arial" w:cs="Arial"/>
        <w:i/>
        <w:sz w:val="18"/>
        <w:szCs w:val="18"/>
        <w:lang w:val="fr-FR"/>
      </w:rPr>
      <w:t>/Doc.</w:t>
    </w:r>
    <w:r w:rsidR="00764AD7" w:rsidRPr="00764AD7">
      <w:rPr>
        <w:rFonts w:eastAsia="Arial" w:cs="Arial"/>
        <w:i/>
        <w:sz w:val="18"/>
        <w:szCs w:val="18"/>
        <w:lang w:val="fr-FR"/>
      </w:rPr>
      <w:t>26.4.1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F2E5" w14:textId="45CBBBF2" w:rsidR="00B242F5" w:rsidRPr="00482E73" w:rsidRDefault="00B242F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sidRPr="00482E73">
      <w:rPr>
        <w:rFonts w:eastAsia="Arial" w:cs="Arial"/>
        <w:i/>
        <w:sz w:val="18"/>
        <w:szCs w:val="18"/>
        <w:lang w:val="fr-FR"/>
      </w:rPr>
      <w:t>26.4.1</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2CCB" w14:textId="77777777" w:rsidR="000F2768" w:rsidRPr="008429ED" w:rsidRDefault="000F2768" w:rsidP="000F276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8429ED">
      <w:rPr>
        <w:rFonts w:eastAsia="Arial" w:cs="Arial"/>
        <w:i/>
        <w:sz w:val="18"/>
        <w:szCs w:val="18"/>
        <w:lang w:val="en-GB"/>
      </w:rPr>
      <w:t>UNEP/CMS/COP15/Doc.</w:t>
    </w:r>
    <w:r w:rsidRPr="006B21D6">
      <w:rPr>
        <w:rFonts w:eastAsia="Arial" w:cs="Arial"/>
        <w:i/>
        <w:sz w:val="18"/>
        <w:szCs w:val="18"/>
        <w:lang w:val="en-GB"/>
      </w:rPr>
      <w:t>26.4.1</w:t>
    </w:r>
    <w:r w:rsidRPr="008429ED">
      <w:rPr>
        <w:rFonts w:eastAsia="Arial" w:cs="Arial"/>
        <w:i/>
        <w:sz w:val="18"/>
        <w:szCs w:val="18"/>
        <w:lang w:val="en-GB"/>
      </w:rPr>
      <w:t>/Annexe 1</w:t>
    </w:r>
  </w:p>
  <w:p w14:paraId="369B0531" w14:textId="7EE116F8" w:rsidR="000F2768" w:rsidRPr="000F2768" w:rsidRDefault="000F2768" w:rsidP="000F27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2854" w14:textId="619788EC" w:rsidR="00932E3F" w:rsidRPr="008429ED" w:rsidRDefault="00932E3F" w:rsidP="002F3FA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8429ED">
      <w:rPr>
        <w:rFonts w:eastAsia="Arial" w:cs="Arial"/>
        <w:i/>
        <w:sz w:val="18"/>
        <w:szCs w:val="18"/>
        <w:lang w:val="en-GB"/>
      </w:rPr>
      <w:t>UNEP/CMS/COP15/Doc.</w:t>
    </w:r>
    <w:r w:rsidR="008429ED" w:rsidRPr="00947923">
      <w:rPr>
        <w:rFonts w:eastAsia="Arial" w:cs="Arial"/>
        <w:i/>
        <w:sz w:val="18"/>
        <w:szCs w:val="18"/>
        <w:lang w:val="en-GB"/>
      </w:rPr>
      <w:t>26.4.1</w:t>
    </w:r>
    <w:r w:rsidR="008429ED" w:rsidRPr="008429ED">
      <w:rPr>
        <w:rFonts w:eastAsia="Arial" w:cs="Arial"/>
        <w:i/>
        <w:sz w:val="18"/>
        <w:szCs w:val="18"/>
        <w:lang w:val="en-GB"/>
      </w:rPr>
      <w:t>/Annexe 1</w:t>
    </w:r>
  </w:p>
  <w:p w14:paraId="11D6FAF8" w14:textId="77777777" w:rsidR="00932E3F" w:rsidRDefault="00932E3F" w:rsidP="00932E3F">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D5AD" w14:textId="68A22A97" w:rsidR="00ED35EA" w:rsidRPr="008429ED" w:rsidRDefault="00ED35EA" w:rsidP="000F276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8429ED">
      <w:rPr>
        <w:rFonts w:eastAsia="Arial" w:cs="Arial"/>
        <w:i/>
        <w:sz w:val="18"/>
        <w:szCs w:val="18"/>
        <w:lang w:val="en-GB"/>
      </w:rPr>
      <w:t>UNEP/CMS/COP15/Doc.</w:t>
    </w:r>
    <w:r w:rsidRPr="006B21D6">
      <w:rPr>
        <w:rFonts w:eastAsia="Arial" w:cs="Arial"/>
        <w:i/>
        <w:sz w:val="18"/>
        <w:szCs w:val="18"/>
        <w:lang w:val="en-GB"/>
      </w:rPr>
      <w:t>26.4.1</w:t>
    </w:r>
    <w:r w:rsidRPr="008429ED">
      <w:rPr>
        <w:rFonts w:eastAsia="Arial" w:cs="Arial"/>
        <w:i/>
        <w:sz w:val="18"/>
        <w:szCs w:val="18"/>
        <w:lang w:val="en-GB"/>
      </w:rPr>
      <w:t xml:space="preserve">/Annexe </w:t>
    </w:r>
    <w:r>
      <w:rPr>
        <w:rFonts w:eastAsia="Arial" w:cs="Arial"/>
        <w:i/>
        <w:sz w:val="18"/>
        <w:szCs w:val="18"/>
        <w:lang w:val="en-GB"/>
      </w:rPr>
      <w:t>2</w:t>
    </w:r>
  </w:p>
  <w:p w14:paraId="60CB1EFE" w14:textId="77777777" w:rsidR="00ED35EA" w:rsidRPr="000F2768" w:rsidRDefault="00ED35EA" w:rsidP="000F27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CEAF" w14:textId="03BBC5BE" w:rsidR="00C2107F" w:rsidRPr="00C2107F" w:rsidRDefault="00C2107F" w:rsidP="00C9351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8429ED">
      <w:rPr>
        <w:rFonts w:eastAsia="Arial" w:cs="Arial"/>
        <w:i/>
        <w:sz w:val="18"/>
        <w:szCs w:val="18"/>
        <w:lang w:val="en-GB"/>
      </w:rPr>
      <w:t>UNEP/CMS/COP15/Doc.</w:t>
    </w:r>
    <w:r w:rsidRPr="006B21D6">
      <w:rPr>
        <w:rFonts w:eastAsia="Arial" w:cs="Arial"/>
        <w:i/>
        <w:sz w:val="18"/>
        <w:szCs w:val="18"/>
        <w:lang w:val="en-GB"/>
      </w:rPr>
      <w:t>26.4.1</w:t>
    </w:r>
    <w:r w:rsidRPr="008429ED">
      <w:rPr>
        <w:rFonts w:eastAsia="Arial" w:cs="Arial"/>
        <w:i/>
        <w:sz w:val="18"/>
        <w:szCs w:val="18"/>
        <w:lang w:val="en-GB"/>
      </w:rPr>
      <w:t xml:space="preserve">/Annexe </w:t>
    </w:r>
    <w:r>
      <w:rPr>
        <w:rFonts w:eastAsia="Arial" w:cs="Arial"/>
        <w:i/>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835A92F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271E7C"/>
    <w:multiLevelType w:val="hybridMultilevel"/>
    <w:tmpl w:val="81B8E9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4D7FC7"/>
    <w:multiLevelType w:val="hybridMultilevel"/>
    <w:tmpl w:val="56882616"/>
    <w:lvl w:ilvl="0" w:tplc="304418D8">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5C16A7"/>
    <w:multiLevelType w:val="hybridMultilevel"/>
    <w:tmpl w:val="7F5A2A42"/>
    <w:lvl w:ilvl="0" w:tplc="040C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4" w15:restartNumberingAfterBreak="0">
    <w:nsid w:val="23CB662A"/>
    <w:multiLevelType w:val="hybridMultilevel"/>
    <w:tmpl w:val="5E9E319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2D1C3663"/>
    <w:multiLevelType w:val="hybridMultilevel"/>
    <w:tmpl w:val="492CA75E"/>
    <w:lvl w:ilvl="0" w:tplc="94AC0786">
      <w:start w:val="1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7525B26"/>
    <w:multiLevelType w:val="hybridMultilevel"/>
    <w:tmpl w:val="F0B63F6A"/>
    <w:lvl w:ilvl="0" w:tplc="C9CC3D16">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10E3C"/>
    <w:multiLevelType w:val="hybridMultilevel"/>
    <w:tmpl w:val="B46AED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11" w15:restartNumberingAfterBreak="0">
    <w:nsid w:val="7C620FED"/>
    <w:multiLevelType w:val="hybridMultilevel"/>
    <w:tmpl w:val="72C429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7"/>
  </w:num>
  <w:num w:numId="2" w16cid:durableId="2069456706">
    <w:abstractNumId w:val="0"/>
  </w:num>
  <w:num w:numId="3" w16cid:durableId="1970352434">
    <w:abstractNumId w:val="10"/>
  </w:num>
  <w:num w:numId="4" w16cid:durableId="1438939851">
    <w:abstractNumId w:val="4"/>
  </w:num>
  <w:num w:numId="5" w16cid:durableId="1204903561">
    <w:abstractNumId w:val="11"/>
  </w:num>
  <w:num w:numId="6" w16cid:durableId="473303143">
    <w:abstractNumId w:val="3"/>
  </w:num>
  <w:num w:numId="7" w16cid:durableId="263000630">
    <w:abstractNumId w:val="9"/>
  </w:num>
  <w:num w:numId="8" w16cid:durableId="450250863">
    <w:abstractNumId w:val="8"/>
  </w:num>
  <w:num w:numId="9" w16cid:durableId="467671397">
    <w:abstractNumId w:val="2"/>
  </w:num>
  <w:num w:numId="10" w16cid:durableId="547763016">
    <w:abstractNumId w:val="6"/>
  </w:num>
  <w:num w:numId="11" w16cid:durableId="1970285247">
    <w:abstractNumId w:val="1"/>
  </w:num>
  <w:num w:numId="12" w16cid:durableId="2075351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426FF"/>
    <w:rsid w:val="00055A12"/>
    <w:rsid w:val="000A47AC"/>
    <w:rsid w:val="000D2642"/>
    <w:rsid w:val="000F2768"/>
    <w:rsid w:val="000F2B73"/>
    <w:rsid w:val="00154F03"/>
    <w:rsid w:val="00166945"/>
    <w:rsid w:val="00182194"/>
    <w:rsid w:val="001B0881"/>
    <w:rsid w:val="001C4F50"/>
    <w:rsid w:val="001E76DF"/>
    <w:rsid w:val="00201A40"/>
    <w:rsid w:val="00215880"/>
    <w:rsid w:val="0025169A"/>
    <w:rsid w:val="002C5A05"/>
    <w:rsid w:val="002E20D4"/>
    <w:rsid w:val="002E3F50"/>
    <w:rsid w:val="002E6A7E"/>
    <w:rsid w:val="002F3FA6"/>
    <w:rsid w:val="002F5A89"/>
    <w:rsid w:val="00320799"/>
    <w:rsid w:val="00373A43"/>
    <w:rsid w:val="003831DB"/>
    <w:rsid w:val="00390AED"/>
    <w:rsid w:val="003A7CB0"/>
    <w:rsid w:val="003E6307"/>
    <w:rsid w:val="004465FF"/>
    <w:rsid w:val="00466578"/>
    <w:rsid w:val="004731E6"/>
    <w:rsid w:val="00475593"/>
    <w:rsid w:val="00482E73"/>
    <w:rsid w:val="004971B4"/>
    <w:rsid w:val="004A0C71"/>
    <w:rsid w:val="004A5CC0"/>
    <w:rsid w:val="004B0663"/>
    <w:rsid w:val="004B1112"/>
    <w:rsid w:val="004D3A43"/>
    <w:rsid w:val="004E234B"/>
    <w:rsid w:val="005019C0"/>
    <w:rsid w:val="005262EF"/>
    <w:rsid w:val="005330F7"/>
    <w:rsid w:val="00545E35"/>
    <w:rsid w:val="00562C31"/>
    <w:rsid w:val="00563598"/>
    <w:rsid w:val="00571DBE"/>
    <w:rsid w:val="005A1704"/>
    <w:rsid w:val="005B4047"/>
    <w:rsid w:val="005C17A9"/>
    <w:rsid w:val="005C21C1"/>
    <w:rsid w:val="005D1E01"/>
    <w:rsid w:val="0061498B"/>
    <w:rsid w:val="00624E66"/>
    <w:rsid w:val="00667E8E"/>
    <w:rsid w:val="006A442A"/>
    <w:rsid w:val="006B0D91"/>
    <w:rsid w:val="006B21D6"/>
    <w:rsid w:val="006B4B0D"/>
    <w:rsid w:val="006C3445"/>
    <w:rsid w:val="006D4261"/>
    <w:rsid w:val="007116FF"/>
    <w:rsid w:val="0071181A"/>
    <w:rsid w:val="00716885"/>
    <w:rsid w:val="00726940"/>
    <w:rsid w:val="00744AB6"/>
    <w:rsid w:val="00756572"/>
    <w:rsid w:val="00764AD7"/>
    <w:rsid w:val="007C0105"/>
    <w:rsid w:val="007C73EF"/>
    <w:rsid w:val="007E3A7A"/>
    <w:rsid w:val="00802728"/>
    <w:rsid w:val="0082040F"/>
    <w:rsid w:val="00833D03"/>
    <w:rsid w:val="008429ED"/>
    <w:rsid w:val="00847F94"/>
    <w:rsid w:val="00857572"/>
    <w:rsid w:val="00870459"/>
    <w:rsid w:val="00871276"/>
    <w:rsid w:val="00890BB6"/>
    <w:rsid w:val="00896FBB"/>
    <w:rsid w:val="008C345C"/>
    <w:rsid w:val="008D7FE6"/>
    <w:rsid w:val="008E4140"/>
    <w:rsid w:val="008E55E9"/>
    <w:rsid w:val="008E70A5"/>
    <w:rsid w:val="0090047A"/>
    <w:rsid w:val="00932E3F"/>
    <w:rsid w:val="00933C17"/>
    <w:rsid w:val="00947923"/>
    <w:rsid w:val="009517C9"/>
    <w:rsid w:val="00957E7E"/>
    <w:rsid w:val="00967070"/>
    <w:rsid w:val="00981584"/>
    <w:rsid w:val="009A4E85"/>
    <w:rsid w:val="009D0DC1"/>
    <w:rsid w:val="009E254E"/>
    <w:rsid w:val="00A31328"/>
    <w:rsid w:val="00A720B5"/>
    <w:rsid w:val="00A8521C"/>
    <w:rsid w:val="00A95195"/>
    <w:rsid w:val="00AD4481"/>
    <w:rsid w:val="00AE0B69"/>
    <w:rsid w:val="00AE41BF"/>
    <w:rsid w:val="00B242F5"/>
    <w:rsid w:val="00B261FB"/>
    <w:rsid w:val="00B26825"/>
    <w:rsid w:val="00B53FD4"/>
    <w:rsid w:val="00B84FF2"/>
    <w:rsid w:val="00BA33FE"/>
    <w:rsid w:val="00BB75B0"/>
    <w:rsid w:val="00BF1CF0"/>
    <w:rsid w:val="00BF544A"/>
    <w:rsid w:val="00C2107F"/>
    <w:rsid w:val="00C57932"/>
    <w:rsid w:val="00C7547E"/>
    <w:rsid w:val="00C93516"/>
    <w:rsid w:val="00CB2AFC"/>
    <w:rsid w:val="00CB4AC9"/>
    <w:rsid w:val="00CC142E"/>
    <w:rsid w:val="00CD07D1"/>
    <w:rsid w:val="00CE34A0"/>
    <w:rsid w:val="00D6117C"/>
    <w:rsid w:val="00D9464D"/>
    <w:rsid w:val="00DA12FB"/>
    <w:rsid w:val="00DC59F4"/>
    <w:rsid w:val="00DD42AE"/>
    <w:rsid w:val="00DD44B5"/>
    <w:rsid w:val="00E02725"/>
    <w:rsid w:val="00E06A81"/>
    <w:rsid w:val="00E216AE"/>
    <w:rsid w:val="00E30B62"/>
    <w:rsid w:val="00E3797F"/>
    <w:rsid w:val="00E552EB"/>
    <w:rsid w:val="00E60D77"/>
    <w:rsid w:val="00E6203B"/>
    <w:rsid w:val="00E62DE2"/>
    <w:rsid w:val="00E65072"/>
    <w:rsid w:val="00E76528"/>
    <w:rsid w:val="00E8392D"/>
    <w:rsid w:val="00EA7215"/>
    <w:rsid w:val="00EC2A58"/>
    <w:rsid w:val="00ED35EA"/>
    <w:rsid w:val="00EE166A"/>
    <w:rsid w:val="00F22C5B"/>
    <w:rsid w:val="00F56B8D"/>
    <w:rsid w:val="00F57985"/>
    <w:rsid w:val="00F65EC5"/>
    <w:rsid w:val="00F935F6"/>
    <w:rsid w:val="00FA6621"/>
    <w:rsid w:val="00FB5E05"/>
    <w:rsid w:val="00FC05E3"/>
    <w:rsid w:val="00FC4F18"/>
    <w:rsid w:val="00FE3E5B"/>
    <w:rsid w:val="00FE60BF"/>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rsid w:val="008D7FE6"/>
  </w:style>
  <w:style w:type="character" w:styleId="Hyperlink">
    <w:name w:val="Hyperlink"/>
    <w:basedOn w:val="DefaultParagraphFont"/>
    <w:uiPriority w:val="99"/>
    <w:unhideWhenUsed/>
    <w:rsid w:val="008D7FE6"/>
    <w:rPr>
      <w:color w:val="0563C1" w:themeColor="hyperlink"/>
      <w:u w:val="single"/>
    </w:rPr>
  </w:style>
  <w:style w:type="paragraph" w:styleId="FootnoteText">
    <w:name w:val="footnote text"/>
    <w:basedOn w:val="Normal"/>
    <w:link w:val="FootnoteTextChar"/>
    <w:uiPriority w:val="99"/>
    <w:semiHidden/>
    <w:unhideWhenUsed/>
    <w:rsid w:val="008D7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FE6"/>
    <w:rPr>
      <w:sz w:val="20"/>
      <w:szCs w:val="20"/>
    </w:rPr>
  </w:style>
  <w:style w:type="character" w:styleId="FootnoteReference">
    <w:name w:val="footnote reference"/>
    <w:basedOn w:val="DefaultParagraphFont"/>
    <w:uiPriority w:val="99"/>
    <w:semiHidden/>
    <w:unhideWhenUsed/>
    <w:rsid w:val="008D7FE6"/>
    <w:rPr>
      <w:vertAlign w:val="superscript"/>
    </w:rPr>
  </w:style>
  <w:style w:type="paragraph" w:customStyle="1" w:styleId="Firstnumbering">
    <w:name w:val="First numbering"/>
    <w:basedOn w:val="ListParagraph"/>
    <w:link w:val="FirstnumberingChar"/>
    <w:qFormat/>
    <w:rsid w:val="00847F94"/>
    <w:pPr>
      <w:numPr>
        <w:numId w:val="7"/>
      </w:numPr>
      <w:spacing w:after="0" w:line="240" w:lineRule="auto"/>
      <w:contextualSpacing w:val="0"/>
    </w:pPr>
    <w:rPr>
      <w:lang w:val="en-GB"/>
    </w:rPr>
  </w:style>
  <w:style w:type="character" w:customStyle="1" w:styleId="FirstnumberingChar">
    <w:name w:val="First numbering Char"/>
    <w:basedOn w:val="DefaultParagraphFont"/>
    <w:link w:val="Firstnumbering"/>
    <w:rsid w:val="00847F9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document/plan-d%E2%80%99action-pour-les-oiseaux-terrestres-migrateurs-d%E2%80%99afrique-eurasie-aemlap" TargetMode="External"/><Relationship Id="rId18" Type="http://schemas.openxmlformats.org/officeDocument/2006/relationships/hyperlink" Target="https://www.cms.int/fr/node/16092" TargetMode="External"/><Relationship Id="rId26" Type="http://schemas.openxmlformats.org/officeDocument/2006/relationships/hyperlink" Target="https://view.officeapps.live.com/op/view.aspx?src=https%3A%2F%2Feaaflyway.org%2Fwp-content%2Fuploads%2F2025%2F08%2FDD.15_Review_of_the_SSAP_of_Far_Eastern_Curlew_Attachment_A.docx&amp;wdOrigin=BROWSELINK" TargetMode="External"/><Relationship Id="rId39" Type="http://schemas.openxmlformats.org/officeDocument/2006/relationships/footer" Target="footer2.xml"/><Relationship Id="rId21" Type="http://schemas.openxmlformats.org/officeDocument/2006/relationships/hyperlink" Target="https://www.cms.int/fr/node/24250" TargetMode="External"/><Relationship Id="rId34" Type="http://schemas.openxmlformats.org/officeDocument/2006/relationships/hyperlink" Target="https://www.cms.int/fr/node/24329" TargetMode="External"/><Relationship Id="rId42" Type="http://schemas.openxmlformats.org/officeDocument/2006/relationships/header" Target="header4.xml"/><Relationship Id="rId47"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2.safelinks.protection.outlook.com/?url=https%3A%2F%2Flife-pelicans.com%2F&amp;data=05%7C02%7Ctilman.schneider%40un.org%7C89721c9bb09a49ee7bcb08dddf391dcc%7C0f9e35db544f4f60bdcc5ea416e6dc70%7C0%7C0%7C638912158630752344%7CUnknown%7CTWFpbGZsb3d8eyJFbXB0eU1hcGkiOnRydWUsIlYiOiIwLjAuMDAwMCIsIlAiOiJXaW4zMiIsIkFOIjoiTWFpbCIsIldUIjoyfQ%3D%3D%7C0%7C%7C%7C&amp;sdata=bJoGMXE9GZMnF5oWI7mhMuhTcRuLdWGXDLtvtmrGANY%3D&amp;reserved=0" TargetMode="External"/><Relationship Id="rId29" Type="http://schemas.openxmlformats.org/officeDocument/2006/relationships/hyperlink" Target="https://www.cms.int/fr/node/23694" TargetMode="External"/><Relationship Id="rId11" Type="http://schemas.openxmlformats.org/officeDocument/2006/relationships/image" Target="media/image1.wmf"/><Relationship Id="rId24" Type="http://schemas.openxmlformats.org/officeDocument/2006/relationships/hyperlink" Target="https://eaaflyway.net/far-eastern-curlew-task-force/" TargetMode="External"/><Relationship Id="rId32" Type="http://schemas.openxmlformats.org/officeDocument/2006/relationships/hyperlink" Target="https://circabc.europa.eu/ui/group/e21159fc-a026-4045-a47f-9ff1a319e1c5/library/7a40ff99-14c3-4d61-9559-55f6ff311efc?p=1&amp;n=10&amp;sort=modified_DESC"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fr/node/15827" TargetMode="External"/><Relationship Id="rId23" Type="http://schemas.openxmlformats.org/officeDocument/2006/relationships/hyperlink" Target="https://www.cms.int/fr/node/18907" TargetMode="External"/><Relationship Id="rId28" Type="http://schemas.openxmlformats.org/officeDocument/2006/relationships/hyperlink" Target="https://www.cms.int/fr/node/16399"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fr/node/12074" TargetMode="External"/><Relationship Id="rId31" Type="http://schemas.openxmlformats.org/officeDocument/2006/relationships/hyperlink" Target="https://www.cms.int/fr/node/15826"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document/plans-daction-pour-les-oiseaux" TargetMode="External"/><Relationship Id="rId22" Type="http://schemas.openxmlformats.org/officeDocument/2006/relationships/hyperlink" Target="https://www.cms.int/fr/node/9210" TargetMode="External"/><Relationship Id="rId27" Type="http://schemas.openxmlformats.org/officeDocument/2006/relationships/hyperlink" Target="https://www.cms.int/raptors/fr/node/26524" TargetMode="External"/><Relationship Id="rId30" Type="http://schemas.openxmlformats.org/officeDocument/2006/relationships/hyperlink" Target="https://www.birdlife.org.za/what-we-do/regional-conservation-programme/what-we-do/european-roller/" TargetMode="External"/><Relationship Id="rId35" Type="http://schemas.openxmlformats.org/officeDocument/2006/relationships/hyperlink" Target="https://www.cms.int/fr/news/agir-au-niveau-mondial-pour-sauver-les-outardes-majestueux-oiseaux-des-prairies"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fr/document/approbation-des-plans-daction-pour-certaines-esp%C3%A8ces-doiseaux-migrateurs-inscrites-aux" TargetMode="External"/><Relationship Id="rId17" Type="http://schemas.openxmlformats.org/officeDocument/2006/relationships/hyperlink" Target="https://www.cms.int/fr/node/15825" TargetMode="External"/><Relationship Id="rId25" Type="http://schemas.openxmlformats.org/officeDocument/2006/relationships/hyperlink" Target="https://view.officeapps.live.com/op/view.aspx?src=https%3A%2F%2Feaaflyway.org%2Fwp-content%2Fuploads%2F2025%2F08%2FDD.15_Review_of_the_SSAP_of_Far_Eastern_Curlew.docx&amp;wdOrigin=BROWSELINK" TargetMode="External"/><Relationship Id="rId33" Type="http://schemas.openxmlformats.org/officeDocument/2006/relationships/hyperlink" Target="https://www.cms.int/fr/node/24959" TargetMode="External"/><Relationship Id="rId38" Type="http://schemas.openxmlformats.org/officeDocument/2006/relationships/footer" Target="footer1.xml"/><Relationship Id="rId46" Type="http://schemas.openxmlformats.org/officeDocument/2006/relationships/header" Target="header7.xml"/><Relationship Id="rId20" Type="http://schemas.openxmlformats.org/officeDocument/2006/relationships/hyperlink" Target="https://www.cms.int/fr/node/24986"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fr/node/12119" TargetMode="External"/><Relationship Id="rId7" Type="http://schemas.openxmlformats.org/officeDocument/2006/relationships/hyperlink" Target="https://www.cms.int/fr/node/15827" TargetMode="External"/><Relationship Id="rId2" Type="http://schemas.openxmlformats.org/officeDocument/2006/relationships/hyperlink" Target="https://www.cms.int/fr/node/12066" TargetMode="External"/><Relationship Id="rId1" Type="http://schemas.openxmlformats.org/officeDocument/2006/relationships/hyperlink" Target="https://www.cms.int/fr/node/12074" TargetMode="External"/><Relationship Id="rId6" Type="http://schemas.openxmlformats.org/officeDocument/2006/relationships/hyperlink" Target="https://www.cms.int/fr/node/15826" TargetMode="External"/><Relationship Id="rId5" Type="http://schemas.openxmlformats.org/officeDocument/2006/relationships/hyperlink" Target="https://www.cms.int/fr/node/15825" TargetMode="External"/><Relationship Id="rId4" Type="http://schemas.openxmlformats.org/officeDocument/2006/relationships/hyperlink" Target="https://www.cms.int/fr/node/1582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6B4F862D-D794-4ECF-94E8-2D2D1ADE4641}"/>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276</TotalTime>
  <Pages>13</Pages>
  <Words>5445</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112</cp:revision>
  <dcterms:created xsi:type="dcterms:W3CDTF">2025-09-05T09:54:00Z</dcterms:created>
  <dcterms:modified xsi:type="dcterms:W3CDTF">2025-10-22T12:28:00Z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