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285AC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3498C535"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6A689A">
              <w:rPr>
                <w:rFonts w:eastAsia="Times New Roman" w:cs="Arial"/>
                <w:lang w:val="en-GB"/>
              </w:rPr>
              <w:t>5</w:t>
            </w:r>
            <w:r w:rsidRPr="008C3A4A">
              <w:rPr>
                <w:rFonts w:eastAsia="Times New Roman" w:cs="Arial"/>
                <w:lang w:val="en-GB"/>
              </w:rPr>
              <w:t>/</w:t>
            </w:r>
            <w:r w:rsidR="006A7DC4" w:rsidRPr="008C3A4A">
              <w:rPr>
                <w:rFonts w:eastAsia="Times New Roman" w:cs="Arial"/>
                <w:lang w:val="en-GB"/>
              </w:rPr>
              <w:t>Doc.</w:t>
            </w:r>
            <w:r w:rsidR="00271009" w:rsidRPr="003372A5">
              <w:rPr>
                <w:rFonts w:eastAsia="Times New Roman" w:cs="Arial"/>
                <w:lang w:val="en-GB"/>
              </w:rPr>
              <w:t>2</w:t>
            </w:r>
            <w:r w:rsidR="003D1538" w:rsidRPr="003372A5">
              <w:rPr>
                <w:rFonts w:eastAsia="Times New Roman" w:cs="Arial"/>
                <w:lang w:val="en-GB"/>
              </w:rPr>
              <w:t>6</w:t>
            </w:r>
            <w:r w:rsidR="00271009" w:rsidRPr="003372A5">
              <w:rPr>
                <w:rFonts w:eastAsia="Times New Roman" w:cs="Arial"/>
                <w:lang w:val="en-GB"/>
              </w:rPr>
              <w:t>.</w:t>
            </w:r>
            <w:r w:rsidR="00AD341C">
              <w:rPr>
                <w:rFonts w:eastAsia="Times New Roman" w:cs="Arial"/>
                <w:lang w:val="en-GB"/>
              </w:rPr>
              <w:t>2</w:t>
            </w:r>
          </w:p>
          <w:p w14:paraId="1FCC85D7" w14:textId="570331AD" w:rsidR="002E0DE9" w:rsidRPr="008C3A4A" w:rsidRDefault="003372A5"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25 August 2025</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2F5F0459"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6A689A">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57B6BD01" w:rsidR="002E0DE9" w:rsidRPr="008C3A4A" w:rsidRDefault="00D66DB0"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Pr>
          <w:rFonts w:eastAsia="Times New Roman" w:cs="Arial"/>
          <w:bCs/>
          <w:lang w:val="en-GB"/>
        </w:rPr>
        <w:t>Campo Grande, Brazil</w:t>
      </w:r>
      <w:r w:rsidR="008E7441">
        <w:rPr>
          <w:rFonts w:eastAsia="Times New Roman" w:cs="Arial"/>
          <w:bCs/>
          <w:lang w:val="en-GB"/>
        </w:rPr>
        <w:t>, 23 to 29 March 2026</w:t>
      </w:r>
    </w:p>
    <w:p w14:paraId="008C6855" w14:textId="58F7B25A"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1C6C56">
        <w:rPr>
          <w:rFonts w:eastAsia="Times New Roman" w:cs="Arial"/>
          <w:iCs/>
          <w:lang w:val="en-GB"/>
        </w:rPr>
        <w:t xml:space="preserve">Agenda Item </w:t>
      </w:r>
      <w:r w:rsidR="00271009" w:rsidRPr="003372A5">
        <w:rPr>
          <w:rFonts w:eastAsia="Times New Roman" w:cs="Arial"/>
          <w:iCs/>
          <w:lang w:val="en-GB"/>
        </w:rPr>
        <w:t>2</w:t>
      </w:r>
      <w:r w:rsidR="003D1538" w:rsidRPr="003372A5">
        <w:rPr>
          <w:rFonts w:eastAsia="Times New Roman" w:cs="Arial"/>
          <w:iCs/>
          <w:lang w:val="en-GB"/>
        </w:rPr>
        <w:t>6</w:t>
      </w:r>
      <w:r w:rsidR="00271009" w:rsidRPr="003372A5">
        <w:rPr>
          <w:rFonts w:eastAsia="Times New Roman" w:cs="Arial"/>
          <w:iCs/>
          <w:lang w:val="en-GB"/>
        </w:rPr>
        <w:t>.</w:t>
      </w:r>
      <w:r w:rsidR="00AD341C">
        <w:rPr>
          <w:rFonts w:eastAsia="Times New Roman" w:cs="Arial"/>
          <w:iCs/>
          <w:lang w:val="en-GB"/>
        </w:rPr>
        <w:t>2</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21B42DF7" w14:textId="66CF361A" w:rsidR="00081045" w:rsidRPr="00081045" w:rsidRDefault="00373265" w:rsidP="005E031D">
      <w:pPr>
        <w:widowControl w:val="0"/>
        <w:suppressAutoHyphens/>
        <w:autoSpaceDE w:val="0"/>
        <w:autoSpaceDN w:val="0"/>
        <w:spacing w:after="120" w:line="240" w:lineRule="auto"/>
        <w:jc w:val="center"/>
        <w:textAlignment w:val="baseline"/>
        <w:rPr>
          <w:rFonts w:eastAsia="Times New Roman" w:cs="Arial"/>
          <w:b/>
          <w:bCs/>
          <w:lang w:val="en-GB"/>
        </w:rPr>
      </w:pPr>
      <w:r>
        <w:rPr>
          <w:rFonts w:eastAsia="Times New Roman" w:cs="Arial"/>
          <w:b/>
          <w:bCs/>
          <w:lang w:val="en-GB"/>
        </w:rPr>
        <w:t>PREVENTING POISONING OF MIGRATORY BIRDS</w:t>
      </w:r>
    </w:p>
    <w:p w14:paraId="22A41750" w14:textId="4D5A96A9" w:rsidR="00AD4F4C" w:rsidRPr="009B3CF3"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8C3A4A">
        <w:rPr>
          <w:rFonts w:eastAsia="Times New Roman" w:cs="Arial"/>
          <w:i/>
          <w:lang w:val="en-GB"/>
        </w:rPr>
        <w:t xml:space="preserve">(Prepared by </w:t>
      </w:r>
      <w:r w:rsidR="00081045" w:rsidRPr="008C3A4A">
        <w:rPr>
          <w:rFonts w:eastAsia="Times New Roman" w:cs="Arial"/>
          <w:i/>
          <w:lang w:val="en-GB"/>
        </w:rPr>
        <w:t>the Secretariat</w:t>
      </w:r>
      <w:r w:rsidRPr="008C3A4A">
        <w:rPr>
          <w:rFonts w:eastAsia="Times New Roman" w:cs="Arial"/>
          <w:i/>
          <w:lang w:val="en-GB"/>
        </w:rPr>
        <w:t>)</w: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68F72FDC"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6DF40128" w:rsidR="002E0DE9" w:rsidRPr="008C3A4A" w:rsidRDefault="00816618"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7ABB85D5">
                <wp:simplePos x="0" y="0"/>
                <wp:positionH relativeFrom="margin">
                  <wp:posOffset>895350</wp:posOffset>
                </wp:positionH>
                <wp:positionV relativeFrom="margin">
                  <wp:posOffset>2660650</wp:posOffset>
                </wp:positionV>
                <wp:extent cx="4304665" cy="1803400"/>
                <wp:effectExtent l="0" t="0" r="19685" b="2540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803400"/>
                        </a:xfrm>
                        <a:prstGeom prst="rect">
                          <a:avLst/>
                        </a:prstGeom>
                        <a:solidFill>
                          <a:srgbClr val="FFFFFF"/>
                        </a:solidFill>
                        <a:ln w="3172">
                          <a:solidFill>
                            <a:srgbClr val="000000"/>
                          </a:solidFill>
                          <a:prstDash val="solid"/>
                        </a:ln>
                      </wps:spPr>
                      <wps:txbx>
                        <w:txbxContent>
                          <w:p w14:paraId="361301A9" w14:textId="77777777" w:rsidR="002E0DE9" w:rsidRDefault="002E0DE9" w:rsidP="001C79AB">
                            <w:pPr>
                              <w:spacing w:after="0" w:line="240" w:lineRule="auto"/>
                              <w:jc w:val="both"/>
                              <w:rPr>
                                <w:rFonts w:cs="Arial"/>
                              </w:rPr>
                            </w:pPr>
                            <w:r>
                              <w:rPr>
                                <w:rFonts w:cs="Arial"/>
                              </w:rPr>
                              <w:t>Summary:</w:t>
                            </w:r>
                          </w:p>
                          <w:p w14:paraId="12338272" w14:textId="77777777" w:rsidR="002E0DE9" w:rsidRDefault="002E0DE9" w:rsidP="001C79AB">
                            <w:pPr>
                              <w:spacing w:after="0" w:line="240" w:lineRule="auto"/>
                              <w:jc w:val="both"/>
                              <w:rPr>
                                <w:rFonts w:cs="Arial"/>
                                <w:lang w:val="en-GB"/>
                              </w:rPr>
                            </w:pPr>
                          </w:p>
                          <w:p w14:paraId="6F650808" w14:textId="0D3737D2" w:rsidR="00827662" w:rsidRDefault="00827662" w:rsidP="001C79AB">
                            <w:pPr>
                              <w:spacing w:after="0" w:line="240" w:lineRule="auto"/>
                              <w:jc w:val="both"/>
                              <w:rPr>
                                <w:rFonts w:cs="Arial"/>
                                <w:lang w:val="en-GB"/>
                              </w:rPr>
                            </w:pPr>
                            <w:r w:rsidRPr="000F4EDD">
                              <w:rPr>
                                <w:rFonts w:cs="Arial"/>
                                <w:lang w:val="en-GB"/>
                              </w:rPr>
                              <w:t>This document reports on progress to implement Resolution 11.15 (Rev.COP1</w:t>
                            </w:r>
                            <w:r>
                              <w:rPr>
                                <w:rFonts w:cs="Arial"/>
                                <w:lang w:val="en-GB"/>
                              </w:rPr>
                              <w:t>4</w:t>
                            </w:r>
                            <w:r w:rsidRPr="000F4EDD">
                              <w:rPr>
                                <w:rFonts w:cs="Arial"/>
                                <w:lang w:val="en-GB"/>
                              </w:rPr>
                              <w:t>) and related Decisions 1</w:t>
                            </w:r>
                            <w:r w:rsidR="00234C22">
                              <w:rPr>
                                <w:rFonts w:cs="Arial"/>
                                <w:lang w:val="en-GB"/>
                              </w:rPr>
                              <w:t>4</w:t>
                            </w:r>
                            <w:r w:rsidRPr="000F4EDD">
                              <w:rPr>
                                <w:rFonts w:cs="Arial"/>
                                <w:lang w:val="en-GB"/>
                              </w:rPr>
                              <w:t>.</w:t>
                            </w:r>
                            <w:r w:rsidR="00234C22">
                              <w:rPr>
                                <w:rFonts w:cs="Arial"/>
                                <w:lang w:val="en-GB"/>
                              </w:rPr>
                              <w:t>134</w:t>
                            </w:r>
                            <w:r w:rsidR="00781A79" w:rsidRPr="00760EAD">
                              <w:rPr>
                                <w:rFonts w:cs="Arial"/>
                                <w:lang w:val="en-GB"/>
                              </w:rPr>
                              <w:t>–</w:t>
                            </w:r>
                            <w:r w:rsidR="00234C22">
                              <w:rPr>
                                <w:rFonts w:cs="Arial"/>
                                <w:lang w:val="en-GB"/>
                              </w:rPr>
                              <w:t>14</w:t>
                            </w:r>
                            <w:r w:rsidRPr="000F4EDD">
                              <w:rPr>
                                <w:rFonts w:cs="Arial"/>
                                <w:lang w:val="en-GB"/>
                              </w:rPr>
                              <w:t>.</w:t>
                            </w:r>
                            <w:r w:rsidR="00234C22">
                              <w:rPr>
                                <w:rFonts w:cs="Arial"/>
                                <w:lang w:val="en-GB"/>
                              </w:rPr>
                              <w:t>136</w:t>
                            </w:r>
                            <w:r w:rsidRPr="000F4EDD">
                              <w:rPr>
                                <w:rFonts w:cs="Arial"/>
                                <w:lang w:val="en-GB"/>
                              </w:rPr>
                              <w:t xml:space="preserve"> </w:t>
                            </w:r>
                            <w:r w:rsidRPr="00182720">
                              <w:rPr>
                                <w:rFonts w:cs="Arial"/>
                                <w:i/>
                                <w:iCs/>
                                <w:lang w:val="en-GB"/>
                              </w:rPr>
                              <w:t>Preventing Poisoning of Migratory Birds</w:t>
                            </w:r>
                            <w:r w:rsidRPr="000F4EDD">
                              <w:rPr>
                                <w:rFonts w:cs="Arial"/>
                                <w:lang w:val="en-GB"/>
                              </w:rPr>
                              <w:t>. It proposes draft amendments to Resolution 11.15 (Rev.COP1</w:t>
                            </w:r>
                            <w:r w:rsidR="00182720">
                              <w:rPr>
                                <w:rFonts w:cs="Arial"/>
                                <w:lang w:val="en-GB"/>
                              </w:rPr>
                              <w:t>4</w:t>
                            </w:r>
                            <w:r w:rsidRPr="000F4EDD">
                              <w:rPr>
                                <w:rFonts w:cs="Arial"/>
                                <w:lang w:val="en-GB"/>
                              </w:rPr>
                              <w:t xml:space="preserve">), and the deletion of Decisions </w:t>
                            </w:r>
                            <w:r w:rsidR="00182720" w:rsidRPr="000F4EDD">
                              <w:rPr>
                                <w:rFonts w:cs="Arial"/>
                                <w:lang w:val="en-GB"/>
                              </w:rPr>
                              <w:t>1</w:t>
                            </w:r>
                            <w:r w:rsidR="00182720">
                              <w:rPr>
                                <w:rFonts w:cs="Arial"/>
                                <w:lang w:val="en-GB"/>
                              </w:rPr>
                              <w:t>4</w:t>
                            </w:r>
                            <w:r w:rsidR="00182720" w:rsidRPr="000F4EDD">
                              <w:rPr>
                                <w:rFonts w:cs="Arial"/>
                                <w:lang w:val="en-GB"/>
                              </w:rPr>
                              <w:t>.</w:t>
                            </w:r>
                            <w:r w:rsidR="00182720">
                              <w:rPr>
                                <w:rFonts w:cs="Arial"/>
                                <w:lang w:val="en-GB"/>
                              </w:rPr>
                              <w:t>134</w:t>
                            </w:r>
                            <w:r w:rsidR="00877FEC" w:rsidRPr="00760EAD">
                              <w:rPr>
                                <w:rFonts w:cs="Arial"/>
                                <w:lang w:val="en-GB"/>
                              </w:rPr>
                              <w:t>–</w:t>
                            </w:r>
                            <w:r w:rsidR="00182720">
                              <w:rPr>
                                <w:rFonts w:cs="Arial"/>
                                <w:lang w:val="en-GB"/>
                              </w:rPr>
                              <w:t>14</w:t>
                            </w:r>
                            <w:r w:rsidR="00182720" w:rsidRPr="000F4EDD">
                              <w:rPr>
                                <w:rFonts w:cs="Arial"/>
                                <w:lang w:val="en-GB"/>
                              </w:rPr>
                              <w:t>.</w:t>
                            </w:r>
                            <w:r w:rsidR="00182720">
                              <w:rPr>
                                <w:rFonts w:cs="Arial"/>
                                <w:lang w:val="en-GB"/>
                              </w:rPr>
                              <w:t>136</w:t>
                            </w:r>
                            <w:r w:rsidRPr="000F4EDD">
                              <w:rPr>
                                <w:rFonts w:cs="Arial"/>
                                <w:lang w:val="en-GB"/>
                              </w:rPr>
                              <w:t xml:space="preserve"> and adoption of new Decisions.</w:t>
                            </w:r>
                            <w:r w:rsidR="000C5FBE" w:rsidRPr="000C5FBE">
                              <w:rPr>
                                <w:rFonts w:cs="Arial"/>
                                <w:lang w:val="en-GB"/>
                              </w:rPr>
                              <w:t xml:space="preserve"> </w:t>
                            </w:r>
                            <w:r w:rsidR="000C5FBE" w:rsidRPr="00AB0B93">
                              <w:rPr>
                                <w:rFonts w:cs="Arial"/>
                                <w:lang w:val="en-GB"/>
                              </w:rPr>
                              <w:t>The attached draft Resolution and Decisions would support the achievement of</w:t>
                            </w:r>
                            <w:r w:rsidR="000C5FBE" w:rsidRPr="00AB0B93">
                              <w:rPr>
                                <w:rFonts w:cs="Arial"/>
                                <w:i/>
                                <w:iCs/>
                                <w:lang w:val="en-GB"/>
                              </w:rPr>
                              <w:t xml:space="preserve"> </w:t>
                            </w:r>
                            <w:r w:rsidR="000C5FBE">
                              <w:rPr>
                                <w:rFonts w:cs="Arial"/>
                                <w:lang w:val="en-GB"/>
                              </w:rPr>
                              <w:t xml:space="preserve">Targets 3.1 and 3.3 of the </w:t>
                            </w:r>
                            <w:r w:rsidR="000C5FBE" w:rsidRPr="00760EAD">
                              <w:rPr>
                                <w:rFonts w:cs="Arial"/>
                                <w:lang w:val="en-GB"/>
                              </w:rPr>
                              <w:t>Strategic Plan for Migratory Species 2024–2032</w:t>
                            </w:r>
                            <w:r w:rsidR="000C5FBE">
                              <w:rPr>
                                <w:rFonts w:cs="Arial"/>
                                <w:lang w:val="en-GB"/>
                              </w:rPr>
                              <w:t>.</w:t>
                            </w:r>
                            <w:r w:rsidR="004037B8">
                              <w:rPr>
                                <w:rFonts w:cs="Arial"/>
                                <w:lang w:val="en-GB"/>
                              </w:rPr>
                              <w:t xml:space="preserve"> </w:t>
                            </w:r>
                          </w:p>
                          <w:p w14:paraId="6C4CD1B6" w14:textId="77777777" w:rsidR="00373265" w:rsidRDefault="00373265" w:rsidP="00F75474">
                            <w:pPr>
                              <w:spacing w:after="0"/>
                              <w:jc w:val="both"/>
                              <w:rPr>
                                <w:rFonts w:cs="Arial"/>
                                <w:lang w:val="en-GB"/>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5pt;margin-top:209.5pt;width:338.95pt;height:142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" strokeweight=".08811mm">
                <v:textbox>
                  <w:txbxContent>
                    <w:p w14:paraId="361301A9" w14:textId="77777777" w:rsidR="002E0DE9" w:rsidRDefault="002E0DE9" w:rsidP="001C79AB">
                      <w:pPr>
                        <w:spacing w:after="0" w:line="240" w:lineRule="auto"/>
                        <w:jc w:val="both"/>
                        <w:rPr>
                          <w:rFonts w:cs="Arial"/>
                        </w:rPr>
                      </w:pPr>
                      <w:r>
                        <w:rPr>
                          <w:rFonts w:cs="Arial"/>
                        </w:rPr>
                        <w:t>Summary:</w:t>
                      </w:r>
                    </w:p>
                    <w:p w14:paraId="12338272" w14:textId="77777777" w:rsidR="002E0DE9" w:rsidRDefault="002E0DE9" w:rsidP="001C79AB">
                      <w:pPr>
                        <w:spacing w:after="0" w:line="240" w:lineRule="auto"/>
                        <w:jc w:val="both"/>
                        <w:rPr>
                          <w:rFonts w:cs="Arial"/>
                          <w:lang w:val="en-GB"/>
                        </w:rPr>
                      </w:pPr>
                    </w:p>
                    <w:p w14:paraId="6F650808" w14:textId="0D3737D2" w:rsidR="00827662" w:rsidRDefault="00827662" w:rsidP="001C79AB">
                      <w:pPr>
                        <w:spacing w:after="0" w:line="240" w:lineRule="auto"/>
                        <w:jc w:val="both"/>
                        <w:rPr>
                          <w:rFonts w:cs="Arial"/>
                          <w:lang w:val="en-GB"/>
                        </w:rPr>
                      </w:pPr>
                      <w:r w:rsidRPr="000F4EDD">
                        <w:rPr>
                          <w:rFonts w:cs="Arial"/>
                          <w:lang w:val="en-GB"/>
                        </w:rPr>
                        <w:t>This document reports on progress to implement Resolution 11.15 (Rev.COP1</w:t>
                      </w:r>
                      <w:r>
                        <w:rPr>
                          <w:rFonts w:cs="Arial"/>
                          <w:lang w:val="en-GB"/>
                        </w:rPr>
                        <w:t>4</w:t>
                      </w:r>
                      <w:r w:rsidRPr="000F4EDD">
                        <w:rPr>
                          <w:rFonts w:cs="Arial"/>
                          <w:lang w:val="en-GB"/>
                        </w:rPr>
                        <w:t>) and related Decisions 1</w:t>
                      </w:r>
                      <w:r w:rsidR="00234C22">
                        <w:rPr>
                          <w:rFonts w:cs="Arial"/>
                          <w:lang w:val="en-GB"/>
                        </w:rPr>
                        <w:t>4</w:t>
                      </w:r>
                      <w:r w:rsidRPr="000F4EDD">
                        <w:rPr>
                          <w:rFonts w:cs="Arial"/>
                          <w:lang w:val="en-GB"/>
                        </w:rPr>
                        <w:t>.</w:t>
                      </w:r>
                      <w:r w:rsidR="00234C22">
                        <w:rPr>
                          <w:rFonts w:cs="Arial"/>
                          <w:lang w:val="en-GB"/>
                        </w:rPr>
                        <w:t>134</w:t>
                      </w:r>
                      <w:r w:rsidR="00781A79" w:rsidRPr="00760EAD">
                        <w:rPr>
                          <w:rFonts w:cs="Arial"/>
                          <w:lang w:val="en-GB"/>
                        </w:rPr>
                        <w:t>–</w:t>
                      </w:r>
                      <w:r w:rsidR="00234C22">
                        <w:rPr>
                          <w:rFonts w:cs="Arial"/>
                          <w:lang w:val="en-GB"/>
                        </w:rPr>
                        <w:t>14</w:t>
                      </w:r>
                      <w:r w:rsidRPr="000F4EDD">
                        <w:rPr>
                          <w:rFonts w:cs="Arial"/>
                          <w:lang w:val="en-GB"/>
                        </w:rPr>
                        <w:t>.</w:t>
                      </w:r>
                      <w:r w:rsidR="00234C22">
                        <w:rPr>
                          <w:rFonts w:cs="Arial"/>
                          <w:lang w:val="en-GB"/>
                        </w:rPr>
                        <w:t>136</w:t>
                      </w:r>
                      <w:r w:rsidRPr="000F4EDD">
                        <w:rPr>
                          <w:rFonts w:cs="Arial"/>
                          <w:lang w:val="en-GB"/>
                        </w:rPr>
                        <w:t xml:space="preserve"> </w:t>
                      </w:r>
                      <w:r w:rsidRPr="00182720">
                        <w:rPr>
                          <w:rFonts w:cs="Arial"/>
                          <w:i/>
                          <w:iCs/>
                          <w:lang w:val="en-GB"/>
                        </w:rPr>
                        <w:t>Preventing Poisoning of Migratory Birds</w:t>
                      </w:r>
                      <w:r w:rsidRPr="000F4EDD">
                        <w:rPr>
                          <w:rFonts w:cs="Arial"/>
                          <w:lang w:val="en-GB"/>
                        </w:rPr>
                        <w:t>. It proposes draft amendments to Resolution 11.15 (Rev.COP1</w:t>
                      </w:r>
                      <w:r w:rsidR="00182720">
                        <w:rPr>
                          <w:rFonts w:cs="Arial"/>
                          <w:lang w:val="en-GB"/>
                        </w:rPr>
                        <w:t>4</w:t>
                      </w:r>
                      <w:r w:rsidRPr="000F4EDD">
                        <w:rPr>
                          <w:rFonts w:cs="Arial"/>
                          <w:lang w:val="en-GB"/>
                        </w:rPr>
                        <w:t xml:space="preserve">), and the deletion of Decisions </w:t>
                      </w:r>
                      <w:r w:rsidR="00182720" w:rsidRPr="000F4EDD">
                        <w:rPr>
                          <w:rFonts w:cs="Arial"/>
                          <w:lang w:val="en-GB"/>
                        </w:rPr>
                        <w:t>1</w:t>
                      </w:r>
                      <w:r w:rsidR="00182720">
                        <w:rPr>
                          <w:rFonts w:cs="Arial"/>
                          <w:lang w:val="en-GB"/>
                        </w:rPr>
                        <w:t>4</w:t>
                      </w:r>
                      <w:r w:rsidR="00182720" w:rsidRPr="000F4EDD">
                        <w:rPr>
                          <w:rFonts w:cs="Arial"/>
                          <w:lang w:val="en-GB"/>
                        </w:rPr>
                        <w:t>.</w:t>
                      </w:r>
                      <w:r w:rsidR="00182720">
                        <w:rPr>
                          <w:rFonts w:cs="Arial"/>
                          <w:lang w:val="en-GB"/>
                        </w:rPr>
                        <w:t>134</w:t>
                      </w:r>
                      <w:r w:rsidR="00877FEC" w:rsidRPr="00760EAD">
                        <w:rPr>
                          <w:rFonts w:cs="Arial"/>
                          <w:lang w:val="en-GB"/>
                        </w:rPr>
                        <w:t>–</w:t>
                      </w:r>
                      <w:r w:rsidR="00182720">
                        <w:rPr>
                          <w:rFonts w:cs="Arial"/>
                          <w:lang w:val="en-GB"/>
                        </w:rPr>
                        <w:t>14</w:t>
                      </w:r>
                      <w:r w:rsidR="00182720" w:rsidRPr="000F4EDD">
                        <w:rPr>
                          <w:rFonts w:cs="Arial"/>
                          <w:lang w:val="en-GB"/>
                        </w:rPr>
                        <w:t>.</w:t>
                      </w:r>
                      <w:r w:rsidR="00182720">
                        <w:rPr>
                          <w:rFonts w:cs="Arial"/>
                          <w:lang w:val="en-GB"/>
                        </w:rPr>
                        <w:t>136</w:t>
                      </w:r>
                      <w:r w:rsidRPr="000F4EDD">
                        <w:rPr>
                          <w:rFonts w:cs="Arial"/>
                          <w:lang w:val="en-GB"/>
                        </w:rPr>
                        <w:t xml:space="preserve"> and adoption of new Decisions.</w:t>
                      </w:r>
                      <w:r w:rsidR="000C5FBE" w:rsidRPr="000C5FBE">
                        <w:rPr>
                          <w:rFonts w:cs="Arial"/>
                          <w:lang w:val="en-GB"/>
                        </w:rPr>
                        <w:t xml:space="preserve"> </w:t>
                      </w:r>
                      <w:r w:rsidR="000C5FBE" w:rsidRPr="00AB0B93">
                        <w:rPr>
                          <w:rFonts w:cs="Arial"/>
                          <w:lang w:val="en-GB"/>
                        </w:rPr>
                        <w:t>The attached draft Resolution and Decisions would support the achievement of</w:t>
                      </w:r>
                      <w:r w:rsidR="000C5FBE" w:rsidRPr="00AB0B93">
                        <w:rPr>
                          <w:rFonts w:cs="Arial"/>
                          <w:i/>
                          <w:iCs/>
                          <w:lang w:val="en-GB"/>
                        </w:rPr>
                        <w:t xml:space="preserve"> </w:t>
                      </w:r>
                      <w:r w:rsidR="000C5FBE">
                        <w:rPr>
                          <w:rFonts w:cs="Arial"/>
                          <w:lang w:val="en-GB"/>
                        </w:rPr>
                        <w:t xml:space="preserve">Targets 3.1 and 3.3 of the </w:t>
                      </w:r>
                      <w:r w:rsidR="000C5FBE" w:rsidRPr="00760EAD">
                        <w:rPr>
                          <w:rFonts w:cs="Arial"/>
                          <w:lang w:val="en-GB"/>
                        </w:rPr>
                        <w:t>Strategic Plan for Migratory Species 2024–2032</w:t>
                      </w:r>
                      <w:r w:rsidR="000C5FBE">
                        <w:rPr>
                          <w:rFonts w:cs="Arial"/>
                          <w:lang w:val="en-GB"/>
                        </w:rPr>
                        <w:t>.</w:t>
                      </w:r>
                      <w:r w:rsidR="004037B8">
                        <w:rPr>
                          <w:rFonts w:cs="Arial"/>
                          <w:lang w:val="en-GB"/>
                        </w:rPr>
                        <w:t xml:space="preserve"> </w:t>
                      </w:r>
                    </w:p>
                    <w:p w14:paraId="6C4CD1B6" w14:textId="77777777" w:rsidR="00373265" w:rsidRDefault="00373265" w:rsidP="00F75474">
                      <w:pPr>
                        <w:spacing w:after="0"/>
                        <w:jc w:val="both"/>
                        <w:rPr>
                          <w:rFonts w:cs="Arial"/>
                          <w:lang w:val="en-GB"/>
                        </w:rPr>
                      </w:pPr>
                    </w:p>
                  </w:txbxContent>
                </v:textbox>
                <w10:wrap type="square" anchorx="margin" anchory="margin"/>
              </v:shape>
            </w:pict>
          </mc:Fallback>
        </mc:AlternateContent>
      </w: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0927A990"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597CEC49" w14:textId="06C4A427" w:rsidR="001C6C56" w:rsidRPr="00081045" w:rsidRDefault="001755E7" w:rsidP="001C6C56">
      <w:pPr>
        <w:widowControl w:val="0"/>
        <w:suppressAutoHyphens/>
        <w:autoSpaceDE w:val="0"/>
        <w:autoSpaceDN w:val="0"/>
        <w:spacing w:after="0" w:line="240" w:lineRule="auto"/>
        <w:jc w:val="center"/>
        <w:textAlignment w:val="baseline"/>
        <w:rPr>
          <w:rFonts w:eastAsia="Times New Roman" w:cs="Arial"/>
          <w:b/>
          <w:bCs/>
          <w:lang w:val="en-GB"/>
        </w:rPr>
      </w:pPr>
      <w:r>
        <w:rPr>
          <w:rFonts w:eastAsia="Times New Roman" w:cs="Arial"/>
          <w:b/>
          <w:bCs/>
          <w:lang w:val="en-GB"/>
        </w:rPr>
        <w:lastRenderedPageBreak/>
        <w:t>PREVENTING POISONING OF MIGRATORY BIRDS</w:t>
      </w:r>
    </w:p>
    <w:p w14:paraId="3041B93B" w14:textId="2ACDA6B8" w:rsidR="00C108C1" w:rsidRPr="003372A5" w:rsidRDefault="00C108C1" w:rsidP="00CE5B4C">
      <w:pPr>
        <w:pStyle w:val="Heading2"/>
        <w:keepNext w:val="0"/>
        <w:ind w:left="-90" w:right="-367"/>
        <w:jc w:val="center"/>
        <w:rPr>
          <w:rFonts w:ascii="Arial" w:hAnsi="Arial" w:cs="Arial"/>
          <w:caps/>
          <w:sz w:val="22"/>
          <w:szCs w:val="22"/>
          <w:lang w:val="en-GB"/>
        </w:rPr>
      </w:pPr>
    </w:p>
    <w:p w14:paraId="738FD6C0" w14:textId="77777777" w:rsidR="00EE7D8D" w:rsidRPr="008259F7" w:rsidRDefault="00EE7D8D" w:rsidP="00CE5B4C">
      <w:pPr>
        <w:spacing w:after="0" w:line="240" w:lineRule="auto"/>
      </w:pPr>
    </w:p>
    <w:p w14:paraId="63AA247B" w14:textId="77777777" w:rsidR="00EE7D8D" w:rsidRPr="00AC2D84" w:rsidRDefault="00EE7D8D" w:rsidP="00CE5B4C">
      <w:pPr>
        <w:spacing w:after="0" w:line="240" w:lineRule="auto"/>
        <w:rPr>
          <w:u w:val="single"/>
        </w:rPr>
      </w:pPr>
      <w:r w:rsidRPr="00AC2D84">
        <w:rPr>
          <w:u w:val="single"/>
        </w:rPr>
        <w:t>Background</w:t>
      </w:r>
    </w:p>
    <w:p w14:paraId="408C5BCA" w14:textId="77777777" w:rsidR="00EE7D8D" w:rsidRDefault="00EE7D8D" w:rsidP="00CE5B4C">
      <w:pPr>
        <w:spacing w:after="0" w:line="240" w:lineRule="auto"/>
        <w:rPr>
          <w:lang w:val="en-GB"/>
        </w:rPr>
      </w:pPr>
    </w:p>
    <w:p w14:paraId="02A3E4C4" w14:textId="583F5F4E" w:rsidR="00C12B3C" w:rsidRDefault="00C12B3C" w:rsidP="00C12B3C">
      <w:pPr>
        <w:numPr>
          <w:ilvl w:val="0"/>
          <w:numId w:val="3"/>
        </w:numPr>
        <w:spacing w:after="0" w:line="240" w:lineRule="auto"/>
        <w:ind w:left="540" w:hanging="540"/>
        <w:contextualSpacing/>
        <w:jc w:val="both"/>
      </w:pPr>
      <w:r w:rsidRPr="003372A5">
        <w:t>Direct or indirect poisoning is recognized as one of the main threats affecting migratory birds globally. The incidental poisoning caused by the consumption of poisoned pellets or carcasses, and/or the continuous exposure to lead bullets and</w:t>
      </w:r>
      <w:r w:rsidRPr="003372A5">
        <w:rPr>
          <w:color w:val="000000" w:themeColor="text1"/>
        </w:rPr>
        <w:t xml:space="preserve"> lead </w:t>
      </w:r>
      <w:r w:rsidRPr="003372A5">
        <w:t xml:space="preserve">gunshot </w:t>
      </w:r>
      <w:r w:rsidRPr="003372A5">
        <w:rPr>
          <w:color w:val="000000" w:themeColor="text1"/>
        </w:rPr>
        <w:t xml:space="preserve">and fishing </w:t>
      </w:r>
      <w:r w:rsidRPr="003372A5">
        <w:t>weights has been behind some of the declines of vulture and raptor species</w:t>
      </w:r>
      <w:r w:rsidR="00CB5B3E" w:rsidRPr="003372A5">
        <w:t xml:space="preserve"> in</w:t>
      </w:r>
      <w:r w:rsidR="00CB5B3E">
        <w:t xml:space="preserve"> several regions</w:t>
      </w:r>
      <w:r w:rsidRPr="00AC2D84">
        <w:t>.</w:t>
      </w:r>
    </w:p>
    <w:p w14:paraId="059DD6B6" w14:textId="77777777" w:rsidR="004E4C4E" w:rsidRDefault="004E4C4E" w:rsidP="004E4C4E">
      <w:pPr>
        <w:spacing w:after="0" w:line="240" w:lineRule="auto"/>
        <w:ind w:left="540"/>
        <w:contextualSpacing/>
        <w:jc w:val="both"/>
      </w:pPr>
    </w:p>
    <w:p w14:paraId="4668BADE" w14:textId="02824072" w:rsidR="007D7BCA" w:rsidRPr="003372A5" w:rsidRDefault="004E4C4E" w:rsidP="00C12B3C">
      <w:pPr>
        <w:numPr>
          <w:ilvl w:val="0"/>
          <w:numId w:val="3"/>
        </w:numPr>
        <w:spacing w:after="0" w:line="240" w:lineRule="auto"/>
        <w:ind w:left="540" w:hanging="540"/>
        <w:contextualSpacing/>
        <w:jc w:val="both"/>
      </w:pPr>
      <w:r w:rsidRPr="004E4C4E">
        <w:t>At its 1</w:t>
      </w:r>
      <w:r>
        <w:t>4</w:t>
      </w:r>
      <w:r w:rsidRPr="004E4C4E">
        <w:t>th meeting, the Confe</w:t>
      </w:r>
      <w:r w:rsidRPr="003372A5">
        <w:t xml:space="preserve">rence of the Parties (COP14, 2024) adopted </w:t>
      </w:r>
      <w:hyperlink r:id="rId12" w:history="1">
        <w:r w:rsidRPr="003372A5">
          <w:rPr>
            <w:rStyle w:val="Hyperlink"/>
          </w:rPr>
          <w:t>Resolution 11.15 (Rev.COP14)</w:t>
        </w:r>
      </w:hyperlink>
      <w:r w:rsidRPr="003372A5">
        <w:t xml:space="preserve"> </w:t>
      </w:r>
      <w:r w:rsidRPr="003372A5">
        <w:rPr>
          <w:i/>
          <w:iCs/>
        </w:rPr>
        <w:t>Preventing Poisoning of Migratory Birds</w:t>
      </w:r>
      <w:r w:rsidRPr="003372A5">
        <w:t>, which proposes</w:t>
      </w:r>
      <w:r w:rsidR="007103D7" w:rsidRPr="003372A5">
        <w:t>, subject to the availability of resources,</w:t>
      </w:r>
      <w:r w:rsidRPr="003372A5">
        <w:t xml:space="preserve"> the continuation of the Preventing Poisoning Working Group (PPWG) and </w:t>
      </w:r>
      <w:r w:rsidR="000E2AF5" w:rsidRPr="003372A5">
        <w:t xml:space="preserve">of the </w:t>
      </w:r>
      <w:r w:rsidRPr="003372A5">
        <w:t>Intergovernmental Task Force on Phasing Out the Use of Lead Ammunition and Lead Fishing Weights</w:t>
      </w:r>
      <w:r w:rsidR="002653B7" w:rsidRPr="003372A5">
        <w:t xml:space="preserve"> (Lead Task Force)</w:t>
      </w:r>
      <w:r w:rsidR="000E2AF5" w:rsidRPr="003372A5">
        <w:t>.</w:t>
      </w:r>
    </w:p>
    <w:p w14:paraId="51DA2C54" w14:textId="77777777" w:rsidR="00440E0D" w:rsidRPr="003372A5" w:rsidRDefault="00440E0D" w:rsidP="00440E0D">
      <w:pPr>
        <w:spacing w:after="0" w:line="240" w:lineRule="auto"/>
        <w:ind w:left="540"/>
        <w:contextualSpacing/>
        <w:jc w:val="both"/>
      </w:pPr>
    </w:p>
    <w:p w14:paraId="7C9E68E1" w14:textId="5E8ADE89" w:rsidR="00B646FC" w:rsidRPr="003372A5" w:rsidRDefault="00B646FC" w:rsidP="00C12B3C">
      <w:pPr>
        <w:numPr>
          <w:ilvl w:val="0"/>
          <w:numId w:val="3"/>
        </w:numPr>
        <w:spacing w:after="0" w:line="240" w:lineRule="auto"/>
        <w:ind w:left="540" w:hanging="540"/>
        <w:contextualSpacing/>
        <w:jc w:val="both"/>
      </w:pPr>
      <w:r w:rsidRPr="003372A5">
        <w:t xml:space="preserve">In 2024, COP14 adopted the following Decisions </w:t>
      </w:r>
      <w:r w:rsidR="00440E0D" w:rsidRPr="003372A5">
        <w:t>on this issue:</w:t>
      </w:r>
    </w:p>
    <w:p w14:paraId="4F1266F1" w14:textId="77777777" w:rsidR="00B21D42" w:rsidRPr="003372A5" w:rsidRDefault="00B21D42" w:rsidP="00B21D42">
      <w:pPr>
        <w:spacing w:after="0" w:line="240" w:lineRule="auto"/>
        <w:ind w:left="540"/>
        <w:contextualSpacing/>
        <w:jc w:val="both"/>
      </w:pPr>
    </w:p>
    <w:p w14:paraId="2049B7DA" w14:textId="7EF45C76" w:rsidR="00B21D42" w:rsidRPr="003372A5" w:rsidRDefault="00B21D42" w:rsidP="00265381">
      <w:pPr>
        <w:spacing w:after="0" w:line="240" w:lineRule="auto"/>
        <w:ind w:left="851"/>
        <w:rPr>
          <w:b/>
          <w:bCs/>
          <w:i/>
          <w:iCs/>
          <w:sz w:val="20"/>
          <w:szCs w:val="20"/>
          <w:lang w:val="en-GB"/>
        </w:rPr>
      </w:pPr>
      <w:r w:rsidRPr="003372A5">
        <w:rPr>
          <w:b/>
          <w:bCs/>
          <w:i/>
          <w:iCs/>
          <w:sz w:val="20"/>
          <w:szCs w:val="20"/>
          <w:lang w:val="en-GB"/>
        </w:rPr>
        <w:t>14.134 Directed to Parties</w:t>
      </w:r>
    </w:p>
    <w:p w14:paraId="471EF073" w14:textId="77777777" w:rsidR="00B21D42" w:rsidRPr="003372A5" w:rsidRDefault="00B21D42" w:rsidP="00265381">
      <w:pPr>
        <w:spacing w:after="0" w:line="240" w:lineRule="auto"/>
        <w:ind w:left="851"/>
        <w:contextualSpacing/>
        <w:jc w:val="both"/>
        <w:rPr>
          <w:i/>
          <w:iCs/>
          <w:sz w:val="20"/>
          <w:szCs w:val="20"/>
        </w:rPr>
      </w:pPr>
    </w:p>
    <w:p w14:paraId="08FB45D8" w14:textId="7517CDFB" w:rsidR="00B21D42" w:rsidRPr="003372A5" w:rsidRDefault="00B21D42" w:rsidP="00265381">
      <w:pPr>
        <w:spacing w:after="0" w:line="240" w:lineRule="auto"/>
        <w:ind w:left="851"/>
        <w:contextualSpacing/>
        <w:jc w:val="both"/>
        <w:rPr>
          <w:i/>
          <w:iCs/>
          <w:sz w:val="20"/>
          <w:szCs w:val="20"/>
        </w:rPr>
      </w:pPr>
      <w:r w:rsidRPr="003372A5">
        <w:rPr>
          <w:i/>
          <w:iCs/>
          <w:sz w:val="20"/>
          <w:szCs w:val="20"/>
        </w:rPr>
        <w:t>Parties</w:t>
      </w:r>
      <w:r w:rsidR="00FD2D7B" w:rsidRPr="003372A5">
        <w:rPr>
          <w:i/>
          <w:iCs/>
          <w:sz w:val="20"/>
          <w:szCs w:val="20"/>
        </w:rPr>
        <w:t xml:space="preserve"> </w:t>
      </w:r>
      <w:r w:rsidRPr="003372A5">
        <w:rPr>
          <w:i/>
          <w:iCs/>
          <w:sz w:val="20"/>
          <w:szCs w:val="20"/>
        </w:rPr>
        <w:t>are encouraged to:</w:t>
      </w:r>
    </w:p>
    <w:p w14:paraId="2AB32FAF" w14:textId="77777777" w:rsidR="00B21D42" w:rsidRPr="003372A5" w:rsidRDefault="00B21D42" w:rsidP="00265381">
      <w:pPr>
        <w:spacing w:after="0" w:line="240" w:lineRule="auto"/>
        <w:ind w:left="851" w:hanging="273"/>
        <w:contextualSpacing/>
        <w:jc w:val="both"/>
        <w:rPr>
          <w:i/>
          <w:iCs/>
          <w:sz w:val="20"/>
          <w:szCs w:val="20"/>
        </w:rPr>
      </w:pPr>
    </w:p>
    <w:p w14:paraId="709795B0" w14:textId="386109ED" w:rsidR="00060627" w:rsidRPr="001D740B" w:rsidRDefault="00DF4B95" w:rsidP="00877E49">
      <w:pPr>
        <w:pStyle w:val="ListParagraph"/>
        <w:numPr>
          <w:ilvl w:val="0"/>
          <w:numId w:val="12"/>
        </w:numPr>
        <w:spacing w:after="80" w:line="240" w:lineRule="auto"/>
        <w:ind w:left="1134" w:hanging="283"/>
        <w:contextualSpacing w:val="0"/>
        <w:jc w:val="both"/>
        <w:rPr>
          <w:sz w:val="20"/>
          <w:szCs w:val="20"/>
        </w:rPr>
      </w:pPr>
      <w:r w:rsidRPr="003372A5">
        <w:rPr>
          <w:i/>
          <w:iCs/>
          <w:sz w:val="20"/>
          <w:szCs w:val="20"/>
        </w:rPr>
        <w:t>review, in light of the scientific evidence of the harms caused by lead ammunition to wildlife and the wider environment, the provisions and effectiveness of implementation of their legal instruments (legislation and policies) that regulate the use of lead ammunition and lead fishing weights, and modify these or introduce additional measures where necessary to restrict use of lead in ammunition and fishing weights;</w:t>
      </w:r>
    </w:p>
    <w:p w14:paraId="336A2C3A" w14:textId="78340F6D" w:rsidR="00060627" w:rsidRPr="001D740B" w:rsidRDefault="00DF4B95" w:rsidP="00877E49">
      <w:pPr>
        <w:pStyle w:val="ListParagraph"/>
        <w:numPr>
          <w:ilvl w:val="0"/>
          <w:numId w:val="12"/>
        </w:numPr>
        <w:spacing w:after="80" w:line="240" w:lineRule="auto"/>
        <w:ind w:left="1134" w:hanging="283"/>
        <w:contextualSpacing w:val="0"/>
        <w:jc w:val="both"/>
        <w:rPr>
          <w:sz w:val="20"/>
          <w:szCs w:val="20"/>
        </w:rPr>
      </w:pPr>
      <w:r w:rsidRPr="003372A5">
        <w:rPr>
          <w:i/>
          <w:iCs/>
          <w:sz w:val="20"/>
          <w:szCs w:val="20"/>
        </w:rPr>
        <w:t>actively facilitate and support the development and availability of expanded product ranges of non-toxic alternative to lead ammunition and fishing weights, including through the innovative use of economic measures;</w:t>
      </w:r>
    </w:p>
    <w:p w14:paraId="3A0FF65C" w14:textId="3AD4A77D" w:rsidR="00060627" w:rsidRPr="001D740B" w:rsidRDefault="00DF4B95" w:rsidP="00877E49">
      <w:pPr>
        <w:pStyle w:val="ListParagraph"/>
        <w:numPr>
          <w:ilvl w:val="0"/>
          <w:numId w:val="12"/>
        </w:numPr>
        <w:spacing w:after="80" w:line="240" w:lineRule="auto"/>
        <w:ind w:left="1134" w:hanging="283"/>
        <w:contextualSpacing w:val="0"/>
        <w:jc w:val="both"/>
        <w:rPr>
          <w:sz w:val="20"/>
          <w:szCs w:val="20"/>
        </w:rPr>
      </w:pPr>
      <w:r w:rsidRPr="003372A5">
        <w:rPr>
          <w:i/>
          <w:iCs/>
          <w:sz w:val="20"/>
          <w:szCs w:val="20"/>
        </w:rPr>
        <w:t>implement ongoing national-level monitoring and collate and analyze information on shooting activities, ammunition use across different areas and over time, and compliance with any restrictions;</w:t>
      </w:r>
    </w:p>
    <w:p w14:paraId="4AC25B44" w14:textId="5EA7892D" w:rsidR="00060627" w:rsidRPr="001D740B" w:rsidRDefault="00DF4B95" w:rsidP="00877E49">
      <w:pPr>
        <w:pStyle w:val="ListParagraph"/>
        <w:numPr>
          <w:ilvl w:val="0"/>
          <w:numId w:val="12"/>
        </w:numPr>
        <w:spacing w:after="80" w:line="240" w:lineRule="auto"/>
        <w:ind w:left="1134" w:hanging="283"/>
        <w:contextualSpacing w:val="0"/>
        <w:jc w:val="both"/>
        <w:rPr>
          <w:sz w:val="20"/>
          <w:szCs w:val="20"/>
        </w:rPr>
      </w:pPr>
      <w:r w:rsidRPr="003372A5">
        <w:rPr>
          <w:i/>
          <w:iCs/>
          <w:sz w:val="20"/>
          <w:szCs w:val="20"/>
        </w:rPr>
        <w:t>collate national information on shooting activities, ammunition use across different areas and over time, and compliance; and map this information against at-risk migratory bird habitats to determine likely affected areas and scale of impacts;</w:t>
      </w:r>
    </w:p>
    <w:p w14:paraId="73854132" w14:textId="680674DB" w:rsidR="00AC01F4" w:rsidRPr="001D740B" w:rsidRDefault="00DF4B95" w:rsidP="00877E49">
      <w:pPr>
        <w:pStyle w:val="ListParagraph"/>
        <w:numPr>
          <w:ilvl w:val="0"/>
          <w:numId w:val="12"/>
        </w:numPr>
        <w:spacing w:after="80" w:line="240" w:lineRule="auto"/>
        <w:ind w:left="1134" w:hanging="283"/>
        <w:contextualSpacing w:val="0"/>
        <w:jc w:val="both"/>
        <w:rPr>
          <w:sz w:val="20"/>
          <w:szCs w:val="20"/>
        </w:rPr>
      </w:pPr>
      <w:r w:rsidRPr="003372A5">
        <w:rPr>
          <w:i/>
          <w:iCs/>
          <w:sz w:val="20"/>
          <w:szCs w:val="20"/>
        </w:rPr>
        <w:t>share this information with the Secretariat and the Intergovernmental Task Force on Phasing Out the Use of Lead Ammunition and Lead Fishing Weights (Lead Task Force)</w:t>
      </w:r>
      <w:r w:rsidR="00060627" w:rsidRPr="003372A5">
        <w:rPr>
          <w:i/>
          <w:iCs/>
          <w:sz w:val="20"/>
          <w:szCs w:val="20"/>
        </w:rPr>
        <w:t>;</w:t>
      </w:r>
    </w:p>
    <w:p w14:paraId="02092897" w14:textId="606DD400" w:rsidR="00C735B3" w:rsidRPr="001D740B" w:rsidRDefault="00DF4B95" w:rsidP="00877E49">
      <w:pPr>
        <w:pStyle w:val="ListParagraph"/>
        <w:numPr>
          <w:ilvl w:val="0"/>
          <w:numId w:val="12"/>
        </w:numPr>
        <w:spacing w:after="80" w:line="240" w:lineRule="auto"/>
        <w:ind w:left="1134" w:hanging="283"/>
        <w:contextualSpacing w:val="0"/>
        <w:jc w:val="both"/>
        <w:rPr>
          <w:sz w:val="20"/>
          <w:szCs w:val="20"/>
        </w:rPr>
      </w:pPr>
      <w:r w:rsidRPr="003372A5">
        <w:rPr>
          <w:i/>
          <w:iCs/>
          <w:sz w:val="20"/>
          <w:szCs w:val="20"/>
        </w:rPr>
        <w:t>take active measures to implement the recommendations set out in UNEP/CMS/COP11/Doc.23.1.2 Annex 2 to substitute lead ammunition and fishing weights for non-toxic alternatives; and</w:t>
      </w:r>
    </w:p>
    <w:p w14:paraId="09557966" w14:textId="7B9D43C8" w:rsidR="00C735B3" w:rsidRPr="003372A5" w:rsidRDefault="00C735B3" w:rsidP="00877E49">
      <w:pPr>
        <w:pStyle w:val="ListParagraph"/>
        <w:numPr>
          <w:ilvl w:val="0"/>
          <w:numId w:val="12"/>
        </w:numPr>
        <w:spacing w:after="0" w:line="240" w:lineRule="auto"/>
        <w:ind w:left="1134" w:hanging="283"/>
        <w:jc w:val="both"/>
        <w:rPr>
          <w:i/>
          <w:iCs/>
          <w:sz w:val="20"/>
          <w:szCs w:val="20"/>
        </w:rPr>
      </w:pPr>
      <w:r w:rsidRPr="003372A5">
        <w:rPr>
          <w:i/>
          <w:iCs/>
          <w:sz w:val="20"/>
          <w:szCs w:val="20"/>
        </w:rPr>
        <w:t>enhance and continue efforts to prevent poisoning of migratory birds to contribute to achieving the Kunming-Montreal Global Biodiversity Framework.</w:t>
      </w:r>
    </w:p>
    <w:p w14:paraId="02774516" w14:textId="77777777" w:rsidR="00EE7D8D" w:rsidRPr="003372A5" w:rsidRDefault="00EE7D8D" w:rsidP="00CE5B4C">
      <w:pPr>
        <w:spacing w:after="0" w:line="240" w:lineRule="auto"/>
        <w:rPr>
          <w:lang w:val="en-GB"/>
        </w:rPr>
      </w:pPr>
    </w:p>
    <w:p w14:paraId="71200C1B" w14:textId="37C18DEE" w:rsidR="000F2E83" w:rsidRPr="003372A5" w:rsidRDefault="000F2E83" w:rsidP="00877E49">
      <w:pPr>
        <w:spacing w:after="0" w:line="240" w:lineRule="auto"/>
        <w:ind w:left="851"/>
        <w:rPr>
          <w:b/>
          <w:bCs/>
          <w:i/>
          <w:iCs/>
          <w:sz w:val="20"/>
          <w:szCs w:val="20"/>
          <w:lang w:val="en-GB"/>
        </w:rPr>
      </w:pPr>
      <w:r w:rsidRPr="003372A5">
        <w:rPr>
          <w:b/>
          <w:bCs/>
          <w:i/>
          <w:iCs/>
          <w:sz w:val="20"/>
          <w:szCs w:val="20"/>
          <w:lang w:val="en-GB"/>
        </w:rPr>
        <w:t>14.135 Directed to Parties</w:t>
      </w:r>
      <w:r w:rsidR="000A252A" w:rsidRPr="003372A5">
        <w:rPr>
          <w:b/>
          <w:bCs/>
          <w:i/>
          <w:iCs/>
          <w:sz w:val="20"/>
          <w:szCs w:val="20"/>
          <w:lang w:val="en-GB"/>
        </w:rPr>
        <w:t>, intergovernmental organizations, non-governmental organizations, donors and others</w:t>
      </w:r>
    </w:p>
    <w:p w14:paraId="0EA8E16A" w14:textId="77777777" w:rsidR="000A252A" w:rsidRPr="003372A5" w:rsidRDefault="000A252A" w:rsidP="00877E49">
      <w:pPr>
        <w:spacing w:after="0" w:line="240" w:lineRule="auto"/>
        <w:ind w:left="851"/>
        <w:rPr>
          <w:b/>
          <w:bCs/>
          <w:i/>
          <w:iCs/>
          <w:sz w:val="20"/>
          <w:szCs w:val="20"/>
          <w:lang w:val="en-GB"/>
        </w:rPr>
      </w:pPr>
    </w:p>
    <w:p w14:paraId="4425EB2C" w14:textId="7B62D79D" w:rsidR="000A252A" w:rsidRPr="003372A5" w:rsidRDefault="00755FD9" w:rsidP="00877E49">
      <w:pPr>
        <w:spacing w:after="0" w:line="240" w:lineRule="auto"/>
        <w:ind w:left="851"/>
        <w:jc w:val="both"/>
        <w:rPr>
          <w:i/>
          <w:iCs/>
          <w:sz w:val="20"/>
          <w:szCs w:val="20"/>
          <w:lang w:val="en-GB"/>
        </w:rPr>
      </w:pPr>
      <w:r w:rsidRPr="003372A5">
        <w:rPr>
          <w:i/>
          <w:iCs/>
          <w:sz w:val="20"/>
          <w:szCs w:val="20"/>
          <w:lang w:val="en-GB"/>
        </w:rPr>
        <w:t>Parties, intergovernmental and non-governmental organizations and donors are encouraged to nominate representatives to the Preventing Poisoning Working Group (PPWG),</w:t>
      </w:r>
      <w:r w:rsidR="00B13A08" w:rsidRPr="003372A5">
        <w:rPr>
          <w:i/>
          <w:iCs/>
          <w:sz w:val="20"/>
          <w:szCs w:val="20"/>
          <w:lang w:val="en-GB"/>
        </w:rPr>
        <w:t xml:space="preserve"> </w:t>
      </w:r>
      <w:r w:rsidRPr="003372A5">
        <w:rPr>
          <w:i/>
          <w:iCs/>
          <w:sz w:val="20"/>
          <w:szCs w:val="20"/>
          <w:lang w:val="en-GB"/>
        </w:rPr>
        <w:t>and</w:t>
      </w:r>
      <w:r w:rsidR="00B13A08" w:rsidRPr="003372A5">
        <w:rPr>
          <w:i/>
          <w:iCs/>
          <w:sz w:val="20"/>
          <w:szCs w:val="20"/>
          <w:lang w:val="en-GB"/>
        </w:rPr>
        <w:t xml:space="preserve"> </w:t>
      </w:r>
      <w:r w:rsidRPr="003372A5">
        <w:rPr>
          <w:i/>
          <w:iCs/>
          <w:sz w:val="20"/>
          <w:szCs w:val="20"/>
          <w:lang w:val="en-GB"/>
        </w:rPr>
        <w:t>provide financial support to the Secretariat for the organization of meetings of the PPWG and for the production of communication outputs linked to priority areas/flyways within the triennium 2024-2026.</w:t>
      </w:r>
    </w:p>
    <w:p w14:paraId="5B9C7FFE" w14:textId="7C17E37B" w:rsidR="00AA2DAA" w:rsidRDefault="00AA2DAA" w:rsidP="00B13A08">
      <w:pPr>
        <w:spacing w:after="0" w:line="240" w:lineRule="auto"/>
        <w:ind w:left="1440"/>
        <w:jc w:val="both"/>
        <w:rPr>
          <w:i/>
          <w:iCs/>
          <w:sz w:val="20"/>
          <w:szCs w:val="20"/>
          <w:lang w:val="en-GB"/>
        </w:rPr>
      </w:pPr>
      <w:r>
        <w:rPr>
          <w:i/>
          <w:iCs/>
          <w:sz w:val="20"/>
          <w:szCs w:val="20"/>
          <w:lang w:val="en-GB"/>
        </w:rPr>
        <w:br w:type="page"/>
      </w:r>
    </w:p>
    <w:p w14:paraId="3050A0DD" w14:textId="25A9ED58" w:rsidR="00344273" w:rsidRPr="003372A5" w:rsidRDefault="00344273" w:rsidP="00AA2DAA">
      <w:pPr>
        <w:spacing w:after="0" w:line="240" w:lineRule="auto"/>
        <w:ind w:left="851"/>
        <w:jc w:val="both"/>
        <w:rPr>
          <w:b/>
          <w:bCs/>
          <w:i/>
          <w:iCs/>
          <w:sz w:val="20"/>
          <w:szCs w:val="20"/>
          <w:lang w:val="en-GB"/>
        </w:rPr>
      </w:pPr>
      <w:r w:rsidRPr="003372A5">
        <w:rPr>
          <w:b/>
          <w:bCs/>
          <w:i/>
          <w:iCs/>
          <w:sz w:val="20"/>
          <w:szCs w:val="20"/>
          <w:lang w:val="en-GB"/>
        </w:rPr>
        <w:lastRenderedPageBreak/>
        <w:t>14.136 Directed to the Secretariat</w:t>
      </w:r>
    </w:p>
    <w:p w14:paraId="3ECCA583" w14:textId="77777777" w:rsidR="00E545C3" w:rsidRPr="003372A5" w:rsidRDefault="00E545C3" w:rsidP="00AA2DAA">
      <w:pPr>
        <w:spacing w:after="0" w:line="240" w:lineRule="auto"/>
        <w:ind w:left="851"/>
        <w:jc w:val="both"/>
        <w:rPr>
          <w:b/>
          <w:bCs/>
          <w:i/>
          <w:iCs/>
          <w:sz w:val="20"/>
          <w:szCs w:val="20"/>
          <w:lang w:val="en-GB"/>
        </w:rPr>
      </w:pPr>
    </w:p>
    <w:p w14:paraId="0B761EC9" w14:textId="73C55A19" w:rsidR="00E545C3" w:rsidRPr="003372A5" w:rsidRDefault="00E545C3" w:rsidP="00AA2DAA">
      <w:pPr>
        <w:spacing w:after="0" w:line="240" w:lineRule="auto"/>
        <w:ind w:left="851"/>
        <w:jc w:val="both"/>
        <w:rPr>
          <w:i/>
          <w:iCs/>
          <w:sz w:val="20"/>
          <w:szCs w:val="20"/>
        </w:rPr>
      </w:pPr>
      <w:r w:rsidRPr="003372A5">
        <w:rPr>
          <w:i/>
          <w:iCs/>
          <w:sz w:val="20"/>
          <w:szCs w:val="20"/>
        </w:rPr>
        <w:t>The Secretariat shall, subject to the availability of external resources</w:t>
      </w:r>
      <w:r w:rsidR="009E5CAC" w:rsidRPr="003372A5">
        <w:rPr>
          <w:i/>
          <w:iCs/>
          <w:sz w:val="20"/>
          <w:szCs w:val="20"/>
        </w:rPr>
        <w:t>:</w:t>
      </w:r>
    </w:p>
    <w:p w14:paraId="75C69CCC" w14:textId="77777777" w:rsidR="00A86BA5" w:rsidRPr="003372A5" w:rsidRDefault="00A86BA5" w:rsidP="00B13A08">
      <w:pPr>
        <w:spacing w:after="0" w:line="240" w:lineRule="auto"/>
        <w:ind w:left="720"/>
        <w:jc w:val="both"/>
        <w:rPr>
          <w:b/>
          <w:bCs/>
          <w:i/>
          <w:iCs/>
          <w:sz w:val="20"/>
          <w:szCs w:val="20"/>
          <w:lang w:val="en-GB"/>
        </w:rPr>
      </w:pPr>
    </w:p>
    <w:p w14:paraId="67E4D4C9" w14:textId="280EFAA2" w:rsidR="00A86BA5" w:rsidRPr="00AA2DAA" w:rsidRDefault="00A86BA5" w:rsidP="00AA2DAA">
      <w:pPr>
        <w:pStyle w:val="ListParagraph"/>
        <w:numPr>
          <w:ilvl w:val="0"/>
          <w:numId w:val="13"/>
        </w:numPr>
        <w:spacing w:after="80" w:line="240" w:lineRule="auto"/>
        <w:ind w:left="1134" w:hanging="283"/>
        <w:contextualSpacing w:val="0"/>
        <w:jc w:val="both"/>
        <w:rPr>
          <w:i/>
          <w:iCs/>
          <w:sz w:val="20"/>
          <w:szCs w:val="20"/>
          <w:lang w:val="en-GB"/>
        </w:rPr>
      </w:pPr>
      <w:r w:rsidRPr="003372A5">
        <w:rPr>
          <w:i/>
          <w:iCs/>
          <w:sz w:val="20"/>
          <w:szCs w:val="20"/>
          <w:lang w:val="en-GB"/>
        </w:rPr>
        <w:t>appoint a Coordinator of the Intergovernmental Task Force on Phasing Out the Use of Lead Ammunition and Lead Fishing Weights (Lead Task Force) for the triennium 2024-2026, in collaboration with Parties and the PPWG, and convene the first meeting as early as possible after COP14;</w:t>
      </w:r>
    </w:p>
    <w:p w14:paraId="1D9A5680" w14:textId="023ED4C2" w:rsidR="00A86BA5" w:rsidRPr="00AA2DAA" w:rsidRDefault="00A86BA5" w:rsidP="00AA2DAA">
      <w:pPr>
        <w:pStyle w:val="ListParagraph"/>
        <w:numPr>
          <w:ilvl w:val="0"/>
          <w:numId w:val="13"/>
        </w:numPr>
        <w:spacing w:after="80" w:line="240" w:lineRule="auto"/>
        <w:ind w:left="1134" w:hanging="283"/>
        <w:contextualSpacing w:val="0"/>
        <w:jc w:val="both"/>
        <w:rPr>
          <w:i/>
          <w:iCs/>
          <w:sz w:val="20"/>
          <w:szCs w:val="20"/>
          <w:lang w:val="en-GB"/>
        </w:rPr>
      </w:pPr>
      <w:r w:rsidRPr="003372A5">
        <w:rPr>
          <w:i/>
          <w:iCs/>
          <w:sz w:val="20"/>
          <w:szCs w:val="20"/>
          <w:lang w:val="en-GB"/>
        </w:rPr>
        <w:t>collate the information provided by Parties in response to Decision 14.134 through the Lead Task Force, and, based on this information, determine the efficacy of regulations, and develop guidance on the steps and procedures to adjust or develop legislation for a complete phase-out of the use of lead ammunition and lead fishing weights in all habitats, in line with the Guidelines to Prevent the Risk of Poisoning to Migratory Birds (UNEP/CMS/COP11/Doc.23.1.2 Annex 2), and existing information on alternatives;</w:t>
      </w:r>
    </w:p>
    <w:p w14:paraId="559CCF1B" w14:textId="58EF500D" w:rsidR="00036F10" w:rsidRPr="00AA2DAA" w:rsidRDefault="00A86BA5" w:rsidP="00AA2DAA">
      <w:pPr>
        <w:pStyle w:val="ListParagraph"/>
        <w:numPr>
          <w:ilvl w:val="0"/>
          <w:numId w:val="13"/>
        </w:numPr>
        <w:spacing w:after="80" w:line="240" w:lineRule="auto"/>
        <w:ind w:left="1134" w:hanging="283"/>
        <w:contextualSpacing w:val="0"/>
        <w:jc w:val="both"/>
        <w:rPr>
          <w:i/>
          <w:iCs/>
          <w:sz w:val="20"/>
          <w:szCs w:val="20"/>
          <w:lang w:val="en-GB"/>
        </w:rPr>
      </w:pPr>
      <w:r w:rsidRPr="003372A5">
        <w:rPr>
          <w:i/>
          <w:iCs/>
          <w:sz w:val="20"/>
          <w:szCs w:val="20"/>
          <w:lang w:val="en-GB"/>
        </w:rPr>
        <w:t>support a discussion within the African-Eurasian Migratory Landbirds Working Group concerning possible action on minimi</w:t>
      </w:r>
      <w:r w:rsidR="00DF3DB6" w:rsidRPr="003372A5">
        <w:rPr>
          <w:i/>
          <w:iCs/>
          <w:sz w:val="20"/>
          <w:szCs w:val="20"/>
          <w:lang w:val="en-GB"/>
        </w:rPr>
        <w:t>z</w:t>
      </w:r>
      <w:r w:rsidRPr="003372A5">
        <w:rPr>
          <w:i/>
          <w:iCs/>
          <w:sz w:val="20"/>
          <w:szCs w:val="20"/>
          <w:lang w:val="en-GB"/>
        </w:rPr>
        <w:t>ing the impact of agricultural pesticides on landbirds in line with the African-Eurasian Migratory Landbirds Action Plan, as well as the delivery of the pesticide mandate under Resolution 11.15 (Rev.COP14);</w:t>
      </w:r>
    </w:p>
    <w:p w14:paraId="3425D5C0" w14:textId="21F511BF" w:rsidR="00490BAA" w:rsidRPr="00AA2DAA" w:rsidRDefault="00A86BA5" w:rsidP="00AA2DAA">
      <w:pPr>
        <w:pStyle w:val="ListParagraph"/>
        <w:numPr>
          <w:ilvl w:val="0"/>
          <w:numId w:val="13"/>
        </w:numPr>
        <w:spacing w:after="80" w:line="240" w:lineRule="auto"/>
        <w:ind w:left="1134" w:hanging="283"/>
        <w:contextualSpacing w:val="0"/>
        <w:jc w:val="both"/>
        <w:rPr>
          <w:i/>
          <w:iCs/>
          <w:sz w:val="20"/>
          <w:szCs w:val="20"/>
          <w:lang w:val="en-GB"/>
        </w:rPr>
      </w:pPr>
      <w:r w:rsidRPr="003372A5">
        <w:rPr>
          <w:i/>
          <w:iCs/>
          <w:sz w:val="20"/>
          <w:szCs w:val="20"/>
          <w:lang w:val="en-GB"/>
        </w:rPr>
        <w:t>organize regional workshops of the PPWG within the triennium 2024</w:t>
      </w:r>
      <w:r w:rsidR="00BB52EF" w:rsidRPr="003372A5">
        <w:rPr>
          <w:i/>
          <w:iCs/>
          <w:sz w:val="20"/>
          <w:szCs w:val="20"/>
          <w:lang w:val="en-GB"/>
        </w:rPr>
        <w:t>-</w:t>
      </w:r>
      <w:r w:rsidRPr="003372A5">
        <w:rPr>
          <w:i/>
          <w:iCs/>
          <w:sz w:val="20"/>
          <w:szCs w:val="20"/>
          <w:lang w:val="en-GB"/>
        </w:rPr>
        <w:t>2026 in high-risk areas/flyways, to promote the implementation of the Guidelines to Prevent the Risk of Poisoning to Migratory Birds (UNEP/CMS/COP11/Doc.23.1.2 Annex 2) and to share best practices and lessons learned amongst its members and stakeholders; and</w:t>
      </w:r>
    </w:p>
    <w:p w14:paraId="02B9E346" w14:textId="4574FD4A" w:rsidR="00344273" w:rsidRPr="003372A5" w:rsidRDefault="00490BAA" w:rsidP="00AA2DAA">
      <w:pPr>
        <w:pStyle w:val="ListParagraph"/>
        <w:numPr>
          <w:ilvl w:val="0"/>
          <w:numId w:val="13"/>
        </w:numPr>
        <w:spacing w:after="0" w:line="240" w:lineRule="auto"/>
        <w:ind w:left="1134" w:hanging="283"/>
        <w:jc w:val="both"/>
        <w:rPr>
          <w:i/>
          <w:iCs/>
          <w:sz w:val="20"/>
          <w:szCs w:val="20"/>
          <w:lang w:val="en-GB"/>
        </w:rPr>
      </w:pPr>
      <w:r w:rsidRPr="003372A5">
        <w:rPr>
          <w:i/>
          <w:iCs/>
          <w:sz w:val="20"/>
          <w:szCs w:val="20"/>
          <w:lang w:val="en-GB"/>
        </w:rPr>
        <w:t>report to the Sessional Committee of the Scientific Council at its meeting before COP15 and to the COP15 itself on the progress in implementing these Decisions.</w:t>
      </w:r>
    </w:p>
    <w:p w14:paraId="0D10C3B4" w14:textId="57308E5B" w:rsidR="006A7DC4" w:rsidRPr="003372A5" w:rsidRDefault="006A7DC4" w:rsidP="00B13A08">
      <w:pPr>
        <w:spacing w:after="0" w:line="240" w:lineRule="auto"/>
        <w:jc w:val="both"/>
        <w:rPr>
          <w:lang w:val="en-GB"/>
        </w:rPr>
      </w:pPr>
    </w:p>
    <w:p w14:paraId="1426886B" w14:textId="2C350E35" w:rsidR="006A689A" w:rsidRPr="003372A5" w:rsidRDefault="005D73B9" w:rsidP="00CE5B4C">
      <w:pPr>
        <w:spacing w:after="0" w:line="240" w:lineRule="auto"/>
        <w:rPr>
          <w:u w:val="single"/>
        </w:rPr>
      </w:pPr>
      <w:r w:rsidRPr="003372A5">
        <w:rPr>
          <w:u w:val="single"/>
        </w:rPr>
        <w:t>Activities to implement Resolution 11.15 (Rev.COP14) and Decision 14.136</w:t>
      </w:r>
    </w:p>
    <w:p w14:paraId="6A455F48" w14:textId="77777777" w:rsidR="00253AF0" w:rsidRPr="003372A5" w:rsidRDefault="00253AF0" w:rsidP="00CE5B4C">
      <w:pPr>
        <w:spacing w:after="0" w:line="240" w:lineRule="auto"/>
        <w:rPr>
          <w:u w:val="single"/>
        </w:rPr>
      </w:pPr>
    </w:p>
    <w:p w14:paraId="7E61ED1F" w14:textId="18091843" w:rsidR="00253AF0" w:rsidRPr="003372A5" w:rsidRDefault="00107907" w:rsidP="001D01E7">
      <w:pPr>
        <w:numPr>
          <w:ilvl w:val="0"/>
          <w:numId w:val="3"/>
        </w:numPr>
        <w:spacing w:after="0" w:line="240" w:lineRule="auto"/>
        <w:ind w:left="540" w:hanging="540"/>
        <w:contextualSpacing/>
        <w:jc w:val="both"/>
      </w:pPr>
      <w:r w:rsidRPr="003372A5">
        <w:t>As instructed by Resolution 11.15 (Rev.COP1</w:t>
      </w:r>
      <w:r w:rsidR="008E331B" w:rsidRPr="003372A5">
        <w:t>4</w:t>
      </w:r>
      <w:r w:rsidRPr="003372A5">
        <w:t xml:space="preserve">), during the intersessional period, the Secretariat continued to promote the </w:t>
      </w:r>
      <w:hyperlink r:id="rId13" w:history="1">
        <w:r w:rsidRPr="003372A5">
          <w:rPr>
            <w:rStyle w:val="Hyperlink"/>
          </w:rPr>
          <w:t>UNEP/CMS/COP11/Doc.23.1.2 Annex 2</w:t>
        </w:r>
      </w:hyperlink>
      <w:r w:rsidRPr="003372A5">
        <w:t xml:space="preserve"> </w:t>
      </w:r>
      <w:r w:rsidRPr="003372A5">
        <w:rPr>
          <w:i/>
          <w:iCs/>
        </w:rPr>
        <w:t>Guidelines to Prevent the Risk of Poisoning to Migratory Birds</w:t>
      </w:r>
      <w:r w:rsidRPr="003372A5">
        <w:t xml:space="preserve"> (PPWG Guidelines).</w:t>
      </w:r>
    </w:p>
    <w:p w14:paraId="24717B4C" w14:textId="77777777" w:rsidR="00281E0D" w:rsidRPr="003372A5" w:rsidRDefault="00281E0D" w:rsidP="00281E0D">
      <w:pPr>
        <w:spacing w:after="0" w:line="240" w:lineRule="auto"/>
        <w:ind w:left="540"/>
        <w:contextualSpacing/>
        <w:jc w:val="both"/>
      </w:pPr>
    </w:p>
    <w:p w14:paraId="0A98BC81" w14:textId="6E022CF2" w:rsidR="00654D36" w:rsidRDefault="00C95279" w:rsidP="004426D4">
      <w:pPr>
        <w:numPr>
          <w:ilvl w:val="0"/>
          <w:numId w:val="3"/>
        </w:numPr>
        <w:spacing w:after="0" w:line="240" w:lineRule="auto"/>
        <w:ind w:left="540" w:hanging="540"/>
        <w:contextualSpacing/>
        <w:jc w:val="both"/>
      </w:pPr>
      <w:r w:rsidRPr="003372A5">
        <w:t xml:space="preserve">The Secretariat undertook efforts </w:t>
      </w:r>
      <w:r w:rsidR="00224282" w:rsidRPr="003372A5">
        <w:t>to</w:t>
      </w:r>
      <w:r w:rsidRPr="003372A5">
        <w:t xml:space="preserve"> prepar</w:t>
      </w:r>
      <w:r w:rsidR="00224282" w:rsidRPr="003372A5">
        <w:t>e</w:t>
      </w:r>
      <w:r w:rsidR="003C0063" w:rsidRPr="003372A5">
        <w:t xml:space="preserve"> for</w:t>
      </w:r>
      <w:r w:rsidRPr="003372A5">
        <w:t xml:space="preserve"> the launch of t</w:t>
      </w:r>
      <w:r w:rsidR="00191F8A" w:rsidRPr="003372A5">
        <w:t xml:space="preserve">he </w:t>
      </w:r>
      <w:hyperlink r:id="rId14" w:history="1">
        <w:r w:rsidR="00191F8A" w:rsidRPr="003372A5">
          <w:rPr>
            <w:rStyle w:val="Hyperlink"/>
          </w:rPr>
          <w:t>Lead Task Force</w:t>
        </w:r>
      </w:hyperlink>
      <w:r w:rsidR="00191F8A">
        <w:t xml:space="preserve">. A </w:t>
      </w:r>
      <w:hyperlink r:id="rId15" w:history="1">
        <w:r w:rsidR="00191F8A" w:rsidRPr="00ED3515">
          <w:rPr>
            <w:rStyle w:val="Hyperlink"/>
          </w:rPr>
          <w:t>factsheet</w:t>
        </w:r>
      </w:hyperlink>
      <w:r w:rsidR="003C0063">
        <w:t>,</w:t>
      </w:r>
      <w:r w:rsidR="00191F8A">
        <w:t xml:space="preserve"> </w:t>
      </w:r>
      <w:r w:rsidR="00281E0D" w:rsidRPr="00281E0D">
        <w:rPr>
          <w:i/>
          <w:iCs/>
        </w:rPr>
        <w:t>Threats of Lead Ammunition and Lead Fishing Weights to Migratory Birds</w:t>
      </w:r>
      <w:r w:rsidR="003C0063">
        <w:rPr>
          <w:i/>
          <w:iCs/>
        </w:rPr>
        <w:t>,</w:t>
      </w:r>
      <w:r w:rsidR="00281E0D">
        <w:t xml:space="preserve"> </w:t>
      </w:r>
      <w:r w:rsidR="00191F8A">
        <w:t xml:space="preserve">was </w:t>
      </w:r>
      <w:r w:rsidR="00D30E99">
        <w:t>developed</w:t>
      </w:r>
      <w:r w:rsidR="00281E0D">
        <w:t xml:space="preserve"> and promoted through a new</w:t>
      </w:r>
      <w:r w:rsidR="00044F04">
        <w:t xml:space="preserve"> Task Force</w:t>
      </w:r>
      <w:r w:rsidR="00281E0D">
        <w:t xml:space="preserve"> </w:t>
      </w:r>
      <w:hyperlink r:id="rId16" w:history="1">
        <w:r w:rsidR="00281E0D" w:rsidRPr="00281E0D">
          <w:rPr>
            <w:rStyle w:val="Hyperlink"/>
          </w:rPr>
          <w:t>website</w:t>
        </w:r>
      </w:hyperlink>
      <w:r w:rsidR="00036F10">
        <w:t xml:space="preserve">, </w:t>
      </w:r>
      <w:r w:rsidR="00D111D8">
        <w:t xml:space="preserve">which </w:t>
      </w:r>
      <w:r w:rsidR="008B4DC9">
        <w:t xml:space="preserve">also </w:t>
      </w:r>
      <w:r w:rsidR="00D111D8">
        <w:t>includes</w:t>
      </w:r>
      <w:r w:rsidR="00281E0D">
        <w:t xml:space="preserve"> </w:t>
      </w:r>
      <w:r w:rsidR="008B4DC9">
        <w:t>other relevant</w:t>
      </w:r>
      <w:r w:rsidR="00281E0D">
        <w:t xml:space="preserve"> </w:t>
      </w:r>
      <w:r w:rsidR="00D111D8">
        <w:t>r</w:t>
      </w:r>
      <w:r w:rsidR="00281E0D">
        <w:t>esource materials</w:t>
      </w:r>
      <w:r w:rsidR="00191F8A">
        <w:t xml:space="preserve">. </w:t>
      </w:r>
      <w:r w:rsidR="004354CE">
        <w:t>Due to lack of financial resources and limited staffing capacities</w:t>
      </w:r>
      <w:r w:rsidR="00281E0D">
        <w:t xml:space="preserve"> for coordination</w:t>
      </w:r>
      <w:r w:rsidR="004354CE">
        <w:t xml:space="preserve">, </w:t>
      </w:r>
      <w:r w:rsidR="005112D5">
        <w:t>to date</w:t>
      </w:r>
      <w:r w:rsidR="004354CE">
        <w:t xml:space="preserve">, it </w:t>
      </w:r>
      <w:r w:rsidR="001F6273">
        <w:t>has</w:t>
      </w:r>
      <w:r w:rsidR="004354CE">
        <w:t xml:space="preserve"> not </w:t>
      </w:r>
      <w:r w:rsidR="001F6273">
        <w:t>been</w:t>
      </w:r>
      <w:r w:rsidR="004354CE">
        <w:t xml:space="preserve"> possible to </w:t>
      </w:r>
      <w:r w:rsidR="00281E0D">
        <w:t>launch and operationalize the Lead Task Force</w:t>
      </w:r>
      <w:r w:rsidR="001237C5">
        <w:t xml:space="preserve">, nor hold any meetings or workshops of the Task Force </w:t>
      </w:r>
      <w:r w:rsidR="00DC25A1">
        <w:t>or the PPWG</w:t>
      </w:r>
      <w:r w:rsidR="00281E0D">
        <w:t>.</w:t>
      </w:r>
    </w:p>
    <w:p w14:paraId="21D53029" w14:textId="77777777" w:rsidR="00AF21E1" w:rsidRDefault="00AF21E1" w:rsidP="00856049">
      <w:pPr>
        <w:spacing w:after="0" w:line="240" w:lineRule="auto"/>
        <w:contextualSpacing/>
        <w:jc w:val="both"/>
      </w:pPr>
    </w:p>
    <w:p w14:paraId="56672C91" w14:textId="23B68DBA" w:rsidR="00AF21E1" w:rsidRDefault="003B30E1" w:rsidP="001D01E7">
      <w:pPr>
        <w:numPr>
          <w:ilvl w:val="0"/>
          <w:numId w:val="3"/>
        </w:numPr>
        <w:spacing w:after="0" w:line="240" w:lineRule="auto"/>
        <w:ind w:left="540" w:hanging="540"/>
        <w:contextualSpacing/>
        <w:jc w:val="both"/>
      </w:pPr>
      <w:r>
        <w:t xml:space="preserve">In a </w:t>
      </w:r>
      <w:r w:rsidR="00582103">
        <w:t>parallel</w:t>
      </w:r>
      <w:r>
        <w:t xml:space="preserve"> process and throughout 2025, t</w:t>
      </w:r>
      <w:r w:rsidR="00AF21E1">
        <w:t xml:space="preserve">he Secretariat undertook </w:t>
      </w:r>
      <w:r w:rsidR="002E48D5">
        <w:t>a</w:t>
      </w:r>
      <w:r w:rsidR="00462AC1">
        <w:t>n internal</w:t>
      </w:r>
      <w:r w:rsidR="002E48D5">
        <w:t xml:space="preserve"> </w:t>
      </w:r>
      <w:r w:rsidR="00AF21E1">
        <w:t xml:space="preserve">review of the poisoning mandate </w:t>
      </w:r>
      <w:r w:rsidR="0024559A">
        <w:t xml:space="preserve">to </w:t>
      </w:r>
      <w:r w:rsidR="006B4C5E">
        <w:t>assess</w:t>
      </w:r>
      <w:r w:rsidR="00AF21E1">
        <w:t xml:space="preserve"> progress made in recent years, </w:t>
      </w:r>
      <w:r w:rsidR="00A64F90">
        <w:t>with particular consideration given to</w:t>
      </w:r>
      <w:r w:rsidR="00AF21E1">
        <w:t xml:space="preserve"> the role of the P</w:t>
      </w:r>
      <w:r w:rsidR="00175BF8">
        <w:t>PWG</w:t>
      </w:r>
      <w:r w:rsidR="00AF21E1">
        <w:t xml:space="preserve">. </w:t>
      </w:r>
      <w:r w:rsidR="002F1957">
        <w:t xml:space="preserve">The outcomes were shared with the </w:t>
      </w:r>
      <w:r w:rsidR="00FE1C43">
        <w:t xml:space="preserve">Chair </w:t>
      </w:r>
      <w:r w:rsidR="002F1957">
        <w:t xml:space="preserve">of the </w:t>
      </w:r>
      <w:r w:rsidR="00B22F4C" w:rsidRPr="00B22F4C">
        <w:t>African-Eurasian Migratory Landbirds Working Group (AEML WG)</w:t>
      </w:r>
      <w:r w:rsidR="00BA6CF2">
        <w:t xml:space="preserve"> and its coordinators</w:t>
      </w:r>
      <w:r w:rsidR="00FE1C43">
        <w:t>, and the preventi</w:t>
      </w:r>
      <w:r w:rsidR="007310F1">
        <w:t xml:space="preserve">on of poisoning from </w:t>
      </w:r>
      <w:r w:rsidR="00FE1C43">
        <w:t>inse</w:t>
      </w:r>
      <w:r w:rsidR="007832DA">
        <w:t>cticides and rodenticides was regularly discussed during the online meeting</w:t>
      </w:r>
      <w:r w:rsidR="007310F1">
        <w:t>s</w:t>
      </w:r>
      <w:r w:rsidR="007832DA">
        <w:t xml:space="preserve"> of the </w:t>
      </w:r>
      <w:r w:rsidR="006B4C5E">
        <w:t>Steering Group of the AEML WG</w:t>
      </w:r>
      <w:r w:rsidR="00FE1C43">
        <w:t>.</w:t>
      </w:r>
    </w:p>
    <w:p w14:paraId="134F7A3F" w14:textId="77777777" w:rsidR="00B63C18" w:rsidRDefault="00B63C18" w:rsidP="00B63C18">
      <w:pPr>
        <w:spacing w:after="0" w:line="240" w:lineRule="auto"/>
        <w:ind w:left="540"/>
        <w:contextualSpacing/>
        <w:jc w:val="both"/>
      </w:pPr>
    </w:p>
    <w:p w14:paraId="071EC35A" w14:textId="11AE0572" w:rsidR="00EF2909" w:rsidRDefault="00EF2909" w:rsidP="001D01E7">
      <w:pPr>
        <w:numPr>
          <w:ilvl w:val="0"/>
          <w:numId w:val="3"/>
        </w:numPr>
        <w:spacing w:after="0" w:line="240" w:lineRule="auto"/>
        <w:ind w:left="540" w:hanging="540"/>
        <w:contextualSpacing/>
        <w:jc w:val="both"/>
      </w:pPr>
      <w:r>
        <w:t xml:space="preserve">Parties made progress in phasing out the use of lead ammunition. </w:t>
      </w:r>
      <w:r w:rsidR="00261784">
        <w:t xml:space="preserve">On 10 July 2025, the UK Government announced its decision </w:t>
      </w:r>
      <w:r w:rsidR="00B63C18">
        <w:t xml:space="preserve">to </w:t>
      </w:r>
      <w:r w:rsidR="00B63C18" w:rsidRPr="00B63C18">
        <w:t>ban shot containing more than 1</w:t>
      </w:r>
      <w:r w:rsidR="00D13179">
        <w:t xml:space="preserve"> percent</w:t>
      </w:r>
      <w:r w:rsidR="00B63C18" w:rsidRPr="00B63C18">
        <w:t xml:space="preserve"> lead and bullets with a lead content of more than 3</w:t>
      </w:r>
      <w:r w:rsidR="00D13179">
        <w:t xml:space="preserve"> percent, with a </w:t>
      </w:r>
      <w:r w:rsidR="009B034E">
        <w:t>three</w:t>
      </w:r>
      <w:r w:rsidR="00D13179">
        <w:t>-year transition period</w:t>
      </w:r>
      <w:r w:rsidR="00B63C18" w:rsidRPr="00B63C18">
        <w:t>.</w:t>
      </w:r>
      <w:r w:rsidR="00B63C18">
        <w:t xml:space="preserve"> </w:t>
      </w:r>
    </w:p>
    <w:p w14:paraId="1F88DCF9" w14:textId="77777777" w:rsidR="002E171E" w:rsidRDefault="002E171E" w:rsidP="002E171E">
      <w:pPr>
        <w:spacing w:after="0" w:line="240" w:lineRule="auto"/>
        <w:ind w:left="540"/>
        <w:contextualSpacing/>
        <w:jc w:val="both"/>
      </w:pPr>
    </w:p>
    <w:p w14:paraId="6BBE8BD6" w14:textId="7B275951" w:rsidR="003B4068" w:rsidRDefault="00F5010B" w:rsidP="001D01E7">
      <w:pPr>
        <w:numPr>
          <w:ilvl w:val="0"/>
          <w:numId w:val="3"/>
        </w:numPr>
        <w:spacing w:after="0" w:line="240" w:lineRule="auto"/>
        <w:ind w:left="540" w:hanging="540"/>
        <w:contextualSpacing/>
        <w:jc w:val="both"/>
      </w:pPr>
      <w:r>
        <w:t xml:space="preserve">Related to Decision 14.135, </w:t>
      </w:r>
      <w:r w:rsidR="002E171E">
        <w:t xml:space="preserve">while not </w:t>
      </w:r>
      <w:r w:rsidR="00055578">
        <w:t xml:space="preserve">directly supported </w:t>
      </w:r>
      <w:r w:rsidR="002E171E">
        <w:t>through the Secretariat,</w:t>
      </w:r>
      <w:r w:rsidR="00FD1827">
        <w:t xml:space="preserve"> </w:t>
      </w:r>
      <w:r w:rsidR="00135DFE">
        <w:t xml:space="preserve">the </w:t>
      </w:r>
      <w:hyperlink r:id="rId17" w:history="1">
        <w:r w:rsidR="00135DFE" w:rsidRPr="00135DFE">
          <w:rPr>
            <w:rStyle w:val="Hyperlink"/>
          </w:rPr>
          <w:t>Campaign against criminal Poisoning of European Wildlife (CPEW)</w:t>
        </w:r>
      </w:hyperlink>
      <w:r w:rsidR="00B3190C">
        <w:t>,</w:t>
      </w:r>
      <w:r w:rsidR="00135DFE" w:rsidRPr="00135DFE">
        <w:t xml:space="preserve"> </w:t>
      </w:r>
      <w:r w:rsidR="00FD1827">
        <w:t>a multi-stakeholder initiative</w:t>
      </w:r>
      <w:r w:rsidR="00FA15DA">
        <w:t xml:space="preserve"> </w:t>
      </w:r>
      <w:r w:rsidR="004303F3">
        <w:t xml:space="preserve">of NGOs, private </w:t>
      </w:r>
      <w:r w:rsidR="002E171E">
        <w:t>sector</w:t>
      </w:r>
      <w:r w:rsidR="004303F3">
        <w:t xml:space="preserve"> </w:t>
      </w:r>
      <w:r w:rsidR="008071E8">
        <w:t xml:space="preserve">groups </w:t>
      </w:r>
      <w:r w:rsidR="004303F3">
        <w:t xml:space="preserve">and </w:t>
      </w:r>
      <w:r w:rsidR="002E171E">
        <w:t>other</w:t>
      </w:r>
      <w:r w:rsidR="007F0C6E">
        <w:t xml:space="preserve"> institutions</w:t>
      </w:r>
      <w:r w:rsidR="00AE3FA2">
        <w:t>,</w:t>
      </w:r>
      <w:r w:rsidR="00FD1827">
        <w:t xml:space="preserve"> has grown since 2024</w:t>
      </w:r>
      <w:r w:rsidR="00175BF8">
        <w:t>,</w:t>
      </w:r>
      <w:r w:rsidR="00055578">
        <w:t xml:space="preserve"> funded by</w:t>
      </w:r>
      <w:r w:rsidR="00186547">
        <w:t xml:space="preserve"> the EU</w:t>
      </w:r>
      <w:r w:rsidR="00055578">
        <w:t>.</w:t>
      </w:r>
    </w:p>
    <w:p w14:paraId="0BF5F5BA" w14:textId="43C49335" w:rsidR="008C311A" w:rsidRDefault="008C311A" w:rsidP="003B4068">
      <w:pPr>
        <w:spacing w:after="0" w:line="240" w:lineRule="auto"/>
        <w:ind w:left="540"/>
        <w:contextualSpacing/>
        <w:jc w:val="both"/>
      </w:pPr>
      <w:r>
        <w:br w:type="page"/>
      </w:r>
    </w:p>
    <w:p w14:paraId="232835BD" w14:textId="4F572E1B" w:rsidR="003B4068" w:rsidRPr="003B4068" w:rsidRDefault="003B4068" w:rsidP="003B4068">
      <w:pPr>
        <w:spacing w:after="0" w:line="240" w:lineRule="auto"/>
        <w:contextualSpacing/>
        <w:jc w:val="both"/>
        <w:rPr>
          <w:u w:val="single"/>
        </w:rPr>
      </w:pPr>
      <w:r w:rsidRPr="003B4068">
        <w:rPr>
          <w:u w:val="single"/>
        </w:rPr>
        <w:lastRenderedPageBreak/>
        <w:t>Discussion and analysis</w:t>
      </w:r>
    </w:p>
    <w:p w14:paraId="0F36343B" w14:textId="77777777" w:rsidR="003B4068" w:rsidRDefault="003B4068" w:rsidP="003B4068">
      <w:pPr>
        <w:spacing w:after="0" w:line="240" w:lineRule="auto"/>
        <w:contextualSpacing/>
        <w:jc w:val="both"/>
      </w:pPr>
    </w:p>
    <w:p w14:paraId="4610E158" w14:textId="2238E1B5" w:rsidR="00C814A0" w:rsidRDefault="00472528" w:rsidP="00C814A0">
      <w:pPr>
        <w:numPr>
          <w:ilvl w:val="0"/>
          <w:numId w:val="3"/>
        </w:numPr>
        <w:spacing w:after="0" w:line="240" w:lineRule="auto"/>
        <w:ind w:left="540" w:hanging="540"/>
        <w:contextualSpacing/>
        <w:jc w:val="both"/>
        <w:rPr>
          <w:rFonts w:eastAsia="Arial" w:cs="Arial"/>
          <w:color w:val="000000" w:themeColor="text1"/>
        </w:rPr>
      </w:pPr>
      <w:r>
        <w:rPr>
          <w:rFonts w:eastAsia="Arial" w:cs="Arial"/>
        </w:rPr>
        <w:t>T</w:t>
      </w:r>
      <w:r w:rsidR="00C814A0" w:rsidRPr="5B0B4A6E">
        <w:rPr>
          <w:rFonts w:eastAsia="Arial" w:cs="Arial"/>
        </w:rPr>
        <w:t xml:space="preserve">he </w:t>
      </w:r>
      <w:r w:rsidR="00C814A0">
        <w:rPr>
          <w:rFonts w:eastAsia="Arial" w:cs="Arial"/>
        </w:rPr>
        <w:t>PPWG</w:t>
      </w:r>
      <w:r w:rsidR="00F75D12">
        <w:rPr>
          <w:rFonts w:eastAsia="Arial" w:cs="Arial"/>
        </w:rPr>
        <w:t>’s role</w:t>
      </w:r>
      <w:r w:rsidR="00C814A0">
        <w:rPr>
          <w:rFonts w:eastAsia="Arial" w:cs="Arial"/>
        </w:rPr>
        <w:t xml:space="preserve"> </w:t>
      </w:r>
      <w:r w:rsidR="00C814A0" w:rsidRPr="5B0B4A6E">
        <w:rPr>
          <w:rFonts w:eastAsia="Arial" w:cs="Arial"/>
        </w:rPr>
        <w:t>is</w:t>
      </w:r>
      <w:r w:rsidR="00F75D12" w:rsidRPr="00F75D12">
        <w:rPr>
          <w:rFonts w:eastAsia="Arial" w:cs="Arial"/>
        </w:rPr>
        <w:t xml:space="preserve"> to facilitate concerted efforts, actions and procedures to prevent </w:t>
      </w:r>
      <w:r w:rsidR="001225C1">
        <w:rPr>
          <w:rFonts w:eastAsia="Arial" w:cs="Arial"/>
        </w:rPr>
        <w:t xml:space="preserve">the </w:t>
      </w:r>
      <w:r w:rsidR="00F75D12" w:rsidRPr="00F75D12">
        <w:rPr>
          <w:rFonts w:eastAsia="Arial" w:cs="Arial"/>
        </w:rPr>
        <w:t>poisoning of migratory bird</w:t>
      </w:r>
      <w:r w:rsidR="00CA30C1">
        <w:rPr>
          <w:rFonts w:eastAsia="Arial" w:cs="Arial"/>
        </w:rPr>
        <w:t>s</w:t>
      </w:r>
      <w:r w:rsidR="001F6A06">
        <w:rPr>
          <w:rFonts w:eastAsia="Arial" w:cs="Arial"/>
        </w:rPr>
        <w:t xml:space="preserve"> – </w:t>
      </w:r>
      <w:r w:rsidR="00045B18">
        <w:rPr>
          <w:rFonts w:eastAsia="Arial" w:cs="Arial"/>
        </w:rPr>
        <w:t xml:space="preserve">with </w:t>
      </w:r>
      <w:r w:rsidR="007940F3">
        <w:rPr>
          <w:rFonts w:eastAsia="Arial" w:cs="Arial"/>
        </w:rPr>
        <w:t xml:space="preserve">the </w:t>
      </w:r>
      <w:r w:rsidR="00045B18">
        <w:rPr>
          <w:rFonts w:eastAsia="Arial" w:cs="Arial"/>
        </w:rPr>
        <w:t>exception of</w:t>
      </w:r>
      <w:r w:rsidR="00F75D12" w:rsidRPr="00F75D12">
        <w:rPr>
          <w:rFonts w:eastAsia="Arial" w:cs="Arial"/>
        </w:rPr>
        <w:t xml:space="preserve"> lead poisoning</w:t>
      </w:r>
      <w:r w:rsidR="002040EC">
        <w:rPr>
          <w:rFonts w:eastAsia="Arial" w:cs="Arial"/>
        </w:rPr>
        <w:t>,</w:t>
      </w:r>
      <w:r w:rsidR="00F75D12" w:rsidRPr="00F75D12">
        <w:rPr>
          <w:rFonts w:eastAsia="Arial" w:cs="Arial"/>
        </w:rPr>
        <w:t xml:space="preserve"> which is dealt with by the</w:t>
      </w:r>
      <w:r w:rsidR="00F75D12">
        <w:rPr>
          <w:rFonts w:eastAsia="Arial" w:cs="Arial"/>
        </w:rPr>
        <w:t xml:space="preserve"> </w:t>
      </w:r>
      <w:r w:rsidR="00947354">
        <w:rPr>
          <w:rFonts w:eastAsia="Arial" w:cs="Arial"/>
        </w:rPr>
        <w:t xml:space="preserve">Lead Task Force. </w:t>
      </w:r>
      <w:r w:rsidR="00560054">
        <w:rPr>
          <w:rFonts w:eastAsia="Arial" w:cs="Arial"/>
        </w:rPr>
        <w:t>The PPWG</w:t>
      </w:r>
      <w:r w:rsidR="00D32671">
        <w:rPr>
          <w:rFonts w:eastAsia="Arial" w:cs="Arial"/>
        </w:rPr>
        <w:t>,</w:t>
      </w:r>
      <w:r w:rsidR="00560054">
        <w:rPr>
          <w:rFonts w:eastAsia="Arial" w:cs="Arial"/>
        </w:rPr>
        <w:t xml:space="preserve"> </w:t>
      </w:r>
      <w:r w:rsidR="00560054" w:rsidRPr="00BE3EEC">
        <w:rPr>
          <w:rFonts w:eastAsia="Arial" w:cs="Arial"/>
        </w:rPr>
        <w:t>inter alia</w:t>
      </w:r>
      <w:r w:rsidR="00D32671">
        <w:rPr>
          <w:rFonts w:eastAsia="Arial" w:cs="Arial"/>
        </w:rPr>
        <w:t>,</w:t>
      </w:r>
      <w:r w:rsidR="00560054">
        <w:rPr>
          <w:rFonts w:eastAsia="Arial" w:cs="Arial"/>
        </w:rPr>
        <w:t xml:space="preserve"> </w:t>
      </w:r>
      <w:r w:rsidR="003E648D">
        <w:rPr>
          <w:rFonts w:eastAsia="Arial" w:cs="Arial"/>
        </w:rPr>
        <w:t xml:space="preserve">facilitates </w:t>
      </w:r>
      <w:r w:rsidR="00C814A0" w:rsidRPr="5B0B4A6E">
        <w:rPr>
          <w:rFonts w:eastAsia="Arial" w:cs="Arial"/>
        </w:rPr>
        <w:t xml:space="preserve">the implementation of the </w:t>
      </w:r>
      <w:hyperlink r:id="rId18">
        <w:r w:rsidR="00C814A0" w:rsidRPr="5B0B4A6E">
          <w:rPr>
            <w:rStyle w:val="Hyperlink"/>
            <w:rFonts w:eastAsia="Arial" w:cs="Arial"/>
          </w:rPr>
          <w:t>Guidelines to Prevent the Risk of Poisoning to Migratory Birds</w:t>
        </w:r>
      </w:hyperlink>
      <w:r w:rsidR="004F5466">
        <w:t xml:space="preserve"> (the Guidelines)</w:t>
      </w:r>
      <w:r w:rsidR="00C814A0" w:rsidRPr="5B0B4A6E">
        <w:rPr>
          <w:rFonts w:eastAsia="Arial" w:cs="Arial"/>
        </w:rPr>
        <w:t xml:space="preserve"> </w:t>
      </w:r>
      <w:r w:rsidR="004F5466" w:rsidRPr="004F5466">
        <w:rPr>
          <w:rFonts w:eastAsia="Arial" w:cs="Arial"/>
        </w:rPr>
        <w:t xml:space="preserve">and other relevant </w:t>
      </w:r>
      <w:r w:rsidR="004532ED">
        <w:rPr>
          <w:rFonts w:eastAsia="Arial" w:cs="Arial"/>
        </w:rPr>
        <w:t xml:space="preserve">COP </w:t>
      </w:r>
      <w:r w:rsidR="004F5466" w:rsidRPr="004F5466">
        <w:rPr>
          <w:rFonts w:eastAsia="Arial" w:cs="Arial"/>
        </w:rPr>
        <w:t>Resolutions</w:t>
      </w:r>
      <w:r w:rsidR="00423979">
        <w:rPr>
          <w:rFonts w:eastAsia="Arial" w:cs="Arial"/>
        </w:rPr>
        <w:t>,</w:t>
      </w:r>
      <w:r w:rsidR="004F5466" w:rsidRPr="004F5466">
        <w:rPr>
          <w:rFonts w:eastAsia="Arial" w:cs="Arial"/>
        </w:rPr>
        <w:t xml:space="preserve"> as well as other frameworks on </w:t>
      </w:r>
      <w:r w:rsidR="00C93A7F">
        <w:rPr>
          <w:rFonts w:eastAsia="Arial" w:cs="Arial"/>
        </w:rPr>
        <w:t>poisoning</w:t>
      </w:r>
      <w:r w:rsidR="00767718">
        <w:rPr>
          <w:rFonts w:eastAsia="Arial" w:cs="Arial"/>
        </w:rPr>
        <w:t>-related matters</w:t>
      </w:r>
      <w:r w:rsidR="004F5466" w:rsidRPr="004F5466">
        <w:rPr>
          <w:rFonts w:eastAsia="Arial" w:cs="Arial"/>
        </w:rPr>
        <w:t xml:space="preserve"> </w:t>
      </w:r>
      <w:r w:rsidR="00767718">
        <w:rPr>
          <w:rFonts w:eastAsia="Arial" w:cs="Arial"/>
        </w:rPr>
        <w:t>(</w:t>
      </w:r>
      <w:r w:rsidR="004F5466" w:rsidRPr="004F5466">
        <w:rPr>
          <w:rFonts w:eastAsia="Arial" w:cs="Arial"/>
        </w:rPr>
        <w:t>other than lead poisoning</w:t>
      </w:r>
      <w:r w:rsidR="00767718">
        <w:rPr>
          <w:rFonts w:eastAsia="Arial" w:cs="Arial"/>
        </w:rPr>
        <w:t>)</w:t>
      </w:r>
      <w:r w:rsidR="00C814A0" w:rsidRPr="5B0B4A6E">
        <w:rPr>
          <w:rFonts w:eastAsia="Arial" w:cs="Arial"/>
        </w:rPr>
        <w:t>. The PPWG covers various types of poisons</w:t>
      </w:r>
      <w:r w:rsidR="004A222E">
        <w:rPr>
          <w:rFonts w:eastAsia="Arial" w:cs="Arial"/>
        </w:rPr>
        <w:t>:</w:t>
      </w:r>
      <w:r w:rsidR="00C814A0" w:rsidRPr="5B0B4A6E">
        <w:rPr>
          <w:rFonts w:eastAsia="Arial" w:cs="Arial"/>
        </w:rPr>
        <w:t xml:space="preserve"> insecticides, rodenticides, poison baits and veterinary pharmaceuticals. </w:t>
      </w:r>
    </w:p>
    <w:p w14:paraId="10A1BE1F" w14:textId="77777777" w:rsidR="00C814A0" w:rsidRDefault="00C814A0" w:rsidP="004A222E">
      <w:pPr>
        <w:pStyle w:val="ListParagraph"/>
        <w:spacing w:after="0" w:line="240" w:lineRule="auto"/>
        <w:ind w:left="360"/>
        <w:jc w:val="both"/>
        <w:rPr>
          <w:rFonts w:eastAsia="Arial" w:cs="Arial"/>
          <w:color w:val="000000" w:themeColor="text1"/>
        </w:rPr>
      </w:pPr>
    </w:p>
    <w:p w14:paraId="62699CE2" w14:textId="49144A9C" w:rsidR="00797CE9" w:rsidRPr="00716285" w:rsidRDefault="00C814A0" w:rsidP="00C814A0">
      <w:pPr>
        <w:numPr>
          <w:ilvl w:val="0"/>
          <w:numId w:val="3"/>
        </w:numPr>
        <w:spacing w:after="0" w:line="240" w:lineRule="auto"/>
        <w:ind w:left="540" w:hanging="540"/>
        <w:contextualSpacing/>
        <w:jc w:val="both"/>
      </w:pPr>
      <w:r w:rsidRPr="5B0B4A6E">
        <w:rPr>
          <w:rFonts w:eastAsia="Arial" w:cs="Arial"/>
        </w:rPr>
        <w:t xml:space="preserve">The role of the Lead Task Force </w:t>
      </w:r>
      <w:r w:rsidR="00994C0A">
        <w:rPr>
          <w:rFonts w:eastAsia="Arial" w:cs="Arial"/>
        </w:rPr>
        <w:t xml:space="preserve">(see </w:t>
      </w:r>
      <w:hyperlink r:id="rId19" w:history="1">
        <w:r w:rsidR="00994C0A" w:rsidRPr="00994C0A">
          <w:rPr>
            <w:rStyle w:val="Hyperlink"/>
            <w:rFonts w:eastAsia="Arial" w:cs="Arial"/>
          </w:rPr>
          <w:t>TOR</w:t>
        </w:r>
      </w:hyperlink>
      <w:r w:rsidR="00994C0A">
        <w:rPr>
          <w:rFonts w:eastAsia="Arial" w:cs="Arial"/>
        </w:rPr>
        <w:t xml:space="preserve">) </w:t>
      </w:r>
      <w:r w:rsidRPr="5B0B4A6E">
        <w:rPr>
          <w:rFonts w:eastAsia="Arial" w:cs="Arial"/>
        </w:rPr>
        <w:t>is to assist and support Parties in the phas</w:t>
      </w:r>
      <w:r w:rsidR="00994C0A">
        <w:rPr>
          <w:rFonts w:eastAsia="Arial" w:cs="Arial"/>
        </w:rPr>
        <w:t>e</w:t>
      </w:r>
      <w:r w:rsidR="00C276B6">
        <w:rPr>
          <w:rFonts w:eastAsia="Arial" w:cs="Arial"/>
        </w:rPr>
        <w:t>-</w:t>
      </w:r>
      <w:r w:rsidRPr="5B0B4A6E">
        <w:rPr>
          <w:rFonts w:eastAsia="Arial" w:cs="Arial"/>
        </w:rPr>
        <w:t>out of lead ammunition and lead fishing weights. This also includes support</w:t>
      </w:r>
      <w:r w:rsidR="00A23F9D">
        <w:rPr>
          <w:rFonts w:eastAsia="Arial" w:cs="Arial"/>
        </w:rPr>
        <w:t>ing</w:t>
      </w:r>
      <w:r w:rsidRPr="5B0B4A6E">
        <w:rPr>
          <w:rFonts w:eastAsia="Arial" w:cs="Arial"/>
        </w:rPr>
        <w:t xml:space="preserve"> </w:t>
      </w:r>
      <w:r w:rsidR="00A23F9D">
        <w:rPr>
          <w:rFonts w:eastAsia="Arial" w:cs="Arial"/>
        </w:rPr>
        <w:t>the</w:t>
      </w:r>
      <w:r w:rsidRPr="5B0B4A6E">
        <w:rPr>
          <w:rFonts w:eastAsia="Arial" w:cs="Arial"/>
        </w:rPr>
        <w:t xml:space="preserve"> implement</w:t>
      </w:r>
      <w:r w:rsidR="0024559A">
        <w:rPr>
          <w:rFonts w:eastAsia="Arial" w:cs="Arial"/>
        </w:rPr>
        <w:t>ation</w:t>
      </w:r>
      <w:r w:rsidR="00482384">
        <w:rPr>
          <w:rFonts w:eastAsia="Arial" w:cs="Arial"/>
        </w:rPr>
        <w:t xml:space="preserve"> of</w:t>
      </w:r>
      <w:r w:rsidR="001614E3">
        <w:rPr>
          <w:rFonts w:eastAsia="Arial" w:cs="Arial"/>
        </w:rPr>
        <w:t xml:space="preserve"> the relevant sections of the</w:t>
      </w:r>
      <w:r w:rsidR="001614E3">
        <w:t xml:space="preserve"> Guidelines</w:t>
      </w:r>
      <w:r w:rsidRPr="5B0B4A6E">
        <w:rPr>
          <w:rFonts w:eastAsia="Arial" w:cs="Arial"/>
        </w:rPr>
        <w:t>.</w:t>
      </w:r>
    </w:p>
    <w:p w14:paraId="1B83800D" w14:textId="77777777" w:rsidR="00716285" w:rsidRPr="00716285" w:rsidRDefault="00716285" w:rsidP="00716285">
      <w:pPr>
        <w:spacing w:after="0" w:line="240" w:lineRule="auto"/>
        <w:ind w:left="540"/>
        <w:contextualSpacing/>
        <w:jc w:val="both"/>
      </w:pPr>
    </w:p>
    <w:p w14:paraId="4E1ED487" w14:textId="6C34B25D" w:rsidR="004754AF" w:rsidRDefault="00716285" w:rsidP="00F4275C">
      <w:pPr>
        <w:numPr>
          <w:ilvl w:val="0"/>
          <w:numId w:val="3"/>
        </w:numPr>
        <w:spacing w:after="0" w:line="240" w:lineRule="auto"/>
        <w:ind w:left="540" w:hanging="540"/>
        <w:contextualSpacing/>
        <w:jc w:val="both"/>
        <w:rPr>
          <w:rFonts w:eastAsia="Arial" w:cs="Arial"/>
        </w:rPr>
      </w:pPr>
      <w:r w:rsidRPr="0BF22F3D">
        <w:rPr>
          <w:rFonts w:eastAsia="Arial" w:cs="Arial"/>
        </w:rPr>
        <w:t xml:space="preserve">The </w:t>
      </w:r>
      <w:r w:rsidR="0035076C">
        <w:rPr>
          <w:rFonts w:eastAsia="Arial" w:cs="Arial"/>
        </w:rPr>
        <w:t xml:space="preserve">internal </w:t>
      </w:r>
      <w:r w:rsidR="00E72EC0">
        <w:rPr>
          <w:rFonts w:eastAsia="Arial" w:cs="Arial"/>
        </w:rPr>
        <w:t xml:space="preserve">review </w:t>
      </w:r>
      <w:r w:rsidR="0035076C">
        <w:rPr>
          <w:rFonts w:eastAsia="Arial" w:cs="Arial"/>
        </w:rPr>
        <w:t xml:space="preserve">carried out by the </w:t>
      </w:r>
      <w:r w:rsidR="00414D07">
        <w:rPr>
          <w:rFonts w:eastAsia="Arial" w:cs="Arial"/>
        </w:rPr>
        <w:t>Secretariat</w:t>
      </w:r>
      <w:r w:rsidR="0035076C">
        <w:rPr>
          <w:rFonts w:eastAsia="Arial" w:cs="Arial"/>
        </w:rPr>
        <w:t xml:space="preserve">, in consultation with </w:t>
      </w:r>
      <w:r w:rsidR="00037282">
        <w:rPr>
          <w:rFonts w:eastAsia="Arial" w:cs="Arial"/>
        </w:rPr>
        <w:t xml:space="preserve">the </w:t>
      </w:r>
      <w:r w:rsidR="007F2D01">
        <w:rPr>
          <w:rFonts w:eastAsia="Arial" w:cs="Arial"/>
        </w:rPr>
        <w:t>AEML WG</w:t>
      </w:r>
      <w:r w:rsidR="003A2BB2">
        <w:rPr>
          <w:rFonts w:eastAsia="Arial" w:cs="Arial"/>
        </w:rPr>
        <w:t>, include</w:t>
      </w:r>
      <w:r w:rsidR="009E3FCF">
        <w:rPr>
          <w:rFonts w:eastAsia="Arial" w:cs="Arial"/>
        </w:rPr>
        <w:t>d</w:t>
      </w:r>
      <w:r w:rsidRPr="0BF22F3D">
        <w:rPr>
          <w:rFonts w:eastAsia="Arial" w:cs="Arial"/>
        </w:rPr>
        <w:t xml:space="preserve"> interviews with </w:t>
      </w:r>
      <w:r w:rsidR="009E3FCF">
        <w:rPr>
          <w:rFonts w:eastAsia="Arial" w:cs="Arial"/>
        </w:rPr>
        <w:t>relevant</w:t>
      </w:r>
      <w:r w:rsidRPr="0BF22F3D">
        <w:rPr>
          <w:rFonts w:eastAsia="Arial" w:cs="Arial"/>
        </w:rPr>
        <w:t xml:space="preserve"> stakeholders. The objectives of the analysis were to a) </w:t>
      </w:r>
      <w:r w:rsidR="0027673A">
        <w:rPr>
          <w:rFonts w:eastAsia="Arial" w:cs="Arial"/>
        </w:rPr>
        <w:t>determine</w:t>
      </w:r>
      <w:r w:rsidRPr="0BF22F3D">
        <w:rPr>
          <w:rFonts w:eastAsia="Arial" w:cs="Arial"/>
        </w:rPr>
        <w:t xml:space="preserve"> the level of activity of the PPWG and Lead Task Force</w:t>
      </w:r>
      <w:r w:rsidR="003F5B4C">
        <w:rPr>
          <w:rFonts w:eastAsia="Arial" w:cs="Arial"/>
        </w:rPr>
        <w:t>;</w:t>
      </w:r>
      <w:r w:rsidRPr="0BF22F3D">
        <w:rPr>
          <w:rFonts w:eastAsia="Arial" w:cs="Arial"/>
        </w:rPr>
        <w:t xml:space="preserve"> b) </w:t>
      </w:r>
      <w:r w:rsidR="00023D76">
        <w:rPr>
          <w:rFonts w:eastAsia="Arial" w:cs="Arial"/>
        </w:rPr>
        <w:t>identify</w:t>
      </w:r>
      <w:r w:rsidRPr="0BF22F3D">
        <w:rPr>
          <w:rFonts w:eastAsia="Arial" w:cs="Arial"/>
        </w:rPr>
        <w:t xml:space="preserve"> synergies and overlaps with other CMS instruments that include work on poisoning</w:t>
      </w:r>
      <w:r w:rsidR="003F5B4C">
        <w:rPr>
          <w:rFonts w:eastAsia="Arial" w:cs="Arial"/>
        </w:rPr>
        <w:t>;</w:t>
      </w:r>
      <w:r w:rsidRPr="0BF22F3D">
        <w:rPr>
          <w:rFonts w:eastAsia="Arial" w:cs="Arial"/>
        </w:rPr>
        <w:t xml:space="preserve"> c) identify impediments to the implementation of Resolution 11.15 (Rev.COP14)</w:t>
      </w:r>
      <w:r w:rsidR="0030030E">
        <w:rPr>
          <w:rFonts w:eastAsia="Arial" w:cs="Arial"/>
        </w:rPr>
        <w:t>;</w:t>
      </w:r>
      <w:r w:rsidRPr="0BF22F3D">
        <w:rPr>
          <w:rFonts w:eastAsia="Arial" w:cs="Arial"/>
        </w:rPr>
        <w:t xml:space="preserve"> and d) propose next steps and efficient ways forward.</w:t>
      </w:r>
      <w:r w:rsidR="00B1358C">
        <w:rPr>
          <w:rFonts w:eastAsia="Arial" w:cs="Arial"/>
        </w:rPr>
        <w:t xml:space="preserve"> The results of </w:t>
      </w:r>
      <w:r w:rsidR="009E12E6">
        <w:rPr>
          <w:rFonts w:eastAsia="Arial" w:cs="Arial"/>
        </w:rPr>
        <w:t>the</w:t>
      </w:r>
      <w:r w:rsidR="00B1358C">
        <w:rPr>
          <w:rFonts w:eastAsia="Arial" w:cs="Arial"/>
        </w:rPr>
        <w:t xml:space="preserve"> review are listed in the paragraphs below.</w:t>
      </w:r>
    </w:p>
    <w:p w14:paraId="59493833" w14:textId="14850509" w:rsidR="00716285" w:rsidRDefault="00716285" w:rsidP="00F4275C">
      <w:pPr>
        <w:spacing w:after="0" w:line="240" w:lineRule="auto"/>
        <w:ind w:left="540"/>
        <w:contextualSpacing/>
        <w:jc w:val="both"/>
        <w:rPr>
          <w:rFonts w:eastAsia="Arial" w:cs="Arial"/>
        </w:rPr>
      </w:pPr>
      <w:r w:rsidRPr="0BF22F3D">
        <w:rPr>
          <w:rFonts w:eastAsia="Arial" w:cs="Arial"/>
        </w:rPr>
        <w:t xml:space="preserve"> </w:t>
      </w:r>
    </w:p>
    <w:p w14:paraId="082C9FE1" w14:textId="257CC1FE" w:rsidR="00472E00" w:rsidRDefault="00F154F6" w:rsidP="00F4275C">
      <w:pPr>
        <w:numPr>
          <w:ilvl w:val="0"/>
          <w:numId w:val="3"/>
        </w:numPr>
        <w:spacing w:after="0" w:line="240" w:lineRule="auto"/>
        <w:ind w:left="540" w:hanging="540"/>
        <w:contextualSpacing/>
        <w:jc w:val="both"/>
        <w:rPr>
          <w:rFonts w:eastAsia="Arial" w:cs="Arial"/>
        </w:rPr>
      </w:pPr>
      <w:r>
        <w:rPr>
          <w:rFonts w:eastAsia="Arial" w:cs="Arial"/>
        </w:rPr>
        <w:t>I</w:t>
      </w:r>
      <w:r w:rsidR="00F631B2">
        <w:rPr>
          <w:rFonts w:eastAsia="Arial" w:cs="Arial"/>
        </w:rPr>
        <w:t xml:space="preserve">t should be </w:t>
      </w:r>
      <w:r w:rsidR="009E12E6">
        <w:rPr>
          <w:rFonts w:eastAsia="Arial" w:cs="Arial"/>
        </w:rPr>
        <w:t>noted</w:t>
      </w:r>
      <w:r w:rsidR="00F631B2">
        <w:rPr>
          <w:rFonts w:eastAsia="Arial" w:cs="Arial"/>
        </w:rPr>
        <w:t xml:space="preserve"> that </w:t>
      </w:r>
      <w:r w:rsidR="00F631B2" w:rsidRPr="5B0B4A6E">
        <w:rPr>
          <w:rFonts w:eastAsia="Arial" w:cs="Arial"/>
        </w:rPr>
        <w:t>the PPWG</w:t>
      </w:r>
      <w:r w:rsidR="00F631B2">
        <w:rPr>
          <w:rFonts w:eastAsia="Arial" w:cs="Arial"/>
        </w:rPr>
        <w:t xml:space="preserve"> is mainly </w:t>
      </w:r>
      <w:r w:rsidR="0064784A">
        <w:rPr>
          <w:rFonts w:eastAsia="Arial" w:cs="Arial"/>
        </w:rPr>
        <w:t xml:space="preserve">an </w:t>
      </w:r>
      <w:r w:rsidR="00F631B2">
        <w:rPr>
          <w:rFonts w:eastAsia="Arial" w:cs="Arial"/>
        </w:rPr>
        <w:t>advisory body that reports to the Scientific Council and therefore ha</w:t>
      </w:r>
      <w:r w:rsidR="00CE675C">
        <w:rPr>
          <w:rFonts w:eastAsia="Arial" w:cs="Arial"/>
        </w:rPr>
        <w:t>s</w:t>
      </w:r>
      <w:r w:rsidR="00513D92">
        <w:rPr>
          <w:rFonts w:eastAsia="Arial" w:cs="Arial"/>
        </w:rPr>
        <w:t xml:space="preserve"> limited</w:t>
      </w:r>
      <w:r w:rsidR="00F631B2">
        <w:rPr>
          <w:rFonts w:eastAsia="Arial" w:cs="Arial"/>
        </w:rPr>
        <w:t xml:space="preserve"> decision-making power </w:t>
      </w:r>
      <w:r w:rsidR="00513D92">
        <w:rPr>
          <w:rFonts w:eastAsia="Arial" w:cs="Arial"/>
        </w:rPr>
        <w:t xml:space="preserve">to drive </w:t>
      </w:r>
      <w:r w:rsidR="00CD026D">
        <w:rPr>
          <w:rFonts w:eastAsia="Arial" w:cs="Arial"/>
        </w:rPr>
        <w:t>the process forward</w:t>
      </w:r>
      <w:r w:rsidR="00F631B2">
        <w:rPr>
          <w:rFonts w:eastAsia="Arial" w:cs="Arial"/>
        </w:rPr>
        <w:t xml:space="preserve">, </w:t>
      </w:r>
      <w:r w:rsidR="00CD026D">
        <w:rPr>
          <w:rFonts w:eastAsia="Arial" w:cs="Arial"/>
        </w:rPr>
        <w:t xml:space="preserve">in contrast to, </w:t>
      </w:r>
      <w:r w:rsidR="00F631B2">
        <w:rPr>
          <w:rFonts w:eastAsia="Arial" w:cs="Arial"/>
        </w:rPr>
        <w:t>for instance, intergovernmental task force</w:t>
      </w:r>
      <w:r w:rsidR="00CE675C">
        <w:rPr>
          <w:rFonts w:eastAsia="Arial" w:cs="Arial"/>
        </w:rPr>
        <w:t xml:space="preserve"> fora</w:t>
      </w:r>
      <w:r w:rsidR="00CD026D">
        <w:rPr>
          <w:rFonts w:eastAsia="Arial" w:cs="Arial"/>
        </w:rPr>
        <w:t>.</w:t>
      </w:r>
      <w:r w:rsidR="00F631B2">
        <w:rPr>
          <w:rFonts w:eastAsia="Arial" w:cs="Arial"/>
        </w:rPr>
        <w:t xml:space="preserve"> </w:t>
      </w:r>
      <w:r w:rsidR="00CD026D">
        <w:rPr>
          <w:rFonts w:eastAsia="Arial" w:cs="Arial"/>
        </w:rPr>
        <w:t>T</w:t>
      </w:r>
      <w:r w:rsidR="00691E0B">
        <w:rPr>
          <w:rFonts w:eastAsia="Arial" w:cs="Arial"/>
        </w:rPr>
        <w:t xml:space="preserve">he </w:t>
      </w:r>
      <w:r w:rsidR="004754AF" w:rsidRPr="5B0B4A6E">
        <w:rPr>
          <w:rFonts w:eastAsia="Arial" w:cs="Arial"/>
        </w:rPr>
        <w:t>broad mandate of</w:t>
      </w:r>
      <w:r w:rsidR="00CD026D">
        <w:rPr>
          <w:rFonts w:eastAsia="Arial" w:cs="Arial"/>
        </w:rPr>
        <w:t xml:space="preserve"> the PPWG,</w:t>
      </w:r>
      <w:r w:rsidR="004754AF" w:rsidRPr="5B0B4A6E">
        <w:rPr>
          <w:rFonts w:eastAsia="Arial" w:cs="Arial"/>
        </w:rPr>
        <w:t xml:space="preserve"> encompassing </w:t>
      </w:r>
      <w:r w:rsidR="008C26D8">
        <w:rPr>
          <w:rFonts w:eastAsia="Arial" w:cs="Arial"/>
        </w:rPr>
        <w:t>several</w:t>
      </w:r>
      <w:r w:rsidR="004754AF" w:rsidRPr="5B0B4A6E">
        <w:rPr>
          <w:rFonts w:eastAsia="Arial" w:cs="Arial"/>
        </w:rPr>
        <w:t xml:space="preserve"> types of poisons </w:t>
      </w:r>
      <w:r w:rsidR="00A8405B">
        <w:rPr>
          <w:rFonts w:eastAsia="Arial" w:cs="Arial"/>
        </w:rPr>
        <w:t>under</w:t>
      </w:r>
      <w:r w:rsidR="004754AF" w:rsidRPr="5B0B4A6E">
        <w:rPr>
          <w:rFonts w:eastAsia="Arial" w:cs="Arial"/>
        </w:rPr>
        <w:t xml:space="preserve"> a global geographic scope, makes it a challenging undertaking in terms of prioritization</w:t>
      </w:r>
      <w:r w:rsidR="00A10C7F">
        <w:rPr>
          <w:rFonts w:eastAsia="Arial" w:cs="Arial"/>
        </w:rPr>
        <w:t>,</w:t>
      </w:r>
      <w:r w:rsidR="004754AF" w:rsidRPr="5B0B4A6E">
        <w:rPr>
          <w:rFonts w:eastAsia="Arial" w:cs="Arial"/>
        </w:rPr>
        <w:t xml:space="preserve"> implementation</w:t>
      </w:r>
      <w:r w:rsidR="00ED1A4D">
        <w:rPr>
          <w:rFonts w:eastAsia="Arial" w:cs="Arial"/>
        </w:rPr>
        <w:t xml:space="preserve"> – </w:t>
      </w:r>
      <w:r w:rsidR="00A10C7F">
        <w:rPr>
          <w:rFonts w:eastAsia="Arial" w:cs="Arial"/>
        </w:rPr>
        <w:t xml:space="preserve">especially regarding </w:t>
      </w:r>
      <w:r w:rsidR="004C158C">
        <w:rPr>
          <w:rFonts w:eastAsia="Arial" w:cs="Arial"/>
        </w:rPr>
        <w:t xml:space="preserve">the </w:t>
      </w:r>
      <w:r w:rsidR="00A10C7F">
        <w:rPr>
          <w:rFonts w:eastAsia="Arial" w:cs="Arial"/>
        </w:rPr>
        <w:t>coordination of multiple sectors</w:t>
      </w:r>
      <w:r w:rsidR="00472E00">
        <w:rPr>
          <w:rFonts w:eastAsia="Arial" w:cs="Arial"/>
        </w:rPr>
        <w:t xml:space="preserve"> and activities</w:t>
      </w:r>
      <w:r w:rsidR="00A10C7F">
        <w:rPr>
          <w:rFonts w:eastAsia="Arial" w:cs="Arial"/>
        </w:rPr>
        <w:t xml:space="preserve"> under one umbrella</w:t>
      </w:r>
      <w:r w:rsidR="00ED1A4D">
        <w:rPr>
          <w:rFonts w:eastAsia="Arial" w:cs="Arial"/>
        </w:rPr>
        <w:t xml:space="preserve"> –</w:t>
      </w:r>
      <w:r w:rsidR="004754AF" w:rsidRPr="5B0B4A6E">
        <w:rPr>
          <w:rFonts w:eastAsia="Arial" w:cs="Arial"/>
        </w:rPr>
        <w:t xml:space="preserve"> and monitoring.</w:t>
      </w:r>
    </w:p>
    <w:p w14:paraId="71DD0A9F" w14:textId="77777777" w:rsidR="00472E00" w:rsidRDefault="00472E00" w:rsidP="00F4275C">
      <w:pPr>
        <w:spacing w:after="0" w:line="240" w:lineRule="auto"/>
        <w:ind w:left="540"/>
        <w:contextualSpacing/>
        <w:jc w:val="both"/>
        <w:rPr>
          <w:rFonts w:eastAsia="Arial" w:cs="Arial"/>
        </w:rPr>
      </w:pPr>
    </w:p>
    <w:p w14:paraId="392A6988" w14:textId="6001A918" w:rsidR="004754AF" w:rsidRPr="00DC3347" w:rsidRDefault="00F154F6" w:rsidP="00F4275C">
      <w:pPr>
        <w:numPr>
          <w:ilvl w:val="0"/>
          <w:numId w:val="3"/>
        </w:numPr>
        <w:spacing w:after="0" w:line="240" w:lineRule="auto"/>
        <w:ind w:left="540" w:hanging="540"/>
        <w:contextualSpacing/>
        <w:jc w:val="both"/>
        <w:rPr>
          <w:rFonts w:eastAsia="Arial" w:cs="Arial"/>
        </w:rPr>
      </w:pPr>
      <w:r>
        <w:rPr>
          <w:rFonts w:eastAsia="Arial" w:cs="Arial"/>
        </w:rPr>
        <w:t>T</w:t>
      </w:r>
      <w:r w:rsidR="004754AF" w:rsidRPr="5B0B4A6E">
        <w:rPr>
          <w:rFonts w:eastAsia="Arial" w:cs="Arial"/>
        </w:rPr>
        <w:t xml:space="preserve">he significant overlap with </w:t>
      </w:r>
      <w:r w:rsidR="00116C83">
        <w:rPr>
          <w:rFonts w:eastAsia="Arial" w:cs="Arial"/>
        </w:rPr>
        <w:t xml:space="preserve">provisions under </w:t>
      </w:r>
      <w:r w:rsidR="004754AF" w:rsidRPr="5B0B4A6E">
        <w:rPr>
          <w:rFonts w:eastAsia="Arial" w:cs="Arial"/>
        </w:rPr>
        <w:t xml:space="preserve">other instruments </w:t>
      </w:r>
      <w:r w:rsidR="00856301">
        <w:rPr>
          <w:rFonts w:eastAsia="Arial" w:cs="Arial"/>
        </w:rPr>
        <w:t>and workstreams (e.g.</w:t>
      </w:r>
      <w:r w:rsidR="00910AE5">
        <w:rPr>
          <w:rFonts w:eastAsia="Arial" w:cs="Arial"/>
        </w:rPr>
        <w:t xml:space="preserve"> </w:t>
      </w:r>
      <w:r w:rsidR="00CB7115">
        <w:rPr>
          <w:rFonts w:eastAsia="Arial" w:cs="Arial"/>
        </w:rPr>
        <w:t>t</w:t>
      </w:r>
      <w:r w:rsidR="00910AE5">
        <w:rPr>
          <w:rFonts w:eastAsia="Arial" w:cs="Arial"/>
        </w:rPr>
        <w:t xml:space="preserve">ask </w:t>
      </w:r>
      <w:r w:rsidR="00CB7115">
        <w:rPr>
          <w:rFonts w:eastAsia="Arial" w:cs="Arial"/>
        </w:rPr>
        <w:t>f</w:t>
      </w:r>
      <w:r w:rsidR="00910AE5">
        <w:rPr>
          <w:rFonts w:eastAsia="Arial" w:cs="Arial"/>
        </w:rPr>
        <w:t xml:space="preserve">orces on </w:t>
      </w:r>
      <w:r w:rsidR="00CB7115">
        <w:rPr>
          <w:rFonts w:eastAsia="Arial" w:cs="Arial"/>
        </w:rPr>
        <w:t>i</w:t>
      </w:r>
      <w:r w:rsidR="00910AE5">
        <w:rPr>
          <w:rFonts w:eastAsia="Arial" w:cs="Arial"/>
        </w:rPr>
        <w:t xml:space="preserve">llegal </w:t>
      </w:r>
      <w:r w:rsidR="00CB7115">
        <w:rPr>
          <w:rFonts w:eastAsia="Arial" w:cs="Arial"/>
        </w:rPr>
        <w:t>t</w:t>
      </w:r>
      <w:r w:rsidR="00910AE5">
        <w:rPr>
          <w:rFonts w:eastAsia="Arial" w:cs="Arial"/>
        </w:rPr>
        <w:t>aking</w:t>
      </w:r>
      <w:r w:rsidR="00972828">
        <w:rPr>
          <w:rFonts w:eastAsia="Arial" w:cs="Arial"/>
        </w:rPr>
        <w:t>;</w:t>
      </w:r>
      <w:r w:rsidR="001F52A5">
        <w:rPr>
          <w:rFonts w:eastAsia="Arial" w:cs="Arial"/>
        </w:rPr>
        <w:t xml:space="preserve"> </w:t>
      </w:r>
      <w:r w:rsidR="00CB7115">
        <w:rPr>
          <w:rFonts w:eastAsia="Arial" w:cs="Arial"/>
        </w:rPr>
        <w:t>the</w:t>
      </w:r>
      <w:r w:rsidR="001F52A5">
        <w:rPr>
          <w:rFonts w:eastAsia="Arial" w:cs="Arial"/>
        </w:rPr>
        <w:t xml:space="preserve"> </w:t>
      </w:r>
      <w:r w:rsidR="00917817" w:rsidRPr="00917817">
        <w:rPr>
          <w:rFonts w:eastAsia="Arial" w:cs="Arial"/>
        </w:rPr>
        <w:t xml:space="preserve">Multi-Species Action Plan </w:t>
      </w:r>
      <w:r w:rsidR="00917817">
        <w:rPr>
          <w:rFonts w:eastAsia="Arial" w:cs="Arial"/>
        </w:rPr>
        <w:t>t</w:t>
      </w:r>
      <w:r w:rsidR="00917817" w:rsidRPr="00917817">
        <w:rPr>
          <w:rFonts w:eastAsia="Arial" w:cs="Arial"/>
        </w:rPr>
        <w:t xml:space="preserve">o Conserve African-Eurasian Vultures (Vulture </w:t>
      </w:r>
      <w:proofErr w:type="spellStart"/>
      <w:r w:rsidR="00917817" w:rsidRPr="00917817">
        <w:rPr>
          <w:rFonts w:eastAsia="Arial" w:cs="Arial"/>
        </w:rPr>
        <w:t>Ms</w:t>
      </w:r>
      <w:r w:rsidR="00917817">
        <w:rPr>
          <w:rFonts w:eastAsia="Arial" w:cs="Arial"/>
        </w:rPr>
        <w:t>AP</w:t>
      </w:r>
      <w:proofErr w:type="spellEnd"/>
      <w:r w:rsidR="00917817" w:rsidRPr="00917817">
        <w:rPr>
          <w:rFonts w:eastAsia="Arial" w:cs="Arial"/>
        </w:rPr>
        <w:t>)</w:t>
      </w:r>
      <w:r w:rsidR="00D807CC">
        <w:rPr>
          <w:rFonts w:eastAsia="Arial" w:cs="Arial"/>
        </w:rPr>
        <w:t>;</w:t>
      </w:r>
      <w:r w:rsidR="00917817">
        <w:rPr>
          <w:rFonts w:eastAsia="Arial" w:cs="Arial"/>
        </w:rPr>
        <w:t xml:space="preserve"> </w:t>
      </w:r>
      <w:r w:rsidR="006C586E">
        <w:rPr>
          <w:rFonts w:eastAsia="Arial" w:cs="Arial"/>
        </w:rPr>
        <w:t xml:space="preserve">the </w:t>
      </w:r>
      <w:r w:rsidR="00E36C65">
        <w:rPr>
          <w:rFonts w:eastAsia="Arial" w:cs="Arial"/>
        </w:rPr>
        <w:t>African-Eurasian Migratory Landbirds Action Plan (AEMLAP)</w:t>
      </w:r>
      <w:r w:rsidR="009F642B">
        <w:rPr>
          <w:rFonts w:eastAsia="Arial" w:cs="Arial"/>
        </w:rPr>
        <w:t xml:space="preserve">, the </w:t>
      </w:r>
      <w:r w:rsidR="009F642B" w:rsidRPr="009F642B">
        <w:rPr>
          <w:rFonts w:eastAsia="Arial" w:cs="Arial"/>
        </w:rPr>
        <w:t xml:space="preserve"> Migratory Species and Health Working Group</w:t>
      </w:r>
      <w:r w:rsidR="00D807CC">
        <w:rPr>
          <w:rFonts w:eastAsia="Arial" w:cs="Arial"/>
        </w:rPr>
        <w:t xml:space="preserve">; </w:t>
      </w:r>
      <w:r w:rsidR="00B55276">
        <w:rPr>
          <w:rFonts w:eastAsia="Arial" w:cs="Arial"/>
        </w:rPr>
        <w:t xml:space="preserve">and </w:t>
      </w:r>
      <w:r w:rsidR="00D00E32">
        <w:rPr>
          <w:rFonts w:eastAsia="Arial" w:cs="Arial"/>
        </w:rPr>
        <w:t xml:space="preserve">regional initiatives such as </w:t>
      </w:r>
      <w:r w:rsidR="00027E1A">
        <w:rPr>
          <w:rFonts w:eastAsia="Arial" w:cs="Arial"/>
        </w:rPr>
        <w:t xml:space="preserve">the </w:t>
      </w:r>
      <w:r w:rsidR="00D00E32" w:rsidRPr="00027E1A">
        <w:rPr>
          <w:rFonts w:eastAsia="Arial" w:cs="Arial"/>
        </w:rPr>
        <w:t>Americas Flyways Task Force</w:t>
      </w:r>
      <w:r w:rsidR="00B55276">
        <w:rPr>
          <w:rFonts w:eastAsia="Arial" w:cs="Arial"/>
        </w:rPr>
        <w:t xml:space="preserve"> and the</w:t>
      </w:r>
      <w:r w:rsidR="00D00E32">
        <w:rPr>
          <w:rFonts w:eastAsia="Arial" w:cs="Arial"/>
        </w:rPr>
        <w:t xml:space="preserve"> Initiative for Central Asian Flyway</w:t>
      </w:r>
      <w:r w:rsidR="00E36C65">
        <w:rPr>
          <w:rFonts w:eastAsia="Arial" w:cs="Arial"/>
        </w:rPr>
        <w:t>)</w:t>
      </w:r>
      <w:r w:rsidR="001F52A5">
        <w:rPr>
          <w:rFonts w:eastAsia="Arial" w:cs="Arial"/>
        </w:rPr>
        <w:t>,</w:t>
      </w:r>
      <w:r w:rsidR="00856301">
        <w:rPr>
          <w:rFonts w:eastAsia="Arial" w:cs="Arial"/>
        </w:rPr>
        <w:t xml:space="preserve"> </w:t>
      </w:r>
      <w:r w:rsidR="00E10A3F">
        <w:rPr>
          <w:rFonts w:eastAsia="Arial" w:cs="Arial"/>
        </w:rPr>
        <w:t>creates</w:t>
      </w:r>
      <w:r w:rsidR="004754AF" w:rsidRPr="5B0B4A6E">
        <w:rPr>
          <w:rFonts w:eastAsia="Arial" w:cs="Arial"/>
        </w:rPr>
        <w:t xml:space="preserve"> further challenges to the PPWG´s </w:t>
      </w:r>
      <w:r w:rsidR="002A4BA0">
        <w:rPr>
          <w:rFonts w:eastAsia="Arial" w:cs="Arial"/>
        </w:rPr>
        <w:t xml:space="preserve">programme of work and core functions (if this working group would be </w:t>
      </w:r>
      <w:r w:rsidR="00CF5CA3">
        <w:rPr>
          <w:rFonts w:eastAsia="Arial" w:cs="Arial"/>
        </w:rPr>
        <w:t>continu</w:t>
      </w:r>
      <w:r w:rsidR="002A4BA0">
        <w:rPr>
          <w:rFonts w:eastAsia="Arial" w:cs="Arial"/>
        </w:rPr>
        <w:t>ed)</w:t>
      </w:r>
      <w:r w:rsidR="004754AF" w:rsidRPr="5B0B4A6E">
        <w:rPr>
          <w:rFonts w:eastAsia="Arial" w:cs="Arial"/>
        </w:rPr>
        <w:t xml:space="preserve">. </w:t>
      </w:r>
      <w:r w:rsidR="004754AF" w:rsidRPr="00DC3347">
        <w:rPr>
          <w:rFonts w:eastAsia="Arial" w:cs="Arial"/>
        </w:rPr>
        <w:t xml:space="preserve">These </w:t>
      </w:r>
      <w:r w:rsidR="002A4BA0">
        <w:rPr>
          <w:rFonts w:eastAsia="Arial" w:cs="Arial"/>
        </w:rPr>
        <w:t>overlaps and complexities</w:t>
      </w:r>
      <w:r w:rsidR="004754AF" w:rsidRPr="00DC3347">
        <w:rPr>
          <w:rFonts w:eastAsia="Arial" w:cs="Arial"/>
        </w:rPr>
        <w:t xml:space="preserve"> may explain the lack of funding</w:t>
      </w:r>
      <w:r w:rsidR="002B1B3E">
        <w:rPr>
          <w:rFonts w:eastAsia="Arial" w:cs="Arial"/>
        </w:rPr>
        <w:t xml:space="preserve"> to date</w:t>
      </w:r>
      <w:r w:rsidR="00DC3347">
        <w:rPr>
          <w:rFonts w:eastAsia="Arial" w:cs="Arial"/>
        </w:rPr>
        <w:t xml:space="preserve"> </w:t>
      </w:r>
      <w:r w:rsidR="00C4505C">
        <w:rPr>
          <w:rFonts w:eastAsia="Arial" w:cs="Arial"/>
        </w:rPr>
        <w:t>and</w:t>
      </w:r>
      <w:r w:rsidR="002B1B3E">
        <w:rPr>
          <w:rFonts w:eastAsia="Arial" w:cs="Arial"/>
        </w:rPr>
        <w:t xml:space="preserve"> the very</w:t>
      </w:r>
      <w:r w:rsidR="00C4505C">
        <w:rPr>
          <w:rFonts w:eastAsia="Arial" w:cs="Arial"/>
        </w:rPr>
        <w:t xml:space="preserve"> </w:t>
      </w:r>
      <w:r w:rsidR="00DC3347">
        <w:rPr>
          <w:rFonts w:eastAsia="Arial" w:cs="Arial"/>
        </w:rPr>
        <w:t xml:space="preserve">limited engagement </w:t>
      </w:r>
      <w:r w:rsidR="002B1B3E">
        <w:rPr>
          <w:rFonts w:eastAsia="Arial" w:cs="Arial"/>
        </w:rPr>
        <w:t xml:space="preserve">from Parties and stakeholders </w:t>
      </w:r>
      <w:r w:rsidR="009E56D7">
        <w:rPr>
          <w:rFonts w:eastAsia="Arial" w:cs="Arial"/>
        </w:rPr>
        <w:t>in the</w:t>
      </w:r>
      <w:r w:rsidR="002B1B3E">
        <w:rPr>
          <w:rFonts w:eastAsia="Arial" w:cs="Arial"/>
        </w:rPr>
        <w:t xml:space="preserve"> </w:t>
      </w:r>
      <w:r w:rsidR="004754AF" w:rsidRPr="00DC3347">
        <w:rPr>
          <w:rFonts w:eastAsia="Arial" w:cs="Arial"/>
        </w:rPr>
        <w:t>implementation</w:t>
      </w:r>
      <w:r w:rsidR="00415A07">
        <w:rPr>
          <w:rFonts w:eastAsia="Arial" w:cs="Arial"/>
        </w:rPr>
        <w:t xml:space="preserve"> of the PPWG</w:t>
      </w:r>
      <w:r w:rsidR="005C1B52">
        <w:rPr>
          <w:rFonts w:eastAsia="Arial" w:cs="Arial"/>
        </w:rPr>
        <w:t>’s programme of work</w:t>
      </w:r>
      <w:r w:rsidR="00664C99">
        <w:rPr>
          <w:rFonts w:eastAsia="Arial" w:cs="Arial"/>
        </w:rPr>
        <w:t>.</w:t>
      </w:r>
    </w:p>
    <w:p w14:paraId="2B1F4B0B" w14:textId="77777777" w:rsidR="004754AF" w:rsidRDefault="004754AF" w:rsidP="00F4275C">
      <w:pPr>
        <w:pStyle w:val="ListParagraph"/>
        <w:spacing w:after="0" w:line="240" w:lineRule="auto"/>
        <w:ind w:left="360"/>
        <w:jc w:val="both"/>
        <w:rPr>
          <w:rFonts w:eastAsia="Arial" w:cs="Arial"/>
        </w:rPr>
      </w:pPr>
    </w:p>
    <w:p w14:paraId="17328D56" w14:textId="286FD7D5" w:rsidR="005C0F3C" w:rsidRDefault="00884608" w:rsidP="00F4275C">
      <w:pPr>
        <w:numPr>
          <w:ilvl w:val="0"/>
          <w:numId w:val="3"/>
        </w:numPr>
        <w:spacing w:after="0" w:line="240" w:lineRule="auto"/>
        <w:ind w:left="540" w:hanging="540"/>
        <w:contextualSpacing/>
        <w:jc w:val="both"/>
      </w:pPr>
      <w:r>
        <w:rPr>
          <w:rFonts w:eastAsia="Arial" w:cs="Arial"/>
        </w:rPr>
        <w:t xml:space="preserve">With regards to the </w:t>
      </w:r>
      <w:r w:rsidR="004754AF" w:rsidRPr="34B3BE9A">
        <w:rPr>
          <w:rFonts w:eastAsia="Arial" w:cs="Arial"/>
        </w:rPr>
        <w:t>Lead Task Force</w:t>
      </w:r>
      <w:r>
        <w:rPr>
          <w:rFonts w:eastAsia="Arial" w:cs="Arial"/>
        </w:rPr>
        <w:t>, the review found that</w:t>
      </w:r>
      <w:r w:rsidR="000B7B12">
        <w:rPr>
          <w:rFonts w:eastAsia="Arial" w:cs="Arial"/>
        </w:rPr>
        <w:t>,</w:t>
      </w:r>
      <w:r>
        <w:rPr>
          <w:rFonts w:eastAsia="Arial" w:cs="Arial"/>
        </w:rPr>
        <w:t xml:space="preserve"> </w:t>
      </w:r>
      <w:r w:rsidR="002833DA">
        <w:rPr>
          <w:rFonts w:eastAsia="Arial" w:cs="Arial"/>
        </w:rPr>
        <w:t xml:space="preserve">while its mandate is very </w:t>
      </w:r>
      <w:r w:rsidR="00ED15E9">
        <w:rPr>
          <w:rFonts w:eastAsia="Arial" w:cs="Arial"/>
        </w:rPr>
        <w:t>distinct</w:t>
      </w:r>
      <w:r w:rsidR="002833DA">
        <w:rPr>
          <w:rFonts w:eastAsia="Arial" w:cs="Arial"/>
        </w:rPr>
        <w:t xml:space="preserve"> and does not overlap with other existing CMS instruments and workstreams, </w:t>
      </w:r>
      <w:r w:rsidR="00927F92">
        <w:rPr>
          <w:rFonts w:eastAsia="Arial" w:cs="Arial"/>
        </w:rPr>
        <w:t>it has been largely</w:t>
      </w:r>
      <w:r>
        <w:rPr>
          <w:rFonts w:eastAsia="Arial" w:cs="Arial"/>
        </w:rPr>
        <w:t xml:space="preserve"> </w:t>
      </w:r>
      <w:r w:rsidR="004754AF" w:rsidRPr="34B3BE9A">
        <w:rPr>
          <w:rFonts w:eastAsia="Arial" w:cs="Arial"/>
        </w:rPr>
        <w:t>inactiv</w:t>
      </w:r>
      <w:r w:rsidR="00927F92">
        <w:rPr>
          <w:rFonts w:eastAsia="Arial" w:cs="Arial"/>
        </w:rPr>
        <w:t>e due to</w:t>
      </w:r>
      <w:r w:rsidR="004754AF" w:rsidRPr="34B3BE9A">
        <w:rPr>
          <w:rFonts w:eastAsia="Arial" w:cs="Arial"/>
        </w:rPr>
        <w:t xml:space="preserve"> the lack of </w:t>
      </w:r>
      <w:r w:rsidR="00613F23">
        <w:rPr>
          <w:rFonts w:eastAsia="Arial" w:cs="Arial"/>
        </w:rPr>
        <w:t>resources for</w:t>
      </w:r>
      <w:r>
        <w:rPr>
          <w:rFonts w:eastAsia="Arial" w:cs="Arial"/>
        </w:rPr>
        <w:t xml:space="preserve"> </w:t>
      </w:r>
      <w:r w:rsidR="00613F23">
        <w:rPr>
          <w:rFonts w:eastAsia="Arial" w:cs="Arial"/>
        </w:rPr>
        <w:t>coordinati</w:t>
      </w:r>
      <w:r w:rsidR="00946606">
        <w:rPr>
          <w:rFonts w:eastAsia="Arial" w:cs="Arial"/>
        </w:rPr>
        <w:t>ng its activities</w:t>
      </w:r>
      <w:r w:rsidR="00393EFA">
        <w:t>, including</w:t>
      </w:r>
      <w:r w:rsidR="00856049">
        <w:t xml:space="preserve"> support</w:t>
      </w:r>
      <w:r w:rsidR="00393EFA">
        <w:t>ing</w:t>
      </w:r>
      <w:r w:rsidR="00856049">
        <w:t xml:space="preserve"> Parties in the implementation of Decision 14.134.</w:t>
      </w:r>
    </w:p>
    <w:p w14:paraId="64847B7E" w14:textId="6C626E68" w:rsidR="00856049" w:rsidRDefault="00856049" w:rsidP="00F4275C">
      <w:pPr>
        <w:spacing w:after="0" w:line="240" w:lineRule="auto"/>
        <w:ind w:left="540"/>
        <w:contextualSpacing/>
        <w:jc w:val="both"/>
      </w:pPr>
      <w:r>
        <w:t xml:space="preserve"> </w:t>
      </w:r>
    </w:p>
    <w:p w14:paraId="252CC097" w14:textId="5E60A125" w:rsidR="00977C91" w:rsidRPr="008061CB" w:rsidRDefault="00AF6CAF" w:rsidP="00977C91">
      <w:pPr>
        <w:numPr>
          <w:ilvl w:val="0"/>
          <w:numId w:val="3"/>
        </w:numPr>
        <w:spacing w:after="0" w:line="240" w:lineRule="auto"/>
        <w:ind w:left="540" w:hanging="540"/>
        <w:contextualSpacing/>
        <w:jc w:val="both"/>
        <w:rPr>
          <w:rFonts w:eastAsia="Arial" w:cs="Arial"/>
        </w:rPr>
      </w:pPr>
      <w:r>
        <w:rPr>
          <w:rFonts w:eastAsia="Arial" w:cs="Arial"/>
        </w:rPr>
        <w:t>As a</w:t>
      </w:r>
      <w:r w:rsidR="005E68B1">
        <w:rPr>
          <w:rFonts w:eastAsia="Arial" w:cs="Arial"/>
        </w:rPr>
        <w:t xml:space="preserve"> consequence, </w:t>
      </w:r>
      <w:r w:rsidR="00F732AC">
        <w:rPr>
          <w:rFonts w:eastAsia="Arial" w:cs="Arial"/>
        </w:rPr>
        <w:t xml:space="preserve">the proposed </w:t>
      </w:r>
      <w:r w:rsidR="005E68B1">
        <w:rPr>
          <w:rFonts w:eastAsia="Arial" w:cs="Arial"/>
        </w:rPr>
        <w:t>a</w:t>
      </w:r>
      <w:r w:rsidR="005C0F3C">
        <w:rPr>
          <w:rFonts w:eastAsia="Arial" w:cs="Arial"/>
        </w:rPr>
        <w:t xml:space="preserve">mendments to </w:t>
      </w:r>
      <w:r w:rsidR="005C0F3C" w:rsidRPr="0BF22F3D">
        <w:rPr>
          <w:rFonts w:eastAsia="Arial" w:cs="Arial"/>
        </w:rPr>
        <w:t>Resolution 11.15 (Rev.COP14)</w:t>
      </w:r>
      <w:r w:rsidR="00BF48A2">
        <w:rPr>
          <w:rFonts w:eastAsia="Arial" w:cs="Arial"/>
        </w:rPr>
        <w:t xml:space="preserve"> </w:t>
      </w:r>
      <w:r w:rsidR="00F732AC">
        <w:rPr>
          <w:rFonts w:eastAsia="Arial" w:cs="Arial"/>
        </w:rPr>
        <w:t xml:space="preserve">and </w:t>
      </w:r>
      <w:r w:rsidR="00BF48A2">
        <w:rPr>
          <w:rFonts w:eastAsia="Arial" w:cs="Arial"/>
        </w:rPr>
        <w:t xml:space="preserve">draft Decisions </w:t>
      </w:r>
      <w:r w:rsidR="00BA3E36">
        <w:rPr>
          <w:rFonts w:eastAsia="Arial" w:cs="Arial"/>
        </w:rPr>
        <w:t>recommend</w:t>
      </w:r>
      <w:r w:rsidR="00ED27CF">
        <w:rPr>
          <w:rFonts w:eastAsia="Arial" w:cs="Arial"/>
        </w:rPr>
        <w:t>:</w:t>
      </w:r>
      <w:r w:rsidR="005F7F27">
        <w:rPr>
          <w:rFonts w:eastAsia="Arial" w:cs="Arial"/>
        </w:rPr>
        <w:t xml:space="preserve"> </w:t>
      </w:r>
      <w:r w:rsidR="00F56281">
        <w:rPr>
          <w:rFonts w:eastAsia="Arial" w:cs="Arial"/>
        </w:rPr>
        <w:t xml:space="preserve">i) </w:t>
      </w:r>
      <w:r w:rsidR="001E474C">
        <w:rPr>
          <w:rFonts w:eastAsia="Arial" w:cs="Arial"/>
        </w:rPr>
        <w:t>the discontinuation of the PPWG</w:t>
      </w:r>
      <w:r w:rsidR="00F56281">
        <w:rPr>
          <w:rFonts w:eastAsia="Arial" w:cs="Arial"/>
        </w:rPr>
        <w:t>; ii)</w:t>
      </w:r>
      <w:r w:rsidR="00404F0C">
        <w:rPr>
          <w:rFonts w:eastAsia="Arial" w:cs="Arial"/>
        </w:rPr>
        <w:t xml:space="preserve"> </w:t>
      </w:r>
      <w:r w:rsidR="00AE44C9">
        <w:rPr>
          <w:rFonts w:eastAsia="Arial" w:cs="Arial"/>
        </w:rPr>
        <w:t xml:space="preserve">a new </w:t>
      </w:r>
      <w:r w:rsidR="001D4BEE">
        <w:rPr>
          <w:rFonts w:eastAsia="Arial" w:cs="Arial"/>
        </w:rPr>
        <w:t xml:space="preserve">study </w:t>
      </w:r>
      <w:r w:rsidR="00C42D06">
        <w:rPr>
          <w:rFonts w:eastAsia="Arial" w:cs="Arial"/>
        </w:rPr>
        <w:t>to analyze</w:t>
      </w:r>
      <w:r w:rsidR="001D4BEE">
        <w:rPr>
          <w:rFonts w:eastAsia="Arial" w:cs="Arial"/>
        </w:rPr>
        <w:t xml:space="preserve"> the current impacts and hotspots of poisoning of migratory </w:t>
      </w:r>
      <w:r w:rsidR="00A657C7">
        <w:rPr>
          <w:rFonts w:eastAsia="Arial" w:cs="Arial"/>
        </w:rPr>
        <w:t>wildlife</w:t>
      </w:r>
      <w:r w:rsidR="00B94691">
        <w:rPr>
          <w:rFonts w:eastAsia="Arial" w:cs="Arial"/>
        </w:rPr>
        <w:t>;</w:t>
      </w:r>
      <w:r w:rsidR="00251C6C">
        <w:rPr>
          <w:rFonts w:eastAsia="Arial" w:cs="Arial"/>
        </w:rPr>
        <w:t xml:space="preserve"> </w:t>
      </w:r>
      <w:r w:rsidR="00B94691">
        <w:rPr>
          <w:rFonts w:eastAsia="Arial" w:cs="Arial"/>
        </w:rPr>
        <w:t xml:space="preserve">iii) </w:t>
      </w:r>
      <w:r w:rsidR="003470D9" w:rsidRPr="5B0B4A6E">
        <w:rPr>
          <w:rFonts w:eastAsia="Arial" w:cs="Arial"/>
        </w:rPr>
        <w:t xml:space="preserve">a mapping exercise that </w:t>
      </w:r>
      <w:r w:rsidR="0042687C">
        <w:rPr>
          <w:rFonts w:eastAsia="Arial" w:cs="Arial"/>
        </w:rPr>
        <w:t>determines</w:t>
      </w:r>
      <w:r w:rsidR="003470D9" w:rsidRPr="5B0B4A6E">
        <w:rPr>
          <w:rFonts w:eastAsia="Arial" w:cs="Arial"/>
        </w:rPr>
        <w:t xml:space="preserve"> the geographic areas and types of poisons already addressed by </w:t>
      </w:r>
      <w:r w:rsidR="0042687C">
        <w:rPr>
          <w:rFonts w:eastAsia="Arial" w:cs="Arial"/>
        </w:rPr>
        <w:t xml:space="preserve">other </w:t>
      </w:r>
      <w:r w:rsidR="003470D9" w:rsidRPr="5B0B4A6E">
        <w:rPr>
          <w:rFonts w:eastAsia="Arial" w:cs="Arial"/>
        </w:rPr>
        <w:t>CMS instruments</w:t>
      </w:r>
      <w:r w:rsidR="004901A6">
        <w:rPr>
          <w:rFonts w:eastAsia="Arial" w:cs="Arial"/>
        </w:rPr>
        <w:t xml:space="preserve"> and frameworks</w:t>
      </w:r>
      <w:r w:rsidR="003470D9" w:rsidRPr="5B0B4A6E">
        <w:rPr>
          <w:rFonts w:eastAsia="Arial" w:cs="Arial"/>
        </w:rPr>
        <w:t xml:space="preserve">, </w:t>
      </w:r>
      <w:r w:rsidR="004901A6">
        <w:rPr>
          <w:rFonts w:eastAsia="Arial" w:cs="Arial"/>
        </w:rPr>
        <w:t>and</w:t>
      </w:r>
      <w:r w:rsidR="00574E2E">
        <w:rPr>
          <w:rFonts w:eastAsia="Arial" w:cs="Arial"/>
        </w:rPr>
        <w:t xml:space="preserve"> </w:t>
      </w:r>
      <w:r w:rsidR="003952C5">
        <w:rPr>
          <w:rFonts w:eastAsia="Arial" w:cs="Arial"/>
        </w:rPr>
        <w:t>that</w:t>
      </w:r>
      <w:r w:rsidR="004901A6">
        <w:rPr>
          <w:rFonts w:eastAsia="Arial" w:cs="Arial"/>
        </w:rPr>
        <w:t xml:space="preserve"> </w:t>
      </w:r>
      <w:r w:rsidR="00977C91">
        <w:rPr>
          <w:rFonts w:eastAsia="Arial" w:cs="Arial"/>
        </w:rPr>
        <w:t>identifies</w:t>
      </w:r>
      <w:r w:rsidR="004901A6">
        <w:rPr>
          <w:rFonts w:eastAsia="Arial" w:cs="Arial"/>
        </w:rPr>
        <w:t xml:space="preserve"> gaps</w:t>
      </w:r>
      <w:r w:rsidR="00C63D97">
        <w:rPr>
          <w:rFonts w:eastAsia="Arial" w:cs="Arial"/>
          <w:color w:val="000000" w:themeColor="text1"/>
        </w:rPr>
        <w:t xml:space="preserve"> (</w:t>
      </w:r>
      <w:r w:rsidR="00977C91" w:rsidRPr="0BF22F3D">
        <w:rPr>
          <w:rFonts w:eastAsia="Arial" w:cs="Arial"/>
          <w:color w:val="000000" w:themeColor="text1"/>
        </w:rPr>
        <w:t>the</w:t>
      </w:r>
      <w:r w:rsidR="00977C91">
        <w:rPr>
          <w:rFonts w:eastAsia="Arial" w:cs="Arial"/>
          <w:color w:val="000000" w:themeColor="text1"/>
        </w:rPr>
        <w:t xml:space="preserve"> results</w:t>
      </w:r>
      <w:r w:rsidR="00C63D97">
        <w:rPr>
          <w:rFonts w:eastAsia="Arial" w:cs="Arial"/>
          <w:color w:val="000000" w:themeColor="text1"/>
        </w:rPr>
        <w:t xml:space="preserve"> of which</w:t>
      </w:r>
      <w:r w:rsidR="00977C91" w:rsidRPr="0BF22F3D">
        <w:rPr>
          <w:rFonts w:eastAsia="Arial" w:cs="Arial"/>
          <w:color w:val="000000" w:themeColor="text1"/>
        </w:rPr>
        <w:t xml:space="preserve"> </w:t>
      </w:r>
      <w:r w:rsidR="00C63D97">
        <w:rPr>
          <w:rFonts w:eastAsia="Arial" w:cs="Arial"/>
          <w:color w:val="000000" w:themeColor="text1"/>
        </w:rPr>
        <w:t>would help guide</w:t>
      </w:r>
      <w:r w:rsidR="002761F3">
        <w:rPr>
          <w:rFonts w:eastAsia="Arial" w:cs="Arial"/>
          <w:color w:val="000000" w:themeColor="text1"/>
        </w:rPr>
        <w:t xml:space="preserve"> </w:t>
      </w:r>
      <w:r w:rsidR="002761F3">
        <w:rPr>
          <w:rFonts w:eastAsia="Arial" w:cs="Arial"/>
        </w:rPr>
        <w:t>existing</w:t>
      </w:r>
      <w:r w:rsidR="002761F3" w:rsidRPr="00A36539">
        <w:rPr>
          <w:rFonts w:eastAsia="Arial" w:cs="Arial"/>
        </w:rPr>
        <w:t xml:space="preserve"> CMS Avian Instruments working on </w:t>
      </w:r>
      <w:r w:rsidR="002761F3">
        <w:rPr>
          <w:rFonts w:eastAsia="Arial" w:cs="Arial"/>
        </w:rPr>
        <w:t xml:space="preserve">preventing </w:t>
      </w:r>
      <w:r w:rsidR="002761F3" w:rsidRPr="00A36539">
        <w:rPr>
          <w:rFonts w:eastAsia="Arial" w:cs="Arial"/>
        </w:rPr>
        <w:t xml:space="preserve">poisoning </w:t>
      </w:r>
      <w:r w:rsidR="005850B2">
        <w:rPr>
          <w:rFonts w:eastAsia="Arial" w:cs="Arial"/>
        </w:rPr>
        <w:t>in determin</w:t>
      </w:r>
      <w:r w:rsidR="00CF4F27">
        <w:rPr>
          <w:rFonts w:eastAsia="Arial" w:cs="Arial"/>
        </w:rPr>
        <w:t>in</w:t>
      </w:r>
      <w:r w:rsidR="005850B2">
        <w:rPr>
          <w:rFonts w:eastAsia="Arial" w:cs="Arial"/>
        </w:rPr>
        <w:t>g</w:t>
      </w:r>
      <w:r w:rsidR="00037282">
        <w:rPr>
          <w:rFonts w:eastAsia="Arial" w:cs="Arial"/>
        </w:rPr>
        <w:t xml:space="preserve"> aspects they </w:t>
      </w:r>
      <w:r w:rsidR="004B33D4">
        <w:rPr>
          <w:rFonts w:eastAsia="Arial" w:cs="Arial"/>
        </w:rPr>
        <w:t>could</w:t>
      </w:r>
      <w:r w:rsidR="00037282">
        <w:rPr>
          <w:rFonts w:eastAsia="Arial" w:cs="Arial"/>
        </w:rPr>
        <w:t xml:space="preserve"> tackle and</w:t>
      </w:r>
      <w:r w:rsidR="003D12F4">
        <w:rPr>
          <w:rFonts w:eastAsia="Arial" w:cs="Arial"/>
        </w:rPr>
        <w:t xml:space="preserve"> </w:t>
      </w:r>
      <w:r w:rsidR="00977C91" w:rsidRPr="0BF22F3D">
        <w:rPr>
          <w:rFonts w:eastAsia="Arial" w:cs="Arial"/>
        </w:rPr>
        <w:t>consider</w:t>
      </w:r>
      <w:r w:rsidR="00037282">
        <w:rPr>
          <w:rFonts w:eastAsia="Arial" w:cs="Arial"/>
        </w:rPr>
        <w:t xml:space="preserve"> in their workplans</w:t>
      </w:r>
      <w:r w:rsidR="00B0019E">
        <w:rPr>
          <w:rFonts w:eastAsia="Arial" w:cs="Arial"/>
        </w:rPr>
        <w:t>)</w:t>
      </w:r>
      <w:r w:rsidR="00033506">
        <w:rPr>
          <w:rFonts w:eastAsia="Arial" w:cs="Arial"/>
          <w:color w:val="000000" w:themeColor="text1"/>
        </w:rPr>
        <w:t xml:space="preserve">; </w:t>
      </w:r>
      <w:r w:rsidR="00793543">
        <w:rPr>
          <w:rFonts w:eastAsia="Arial" w:cs="Arial"/>
          <w:color w:val="000000" w:themeColor="text1"/>
        </w:rPr>
        <w:t xml:space="preserve">and </w:t>
      </w:r>
      <w:r w:rsidR="00F31A6C">
        <w:rPr>
          <w:rFonts w:eastAsia="Arial" w:cs="Arial"/>
          <w:color w:val="000000" w:themeColor="text1"/>
        </w:rPr>
        <w:t>i</w:t>
      </w:r>
      <w:r w:rsidR="004628E8">
        <w:rPr>
          <w:rFonts w:eastAsia="Arial" w:cs="Arial"/>
          <w:color w:val="000000" w:themeColor="text1"/>
        </w:rPr>
        <w:t>v</w:t>
      </w:r>
      <w:r w:rsidR="00F31A6C">
        <w:rPr>
          <w:rFonts w:eastAsia="Arial" w:cs="Arial"/>
          <w:color w:val="000000" w:themeColor="text1"/>
        </w:rPr>
        <w:t xml:space="preserve">) </w:t>
      </w:r>
      <w:r w:rsidR="00033506">
        <w:rPr>
          <w:rFonts w:eastAsia="Arial" w:cs="Arial"/>
          <w:color w:val="000000" w:themeColor="text1"/>
        </w:rPr>
        <w:t>a corresponding update of the Guidelines.</w:t>
      </w:r>
      <w:r w:rsidR="00F732AC">
        <w:rPr>
          <w:rFonts w:eastAsia="Arial" w:cs="Arial"/>
          <w:color w:val="000000" w:themeColor="text1"/>
        </w:rPr>
        <w:t xml:space="preserve"> </w:t>
      </w:r>
      <w:r w:rsidR="00F732AC" w:rsidRPr="0BF22F3D">
        <w:rPr>
          <w:rFonts w:eastAsia="Arial" w:cs="Arial"/>
        </w:rPr>
        <w:t>The proposed amendments incorporat</w:t>
      </w:r>
      <w:r w:rsidR="00F732AC">
        <w:rPr>
          <w:rFonts w:eastAsia="Arial" w:cs="Arial"/>
        </w:rPr>
        <w:t>e</w:t>
      </w:r>
      <w:r w:rsidR="00F732AC" w:rsidRPr="0BF22F3D">
        <w:rPr>
          <w:rFonts w:eastAsia="Arial" w:cs="Arial"/>
        </w:rPr>
        <w:t xml:space="preserve"> feedback from </w:t>
      </w:r>
      <w:r w:rsidR="00F732AC">
        <w:rPr>
          <w:rFonts w:eastAsia="Arial" w:cs="Arial"/>
        </w:rPr>
        <w:t xml:space="preserve">governments and </w:t>
      </w:r>
      <w:r w:rsidR="00F732AC" w:rsidRPr="0BF22F3D">
        <w:rPr>
          <w:rFonts w:eastAsia="Arial" w:cs="Arial"/>
        </w:rPr>
        <w:t xml:space="preserve">stakeholders </w:t>
      </w:r>
      <w:r w:rsidR="00F732AC">
        <w:rPr>
          <w:rFonts w:eastAsia="Arial" w:cs="Arial"/>
        </w:rPr>
        <w:t xml:space="preserve">engaged in various </w:t>
      </w:r>
      <w:r w:rsidR="0093003D">
        <w:rPr>
          <w:rFonts w:eastAsia="Arial" w:cs="Arial"/>
        </w:rPr>
        <w:t>working group</w:t>
      </w:r>
      <w:r w:rsidR="00F732AC">
        <w:rPr>
          <w:rFonts w:eastAsia="Arial" w:cs="Arial"/>
        </w:rPr>
        <w:t xml:space="preserve">s and </w:t>
      </w:r>
      <w:r w:rsidR="0093003D">
        <w:rPr>
          <w:rFonts w:eastAsia="Arial" w:cs="Arial"/>
        </w:rPr>
        <w:t>t</w:t>
      </w:r>
      <w:r w:rsidR="00F732AC">
        <w:rPr>
          <w:rFonts w:eastAsia="Arial" w:cs="Arial"/>
        </w:rPr>
        <w:t xml:space="preserve">ask </w:t>
      </w:r>
      <w:r w:rsidR="0093003D">
        <w:rPr>
          <w:rFonts w:eastAsia="Arial" w:cs="Arial"/>
        </w:rPr>
        <w:t>f</w:t>
      </w:r>
      <w:r w:rsidR="00F732AC">
        <w:rPr>
          <w:rFonts w:eastAsia="Arial" w:cs="Arial"/>
        </w:rPr>
        <w:t xml:space="preserve">orces </w:t>
      </w:r>
      <w:r w:rsidR="0093003D">
        <w:rPr>
          <w:rFonts w:eastAsia="Arial" w:cs="Arial"/>
        </w:rPr>
        <w:t>such as the</w:t>
      </w:r>
      <w:r w:rsidR="00F732AC">
        <w:rPr>
          <w:rFonts w:eastAsia="Arial" w:cs="Arial"/>
        </w:rPr>
        <w:t xml:space="preserve"> AEML WG</w:t>
      </w:r>
      <w:r w:rsidR="00F732AC" w:rsidRPr="0BF22F3D">
        <w:rPr>
          <w:rFonts w:eastAsia="Arial" w:cs="Arial"/>
        </w:rPr>
        <w:t>.</w:t>
      </w:r>
    </w:p>
    <w:p w14:paraId="5BE15808" w14:textId="6A0A906F" w:rsidR="00A05F7F" w:rsidRDefault="006043F7" w:rsidP="00A05F7F">
      <w:pPr>
        <w:numPr>
          <w:ilvl w:val="0"/>
          <w:numId w:val="3"/>
        </w:numPr>
        <w:spacing w:after="0" w:line="240" w:lineRule="auto"/>
        <w:ind w:left="540" w:hanging="540"/>
        <w:contextualSpacing/>
        <w:jc w:val="both"/>
        <w:rPr>
          <w:rFonts w:eastAsia="Arial" w:cs="Arial"/>
        </w:rPr>
      </w:pPr>
      <w:r>
        <w:rPr>
          <w:rFonts w:eastAsia="Arial" w:cs="Arial"/>
        </w:rPr>
        <w:lastRenderedPageBreak/>
        <w:t xml:space="preserve">Based on </w:t>
      </w:r>
      <w:r w:rsidR="007B5A03">
        <w:rPr>
          <w:rFonts w:eastAsia="Arial" w:cs="Arial"/>
        </w:rPr>
        <w:t xml:space="preserve">an </w:t>
      </w:r>
      <w:r w:rsidR="00DD5330">
        <w:rPr>
          <w:rFonts w:eastAsia="Arial" w:cs="Arial"/>
        </w:rPr>
        <w:t xml:space="preserve">initiative taken by </w:t>
      </w:r>
      <w:r w:rsidR="00933589">
        <w:rPr>
          <w:rFonts w:eastAsia="Arial" w:cs="Arial"/>
        </w:rPr>
        <w:t>stakeholders</w:t>
      </w:r>
      <w:r w:rsidR="008061CB">
        <w:rPr>
          <w:rFonts w:eastAsia="Arial" w:cs="Arial"/>
        </w:rPr>
        <w:t xml:space="preserve"> involved in the CPEW</w:t>
      </w:r>
      <w:r w:rsidR="00933589">
        <w:rPr>
          <w:rFonts w:eastAsia="Arial" w:cs="Arial"/>
        </w:rPr>
        <w:t xml:space="preserve">, </w:t>
      </w:r>
      <w:r w:rsidR="00D1672F">
        <w:rPr>
          <w:rFonts w:eastAsia="Arial" w:cs="Arial"/>
        </w:rPr>
        <w:t>proposed am</w:t>
      </w:r>
      <w:r w:rsidR="00F91772">
        <w:rPr>
          <w:rFonts w:eastAsia="Arial" w:cs="Arial"/>
        </w:rPr>
        <w:t>endments</w:t>
      </w:r>
      <w:r w:rsidR="00DD5330">
        <w:rPr>
          <w:rFonts w:eastAsia="Arial" w:cs="Arial"/>
        </w:rPr>
        <w:t xml:space="preserve"> to the Resolution also</w:t>
      </w:r>
      <w:r w:rsidR="00F91772">
        <w:rPr>
          <w:rFonts w:eastAsia="Arial" w:cs="Arial"/>
        </w:rPr>
        <w:t xml:space="preserve"> </w:t>
      </w:r>
      <w:r w:rsidR="00233C62">
        <w:rPr>
          <w:rFonts w:eastAsia="Arial" w:cs="Arial"/>
        </w:rPr>
        <w:t xml:space="preserve">include </w:t>
      </w:r>
      <w:r w:rsidR="00933589">
        <w:rPr>
          <w:rFonts w:eastAsia="Arial" w:cs="Arial"/>
        </w:rPr>
        <w:t xml:space="preserve">a provision to promote an </w:t>
      </w:r>
      <w:r w:rsidR="00D77BCE" w:rsidRPr="00D77BCE">
        <w:rPr>
          <w:rFonts w:eastAsia="Arial" w:cs="Arial"/>
        </w:rPr>
        <w:t>‘</w:t>
      </w:r>
      <w:r w:rsidR="00933589" w:rsidRPr="002A118F">
        <w:rPr>
          <w:rFonts w:eastAsia="Arial" w:cs="Arial"/>
        </w:rPr>
        <w:t>International Day against Criminal Poisoning of Wildlife</w:t>
      </w:r>
      <w:r w:rsidR="00D77BCE" w:rsidRPr="002A118F">
        <w:rPr>
          <w:rFonts w:eastAsia="Arial" w:cs="Arial"/>
        </w:rPr>
        <w:t>’</w:t>
      </w:r>
      <w:r w:rsidR="001B611F">
        <w:rPr>
          <w:rFonts w:eastAsia="Arial" w:cs="Arial"/>
        </w:rPr>
        <w:t xml:space="preserve"> to </w:t>
      </w:r>
      <w:r w:rsidR="009A202F">
        <w:rPr>
          <w:rFonts w:eastAsia="Arial" w:cs="Arial"/>
        </w:rPr>
        <w:t xml:space="preserve">raise awareness and </w:t>
      </w:r>
      <w:r w:rsidR="001B611F">
        <w:rPr>
          <w:rFonts w:eastAsia="Arial" w:cs="Arial"/>
        </w:rPr>
        <w:t xml:space="preserve">increase the engagement </w:t>
      </w:r>
      <w:r w:rsidR="007C62FD">
        <w:rPr>
          <w:rFonts w:eastAsia="Arial" w:cs="Arial"/>
        </w:rPr>
        <w:t>of</w:t>
      </w:r>
      <w:r w:rsidR="001B611F">
        <w:rPr>
          <w:rFonts w:eastAsia="Arial" w:cs="Arial"/>
        </w:rPr>
        <w:t xml:space="preserve"> governments and the general public</w:t>
      </w:r>
      <w:r w:rsidR="009A202F">
        <w:rPr>
          <w:rFonts w:eastAsia="Arial" w:cs="Arial"/>
        </w:rPr>
        <w:t>,</w:t>
      </w:r>
      <w:r w:rsidR="001B611F">
        <w:rPr>
          <w:rFonts w:eastAsia="Arial" w:cs="Arial"/>
        </w:rPr>
        <w:t xml:space="preserve"> and promot</w:t>
      </w:r>
      <w:r w:rsidR="007C62FD">
        <w:rPr>
          <w:rFonts w:eastAsia="Arial" w:cs="Arial"/>
        </w:rPr>
        <w:t>e</w:t>
      </w:r>
      <w:r w:rsidR="001B611F">
        <w:rPr>
          <w:rFonts w:eastAsia="Arial" w:cs="Arial"/>
        </w:rPr>
        <w:t xml:space="preserve"> the efforts taken by</w:t>
      </w:r>
      <w:r w:rsidR="008061CB">
        <w:rPr>
          <w:rFonts w:eastAsia="Arial" w:cs="Arial"/>
        </w:rPr>
        <w:t xml:space="preserve"> Parties a</w:t>
      </w:r>
      <w:r w:rsidR="007C62FD">
        <w:rPr>
          <w:rFonts w:eastAsia="Arial" w:cs="Arial"/>
        </w:rPr>
        <w:t>nd other relevant</w:t>
      </w:r>
      <w:r w:rsidR="008061CB">
        <w:rPr>
          <w:rFonts w:eastAsia="Arial" w:cs="Arial"/>
        </w:rPr>
        <w:t xml:space="preserve"> organizations. </w:t>
      </w:r>
    </w:p>
    <w:p w14:paraId="1A7C9C58" w14:textId="77777777" w:rsidR="00A05F7F" w:rsidRDefault="00A05F7F" w:rsidP="00A05F7F">
      <w:pPr>
        <w:spacing w:after="0" w:line="240" w:lineRule="auto"/>
        <w:jc w:val="both"/>
        <w:rPr>
          <w:u w:val="single"/>
        </w:rPr>
      </w:pPr>
    </w:p>
    <w:p w14:paraId="4A30C372" w14:textId="4B51C197" w:rsidR="00A05F7F" w:rsidRPr="00AC2D84" w:rsidRDefault="00A05F7F" w:rsidP="00A05F7F">
      <w:pPr>
        <w:spacing w:after="0" w:line="240" w:lineRule="auto"/>
        <w:jc w:val="both"/>
        <w:rPr>
          <w:u w:val="single"/>
        </w:rPr>
      </w:pPr>
      <w:r w:rsidRPr="00AC2D84">
        <w:rPr>
          <w:u w:val="single"/>
        </w:rPr>
        <w:t>Recommended actions</w:t>
      </w:r>
    </w:p>
    <w:p w14:paraId="4BC6CA99" w14:textId="77777777" w:rsidR="00A05F7F" w:rsidRPr="00AC2D84" w:rsidRDefault="00A05F7F" w:rsidP="00A05F7F">
      <w:pPr>
        <w:spacing w:after="0" w:line="240" w:lineRule="auto"/>
        <w:jc w:val="both"/>
        <w:rPr>
          <w:u w:val="single"/>
        </w:rPr>
      </w:pPr>
    </w:p>
    <w:p w14:paraId="245735C9" w14:textId="77777777" w:rsidR="00A05F7F" w:rsidRPr="00AC2D84" w:rsidRDefault="00A05F7F" w:rsidP="00A05F7F">
      <w:pPr>
        <w:numPr>
          <w:ilvl w:val="0"/>
          <w:numId w:val="3"/>
        </w:numPr>
        <w:spacing w:after="0" w:line="240" w:lineRule="auto"/>
        <w:ind w:left="540" w:hanging="540"/>
        <w:contextualSpacing/>
        <w:jc w:val="both"/>
      </w:pPr>
      <w:r w:rsidRPr="00AC2D84">
        <w:t>The Conference of the Parties is recommended to:</w:t>
      </w:r>
    </w:p>
    <w:p w14:paraId="40B73091" w14:textId="77777777" w:rsidR="00A05F7F" w:rsidRPr="00AC2D84" w:rsidRDefault="00A05F7F" w:rsidP="00A05F7F">
      <w:pPr>
        <w:spacing w:after="0" w:line="240" w:lineRule="auto"/>
        <w:ind w:left="540"/>
        <w:contextualSpacing/>
        <w:jc w:val="both"/>
      </w:pPr>
    </w:p>
    <w:p w14:paraId="4ECF0EA1" w14:textId="7A81B6D9" w:rsidR="00A05F7F" w:rsidRPr="00AC2D84" w:rsidRDefault="00A05F7F" w:rsidP="001B6FA2">
      <w:pPr>
        <w:pStyle w:val="ListParagraph"/>
        <w:numPr>
          <w:ilvl w:val="0"/>
          <w:numId w:val="15"/>
        </w:numPr>
        <w:spacing w:after="0" w:line="240" w:lineRule="auto"/>
        <w:ind w:left="993" w:hanging="426"/>
        <w:jc w:val="both"/>
      </w:pPr>
      <w:r w:rsidRPr="00AC2D84">
        <w:t>adopt the draft amendments to Resolution 11.15 (Rev.COP1</w:t>
      </w:r>
      <w:r>
        <w:t>4</w:t>
      </w:r>
      <w:r w:rsidRPr="00AC2D84">
        <w:t>) contained in Annex 1 of this document;</w:t>
      </w:r>
    </w:p>
    <w:p w14:paraId="78711C2A" w14:textId="77777777" w:rsidR="00A05F7F" w:rsidRPr="00AC2D84" w:rsidRDefault="00A05F7F" w:rsidP="00A05F7F">
      <w:pPr>
        <w:spacing w:after="0" w:line="240" w:lineRule="auto"/>
        <w:ind w:left="900" w:hanging="360"/>
        <w:jc w:val="both"/>
      </w:pPr>
    </w:p>
    <w:p w14:paraId="7D769B4D" w14:textId="1539D904" w:rsidR="00A05F7F" w:rsidRPr="004605CF" w:rsidRDefault="00A05F7F" w:rsidP="003720CA">
      <w:pPr>
        <w:pStyle w:val="ListParagraph"/>
        <w:numPr>
          <w:ilvl w:val="0"/>
          <w:numId w:val="15"/>
        </w:numPr>
        <w:ind w:left="993" w:hanging="426"/>
        <w:jc w:val="both"/>
        <w:rPr>
          <w:iCs/>
          <w:lang w:val="en-GB"/>
        </w:rPr>
      </w:pPr>
      <w:r w:rsidRPr="00AC2D84">
        <w:t>adopt the draft Decisions contained in Annex 2 of this document and delete Decisions 1</w:t>
      </w:r>
      <w:r w:rsidR="004F5567">
        <w:t>4</w:t>
      </w:r>
      <w:r w:rsidRPr="00AC2D84">
        <w:t>.</w:t>
      </w:r>
      <w:r w:rsidR="004F5567">
        <w:t>134</w:t>
      </w:r>
      <w:r w:rsidRPr="00AC2D84">
        <w:t xml:space="preserve"> </w:t>
      </w:r>
      <w:r w:rsidR="004F5567">
        <w:t>to</w:t>
      </w:r>
      <w:r w:rsidRPr="00AC2D84">
        <w:t xml:space="preserve"> 1</w:t>
      </w:r>
      <w:r w:rsidR="004F5567">
        <w:t>4</w:t>
      </w:r>
      <w:r w:rsidRPr="00AC2D84">
        <w:t>.</w:t>
      </w:r>
      <w:r w:rsidR="004F5567">
        <w:t>136</w:t>
      </w:r>
      <w:r w:rsidRPr="00AC2D84">
        <w:t>.</w:t>
      </w:r>
    </w:p>
    <w:p w14:paraId="25B10C6A" w14:textId="77777777" w:rsidR="004605CF" w:rsidRDefault="004605CF" w:rsidP="004605CF">
      <w:pPr>
        <w:jc w:val="both"/>
        <w:rPr>
          <w:iCs/>
          <w:lang w:val="en-GB"/>
        </w:rPr>
      </w:pPr>
    </w:p>
    <w:p w14:paraId="3D4F9BB8" w14:textId="77777777" w:rsidR="004605CF" w:rsidRDefault="004605CF" w:rsidP="004605CF">
      <w:pPr>
        <w:jc w:val="both"/>
        <w:rPr>
          <w:iCs/>
          <w:lang w:val="en-GB"/>
        </w:rPr>
        <w:sectPr w:rsidR="004605CF" w:rsidSect="00D93628">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720" w:footer="720" w:gutter="0"/>
          <w:cols w:space="720"/>
          <w:titlePg/>
          <w:docGrid w:linePitch="360"/>
        </w:sectPr>
      </w:pPr>
    </w:p>
    <w:p w14:paraId="39B70535" w14:textId="3C9E2DA1" w:rsidR="004605CF" w:rsidRPr="004605CF" w:rsidRDefault="004605CF" w:rsidP="009E389F">
      <w:pPr>
        <w:spacing w:after="0" w:line="240" w:lineRule="auto"/>
        <w:jc w:val="right"/>
        <w:rPr>
          <w:b/>
          <w:bCs/>
          <w:iCs/>
          <w:lang w:val="en-GB"/>
        </w:rPr>
      </w:pPr>
      <w:r w:rsidRPr="004605CF">
        <w:rPr>
          <w:b/>
          <w:bCs/>
          <w:iCs/>
          <w:lang w:val="en-GB"/>
        </w:rPr>
        <w:lastRenderedPageBreak/>
        <w:t>A</w:t>
      </w:r>
      <w:r w:rsidR="00D75A16">
        <w:rPr>
          <w:b/>
          <w:bCs/>
          <w:iCs/>
          <w:lang w:val="en-GB"/>
        </w:rPr>
        <w:t>NNEX</w:t>
      </w:r>
      <w:r w:rsidRPr="004605CF">
        <w:rPr>
          <w:b/>
          <w:bCs/>
          <w:iCs/>
          <w:lang w:val="en-GB"/>
        </w:rPr>
        <w:t xml:space="preserve"> 1</w:t>
      </w:r>
    </w:p>
    <w:p w14:paraId="6D2A4B0D" w14:textId="77777777" w:rsidR="00EF27EB" w:rsidRDefault="00EF27EB" w:rsidP="009E389F">
      <w:pPr>
        <w:spacing w:after="0" w:line="240" w:lineRule="auto"/>
        <w:jc w:val="center"/>
      </w:pPr>
    </w:p>
    <w:p w14:paraId="4D1D943B" w14:textId="77777777" w:rsidR="001C79AB" w:rsidRDefault="001C79AB" w:rsidP="009E389F">
      <w:pPr>
        <w:spacing w:after="0" w:line="240" w:lineRule="auto"/>
        <w:jc w:val="center"/>
      </w:pPr>
    </w:p>
    <w:p w14:paraId="6AF58C0D" w14:textId="4AC7C701" w:rsidR="00253AF0" w:rsidRPr="004605CF" w:rsidRDefault="004605CF" w:rsidP="009E389F">
      <w:pPr>
        <w:spacing w:after="0" w:line="240" w:lineRule="auto"/>
        <w:jc w:val="center"/>
      </w:pPr>
      <w:r w:rsidRPr="004605CF">
        <w:t xml:space="preserve">PROPOSED AMENDMENTS TO RESOLUTION </w:t>
      </w:r>
      <w:r>
        <w:t>11</w:t>
      </w:r>
      <w:r w:rsidRPr="004605CF">
        <w:t>.</w:t>
      </w:r>
      <w:r>
        <w:t>15 (Rev.COP14)</w:t>
      </w:r>
    </w:p>
    <w:p w14:paraId="5F0A47E9" w14:textId="77777777" w:rsidR="00253AF0" w:rsidRDefault="00253AF0" w:rsidP="009E389F">
      <w:pPr>
        <w:spacing w:after="0" w:line="240" w:lineRule="auto"/>
        <w:rPr>
          <w:u w:val="single"/>
        </w:rPr>
      </w:pPr>
    </w:p>
    <w:p w14:paraId="412DF84C" w14:textId="77777777" w:rsidR="00253AF0" w:rsidRDefault="00253AF0" w:rsidP="009E389F">
      <w:pPr>
        <w:spacing w:after="0" w:line="240" w:lineRule="auto"/>
        <w:rPr>
          <w:u w:val="single"/>
        </w:rPr>
      </w:pPr>
    </w:p>
    <w:p w14:paraId="4FCFE12D" w14:textId="77777777" w:rsidR="003F4C56" w:rsidRPr="00710A75" w:rsidRDefault="003F4C56" w:rsidP="009E389F">
      <w:pPr>
        <w:keepNext/>
        <w:spacing w:after="0" w:line="240" w:lineRule="auto"/>
        <w:jc w:val="center"/>
        <w:outlineLvl w:val="3"/>
        <w:rPr>
          <w:b/>
          <w:bCs/>
        </w:rPr>
      </w:pPr>
      <w:r w:rsidRPr="00710A75">
        <w:rPr>
          <w:b/>
          <w:bCs/>
        </w:rPr>
        <w:t>PREVENTING POISONING OF MIGRATORY BIRDS</w:t>
      </w:r>
    </w:p>
    <w:p w14:paraId="74FE66A4" w14:textId="77777777" w:rsidR="003F4C56" w:rsidRPr="00710A75" w:rsidRDefault="003F4C56" w:rsidP="009E389F">
      <w:pPr>
        <w:spacing w:after="0" w:line="240" w:lineRule="auto"/>
        <w:jc w:val="center"/>
        <w:rPr>
          <w:b/>
          <w:bCs/>
        </w:rPr>
      </w:pPr>
    </w:p>
    <w:p w14:paraId="300D5B41" w14:textId="5EB4A5FA" w:rsidR="00253AF0" w:rsidRDefault="003F4C56" w:rsidP="009E389F">
      <w:pPr>
        <w:spacing w:after="0" w:line="240" w:lineRule="auto"/>
        <w:jc w:val="center"/>
        <w:rPr>
          <w:u w:val="single"/>
        </w:rPr>
      </w:pPr>
      <w:r w:rsidRPr="00710A75">
        <w:rPr>
          <w:i/>
          <w:iCs/>
        </w:rPr>
        <w:t xml:space="preserve">NB: Proposed new text is </w:t>
      </w:r>
      <w:r w:rsidRPr="00710A75">
        <w:rPr>
          <w:i/>
          <w:iCs/>
          <w:u w:val="single"/>
        </w:rPr>
        <w:t>underlined</w:t>
      </w:r>
      <w:r w:rsidRPr="00710A75">
        <w:rPr>
          <w:i/>
          <w:iCs/>
        </w:rPr>
        <w:t xml:space="preserve">. Text to be deleted is </w:t>
      </w:r>
      <w:r w:rsidRPr="00710A75">
        <w:rPr>
          <w:i/>
          <w:iCs/>
          <w:strike/>
        </w:rPr>
        <w:t>crossed out</w:t>
      </w:r>
      <w:r w:rsidRPr="00710A75">
        <w:rPr>
          <w:i/>
          <w:iCs/>
        </w:rPr>
        <w:t>.</w:t>
      </w:r>
    </w:p>
    <w:p w14:paraId="463DBAC6" w14:textId="77777777" w:rsidR="00253AF0" w:rsidRDefault="00253AF0" w:rsidP="009E389F">
      <w:pPr>
        <w:spacing w:after="0" w:line="240" w:lineRule="auto"/>
        <w:rPr>
          <w:u w:val="single"/>
        </w:rPr>
      </w:pPr>
    </w:p>
    <w:p w14:paraId="4688A4BB" w14:textId="77777777" w:rsidR="00253AF0" w:rsidRDefault="00253AF0" w:rsidP="009E389F">
      <w:pPr>
        <w:spacing w:after="0" w:line="240" w:lineRule="auto"/>
        <w:rPr>
          <w:u w:val="single"/>
        </w:rPr>
      </w:pPr>
    </w:p>
    <w:p w14:paraId="01939597" w14:textId="77777777" w:rsidR="00A6185E" w:rsidRPr="00A6185E" w:rsidRDefault="00A6185E" w:rsidP="009E389F">
      <w:pPr>
        <w:suppressAutoHyphens/>
        <w:adjustRightInd w:val="0"/>
        <w:spacing w:after="0" w:line="240" w:lineRule="auto"/>
        <w:jc w:val="both"/>
        <w:rPr>
          <w:rFonts w:cs="Arial"/>
          <w:lang w:val="en-GB"/>
        </w:rPr>
      </w:pPr>
      <w:r w:rsidRPr="00A6185E">
        <w:rPr>
          <w:rFonts w:cs="Arial"/>
          <w:i/>
          <w:lang w:val="en-GB"/>
        </w:rPr>
        <w:t>Recognizing</w:t>
      </w:r>
      <w:r w:rsidRPr="00A6185E">
        <w:rPr>
          <w:rFonts w:cs="Arial"/>
          <w:lang w:val="en-GB"/>
        </w:rPr>
        <w:t xml:space="preserve"> that Article III (4)(b) of the Convention requires Parties that are Range States of migratory species listed in Appendix I to endeavour “</w:t>
      </w:r>
      <w:r w:rsidRPr="00A6185E">
        <w:rPr>
          <w:rFonts w:cs="Arial"/>
          <w:i/>
          <w:lang w:val="en-GB"/>
        </w:rPr>
        <w:t>to prevent, remove, compensate for or minimize, as appropriate, the adverse effects of activities or obstacles that seriously impede or prevent the migration of the species</w:t>
      </w:r>
      <w:r w:rsidRPr="00A6185E">
        <w:rPr>
          <w:rFonts w:cs="Arial"/>
          <w:lang w:val="en-GB"/>
        </w:rPr>
        <w:t xml:space="preserve">”, </w:t>
      </w:r>
    </w:p>
    <w:p w14:paraId="15DE842B" w14:textId="77777777" w:rsidR="00A6185E" w:rsidRPr="00A6185E" w:rsidRDefault="00A6185E" w:rsidP="009E389F">
      <w:pPr>
        <w:suppressAutoHyphens/>
        <w:adjustRightInd w:val="0"/>
        <w:spacing w:after="0" w:line="240" w:lineRule="auto"/>
        <w:jc w:val="both"/>
        <w:rPr>
          <w:rFonts w:cs="Arial"/>
          <w:lang w:val="en-GB"/>
        </w:rPr>
      </w:pPr>
    </w:p>
    <w:p w14:paraId="148135F3" w14:textId="77777777" w:rsidR="00A6185E" w:rsidRPr="00A6185E" w:rsidRDefault="00A6185E" w:rsidP="009E389F">
      <w:pPr>
        <w:suppressAutoHyphens/>
        <w:adjustRightInd w:val="0"/>
        <w:spacing w:after="0" w:line="240" w:lineRule="auto"/>
        <w:jc w:val="both"/>
        <w:rPr>
          <w:rFonts w:cs="Arial"/>
          <w:lang w:val="en-GB"/>
        </w:rPr>
      </w:pPr>
      <w:r w:rsidRPr="00A6185E">
        <w:rPr>
          <w:rFonts w:cs="Arial"/>
          <w:i/>
          <w:lang w:val="en-GB"/>
        </w:rPr>
        <w:t xml:space="preserve">Recognizing </w:t>
      </w:r>
      <w:r w:rsidRPr="00A6185E">
        <w:rPr>
          <w:rFonts w:cs="Arial"/>
          <w:lang w:val="en-GB"/>
        </w:rPr>
        <w:t>that Article III (4)(c) of the Convention requires such Parties to endeavour, “</w:t>
      </w:r>
      <w:r w:rsidRPr="00A6185E">
        <w:rPr>
          <w:rFonts w:cs="Arial"/>
          <w:i/>
          <w:lang w:val="en-GB"/>
        </w:rPr>
        <w:t>to the extent feasible and appropriate, to prevent, reduce or control factors that are endangering or are likely to further endanger such species</w:t>
      </w:r>
      <w:r w:rsidRPr="00A6185E">
        <w:rPr>
          <w:rFonts w:cs="Arial"/>
          <w:lang w:val="en-GB"/>
        </w:rPr>
        <w:t xml:space="preserve">”, </w:t>
      </w:r>
    </w:p>
    <w:p w14:paraId="3BFF5F77" w14:textId="77777777" w:rsidR="00A6185E" w:rsidRPr="00A6185E" w:rsidRDefault="00A6185E" w:rsidP="009E389F">
      <w:pPr>
        <w:suppressAutoHyphens/>
        <w:adjustRightInd w:val="0"/>
        <w:spacing w:after="0" w:line="240" w:lineRule="auto"/>
        <w:jc w:val="both"/>
        <w:rPr>
          <w:rFonts w:cs="Arial"/>
          <w:lang w:val="en-GB"/>
        </w:rPr>
      </w:pPr>
    </w:p>
    <w:p w14:paraId="4EFE328E" w14:textId="77777777" w:rsidR="00A6185E" w:rsidRPr="00A6185E" w:rsidRDefault="00A6185E" w:rsidP="009E389F">
      <w:pPr>
        <w:suppressAutoHyphens/>
        <w:adjustRightInd w:val="0"/>
        <w:spacing w:after="0" w:line="240" w:lineRule="auto"/>
        <w:jc w:val="both"/>
        <w:rPr>
          <w:rFonts w:cs="Arial"/>
          <w:lang w:val="en-GB"/>
        </w:rPr>
      </w:pPr>
      <w:r w:rsidRPr="00A6185E">
        <w:rPr>
          <w:rFonts w:cs="Arial"/>
          <w:i/>
          <w:lang w:val="en-GB"/>
        </w:rPr>
        <w:t>Concerned</w:t>
      </w:r>
      <w:r w:rsidRPr="00A6185E">
        <w:rPr>
          <w:rFonts w:cs="Arial"/>
          <w:lang w:val="en-GB"/>
        </w:rPr>
        <w:t xml:space="preserve"> that very large numbers of migratory birds are killed annually as a result of poisoning and that this unnecessary mortality can severely affect the conservation status of vulnerable species, including many listed under CMS and its associated instruments, and that for some species poisoning is the primary cause of their unfavourable conservation status, </w:t>
      </w:r>
    </w:p>
    <w:p w14:paraId="08E65D56" w14:textId="77777777" w:rsidR="00A6185E" w:rsidRPr="00A6185E" w:rsidRDefault="00A6185E" w:rsidP="009E389F">
      <w:pPr>
        <w:suppressAutoHyphens/>
        <w:adjustRightInd w:val="0"/>
        <w:spacing w:after="0" w:line="240" w:lineRule="auto"/>
        <w:jc w:val="both"/>
        <w:rPr>
          <w:rFonts w:cs="Arial"/>
          <w:lang w:val="en-GB"/>
        </w:rPr>
      </w:pPr>
    </w:p>
    <w:p w14:paraId="0897675D" w14:textId="77777777" w:rsidR="00A6185E" w:rsidRPr="00A6185E" w:rsidRDefault="00A6185E" w:rsidP="009E389F">
      <w:pPr>
        <w:suppressAutoHyphens/>
        <w:adjustRightInd w:val="0"/>
        <w:spacing w:after="0" w:line="240" w:lineRule="auto"/>
        <w:jc w:val="both"/>
        <w:rPr>
          <w:rFonts w:cs="Arial"/>
          <w:lang w:val="en-GB"/>
        </w:rPr>
      </w:pPr>
      <w:r w:rsidRPr="00A6185E">
        <w:rPr>
          <w:rFonts w:cs="Arial"/>
          <w:i/>
          <w:lang w:val="en-GB"/>
        </w:rPr>
        <w:t>Highlighting</w:t>
      </w:r>
      <w:r w:rsidRPr="00A6185E">
        <w:rPr>
          <w:rFonts w:cs="Arial"/>
          <w:lang w:val="en-GB"/>
        </w:rPr>
        <w:t xml:space="preserve"> the need to provide practical guidance on preventing, reducing or controlling poisoning from, inter alia, agriculture pesticides, poison bait, veterinary pharmaceutical treatments and use of lead for hunting and fishing, and potential synergistic effects of different poisons through ingestion from various food sources such as prey species, </w:t>
      </w:r>
    </w:p>
    <w:p w14:paraId="33651A53" w14:textId="77777777" w:rsidR="00A6185E" w:rsidRPr="00A6185E" w:rsidRDefault="00A6185E" w:rsidP="009E389F">
      <w:pPr>
        <w:suppressAutoHyphens/>
        <w:adjustRightInd w:val="0"/>
        <w:spacing w:after="0" w:line="240" w:lineRule="auto"/>
        <w:jc w:val="both"/>
        <w:rPr>
          <w:rFonts w:cs="Arial"/>
          <w:lang w:val="en-GB"/>
        </w:rPr>
      </w:pPr>
    </w:p>
    <w:p w14:paraId="48AFBD31" w14:textId="77777777" w:rsidR="00A6185E" w:rsidRPr="00A6185E" w:rsidRDefault="00A6185E" w:rsidP="009E389F">
      <w:pPr>
        <w:widowControl w:val="0"/>
        <w:suppressAutoHyphens/>
        <w:autoSpaceDE w:val="0"/>
        <w:autoSpaceDN w:val="0"/>
        <w:adjustRightInd w:val="0"/>
        <w:spacing w:after="0" w:line="240" w:lineRule="auto"/>
        <w:jc w:val="both"/>
        <w:textAlignment w:val="baseline"/>
        <w:rPr>
          <w:rFonts w:cs="Arial"/>
          <w:lang w:val="en-GB"/>
        </w:rPr>
      </w:pPr>
      <w:r w:rsidRPr="00FE35DE">
        <w:rPr>
          <w:rFonts w:cs="Arial"/>
          <w:i/>
          <w:iCs/>
          <w:lang w:val="en-GB"/>
        </w:rPr>
        <w:t>Welcoming</w:t>
      </w:r>
      <w:r w:rsidRPr="00A6185E">
        <w:rPr>
          <w:rFonts w:cs="Arial"/>
          <w:lang w:val="en-GB"/>
        </w:rPr>
        <w:t xml:space="preserve"> the CMS Migratory Species and Health Review (UNEP/CMS/COP14/Inf.30.4.3) which also highlights the importance of non-infectious diseases such as toxicity from poisons as substantive causes of mortality of migratory birds and the impacts on other species including humans, and the need for preventative measures, </w:t>
      </w:r>
    </w:p>
    <w:p w14:paraId="18F9CEE1" w14:textId="77777777" w:rsidR="00A6185E" w:rsidRPr="00A6185E" w:rsidRDefault="00A6185E" w:rsidP="009E389F">
      <w:pPr>
        <w:suppressAutoHyphens/>
        <w:adjustRightInd w:val="0"/>
        <w:spacing w:after="0" w:line="240" w:lineRule="auto"/>
        <w:jc w:val="both"/>
        <w:rPr>
          <w:rFonts w:cs="Arial"/>
          <w:lang w:val="en-GB"/>
        </w:rPr>
      </w:pPr>
    </w:p>
    <w:p w14:paraId="42824B8E" w14:textId="77777777" w:rsidR="00A6185E" w:rsidRPr="00A6185E" w:rsidRDefault="00A6185E" w:rsidP="009E389F">
      <w:pPr>
        <w:suppressAutoHyphens/>
        <w:adjustRightInd w:val="0"/>
        <w:spacing w:after="0" w:line="240" w:lineRule="auto"/>
        <w:jc w:val="both"/>
        <w:rPr>
          <w:rFonts w:cs="Arial"/>
          <w:lang w:val="en-GB"/>
        </w:rPr>
      </w:pPr>
      <w:r w:rsidRPr="00A6185E">
        <w:rPr>
          <w:rFonts w:cs="Arial"/>
          <w:i/>
          <w:lang w:val="en-GB"/>
        </w:rPr>
        <w:t>Aware</w:t>
      </w:r>
      <w:r w:rsidRPr="00A6185E">
        <w:rPr>
          <w:rFonts w:cs="Arial"/>
          <w:lang w:val="en-GB"/>
        </w:rPr>
        <w:t xml:space="preserve"> that international measures and concerted actions to address migratory bird poisoning are urgently needed and should involve CMS Parties, Range States, international and national organizations, the private sector and relevant stakeholders, </w:t>
      </w:r>
    </w:p>
    <w:p w14:paraId="1B995ACF" w14:textId="77777777" w:rsidR="00A6185E" w:rsidRPr="00A6185E" w:rsidRDefault="00A6185E" w:rsidP="009E389F">
      <w:pPr>
        <w:suppressAutoHyphens/>
        <w:adjustRightInd w:val="0"/>
        <w:spacing w:after="0" w:line="240" w:lineRule="auto"/>
        <w:jc w:val="both"/>
        <w:rPr>
          <w:rFonts w:cs="Arial"/>
          <w:lang w:val="en-GB"/>
        </w:rPr>
      </w:pPr>
    </w:p>
    <w:p w14:paraId="653D70F8" w14:textId="77777777" w:rsidR="00A6185E" w:rsidRPr="00A6185E" w:rsidRDefault="00A6185E" w:rsidP="009E389F">
      <w:pPr>
        <w:suppressAutoHyphens/>
        <w:adjustRightInd w:val="0"/>
        <w:spacing w:after="0" w:line="240" w:lineRule="auto"/>
        <w:jc w:val="both"/>
        <w:rPr>
          <w:rFonts w:cs="Arial"/>
          <w:lang w:val="en-GB"/>
        </w:rPr>
      </w:pPr>
      <w:r w:rsidRPr="00A6185E">
        <w:rPr>
          <w:rFonts w:cs="Arial"/>
          <w:i/>
          <w:lang w:val="en-GB"/>
        </w:rPr>
        <w:t>Further aware</w:t>
      </w:r>
      <w:r w:rsidRPr="00A6185E">
        <w:rPr>
          <w:rFonts w:cs="Arial"/>
          <w:lang w:val="en-GB"/>
        </w:rPr>
        <w:t xml:space="preserve"> of the important role of industries involved in the manufacture of substances that can result in the poisoning of migratory birds; organizations involved in their sale and distribution; and representational bodies of those whose use of such substances can result in migratory bird mortality or morbidity, </w:t>
      </w:r>
    </w:p>
    <w:p w14:paraId="0123B5A9" w14:textId="77777777" w:rsidR="00A6185E" w:rsidRPr="00A6185E" w:rsidRDefault="00A6185E" w:rsidP="009E389F">
      <w:pPr>
        <w:suppressAutoHyphens/>
        <w:adjustRightInd w:val="0"/>
        <w:spacing w:after="0" w:line="240" w:lineRule="auto"/>
        <w:jc w:val="both"/>
        <w:rPr>
          <w:rFonts w:cs="Arial"/>
          <w:lang w:val="en-GB"/>
        </w:rPr>
      </w:pPr>
    </w:p>
    <w:p w14:paraId="51FCC685" w14:textId="77777777" w:rsidR="00A6185E" w:rsidRPr="00A6185E" w:rsidRDefault="00A6185E" w:rsidP="009E389F">
      <w:pPr>
        <w:suppressAutoHyphens/>
        <w:adjustRightInd w:val="0"/>
        <w:spacing w:after="0" w:line="240" w:lineRule="auto"/>
        <w:jc w:val="both"/>
        <w:rPr>
          <w:rFonts w:cs="Arial"/>
          <w:lang w:val="en-GB"/>
        </w:rPr>
      </w:pPr>
      <w:r w:rsidRPr="00A6185E">
        <w:rPr>
          <w:rFonts w:cs="Arial"/>
          <w:i/>
          <w:iCs/>
          <w:lang w:val="en-GB"/>
        </w:rPr>
        <w:t>Aware</w:t>
      </w:r>
      <w:r w:rsidRPr="00A6185E">
        <w:rPr>
          <w:rFonts w:cs="Arial"/>
          <w:lang w:val="en-GB"/>
        </w:rPr>
        <w:t xml:space="preserve"> of the important role of national legislation and its enforcement regarding categorization and selling of such substances, which can result in mortality or morbidity in bird species through permission regime, </w:t>
      </w:r>
    </w:p>
    <w:p w14:paraId="6958CA03" w14:textId="77777777" w:rsidR="00A6185E" w:rsidRPr="00A6185E" w:rsidRDefault="00A6185E" w:rsidP="009E389F">
      <w:pPr>
        <w:suppressAutoHyphens/>
        <w:adjustRightInd w:val="0"/>
        <w:spacing w:after="0" w:line="240" w:lineRule="auto"/>
        <w:jc w:val="both"/>
        <w:rPr>
          <w:rFonts w:cs="Arial"/>
          <w:lang w:val="en-GB"/>
        </w:rPr>
      </w:pPr>
    </w:p>
    <w:p w14:paraId="0E4AB766" w14:textId="77777777" w:rsidR="00A6185E" w:rsidRPr="00A6185E" w:rsidRDefault="00A6185E" w:rsidP="009E389F">
      <w:pPr>
        <w:suppressAutoHyphens/>
        <w:adjustRightInd w:val="0"/>
        <w:spacing w:after="0" w:line="240" w:lineRule="auto"/>
        <w:jc w:val="both"/>
        <w:rPr>
          <w:rFonts w:cs="Arial"/>
          <w:lang w:val="en-GB"/>
        </w:rPr>
      </w:pPr>
      <w:r w:rsidRPr="00A6185E">
        <w:rPr>
          <w:rFonts w:cs="Arial"/>
          <w:i/>
          <w:iCs/>
          <w:lang w:val="en-GB"/>
        </w:rPr>
        <w:t>Aware</w:t>
      </w:r>
      <w:r w:rsidRPr="00A6185E">
        <w:rPr>
          <w:rFonts w:cs="Arial"/>
          <w:lang w:val="en-GB"/>
        </w:rPr>
        <w:t xml:space="preserve"> that deliberate poisoning events could remain undetected or unregistered, </w:t>
      </w:r>
    </w:p>
    <w:p w14:paraId="636A8384" w14:textId="77777777" w:rsidR="00A6185E" w:rsidRPr="00A6185E" w:rsidRDefault="00A6185E" w:rsidP="009E389F">
      <w:pPr>
        <w:suppressAutoHyphens/>
        <w:adjustRightInd w:val="0"/>
        <w:spacing w:after="0" w:line="240" w:lineRule="auto"/>
        <w:jc w:val="both"/>
        <w:rPr>
          <w:rFonts w:cs="Arial"/>
          <w:lang w:val="en-GB"/>
        </w:rPr>
      </w:pPr>
    </w:p>
    <w:p w14:paraId="08445964" w14:textId="77777777" w:rsidR="00A6185E" w:rsidRPr="00A6185E" w:rsidRDefault="00A6185E" w:rsidP="009E389F">
      <w:pPr>
        <w:suppressAutoHyphens/>
        <w:adjustRightInd w:val="0"/>
        <w:spacing w:after="0" w:line="240" w:lineRule="auto"/>
        <w:jc w:val="both"/>
        <w:rPr>
          <w:rFonts w:cs="Arial"/>
          <w:lang w:val="en-GB"/>
        </w:rPr>
      </w:pPr>
      <w:r w:rsidRPr="00A6185E">
        <w:rPr>
          <w:rFonts w:cs="Arial"/>
          <w:i/>
          <w:iCs/>
          <w:lang w:val="en-GB"/>
        </w:rPr>
        <w:t>Underlining</w:t>
      </w:r>
      <w:r w:rsidRPr="00A6185E">
        <w:rPr>
          <w:rFonts w:cs="Arial"/>
          <w:lang w:val="en-GB"/>
        </w:rPr>
        <w:t xml:space="preserve"> the need of qualified authorities to improve detection and a prosecution of criminal acts of bird poisoning,</w:t>
      </w:r>
    </w:p>
    <w:p w14:paraId="4125FD29" w14:textId="7C5C339D" w:rsidR="00A6185E" w:rsidRPr="00A6185E" w:rsidDel="003E085B" w:rsidRDefault="00A6185E" w:rsidP="009E389F">
      <w:pPr>
        <w:suppressAutoHyphens/>
        <w:adjustRightInd w:val="0"/>
        <w:spacing w:after="0" w:line="240" w:lineRule="auto"/>
        <w:jc w:val="both"/>
        <w:rPr>
          <w:rFonts w:cs="Arial"/>
          <w:lang w:val="en-GB"/>
        </w:rPr>
      </w:pPr>
    </w:p>
    <w:p w14:paraId="696DF1B2" w14:textId="71E20A6F" w:rsidR="00A6185E" w:rsidRPr="00D20679" w:rsidDel="003E085B" w:rsidRDefault="00A6185E" w:rsidP="009E389F">
      <w:pPr>
        <w:suppressAutoHyphens/>
        <w:adjustRightInd w:val="0"/>
        <w:spacing w:after="0" w:line="240" w:lineRule="auto"/>
        <w:jc w:val="both"/>
        <w:rPr>
          <w:rFonts w:cs="Arial"/>
          <w:strike/>
          <w:lang w:val="en-GB"/>
        </w:rPr>
      </w:pPr>
      <w:r w:rsidRPr="00D20679">
        <w:rPr>
          <w:rFonts w:cs="Arial"/>
          <w:i/>
          <w:strike/>
          <w:lang w:val="en-GB"/>
        </w:rPr>
        <w:t>Recalling</w:t>
      </w:r>
      <w:r w:rsidRPr="00D20679">
        <w:rPr>
          <w:rFonts w:cs="Arial"/>
          <w:strike/>
          <w:lang w:val="en-GB"/>
        </w:rPr>
        <w:t xml:space="preserve"> Resolution 10.26</w:t>
      </w:r>
      <w:r w:rsidR="00453114" w:rsidRPr="00453114">
        <w:rPr>
          <w:rFonts w:cs="Arial"/>
          <w:strike/>
          <w:vertAlign w:val="superscript"/>
          <w:lang w:val="en-GB"/>
        </w:rPr>
        <w:t>1</w:t>
      </w:r>
      <w:r w:rsidRPr="00D20679">
        <w:rPr>
          <w:rFonts w:cs="Arial"/>
          <w:strike/>
          <w:lang w:val="en-GB"/>
        </w:rPr>
        <w:t xml:space="preserve"> on minimizing the risk of poisoning to migratory birds, which called on the Scientific Council and the Secretariat to establish an intersessional working group, the </w:t>
      </w:r>
      <w:r w:rsidRPr="00D20679">
        <w:rPr>
          <w:rFonts w:cs="Arial"/>
          <w:strike/>
          <w:lang w:val="en-GB"/>
        </w:rPr>
        <w:lastRenderedPageBreak/>
        <w:t>Preventing Poisoning Working Group, to undertake a detailed assessment of the severity and scope of poisoning for migratory birds; significant knowledge gaps; and where sufficient knowledge exists to recommend suitable responses to address the problems, potentially including areas where enhanced legislation may be required, features of effective regulatory regimes, and understanding socio-economic drivers of poisoning,</w:t>
      </w:r>
    </w:p>
    <w:p w14:paraId="39DE37C5" w14:textId="77777777" w:rsidR="00A6185E" w:rsidRPr="00A6185E" w:rsidRDefault="00A6185E" w:rsidP="009E389F">
      <w:pPr>
        <w:suppressAutoHyphens/>
        <w:adjustRightInd w:val="0"/>
        <w:spacing w:after="0" w:line="240" w:lineRule="auto"/>
        <w:jc w:val="both"/>
        <w:rPr>
          <w:rFonts w:cs="Arial"/>
          <w:lang w:val="en-GB"/>
        </w:rPr>
      </w:pPr>
    </w:p>
    <w:p w14:paraId="1D0E4EF2" w14:textId="77777777" w:rsidR="00A6185E" w:rsidRPr="00A6185E" w:rsidRDefault="00A6185E" w:rsidP="009E389F">
      <w:pPr>
        <w:suppressAutoHyphens/>
        <w:adjustRightInd w:val="0"/>
        <w:spacing w:after="0" w:line="240" w:lineRule="auto"/>
        <w:jc w:val="both"/>
        <w:rPr>
          <w:rFonts w:cs="Arial"/>
          <w:lang w:val="en-GB"/>
        </w:rPr>
      </w:pPr>
      <w:r w:rsidRPr="00A6185E">
        <w:rPr>
          <w:rFonts w:cs="Arial"/>
          <w:i/>
          <w:lang w:val="en-GB"/>
        </w:rPr>
        <w:t>Acknowledging</w:t>
      </w:r>
      <w:r w:rsidRPr="00A6185E">
        <w:rPr>
          <w:rFonts w:cs="Arial"/>
          <w:lang w:val="en-GB"/>
        </w:rPr>
        <w:t xml:space="preserve"> the positive actions undertaken by some Parties to the Agreement on the Conservation of African-Eurasian Migratory Waterbirds (AEWA) to phase out the use of lead shot for hunting in wetlands, </w:t>
      </w:r>
    </w:p>
    <w:p w14:paraId="48F74D3D" w14:textId="77777777" w:rsidR="00A6185E" w:rsidRPr="00A6185E" w:rsidRDefault="00A6185E" w:rsidP="009E389F">
      <w:pPr>
        <w:suppressAutoHyphens/>
        <w:adjustRightInd w:val="0"/>
        <w:spacing w:after="0" w:line="240" w:lineRule="auto"/>
        <w:jc w:val="both"/>
        <w:rPr>
          <w:rFonts w:cs="Arial"/>
          <w:lang w:val="en-GB"/>
        </w:rPr>
      </w:pPr>
      <w:r w:rsidRPr="00A6185E">
        <w:rPr>
          <w:rFonts w:cs="Arial"/>
          <w:lang w:val="en-GB"/>
        </w:rPr>
        <w:t xml:space="preserve"> </w:t>
      </w:r>
    </w:p>
    <w:p w14:paraId="525B0742" w14:textId="77777777" w:rsidR="00A6185E" w:rsidRPr="00A6185E" w:rsidRDefault="00A6185E" w:rsidP="009E389F">
      <w:pPr>
        <w:suppressAutoHyphens/>
        <w:adjustRightInd w:val="0"/>
        <w:spacing w:after="0" w:line="240" w:lineRule="auto"/>
        <w:jc w:val="both"/>
        <w:rPr>
          <w:rFonts w:cs="Arial"/>
          <w:lang w:val="en-GB"/>
        </w:rPr>
      </w:pPr>
      <w:r w:rsidRPr="00A6185E">
        <w:rPr>
          <w:rFonts w:cs="Arial"/>
          <w:i/>
          <w:lang w:val="en-GB"/>
        </w:rPr>
        <w:t>Further recalling</w:t>
      </w:r>
      <w:r w:rsidRPr="00A6185E">
        <w:rPr>
          <w:rFonts w:cs="Arial"/>
          <w:lang w:val="en-GB"/>
        </w:rPr>
        <w:t xml:space="preserve"> that the Memorandum of Understanding on the Conservation of Migratory Birds of Prey in Africa and Eurasia highlights the many African-Eurasian migratory raptors with an unfavourable conservation status at a regional and/or global level as a result of poisoning, which in some cases is connected to poaching endangered species such as elephants and rhinoceroses,</w:t>
      </w:r>
    </w:p>
    <w:p w14:paraId="0932509D" w14:textId="77777777" w:rsidR="00A6185E" w:rsidRPr="00A6185E" w:rsidRDefault="00A6185E" w:rsidP="009E389F">
      <w:pPr>
        <w:suppressAutoHyphens/>
        <w:adjustRightInd w:val="0"/>
        <w:spacing w:after="0" w:line="240" w:lineRule="auto"/>
        <w:jc w:val="both"/>
        <w:rPr>
          <w:rFonts w:cs="Arial"/>
          <w:lang w:val="en-GB"/>
        </w:rPr>
      </w:pPr>
    </w:p>
    <w:p w14:paraId="6A4B3E25" w14:textId="77777777" w:rsidR="00A6185E" w:rsidRPr="00A6185E" w:rsidRDefault="00A6185E" w:rsidP="009E389F">
      <w:pPr>
        <w:suppressAutoHyphens/>
        <w:adjustRightInd w:val="0"/>
        <w:spacing w:after="0" w:line="240" w:lineRule="auto"/>
        <w:jc w:val="both"/>
        <w:rPr>
          <w:rFonts w:cs="Arial"/>
          <w:lang w:val="en-GB"/>
        </w:rPr>
      </w:pPr>
      <w:r w:rsidRPr="00A6185E">
        <w:rPr>
          <w:rFonts w:cs="Arial"/>
          <w:i/>
          <w:lang w:val="en-GB"/>
        </w:rPr>
        <w:t>Acknowledging</w:t>
      </w:r>
      <w:r w:rsidRPr="00A6185E">
        <w:rPr>
          <w:rFonts w:cs="Arial"/>
          <w:lang w:val="en-GB"/>
        </w:rPr>
        <w:t xml:space="preserve"> the work of the Vulture Working Group and the development of the CMS Multi-species Action </w:t>
      </w:r>
      <w:r w:rsidRPr="003372A5">
        <w:rPr>
          <w:rFonts w:cs="Arial"/>
          <w:lang w:val="en-GB"/>
        </w:rPr>
        <w:t xml:space="preserve">Plan to Conserve African-Eurasian Vultures (Vulture </w:t>
      </w:r>
      <w:proofErr w:type="spellStart"/>
      <w:r w:rsidRPr="003372A5">
        <w:rPr>
          <w:rFonts w:cs="Arial"/>
          <w:lang w:val="en-GB"/>
        </w:rPr>
        <w:t>MsAP</w:t>
      </w:r>
      <w:proofErr w:type="spellEnd"/>
      <w:r w:rsidRPr="003372A5">
        <w:rPr>
          <w:rFonts w:cs="Arial"/>
          <w:lang w:val="en-GB"/>
        </w:rPr>
        <w:t>), adopted by Resolution 12.10 (Rev.COP14), which pro</w:t>
      </w:r>
      <w:r w:rsidRPr="00A6185E">
        <w:rPr>
          <w:rFonts w:cs="Arial"/>
          <w:lang w:val="en-GB"/>
        </w:rPr>
        <w:t xml:space="preserve">vides a comprehensive strategic conservation action plan covering the geographic ranges of all 15 migratory Old World vulture species and to promote concerted, collaborative and coordinated international actions towards the recovery of these populations to a favourable conservation status by 2029, </w:t>
      </w:r>
    </w:p>
    <w:p w14:paraId="639C0A99" w14:textId="77777777" w:rsidR="00A6185E" w:rsidRPr="00A6185E" w:rsidRDefault="00A6185E" w:rsidP="009E389F">
      <w:pPr>
        <w:suppressAutoHyphens/>
        <w:adjustRightInd w:val="0"/>
        <w:spacing w:after="0" w:line="240" w:lineRule="auto"/>
        <w:jc w:val="both"/>
        <w:rPr>
          <w:rFonts w:cs="Arial"/>
          <w:lang w:val="en-GB"/>
        </w:rPr>
      </w:pPr>
    </w:p>
    <w:p w14:paraId="744F84C4" w14:textId="77777777" w:rsidR="00A6185E" w:rsidRPr="00A6185E" w:rsidRDefault="00A6185E" w:rsidP="009E389F">
      <w:pPr>
        <w:suppressAutoHyphens/>
        <w:adjustRightInd w:val="0"/>
        <w:spacing w:after="0" w:line="240" w:lineRule="auto"/>
        <w:jc w:val="both"/>
        <w:rPr>
          <w:rFonts w:cs="Arial"/>
          <w:lang w:val="en-GB"/>
        </w:rPr>
      </w:pPr>
      <w:r w:rsidRPr="00A6185E">
        <w:rPr>
          <w:rFonts w:cs="Arial"/>
          <w:i/>
          <w:iCs/>
          <w:lang w:val="en-GB"/>
        </w:rPr>
        <w:t>Recalling</w:t>
      </w:r>
      <w:r w:rsidRPr="00A6185E">
        <w:rPr>
          <w:rFonts w:cs="Arial"/>
          <w:lang w:val="en-GB"/>
        </w:rPr>
        <w:t xml:space="preserve"> that the diclofenac molecule contributed to the catastrophic collapse of vulture populations of the </w:t>
      </w:r>
      <w:r w:rsidRPr="00A6185E">
        <w:rPr>
          <w:rFonts w:cs="Arial"/>
          <w:i/>
          <w:iCs/>
          <w:lang w:val="en-GB"/>
        </w:rPr>
        <w:t>Gyps</w:t>
      </w:r>
      <w:r w:rsidRPr="00A6185E">
        <w:rPr>
          <w:rFonts w:cs="Arial"/>
          <w:lang w:val="en-GB"/>
        </w:rPr>
        <w:t xml:space="preserve"> species in South Asia and concerned that other new non-steroidal anti-inflammatory drug (NSAID) molecules in use can have a similar effect on Vulture species or other scavenging raptors,</w:t>
      </w:r>
    </w:p>
    <w:p w14:paraId="29A556B4" w14:textId="77777777" w:rsidR="00A6185E" w:rsidRPr="00A6185E" w:rsidRDefault="00A6185E" w:rsidP="009E389F">
      <w:pPr>
        <w:suppressAutoHyphens/>
        <w:adjustRightInd w:val="0"/>
        <w:spacing w:after="0" w:line="240" w:lineRule="auto"/>
        <w:jc w:val="both"/>
        <w:rPr>
          <w:rFonts w:cs="Arial"/>
          <w:lang w:val="en-GB"/>
        </w:rPr>
      </w:pPr>
      <w:r w:rsidRPr="00A6185E">
        <w:rPr>
          <w:rFonts w:cs="Arial"/>
          <w:lang w:val="en-GB"/>
        </w:rPr>
        <w:t xml:space="preserve"> </w:t>
      </w:r>
    </w:p>
    <w:p w14:paraId="46FC08D6" w14:textId="77777777" w:rsidR="00A6185E" w:rsidRPr="00A6185E" w:rsidRDefault="00A6185E" w:rsidP="009E389F">
      <w:pPr>
        <w:suppressAutoHyphens/>
        <w:adjustRightInd w:val="0"/>
        <w:spacing w:after="0" w:line="240" w:lineRule="auto"/>
        <w:jc w:val="both"/>
        <w:rPr>
          <w:rFonts w:cs="Arial"/>
          <w:lang w:val="en-GB"/>
        </w:rPr>
      </w:pPr>
      <w:r w:rsidRPr="00A6185E">
        <w:rPr>
          <w:rFonts w:cs="Arial"/>
          <w:i/>
          <w:lang w:val="en-GB"/>
        </w:rPr>
        <w:t>Noting</w:t>
      </w:r>
      <w:r w:rsidRPr="00A6185E">
        <w:rPr>
          <w:rFonts w:cs="Arial"/>
          <w:lang w:val="en-GB"/>
        </w:rPr>
        <w:t xml:space="preserve"> the objectives of the Rotterdam Convention on the Prior Informed Consent Procedure for Certain Hazardous Chemicals and Pesticides in International Trade, which promotes the environmentally sound use of hazardous chemicals and shared responsibility to protect the environment from harm, </w:t>
      </w:r>
    </w:p>
    <w:p w14:paraId="4DEBE497" w14:textId="77777777" w:rsidR="00A6185E" w:rsidRPr="00A6185E" w:rsidRDefault="00A6185E" w:rsidP="009E389F">
      <w:pPr>
        <w:suppressAutoHyphens/>
        <w:adjustRightInd w:val="0"/>
        <w:spacing w:after="0" w:line="240" w:lineRule="auto"/>
        <w:jc w:val="both"/>
        <w:rPr>
          <w:rFonts w:cs="Arial"/>
          <w:lang w:val="en-GB"/>
        </w:rPr>
      </w:pPr>
      <w:r w:rsidRPr="00A6185E">
        <w:rPr>
          <w:rFonts w:cs="Arial"/>
          <w:lang w:val="en-GB"/>
        </w:rPr>
        <w:t xml:space="preserve"> </w:t>
      </w:r>
    </w:p>
    <w:p w14:paraId="6DAD4F71" w14:textId="55590527" w:rsidR="00A6185E" w:rsidRPr="00D20679" w:rsidRDefault="00A6185E" w:rsidP="009E389F">
      <w:pPr>
        <w:suppressAutoHyphens/>
        <w:adjustRightInd w:val="0"/>
        <w:spacing w:after="0" w:line="240" w:lineRule="auto"/>
        <w:jc w:val="both"/>
        <w:rPr>
          <w:rFonts w:cs="Arial"/>
          <w:strike/>
          <w:lang w:val="en-GB"/>
        </w:rPr>
      </w:pPr>
      <w:r w:rsidRPr="00D20679">
        <w:rPr>
          <w:rFonts w:cs="Arial"/>
          <w:i/>
          <w:strike/>
          <w:lang w:val="en-GB"/>
        </w:rPr>
        <w:t>Noting with satisfaction</w:t>
      </w:r>
      <w:r w:rsidRPr="00D20679">
        <w:rPr>
          <w:rFonts w:cs="Arial"/>
          <w:strike/>
          <w:lang w:val="en-GB"/>
        </w:rPr>
        <w:t xml:space="preserve"> Recommendation 164 (2013), adopted by the Standing Committee to the Convention on the Conservation of European Wildlife and Natural Habitats (Bern Convention), which raises concern regarding the widespread use of poisons to kill protected species, and calls for strengthened cooperation to enhance national and international actions to eliminate this damaging practice, </w:t>
      </w:r>
    </w:p>
    <w:p w14:paraId="2CCD930B" w14:textId="38E2D14D" w:rsidR="00A6185E" w:rsidRPr="00A6185E" w:rsidRDefault="00A6185E" w:rsidP="009E389F">
      <w:pPr>
        <w:suppressAutoHyphens/>
        <w:adjustRightInd w:val="0"/>
        <w:spacing w:after="0" w:line="240" w:lineRule="auto"/>
        <w:jc w:val="both"/>
        <w:rPr>
          <w:rFonts w:cs="Arial"/>
          <w:lang w:val="en-GB"/>
        </w:rPr>
      </w:pPr>
    </w:p>
    <w:p w14:paraId="658EE389" w14:textId="5C0DFA8A" w:rsidR="00A6185E" w:rsidRPr="00A6185E" w:rsidRDefault="00A6185E" w:rsidP="009E389F">
      <w:pPr>
        <w:suppressAutoHyphens/>
        <w:adjustRightInd w:val="0"/>
        <w:spacing w:after="0" w:line="240" w:lineRule="auto"/>
        <w:jc w:val="both"/>
        <w:rPr>
          <w:rFonts w:cs="Arial"/>
          <w:lang w:val="en-GB"/>
        </w:rPr>
      </w:pPr>
      <w:r w:rsidRPr="00A6185E">
        <w:rPr>
          <w:rFonts w:cs="Arial"/>
          <w:i/>
          <w:lang w:val="en-GB"/>
        </w:rPr>
        <w:t>Acknowledging</w:t>
      </w:r>
      <w:r w:rsidRPr="00A6185E">
        <w:rPr>
          <w:rFonts w:cs="Arial"/>
          <w:lang w:val="en-GB"/>
        </w:rPr>
        <w:t xml:space="preserve"> the Ramsar Convention’s Resolution XI.12 on ecosystem approaches to wetlands and health, which recognizes the interactions between disease </w:t>
      </w:r>
      <w:r w:rsidR="00AC0D34">
        <w:rPr>
          <w:rFonts w:cs="Arial"/>
          <w:lang w:val="en-GB"/>
        </w:rPr>
        <w:t xml:space="preserve">– </w:t>
      </w:r>
      <w:r w:rsidRPr="00A6185E">
        <w:rPr>
          <w:rFonts w:cs="Arial"/>
          <w:lang w:val="en-GB"/>
        </w:rPr>
        <w:t xml:space="preserve">including poisoning </w:t>
      </w:r>
      <w:r w:rsidR="00AC0D34">
        <w:rPr>
          <w:rFonts w:cs="Arial"/>
          <w:lang w:val="en-GB"/>
        </w:rPr>
        <w:t xml:space="preserve">– </w:t>
      </w:r>
      <w:r w:rsidRPr="00A6185E">
        <w:rPr>
          <w:rFonts w:cs="Arial"/>
          <w:lang w:val="en-GB"/>
        </w:rPr>
        <w:t xml:space="preserve">in wildlife, human and domestic animals, which stresses the urgent need to ensure that policy responses are better integrated in a ‘One Health’ approach across these sectors for most effective outcomes, </w:t>
      </w:r>
    </w:p>
    <w:p w14:paraId="35BBF71B" w14:textId="77777777" w:rsidR="00A6185E" w:rsidRPr="00A6185E" w:rsidRDefault="00A6185E" w:rsidP="009E389F">
      <w:pPr>
        <w:suppressAutoHyphens/>
        <w:adjustRightInd w:val="0"/>
        <w:spacing w:after="0" w:line="240" w:lineRule="auto"/>
        <w:jc w:val="both"/>
        <w:rPr>
          <w:rFonts w:cs="Arial"/>
          <w:lang w:val="en-GB"/>
        </w:rPr>
      </w:pPr>
    </w:p>
    <w:p w14:paraId="070395B6" w14:textId="77777777" w:rsidR="00A6185E" w:rsidRPr="00A6185E" w:rsidRDefault="00A6185E" w:rsidP="009E389F">
      <w:pPr>
        <w:suppressAutoHyphens/>
        <w:adjustRightInd w:val="0"/>
        <w:spacing w:after="0" w:line="240" w:lineRule="auto"/>
        <w:jc w:val="both"/>
        <w:rPr>
          <w:rFonts w:cs="Arial"/>
          <w:lang w:val="en-GB"/>
        </w:rPr>
      </w:pPr>
      <w:r w:rsidRPr="00A6185E">
        <w:rPr>
          <w:rFonts w:cs="Arial"/>
          <w:i/>
          <w:lang w:val="en-GB"/>
        </w:rPr>
        <w:t>Acknowledging</w:t>
      </w:r>
      <w:r w:rsidRPr="00A6185E">
        <w:rPr>
          <w:rFonts w:cs="Arial"/>
          <w:lang w:val="en-GB"/>
        </w:rPr>
        <w:t xml:space="preserve"> also the Resolutions of the International Union for Conservation of Nature (IUCN) World Conservation Congress WCC-2016-Res-014 on combatting the illegal poisoning of wildlife, WCC-2016-Res-022 on conservation measures for vultures, including banning the use of veterinary diclofenac, and WCC-2016-Res-082 on a path forward to address concerns over the use of lead ammunition in hunting, </w:t>
      </w:r>
    </w:p>
    <w:p w14:paraId="2F9324DC" w14:textId="77777777" w:rsidR="00A6185E" w:rsidRPr="00A6185E" w:rsidRDefault="00A6185E" w:rsidP="009E389F">
      <w:pPr>
        <w:suppressAutoHyphens/>
        <w:adjustRightInd w:val="0"/>
        <w:spacing w:after="0" w:line="240" w:lineRule="auto"/>
        <w:jc w:val="both"/>
        <w:rPr>
          <w:rFonts w:cs="Arial"/>
          <w:i/>
          <w:lang w:val="en-GB"/>
        </w:rPr>
      </w:pPr>
    </w:p>
    <w:p w14:paraId="3AF9D92C" w14:textId="77777777" w:rsidR="00A6185E" w:rsidRPr="00A6185E" w:rsidRDefault="00A6185E" w:rsidP="009E389F">
      <w:pPr>
        <w:suppressAutoHyphens/>
        <w:adjustRightInd w:val="0"/>
        <w:spacing w:after="0" w:line="240" w:lineRule="auto"/>
        <w:jc w:val="both"/>
        <w:rPr>
          <w:rFonts w:cs="Arial"/>
          <w:lang w:val="en-GB"/>
        </w:rPr>
      </w:pPr>
      <w:r w:rsidRPr="00A6185E">
        <w:rPr>
          <w:rFonts w:cs="Arial"/>
          <w:i/>
          <w:lang w:val="en-GB"/>
        </w:rPr>
        <w:t>Noting</w:t>
      </w:r>
      <w:r w:rsidRPr="00A6185E">
        <w:rPr>
          <w:rFonts w:cs="Arial"/>
          <w:lang w:val="en-GB"/>
        </w:rPr>
        <w:t xml:space="preserve"> that poisoning is a problem affecting taxa other than birds as well, and </w:t>
      </w:r>
      <w:r w:rsidRPr="00A6185E">
        <w:rPr>
          <w:rFonts w:cs="Arial"/>
          <w:i/>
          <w:lang w:val="en-GB"/>
        </w:rPr>
        <w:t>highlighting</w:t>
      </w:r>
      <w:r w:rsidRPr="00A6185E">
        <w:rPr>
          <w:rFonts w:cs="Arial"/>
          <w:lang w:val="en-GB"/>
        </w:rPr>
        <w:t xml:space="preserve"> the importance of a global analysis of the impact of this cause of mortality for wildlife and a need of appropriate prosecutions for illegal cases of poisoning,</w:t>
      </w:r>
    </w:p>
    <w:p w14:paraId="1E0D513E" w14:textId="77777777" w:rsidR="00A6185E" w:rsidRPr="00A6185E" w:rsidRDefault="00A6185E" w:rsidP="009E389F">
      <w:pPr>
        <w:suppressAutoHyphens/>
        <w:adjustRightInd w:val="0"/>
        <w:spacing w:after="0" w:line="240" w:lineRule="auto"/>
        <w:jc w:val="both"/>
        <w:rPr>
          <w:rFonts w:cs="Arial"/>
          <w:lang w:val="en-GB"/>
        </w:rPr>
      </w:pPr>
      <w:r w:rsidRPr="00A6185E">
        <w:rPr>
          <w:rFonts w:cs="Arial"/>
          <w:lang w:val="en-GB"/>
        </w:rPr>
        <w:t xml:space="preserve"> </w:t>
      </w:r>
    </w:p>
    <w:p w14:paraId="7FF26C58" w14:textId="77777777" w:rsidR="00A6185E" w:rsidRPr="00A6185E" w:rsidRDefault="00A6185E" w:rsidP="009E389F">
      <w:pPr>
        <w:suppressAutoHyphens/>
        <w:adjustRightInd w:val="0"/>
        <w:spacing w:after="0" w:line="240" w:lineRule="auto"/>
        <w:jc w:val="both"/>
        <w:rPr>
          <w:rFonts w:cs="Arial"/>
          <w:lang w:val="en-GB"/>
        </w:rPr>
      </w:pPr>
      <w:r w:rsidRPr="00A6185E">
        <w:rPr>
          <w:rFonts w:cs="Arial"/>
          <w:i/>
          <w:lang w:val="en-GB"/>
        </w:rPr>
        <w:lastRenderedPageBreak/>
        <w:t>Recognizing</w:t>
      </w:r>
      <w:r w:rsidRPr="00A6185E">
        <w:rPr>
          <w:rFonts w:cs="Arial"/>
          <w:lang w:val="en-GB"/>
        </w:rPr>
        <w:t xml:space="preserve"> that whilst activities associated with some substances toxic to birds can have social and/or economic significance, such as the protection of agricultural crops from pests, experience shows that strategies to minimize and prevent the risk of poisoning of birds can be, nonetheless, sustainably implemented with benefits to the provision of wider ecosystem services, </w:t>
      </w:r>
    </w:p>
    <w:p w14:paraId="12336E59" w14:textId="77777777" w:rsidR="00A6185E" w:rsidRPr="00A6185E" w:rsidRDefault="00A6185E" w:rsidP="009E389F">
      <w:pPr>
        <w:suppressAutoHyphens/>
        <w:adjustRightInd w:val="0"/>
        <w:spacing w:after="0" w:line="240" w:lineRule="auto"/>
        <w:jc w:val="both"/>
        <w:rPr>
          <w:rFonts w:cs="Arial"/>
          <w:lang w:val="en-GB"/>
        </w:rPr>
      </w:pPr>
    </w:p>
    <w:p w14:paraId="5A1D01E8" w14:textId="77777777" w:rsidR="00A6185E" w:rsidRPr="00A6185E" w:rsidRDefault="00A6185E" w:rsidP="009E389F">
      <w:pPr>
        <w:suppressAutoHyphens/>
        <w:adjustRightInd w:val="0"/>
        <w:spacing w:after="0" w:line="240" w:lineRule="auto"/>
        <w:jc w:val="both"/>
        <w:rPr>
          <w:rFonts w:cs="Arial"/>
          <w:bCs/>
          <w:lang w:val="en-GB"/>
        </w:rPr>
      </w:pPr>
      <w:r w:rsidRPr="00A6185E">
        <w:rPr>
          <w:rFonts w:cs="Arial"/>
          <w:i/>
          <w:lang w:val="en-GB"/>
        </w:rPr>
        <w:t>Noting</w:t>
      </w:r>
      <w:r w:rsidRPr="00A6185E">
        <w:rPr>
          <w:rFonts w:cs="Arial"/>
          <w:lang w:val="en-GB"/>
        </w:rPr>
        <w:t xml:space="preserve"> the </w:t>
      </w:r>
      <w:r w:rsidRPr="00A6185E">
        <w:rPr>
          <w:rFonts w:cs="Arial"/>
          <w:bCs/>
          <w:lang w:val="en-GB"/>
        </w:rPr>
        <w:t>report of the Special Rapporteur on the right to food transmitted to the Human Rights Council of the United Nations General Assembly (A/HRC/34/48), which highlights the adverse impacts of pesticides used in agriculture on human rights, the negative consequences of pesticide practices on human health, environment and society, which were underreported and monitored in the shadow of a prevailing and narrow focus on “food security”; and its recommendations on the regulation of hazardous pesticides and promotion of agroecology as an alternative to the extensive use of pesticides,</w:t>
      </w:r>
    </w:p>
    <w:p w14:paraId="25DEF640" w14:textId="77777777" w:rsidR="00A6185E" w:rsidRPr="00A6185E" w:rsidRDefault="00A6185E" w:rsidP="009E389F">
      <w:pPr>
        <w:suppressAutoHyphens/>
        <w:adjustRightInd w:val="0"/>
        <w:spacing w:after="0" w:line="240" w:lineRule="auto"/>
        <w:jc w:val="both"/>
        <w:rPr>
          <w:rFonts w:cs="Arial"/>
          <w:i/>
          <w:lang w:val="en-GB"/>
        </w:rPr>
      </w:pPr>
    </w:p>
    <w:p w14:paraId="7599CE56" w14:textId="77777777" w:rsidR="00A6185E" w:rsidRPr="00A6185E" w:rsidRDefault="00A6185E" w:rsidP="009E389F">
      <w:pPr>
        <w:suppressAutoHyphens/>
        <w:adjustRightInd w:val="0"/>
        <w:spacing w:after="0" w:line="240" w:lineRule="auto"/>
        <w:jc w:val="both"/>
        <w:rPr>
          <w:rFonts w:cs="Arial"/>
          <w:lang w:val="en-GB"/>
        </w:rPr>
      </w:pPr>
      <w:r w:rsidRPr="00A6185E">
        <w:rPr>
          <w:rFonts w:cs="Arial"/>
          <w:i/>
          <w:lang w:val="en-GB"/>
        </w:rPr>
        <w:t>Recalling</w:t>
      </w:r>
      <w:r w:rsidRPr="00A6185E">
        <w:rPr>
          <w:rFonts w:cs="Arial"/>
          <w:lang w:val="en-GB"/>
        </w:rPr>
        <w:t xml:space="preserve"> that the 2030 Agenda for Sustainable Development and targets, in particular Target 3.9 calls for the substantial reduction of the number of human deaths and illnesses from (a) hazardous chemicals and (b) air, water and soil pollution and contamination by 2030, and Target 12.4 calls for the environmentally sound management of chemicals and all wastes throughout their life cycle, and the significant reduction of their release into the air, water and soil in order to minimize their adverse impacts on human health and the environment by 2020,</w:t>
      </w:r>
    </w:p>
    <w:p w14:paraId="288DB853" w14:textId="77777777" w:rsidR="00A6185E" w:rsidRPr="00A6185E" w:rsidRDefault="00A6185E" w:rsidP="009E389F">
      <w:pPr>
        <w:suppressAutoHyphens/>
        <w:adjustRightInd w:val="0"/>
        <w:spacing w:after="0" w:line="240" w:lineRule="auto"/>
        <w:jc w:val="both"/>
        <w:rPr>
          <w:rFonts w:cs="Arial"/>
          <w:i/>
          <w:lang w:val="en-GB"/>
        </w:rPr>
      </w:pPr>
    </w:p>
    <w:p w14:paraId="5FE4FE06" w14:textId="77777777" w:rsidR="00A6185E" w:rsidRPr="00A6185E" w:rsidRDefault="00A6185E" w:rsidP="009E389F">
      <w:pPr>
        <w:suppressAutoHyphens/>
        <w:adjustRightInd w:val="0"/>
        <w:spacing w:after="0" w:line="240" w:lineRule="auto"/>
        <w:jc w:val="both"/>
        <w:rPr>
          <w:rFonts w:cs="Arial"/>
          <w:lang w:val="en-GB"/>
        </w:rPr>
      </w:pPr>
      <w:r w:rsidRPr="00A6185E">
        <w:rPr>
          <w:rFonts w:cs="Arial"/>
          <w:i/>
          <w:lang w:val="en-GB"/>
        </w:rPr>
        <w:t>Noting</w:t>
      </w:r>
      <w:r w:rsidRPr="00A6185E">
        <w:rPr>
          <w:rFonts w:cs="Arial"/>
          <w:lang w:val="en-GB"/>
        </w:rPr>
        <w:t xml:space="preserve"> that UNEP/EA.3/Resolution 4 </w:t>
      </w:r>
      <w:r w:rsidRPr="00A6185E">
        <w:rPr>
          <w:rFonts w:cs="Arial"/>
          <w:i/>
          <w:lang w:val="en-GB"/>
        </w:rPr>
        <w:t>Environment and Health</w:t>
      </w:r>
      <w:r w:rsidRPr="00A6185E">
        <w:rPr>
          <w:rFonts w:cs="Arial"/>
          <w:lang w:val="en-GB"/>
        </w:rPr>
        <w:t xml:space="preserve"> and UNEP.EA.4/3 Implementation Plan </w:t>
      </w:r>
      <w:r w:rsidRPr="00A6185E">
        <w:rPr>
          <w:rFonts w:cs="Arial"/>
          <w:i/>
          <w:lang w:val="en-GB"/>
        </w:rPr>
        <w:t>Towards a Pollution-free Planet</w:t>
      </w:r>
      <w:r w:rsidRPr="00A6185E">
        <w:rPr>
          <w:rFonts w:cs="Arial"/>
          <w:lang w:val="en-GB"/>
        </w:rPr>
        <w:t xml:space="preserve"> encourage Member States and the Executive Director, in cooperation with all relevant stakeholders, to raise awareness of [..] the dangers to the environment of lead in ammunition, and to encourage research regarding alternatives to such chemicals and drugs that are toxic to wildlife, as well as safety testing thereof,</w:t>
      </w:r>
    </w:p>
    <w:p w14:paraId="6EF21D05" w14:textId="77777777" w:rsidR="00A6185E" w:rsidRPr="00A6185E" w:rsidRDefault="00A6185E" w:rsidP="009E389F">
      <w:pPr>
        <w:suppressAutoHyphens/>
        <w:adjustRightInd w:val="0"/>
        <w:spacing w:after="0" w:line="240" w:lineRule="auto"/>
        <w:jc w:val="both"/>
        <w:rPr>
          <w:rFonts w:cs="Arial"/>
          <w:u w:val="single"/>
          <w:lang w:val="en-GB"/>
        </w:rPr>
      </w:pPr>
    </w:p>
    <w:p w14:paraId="595037C9" w14:textId="77777777" w:rsidR="00A6185E" w:rsidRPr="00A6185E" w:rsidRDefault="00A6185E" w:rsidP="009E389F">
      <w:pPr>
        <w:suppressAutoHyphens/>
        <w:adjustRightInd w:val="0"/>
        <w:spacing w:after="0" w:line="240" w:lineRule="auto"/>
        <w:jc w:val="both"/>
        <w:rPr>
          <w:rFonts w:cs="Arial"/>
          <w:i/>
          <w:lang w:val="en-GB"/>
        </w:rPr>
      </w:pPr>
      <w:r w:rsidRPr="00A6185E">
        <w:rPr>
          <w:rFonts w:cs="Arial"/>
          <w:i/>
          <w:lang w:val="en-GB"/>
        </w:rPr>
        <w:t>Welcoming</w:t>
      </w:r>
      <w:r w:rsidRPr="00A6185E">
        <w:rPr>
          <w:rFonts w:cs="Arial"/>
          <w:lang w:val="en-GB"/>
        </w:rPr>
        <w:t xml:space="preserve"> the adoption of an EU-wide ban (Commission Regulation (EU) 2021/57) on the use of lead shot in and around wetlands under the REACH regulation (Registration, Evaluation, Authorization and Restriction of Chemicals; (Regulation (EC) No 1907/2006) to address the estimated one million waterbirds that succumb annually to lead poisoning within the EU,</w:t>
      </w:r>
    </w:p>
    <w:p w14:paraId="7578F44E" w14:textId="77777777" w:rsidR="00A6185E" w:rsidRPr="00A6185E" w:rsidRDefault="00A6185E" w:rsidP="009E389F">
      <w:pPr>
        <w:suppressAutoHyphens/>
        <w:adjustRightInd w:val="0"/>
        <w:spacing w:after="0" w:line="240" w:lineRule="auto"/>
        <w:jc w:val="both"/>
        <w:rPr>
          <w:rFonts w:cs="Arial"/>
          <w:i/>
          <w:lang w:val="en-GB"/>
        </w:rPr>
      </w:pPr>
    </w:p>
    <w:p w14:paraId="51B7112E" w14:textId="374D1650" w:rsidR="009967B0" w:rsidRDefault="00A6185E" w:rsidP="009E389F">
      <w:pPr>
        <w:suppressAutoHyphens/>
        <w:adjustRightInd w:val="0"/>
        <w:spacing w:after="0" w:line="240" w:lineRule="auto"/>
        <w:jc w:val="both"/>
        <w:rPr>
          <w:rFonts w:cs="Arial"/>
          <w:iCs/>
          <w:lang w:val="en-GB"/>
        </w:rPr>
      </w:pPr>
      <w:r w:rsidRPr="00A6185E">
        <w:rPr>
          <w:rFonts w:cs="Arial"/>
          <w:i/>
          <w:lang w:val="en-GB"/>
        </w:rPr>
        <w:t xml:space="preserve">Welcoming </w:t>
      </w:r>
      <w:r w:rsidRPr="00A6185E">
        <w:rPr>
          <w:rFonts w:cs="Arial"/>
          <w:iCs/>
          <w:lang w:val="en-GB"/>
        </w:rPr>
        <w:t xml:space="preserve">the ongoing wider restriction </w:t>
      </w:r>
      <w:proofErr w:type="spellStart"/>
      <w:r w:rsidR="007C2587" w:rsidRPr="007C2587">
        <w:rPr>
          <w:rFonts w:cs="Arial"/>
          <w:iCs/>
          <w:strike/>
          <w:lang w:val="en-GB"/>
        </w:rPr>
        <w:t>process</w:t>
      </w:r>
      <w:r w:rsidRPr="00A6185E">
        <w:rPr>
          <w:rFonts w:cs="Arial"/>
          <w:iCs/>
          <w:lang w:val="en-GB"/>
        </w:rPr>
        <w:t>pro</w:t>
      </w:r>
      <w:r w:rsidR="002D3B67" w:rsidRPr="007C2587">
        <w:rPr>
          <w:rFonts w:cs="Arial"/>
          <w:iCs/>
          <w:u w:val="single"/>
          <w:lang w:val="en-GB"/>
        </w:rPr>
        <w:t>posal</w:t>
      </w:r>
      <w:proofErr w:type="spellEnd"/>
      <w:r w:rsidRPr="00A6185E">
        <w:rPr>
          <w:rFonts w:cs="Arial"/>
          <w:iCs/>
          <w:lang w:val="en-GB"/>
        </w:rPr>
        <w:t xml:space="preserve"> </w:t>
      </w:r>
      <w:r w:rsidR="00024AEA" w:rsidRPr="007C2587">
        <w:rPr>
          <w:rFonts w:cs="Arial"/>
          <w:iCs/>
          <w:u w:val="single"/>
          <w:lang w:val="en-GB"/>
        </w:rPr>
        <w:t>to amend Annex XVII</w:t>
      </w:r>
      <w:r w:rsidR="00024AEA">
        <w:rPr>
          <w:rFonts w:cs="Arial"/>
          <w:iCs/>
          <w:lang w:val="en-GB"/>
        </w:rPr>
        <w:t xml:space="preserve"> </w:t>
      </w:r>
      <w:r w:rsidRPr="00A6185E">
        <w:rPr>
          <w:rFonts w:cs="Arial"/>
          <w:iCs/>
          <w:lang w:val="en-GB"/>
        </w:rPr>
        <w:t xml:space="preserve">under the REACH regulation of the EU </w:t>
      </w:r>
      <w:r w:rsidR="00024AEA" w:rsidRPr="004A7A84">
        <w:rPr>
          <w:rFonts w:cs="Arial"/>
          <w:iCs/>
          <w:u w:val="single"/>
          <w:lang w:val="en-GB"/>
        </w:rPr>
        <w:t>(</w:t>
      </w:r>
      <w:r w:rsidR="00A91763" w:rsidRPr="004A7A84">
        <w:rPr>
          <w:rFonts w:cs="Arial"/>
          <w:iCs/>
          <w:u w:val="single"/>
          <w:lang w:val="en-GB"/>
        </w:rPr>
        <w:t>Regulation (EC) No 1907/2006)</w:t>
      </w:r>
      <w:r w:rsidR="00A91763">
        <w:rPr>
          <w:rFonts w:cs="Arial"/>
          <w:iCs/>
          <w:lang w:val="en-GB"/>
        </w:rPr>
        <w:t xml:space="preserve"> </w:t>
      </w:r>
      <w:r w:rsidRPr="00A6185E">
        <w:rPr>
          <w:rFonts w:cs="Arial"/>
          <w:iCs/>
          <w:lang w:val="en-GB"/>
        </w:rPr>
        <w:t xml:space="preserve">and the opinions adopted in 2022 by the expert committees of the European Chemicals Agency (ECHA), which will be the basis for the European Commission to enact a restriction on lead use in outdoor shooting and fishing in the European Union, </w:t>
      </w:r>
      <w:r w:rsidRPr="004A7A84">
        <w:rPr>
          <w:rFonts w:cs="Arial"/>
          <w:iCs/>
          <w:strike/>
          <w:lang w:val="en-GB"/>
        </w:rPr>
        <w:t>and further</w:t>
      </w:r>
      <w:r w:rsidRPr="00A6185E">
        <w:rPr>
          <w:rFonts w:cs="Arial"/>
          <w:iCs/>
          <w:lang w:val="en-GB"/>
        </w:rPr>
        <w:t xml:space="preserve"> </w:t>
      </w:r>
    </w:p>
    <w:p w14:paraId="1D47DF30" w14:textId="77777777" w:rsidR="009967B0" w:rsidRDefault="009967B0" w:rsidP="009E389F">
      <w:pPr>
        <w:suppressAutoHyphens/>
        <w:adjustRightInd w:val="0"/>
        <w:spacing w:after="0" w:line="240" w:lineRule="auto"/>
        <w:jc w:val="both"/>
        <w:rPr>
          <w:rFonts w:cs="Arial"/>
          <w:iCs/>
          <w:lang w:val="en-GB"/>
        </w:rPr>
      </w:pPr>
    </w:p>
    <w:p w14:paraId="3C414FD1" w14:textId="419178B3" w:rsidR="00A6185E" w:rsidRPr="00A6185E" w:rsidRDefault="00AE381F" w:rsidP="009E389F">
      <w:pPr>
        <w:suppressAutoHyphens/>
        <w:adjustRightInd w:val="0"/>
        <w:spacing w:after="0" w:line="240" w:lineRule="auto"/>
        <w:jc w:val="both"/>
        <w:rPr>
          <w:rFonts w:cs="Arial"/>
          <w:iCs/>
          <w:lang w:val="en-GB"/>
        </w:rPr>
      </w:pPr>
      <w:proofErr w:type="spellStart"/>
      <w:r w:rsidRPr="004A7A84">
        <w:rPr>
          <w:rFonts w:cs="Arial"/>
          <w:i/>
          <w:strike/>
          <w:lang w:val="en-GB"/>
        </w:rPr>
        <w:t>W</w:t>
      </w:r>
      <w:r w:rsidR="00A6185E" w:rsidRPr="004A7A84">
        <w:rPr>
          <w:rFonts w:cs="Arial"/>
          <w:i/>
          <w:strike/>
          <w:lang w:val="en-GB"/>
        </w:rPr>
        <w:t>elcoming</w:t>
      </w:r>
      <w:r w:rsidR="008A7611" w:rsidRPr="004A7A84">
        <w:rPr>
          <w:rFonts w:cs="Arial"/>
          <w:i/>
          <w:u w:val="single"/>
          <w:lang w:val="en-GB"/>
        </w:rPr>
        <w:t>Commending</w:t>
      </w:r>
      <w:proofErr w:type="spellEnd"/>
      <w:r w:rsidR="00A6185E" w:rsidRPr="00A6185E">
        <w:rPr>
          <w:rFonts w:cs="Arial"/>
          <w:iCs/>
          <w:lang w:val="en-GB"/>
        </w:rPr>
        <w:t xml:space="preserve"> the </w:t>
      </w:r>
      <w:r w:rsidR="00E84A6D" w:rsidRPr="004A7A84">
        <w:rPr>
          <w:rFonts w:cs="Arial"/>
          <w:iCs/>
          <w:u w:val="single"/>
          <w:lang w:val="en-GB"/>
        </w:rPr>
        <w:t xml:space="preserve">decision of the </w:t>
      </w:r>
      <w:r w:rsidR="0079530B" w:rsidRPr="004A7A84">
        <w:rPr>
          <w:rFonts w:cs="Arial"/>
          <w:iCs/>
          <w:u w:val="single"/>
          <w:lang w:val="en-GB"/>
        </w:rPr>
        <w:t xml:space="preserve">United Kingdom to </w:t>
      </w:r>
      <w:r w:rsidR="009A7479" w:rsidRPr="004A7A84">
        <w:rPr>
          <w:rFonts w:cs="Arial"/>
          <w:iCs/>
          <w:u w:val="single"/>
          <w:lang w:val="en-GB"/>
        </w:rPr>
        <w:t xml:space="preserve">ban shot containing more than </w:t>
      </w:r>
      <w:r w:rsidR="001C52DD" w:rsidRPr="004A7A84">
        <w:rPr>
          <w:rFonts w:cs="Arial"/>
          <w:iCs/>
          <w:u w:val="single"/>
          <w:lang w:val="en-GB"/>
        </w:rPr>
        <w:t>one percent</w:t>
      </w:r>
      <w:r w:rsidR="009A7479" w:rsidRPr="004A7A84">
        <w:rPr>
          <w:rFonts w:cs="Arial"/>
          <w:iCs/>
          <w:u w:val="single"/>
          <w:lang w:val="en-GB"/>
        </w:rPr>
        <w:t xml:space="preserve"> lead and bullets </w:t>
      </w:r>
      <w:r w:rsidR="000974D8" w:rsidRPr="004A7A84">
        <w:rPr>
          <w:rFonts w:cs="Arial"/>
          <w:iCs/>
          <w:u w:val="single"/>
          <w:lang w:val="en-GB"/>
        </w:rPr>
        <w:t xml:space="preserve">containing </w:t>
      </w:r>
      <w:r w:rsidR="009A7479" w:rsidRPr="004A7A84">
        <w:rPr>
          <w:rFonts w:cs="Arial"/>
          <w:iCs/>
          <w:u w:val="single"/>
          <w:lang w:val="en-GB"/>
        </w:rPr>
        <w:t xml:space="preserve">more than </w:t>
      </w:r>
      <w:r w:rsidR="001C52DD" w:rsidRPr="004A7A84">
        <w:rPr>
          <w:rFonts w:cs="Arial"/>
          <w:iCs/>
          <w:u w:val="single"/>
          <w:lang w:val="en-GB"/>
        </w:rPr>
        <w:t>three percent</w:t>
      </w:r>
      <w:r w:rsidR="002D4643" w:rsidRPr="004A7A84">
        <w:rPr>
          <w:rFonts w:cs="Arial"/>
          <w:iCs/>
          <w:u w:val="single"/>
          <w:lang w:val="en-GB"/>
        </w:rPr>
        <w:t xml:space="preserve"> </w:t>
      </w:r>
      <w:proofErr w:type="spellStart"/>
      <w:r w:rsidR="002D4643" w:rsidRPr="004A7A84">
        <w:rPr>
          <w:rFonts w:cs="Arial"/>
          <w:iCs/>
          <w:u w:val="single"/>
          <w:lang w:val="en-GB"/>
        </w:rPr>
        <w:t>lead</w:t>
      </w:r>
      <w:r w:rsidR="004A7A84">
        <w:rPr>
          <w:rFonts w:cs="Arial"/>
          <w:iCs/>
          <w:lang w:val="en-GB"/>
        </w:rPr>
        <w:t>,</w:t>
      </w:r>
      <w:r w:rsidR="00A6185E" w:rsidRPr="004A7A84">
        <w:rPr>
          <w:rFonts w:cs="Arial"/>
          <w:iCs/>
          <w:strike/>
          <w:lang w:val="en-GB"/>
        </w:rPr>
        <w:t>similar</w:t>
      </w:r>
      <w:proofErr w:type="spellEnd"/>
      <w:r w:rsidR="00A6185E" w:rsidRPr="004A7A84">
        <w:rPr>
          <w:rFonts w:cs="Arial"/>
          <w:iCs/>
          <w:strike/>
          <w:lang w:val="en-GB"/>
        </w:rPr>
        <w:t xml:space="preserve"> REACH process being undertaken in the United Kingdom to restrict lead ammunition for outdoor shooting,</w:t>
      </w:r>
    </w:p>
    <w:p w14:paraId="309FEBF4" w14:textId="77777777" w:rsidR="00A6185E" w:rsidRPr="00A6185E" w:rsidRDefault="00A6185E" w:rsidP="009E389F">
      <w:pPr>
        <w:suppressAutoHyphens/>
        <w:adjustRightInd w:val="0"/>
        <w:spacing w:after="0" w:line="240" w:lineRule="auto"/>
        <w:jc w:val="both"/>
        <w:rPr>
          <w:rFonts w:cs="Arial"/>
          <w:iCs/>
          <w:lang w:val="en-GB"/>
        </w:rPr>
      </w:pPr>
    </w:p>
    <w:p w14:paraId="022BC01E" w14:textId="77777777" w:rsidR="00A6185E" w:rsidRPr="00A6185E" w:rsidRDefault="00A6185E" w:rsidP="009E389F">
      <w:pPr>
        <w:suppressAutoHyphens/>
        <w:adjustRightInd w:val="0"/>
        <w:spacing w:after="0" w:line="240" w:lineRule="auto"/>
        <w:jc w:val="both"/>
        <w:rPr>
          <w:rFonts w:cs="Arial"/>
          <w:lang w:val="en-GB"/>
        </w:rPr>
      </w:pPr>
      <w:r w:rsidRPr="00A6185E">
        <w:rPr>
          <w:rFonts w:cs="Arial"/>
          <w:i/>
          <w:lang w:val="en-GB"/>
        </w:rPr>
        <w:t>Recognizing</w:t>
      </w:r>
      <w:r w:rsidRPr="00A6185E">
        <w:rPr>
          <w:rFonts w:cs="Arial"/>
          <w:lang w:val="en-GB"/>
        </w:rPr>
        <w:t xml:space="preserve"> that under strictly supervised conditions and on a selective basis, the legal and regulated use of poison baits can have important conservation benefits through the control of alien invasive species,</w:t>
      </w:r>
    </w:p>
    <w:p w14:paraId="6375F585" w14:textId="77777777" w:rsidR="00A6185E" w:rsidRPr="00A6185E" w:rsidRDefault="00A6185E" w:rsidP="009E389F">
      <w:pPr>
        <w:suppressAutoHyphens/>
        <w:adjustRightInd w:val="0"/>
        <w:spacing w:after="0" w:line="240" w:lineRule="auto"/>
        <w:jc w:val="both"/>
        <w:rPr>
          <w:rFonts w:cs="Arial"/>
          <w:lang w:val="en-GB"/>
        </w:rPr>
      </w:pPr>
    </w:p>
    <w:p w14:paraId="3F58D91E" w14:textId="77777777" w:rsidR="00A6185E" w:rsidRPr="00A6185E" w:rsidRDefault="00A6185E" w:rsidP="009E389F">
      <w:pPr>
        <w:suppressAutoHyphens/>
        <w:adjustRightInd w:val="0"/>
        <w:spacing w:after="0" w:line="240" w:lineRule="auto"/>
        <w:jc w:val="both"/>
        <w:rPr>
          <w:rFonts w:cs="Arial"/>
          <w:lang w:val="en-GB"/>
        </w:rPr>
      </w:pPr>
      <w:r w:rsidRPr="00A6185E">
        <w:rPr>
          <w:rFonts w:cs="Arial"/>
          <w:i/>
          <w:lang w:val="en-GB"/>
        </w:rPr>
        <w:t xml:space="preserve">Concerned </w:t>
      </w:r>
      <w:r w:rsidRPr="00A6185E">
        <w:rPr>
          <w:rFonts w:cs="Arial"/>
          <w:lang w:val="en-GB"/>
        </w:rPr>
        <w:t xml:space="preserve">that there is a serious geographical bias in relevant research and knowledge, and </w:t>
      </w:r>
      <w:r w:rsidRPr="00A6185E">
        <w:rPr>
          <w:rFonts w:cs="Arial"/>
          <w:i/>
          <w:lang w:val="en-GB"/>
        </w:rPr>
        <w:t>emphasizing</w:t>
      </w:r>
      <w:r w:rsidRPr="00A6185E">
        <w:rPr>
          <w:rFonts w:cs="Arial"/>
          <w:lang w:val="en-GB"/>
        </w:rPr>
        <w:t xml:space="preserve"> that further research on and monitoring of migratory birds and sources of poisoning are urgently required for some poisoning sources, and that studies should be designed so as to better assist in formulating and monitoring policy, </w:t>
      </w:r>
    </w:p>
    <w:p w14:paraId="4E8E30A9" w14:textId="77777777" w:rsidR="00A6185E" w:rsidRDefault="00A6185E" w:rsidP="009E389F">
      <w:pPr>
        <w:suppressAutoHyphens/>
        <w:adjustRightInd w:val="0"/>
        <w:spacing w:after="0" w:line="240" w:lineRule="auto"/>
        <w:jc w:val="both"/>
        <w:rPr>
          <w:rFonts w:cs="Arial"/>
          <w:lang w:val="en-GB"/>
        </w:rPr>
      </w:pPr>
    </w:p>
    <w:p w14:paraId="6A367578" w14:textId="77777777" w:rsidR="00453114" w:rsidRPr="00A6185E" w:rsidRDefault="00453114" w:rsidP="009E389F">
      <w:pPr>
        <w:suppressAutoHyphens/>
        <w:adjustRightInd w:val="0"/>
        <w:spacing w:after="0" w:line="240" w:lineRule="auto"/>
        <w:jc w:val="both"/>
        <w:rPr>
          <w:rFonts w:cs="Arial"/>
          <w:lang w:val="en-GB"/>
        </w:rPr>
      </w:pPr>
    </w:p>
    <w:p w14:paraId="3FED984A" w14:textId="77777777" w:rsidR="00A6185E" w:rsidRPr="00A6185E" w:rsidRDefault="00A6185E" w:rsidP="009E389F">
      <w:pPr>
        <w:suppressAutoHyphens/>
        <w:adjustRightInd w:val="0"/>
        <w:spacing w:after="0" w:line="240" w:lineRule="auto"/>
        <w:jc w:val="both"/>
        <w:rPr>
          <w:rFonts w:cs="Arial"/>
          <w:lang w:val="en-GB"/>
        </w:rPr>
      </w:pPr>
      <w:r w:rsidRPr="00A6185E">
        <w:rPr>
          <w:rFonts w:cs="Arial"/>
          <w:i/>
          <w:lang w:val="en-GB"/>
        </w:rPr>
        <w:lastRenderedPageBreak/>
        <w:t>Acknowledging</w:t>
      </w:r>
      <w:r w:rsidRPr="00A6185E">
        <w:rPr>
          <w:rFonts w:cs="Arial"/>
          <w:lang w:val="en-GB"/>
        </w:rPr>
        <w:t xml:space="preserve"> that a number of Parties are already applying relevant policies, for example, the removal of certain toxic pesticides from the market, use of canine patrols to deter and detect poison baits, implementation of training programs for relevant bodies and authorities on investigation and prosecution, implementation of programmes of Integrated Pest Management, and promotion of the use of non-toxic ammunition for hunting and</w:t>
      </w:r>
      <w:r w:rsidRPr="00A6185E">
        <w:rPr>
          <w:rFonts w:cs="Arial"/>
          <w:i/>
          <w:lang w:val="en-GB"/>
        </w:rPr>
        <w:t xml:space="preserve"> commending</w:t>
      </w:r>
      <w:r w:rsidRPr="00A6185E">
        <w:rPr>
          <w:rFonts w:cs="Arial"/>
          <w:lang w:val="en-GB"/>
        </w:rPr>
        <w:t xml:space="preserve"> those Parties for such actions,</w:t>
      </w:r>
    </w:p>
    <w:p w14:paraId="18F82102" w14:textId="77777777" w:rsidR="00A6185E" w:rsidRPr="00A6185E" w:rsidRDefault="00A6185E" w:rsidP="009E389F">
      <w:pPr>
        <w:suppressAutoHyphens/>
        <w:adjustRightInd w:val="0"/>
        <w:spacing w:after="0" w:line="240" w:lineRule="auto"/>
        <w:jc w:val="both"/>
        <w:rPr>
          <w:rFonts w:cs="Arial"/>
          <w:lang w:val="en-GB"/>
        </w:rPr>
      </w:pPr>
    </w:p>
    <w:p w14:paraId="02170034" w14:textId="77777777" w:rsidR="00A6185E" w:rsidRPr="00A6185E" w:rsidRDefault="00A6185E" w:rsidP="009E389F">
      <w:pPr>
        <w:suppressAutoHyphens/>
        <w:adjustRightInd w:val="0"/>
        <w:spacing w:after="0" w:line="240" w:lineRule="auto"/>
        <w:jc w:val="both"/>
        <w:rPr>
          <w:rFonts w:cs="Arial"/>
          <w:lang w:val="en-GB"/>
        </w:rPr>
      </w:pPr>
      <w:r w:rsidRPr="00A6185E">
        <w:rPr>
          <w:rFonts w:cs="Arial"/>
          <w:i/>
          <w:lang w:val="en-GB"/>
        </w:rPr>
        <w:t xml:space="preserve">Noting </w:t>
      </w:r>
      <w:r w:rsidRPr="00A6185E">
        <w:rPr>
          <w:rFonts w:cs="Arial"/>
          <w:lang w:val="en-GB"/>
        </w:rPr>
        <w:t xml:space="preserve">the United Nations Development Programme/Global Environment Facility (UNDP/GEF) 'Migratory Soaring Birds Project' implemented by BirdLife International, and its document “Preventing the Risk to Migratory Birds from Poisoning by Agricultural Chemicals: Guidance for Countries on the Rift Valley/Red Sea Flyway”, which aims to ensure that the conservation needs of migratory soaring birds are addressed by industry, including the agriculture sector, along the Red Sea/Rift Valley Flyway, and </w:t>
      </w:r>
      <w:r w:rsidRPr="00A6185E">
        <w:rPr>
          <w:rFonts w:cs="Arial"/>
          <w:i/>
          <w:lang w:val="en-GB"/>
        </w:rPr>
        <w:t>recognizing</w:t>
      </w:r>
      <w:r w:rsidRPr="00A6185E">
        <w:rPr>
          <w:rFonts w:cs="Arial"/>
          <w:lang w:val="en-GB"/>
        </w:rPr>
        <w:t xml:space="preserve"> the potential this project has to promote the implementation of this Resolution and the associated “Guidelines to Prevent the Risk of Poisoning to Migratory Birds” nationally and locally,</w:t>
      </w:r>
    </w:p>
    <w:p w14:paraId="476F8064" w14:textId="77777777" w:rsidR="00A6185E" w:rsidRPr="00A6185E" w:rsidRDefault="00A6185E" w:rsidP="009E389F">
      <w:pPr>
        <w:suppressAutoHyphens/>
        <w:adjustRightInd w:val="0"/>
        <w:spacing w:after="0" w:line="240" w:lineRule="auto"/>
        <w:jc w:val="both"/>
        <w:rPr>
          <w:rFonts w:cs="Arial"/>
          <w:lang w:val="en-GB"/>
        </w:rPr>
      </w:pPr>
    </w:p>
    <w:p w14:paraId="7C396CBA" w14:textId="29A6663A" w:rsidR="00A6185E" w:rsidRDefault="00A6185E" w:rsidP="009E389F">
      <w:pPr>
        <w:suppressAutoHyphens/>
        <w:adjustRightInd w:val="0"/>
        <w:spacing w:after="0" w:line="240" w:lineRule="auto"/>
        <w:jc w:val="both"/>
        <w:rPr>
          <w:rFonts w:cs="Arial"/>
          <w:strike/>
          <w:lang w:val="en-GB"/>
        </w:rPr>
      </w:pPr>
      <w:r w:rsidRPr="004A7A84">
        <w:rPr>
          <w:rFonts w:cs="Arial"/>
          <w:i/>
          <w:strike/>
          <w:lang w:val="en-GB"/>
        </w:rPr>
        <w:t>Further noting</w:t>
      </w:r>
      <w:r w:rsidRPr="004A7A84">
        <w:rPr>
          <w:rFonts w:cs="Arial"/>
          <w:strike/>
          <w:lang w:val="en-GB"/>
        </w:rPr>
        <w:t xml:space="preserve"> the Sub-regional Implementation Plan to Prevent Poisoning of Migratory Birds in Southern African Countries 2017-2020, developed at the Regional Workshop on Preventing Poisoning of Migratory Birds, held in Cape Town, South Africa, on 24 August 2015,</w:t>
      </w:r>
      <w:r w:rsidRPr="004A7A84">
        <w:rPr>
          <w:strike/>
          <w:lang w:val="en-GB"/>
        </w:rPr>
        <w:t xml:space="preserve"> </w:t>
      </w:r>
      <w:r w:rsidRPr="004A7A84">
        <w:rPr>
          <w:rFonts w:cs="Arial"/>
          <w:strike/>
          <w:lang w:val="en-GB"/>
        </w:rPr>
        <w:t>in response to Resolution 11.15,</w:t>
      </w:r>
    </w:p>
    <w:p w14:paraId="7B98747F" w14:textId="77777777" w:rsidR="00BA7383" w:rsidRPr="00A6185E" w:rsidRDefault="00BA7383" w:rsidP="009E389F">
      <w:pPr>
        <w:suppressAutoHyphens/>
        <w:adjustRightInd w:val="0"/>
        <w:spacing w:after="0" w:line="240" w:lineRule="auto"/>
        <w:jc w:val="both"/>
        <w:rPr>
          <w:rFonts w:cs="Arial"/>
          <w:lang w:val="en-GB"/>
        </w:rPr>
      </w:pPr>
    </w:p>
    <w:p w14:paraId="420D1135" w14:textId="6A25C48C" w:rsidR="00A6185E" w:rsidRPr="00A6185E" w:rsidRDefault="00A6185E" w:rsidP="009E389F">
      <w:pPr>
        <w:suppressAutoHyphens/>
        <w:adjustRightInd w:val="0"/>
        <w:spacing w:after="0" w:line="240" w:lineRule="auto"/>
        <w:jc w:val="both"/>
        <w:rPr>
          <w:rFonts w:cs="Arial"/>
          <w:lang w:val="en-GB"/>
        </w:rPr>
      </w:pPr>
      <w:r w:rsidRPr="00A6185E">
        <w:rPr>
          <w:rFonts w:cs="Arial"/>
          <w:i/>
          <w:lang w:val="en-GB"/>
        </w:rPr>
        <w:t>Further noting</w:t>
      </w:r>
      <w:r w:rsidRPr="00A6185E">
        <w:rPr>
          <w:rFonts w:cs="Arial"/>
          <w:lang w:val="en-GB"/>
        </w:rPr>
        <w:t xml:space="preserve"> the European Action Plan to Prevent Risk from Poison-Baits of the ‘European Network on Environmental Crime’ (ENEC), funded by the Criminal Justice Support Programme of the European Union to improve the implementation and application of the Directive 2008/99/EC on the protection of the environment through criminal law,</w:t>
      </w:r>
      <w:r w:rsidR="00062193">
        <w:rPr>
          <w:rFonts w:cs="Arial"/>
          <w:lang w:val="en-GB"/>
        </w:rPr>
        <w:t xml:space="preserve"> </w:t>
      </w:r>
      <w:r w:rsidR="00062193" w:rsidRPr="004A7A84">
        <w:rPr>
          <w:rFonts w:cs="Arial"/>
          <w:u w:val="single"/>
          <w:lang w:val="en-GB"/>
        </w:rPr>
        <w:t>and</w:t>
      </w:r>
    </w:p>
    <w:p w14:paraId="0A59FEFD" w14:textId="77777777" w:rsidR="00A6185E" w:rsidRPr="00A6185E" w:rsidRDefault="00A6185E" w:rsidP="009E389F">
      <w:pPr>
        <w:suppressAutoHyphens/>
        <w:adjustRightInd w:val="0"/>
        <w:spacing w:after="0" w:line="240" w:lineRule="auto"/>
        <w:jc w:val="both"/>
        <w:rPr>
          <w:rFonts w:cs="Arial"/>
          <w:lang w:val="en-GB"/>
        </w:rPr>
      </w:pPr>
    </w:p>
    <w:p w14:paraId="3997F67E" w14:textId="3E4B8268" w:rsidR="00A6185E" w:rsidRPr="00A6185E" w:rsidRDefault="00A6185E" w:rsidP="009E389F">
      <w:pPr>
        <w:suppressAutoHyphens/>
        <w:adjustRightInd w:val="0"/>
        <w:spacing w:after="0" w:line="240" w:lineRule="auto"/>
        <w:jc w:val="both"/>
        <w:rPr>
          <w:rFonts w:cs="Arial"/>
          <w:lang w:val="en-GB"/>
        </w:rPr>
      </w:pPr>
      <w:r w:rsidRPr="00A6185E">
        <w:rPr>
          <w:rFonts w:cs="Arial"/>
          <w:i/>
          <w:lang w:val="en-GB"/>
        </w:rPr>
        <w:t>Stressing</w:t>
      </w:r>
      <w:r w:rsidRPr="00A6185E">
        <w:rPr>
          <w:rFonts w:cs="Arial"/>
          <w:lang w:val="en-GB"/>
        </w:rPr>
        <w:t xml:space="preserve"> that capacity-building at national and regional level is of fundamental importance for the effective implementation of this </w:t>
      </w:r>
      <w:proofErr w:type="spellStart"/>
      <w:r w:rsidRPr="00A6185E">
        <w:rPr>
          <w:rFonts w:cs="Arial"/>
          <w:lang w:val="en-GB"/>
        </w:rPr>
        <w:t>Resolution,</w:t>
      </w:r>
      <w:r w:rsidRPr="004A7A84">
        <w:rPr>
          <w:rFonts w:cs="Arial"/>
          <w:strike/>
          <w:lang w:val="en-GB"/>
        </w:rPr>
        <w:t>and</w:t>
      </w:r>
      <w:proofErr w:type="spellEnd"/>
    </w:p>
    <w:p w14:paraId="15D81DA9" w14:textId="125298B8" w:rsidR="00A6185E" w:rsidRPr="00A6185E" w:rsidRDefault="00A6185E" w:rsidP="009E389F">
      <w:pPr>
        <w:suppressAutoHyphens/>
        <w:adjustRightInd w:val="0"/>
        <w:spacing w:after="0" w:line="240" w:lineRule="auto"/>
        <w:jc w:val="both"/>
        <w:rPr>
          <w:rFonts w:cs="Arial"/>
          <w:lang w:val="en-GB"/>
        </w:rPr>
      </w:pPr>
      <w:r w:rsidRPr="00A6185E">
        <w:rPr>
          <w:rFonts w:cs="Arial"/>
          <w:lang w:val="en-GB"/>
        </w:rPr>
        <w:t xml:space="preserve"> </w:t>
      </w:r>
    </w:p>
    <w:p w14:paraId="7766E83C" w14:textId="68C9945F" w:rsidR="00A6185E" w:rsidRPr="00A6185E" w:rsidRDefault="00A6185E" w:rsidP="009E389F">
      <w:pPr>
        <w:suppressAutoHyphens/>
        <w:adjustRightInd w:val="0"/>
        <w:spacing w:after="0" w:line="240" w:lineRule="auto"/>
        <w:jc w:val="both"/>
        <w:rPr>
          <w:rFonts w:cs="Arial"/>
          <w:lang w:val="en-GB"/>
        </w:rPr>
      </w:pPr>
      <w:r w:rsidRPr="004A7A84">
        <w:rPr>
          <w:rFonts w:cs="Arial"/>
          <w:i/>
          <w:strike/>
          <w:lang w:val="en-GB"/>
        </w:rPr>
        <w:t>Noting</w:t>
      </w:r>
      <w:r w:rsidRPr="004A7A84">
        <w:rPr>
          <w:rFonts w:cs="Arial"/>
          <w:strike/>
          <w:lang w:val="en-GB"/>
        </w:rPr>
        <w:t xml:space="preserve"> the Report of the 2</w:t>
      </w:r>
      <w:r w:rsidRPr="004A7A84">
        <w:rPr>
          <w:rFonts w:cs="Arial"/>
          <w:strike/>
          <w:vertAlign w:val="superscript"/>
          <w:lang w:val="en-GB"/>
        </w:rPr>
        <w:t>nd</w:t>
      </w:r>
      <w:r w:rsidRPr="004A7A84">
        <w:rPr>
          <w:rFonts w:cs="Arial"/>
          <w:strike/>
          <w:lang w:val="en-GB"/>
        </w:rPr>
        <w:t xml:space="preserve"> Meeting of the Preventing Poisoning Working Group (UNEP/CMS/COP12/Inf.8) and its Programme of Work (POW; UNEP/CMS/COP12/Inf.9),</w:t>
      </w:r>
    </w:p>
    <w:p w14:paraId="41E84E9E" w14:textId="77777777" w:rsidR="00A6185E" w:rsidRDefault="00A6185E" w:rsidP="009E389F">
      <w:pPr>
        <w:suppressAutoHyphens/>
        <w:adjustRightInd w:val="0"/>
        <w:spacing w:after="0" w:line="240" w:lineRule="auto"/>
        <w:jc w:val="both"/>
        <w:rPr>
          <w:rFonts w:cs="Arial"/>
          <w:lang w:val="en-GB"/>
        </w:rPr>
      </w:pPr>
    </w:p>
    <w:p w14:paraId="1BFDCA1B" w14:textId="77777777" w:rsidR="00453114" w:rsidRPr="00A6185E" w:rsidRDefault="00453114" w:rsidP="009E389F">
      <w:pPr>
        <w:suppressAutoHyphens/>
        <w:adjustRightInd w:val="0"/>
        <w:spacing w:after="0" w:line="240" w:lineRule="auto"/>
        <w:jc w:val="both"/>
        <w:rPr>
          <w:rFonts w:cs="Arial"/>
          <w:lang w:val="en-GB"/>
        </w:rPr>
      </w:pPr>
    </w:p>
    <w:p w14:paraId="081CD0F4" w14:textId="77777777" w:rsidR="00A6185E" w:rsidRPr="00A6185E" w:rsidRDefault="00A6185E" w:rsidP="009E389F">
      <w:pPr>
        <w:suppressAutoHyphens/>
        <w:adjustRightInd w:val="0"/>
        <w:spacing w:after="0" w:line="240" w:lineRule="auto"/>
        <w:jc w:val="center"/>
        <w:rPr>
          <w:rFonts w:cs="Arial"/>
          <w:i/>
          <w:lang w:val="en-GB"/>
        </w:rPr>
      </w:pPr>
      <w:r w:rsidRPr="00A6185E">
        <w:rPr>
          <w:rFonts w:cs="Arial"/>
          <w:i/>
          <w:lang w:val="en-GB"/>
        </w:rPr>
        <w:t>The Conference of the Parties to the</w:t>
      </w:r>
    </w:p>
    <w:p w14:paraId="5488D40A" w14:textId="77777777" w:rsidR="00A6185E" w:rsidRPr="00A6185E" w:rsidRDefault="00A6185E" w:rsidP="009E389F">
      <w:pPr>
        <w:suppressAutoHyphens/>
        <w:adjustRightInd w:val="0"/>
        <w:spacing w:after="0" w:line="240" w:lineRule="auto"/>
        <w:jc w:val="center"/>
        <w:rPr>
          <w:rFonts w:cs="Arial"/>
          <w:i/>
          <w:lang w:val="en-GB"/>
        </w:rPr>
      </w:pPr>
      <w:r w:rsidRPr="00A6185E">
        <w:rPr>
          <w:rFonts w:cs="Arial"/>
          <w:i/>
          <w:lang w:val="en-GB"/>
        </w:rPr>
        <w:t>Convention on the Conservation of Migratory Species of Wild Animals</w:t>
      </w:r>
    </w:p>
    <w:p w14:paraId="203B74B4" w14:textId="77777777" w:rsidR="00A6185E" w:rsidRPr="00A6185E" w:rsidRDefault="00A6185E" w:rsidP="009E389F">
      <w:pPr>
        <w:suppressAutoHyphens/>
        <w:spacing w:after="0" w:line="240" w:lineRule="auto"/>
        <w:ind w:left="540" w:hanging="540"/>
        <w:jc w:val="both"/>
        <w:rPr>
          <w:lang w:val="en-GB"/>
        </w:rPr>
      </w:pPr>
    </w:p>
    <w:p w14:paraId="23F8D48A" w14:textId="77777777" w:rsidR="00A6185E" w:rsidRPr="00A6185E" w:rsidRDefault="00A6185E" w:rsidP="009E389F">
      <w:pPr>
        <w:suppressAutoHyphens/>
        <w:spacing w:after="0" w:line="240" w:lineRule="auto"/>
        <w:ind w:left="540" w:hanging="540"/>
        <w:jc w:val="both"/>
        <w:rPr>
          <w:lang w:val="en-GB"/>
        </w:rPr>
      </w:pPr>
    </w:p>
    <w:p w14:paraId="1BFE7FFC" w14:textId="0F744771" w:rsidR="00A6185E" w:rsidRPr="00A6185E" w:rsidRDefault="00A6185E" w:rsidP="009E389F">
      <w:pPr>
        <w:widowControl w:val="0"/>
        <w:numPr>
          <w:ilvl w:val="0"/>
          <w:numId w:val="20"/>
        </w:numPr>
        <w:suppressAutoHyphens/>
        <w:autoSpaceDE w:val="0"/>
        <w:autoSpaceDN w:val="0"/>
        <w:spacing w:after="0" w:line="240" w:lineRule="auto"/>
        <w:ind w:left="539" w:hanging="539"/>
        <w:jc w:val="both"/>
        <w:textAlignment w:val="baseline"/>
        <w:rPr>
          <w:i/>
          <w:lang w:val="en-GB"/>
        </w:rPr>
      </w:pPr>
      <w:r w:rsidRPr="00A6185E">
        <w:rPr>
          <w:i/>
          <w:lang w:val="en-GB"/>
        </w:rPr>
        <w:t>Adopts</w:t>
      </w:r>
      <w:r w:rsidRPr="00A6185E">
        <w:rPr>
          <w:lang w:val="en-GB"/>
        </w:rPr>
        <w:t xml:space="preserve"> the </w:t>
      </w:r>
      <w:r w:rsidRPr="00A6185E">
        <w:rPr>
          <w:i/>
          <w:lang w:val="en-GB"/>
        </w:rPr>
        <w:t>Guidelines to Prevent the Risk of Poisoning to Migratory Birds</w:t>
      </w:r>
      <w:r w:rsidRPr="00A6185E">
        <w:rPr>
          <w:lang w:val="en-GB"/>
        </w:rPr>
        <w:t xml:space="preserve"> (the </w:t>
      </w:r>
      <w:r w:rsidRPr="00A6185E">
        <w:rPr>
          <w:iCs/>
          <w:lang w:val="en-GB"/>
        </w:rPr>
        <w:t>Guidelines</w:t>
      </w:r>
      <w:r w:rsidRPr="00A6185E">
        <w:rPr>
          <w:lang w:val="en-GB"/>
        </w:rPr>
        <w:t>) Annex 2 to document UNEP/CMS/COP11/Doc.23.1.2, agreeing that it is for each Party to determine whether or how to implement the recommended actions, considering the extent and type of poisoning risk, whilst having regard to their international obligations and commitments, including those under the Convention;</w:t>
      </w:r>
    </w:p>
    <w:p w14:paraId="0D80B5D3" w14:textId="77777777" w:rsidR="00A6185E" w:rsidRPr="00A6185E" w:rsidRDefault="00A6185E" w:rsidP="009E389F">
      <w:pPr>
        <w:suppressAutoHyphens/>
        <w:adjustRightInd w:val="0"/>
        <w:spacing w:after="0" w:line="240" w:lineRule="auto"/>
        <w:ind w:left="539" w:hanging="539"/>
        <w:jc w:val="both"/>
        <w:rPr>
          <w:rFonts w:cs="Arial"/>
          <w:i/>
          <w:lang w:val="en-GB"/>
        </w:rPr>
      </w:pPr>
    </w:p>
    <w:p w14:paraId="1DCC19E0" w14:textId="77777777" w:rsidR="00A6185E" w:rsidRPr="00A6185E" w:rsidRDefault="00A6185E" w:rsidP="009E389F">
      <w:pPr>
        <w:widowControl w:val="0"/>
        <w:numPr>
          <w:ilvl w:val="0"/>
          <w:numId w:val="20"/>
        </w:numPr>
        <w:suppressAutoHyphens/>
        <w:autoSpaceDE w:val="0"/>
        <w:autoSpaceDN w:val="0"/>
        <w:spacing w:after="0" w:line="240" w:lineRule="auto"/>
        <w:ind w:left="539" w:hanging="539"/>
        <w:jc w:val="both"/>
        <w:textAlignment w:val="baseline"/>
        <w:rPr>
          <w:lang w:val="en-GB"/>
        </w:rPr>
      </w:pPr>
      <w:r w:rsidRPr="00A6185E">
        <w:rPr>
          <w:i/>
          <w:lang w:val="en-GB"/>
        </w:rPr>
        <w:t>Invites</w:t>
      </w:r>
      <w:r w:rsidRPr="00A6185E">
        <w:rPr>
          <w:lang w:val="en-GB"/>
        </w:rPr>
        <w:t xml:space="preserve"> the United Nations Environment Programme to further discuss this issue at meetings of the United Nations Environment Assembly, recognizing that this is an issue which has wider environmental impacts;</w:t>
      </w:r>
    </w:p>
    <w:p w14:paraId="3A095F05" w14:textId="77777777" w:rsidR="00A6185E" w:rsidRPr="00A6185E" w:rsidRDefault="00A6185E" w:rsidP="009E389F">
      <w:pPr>
        <w:suppressAutoHyphens/>
        <w:adjustRightInd w:val="0"/>
        <w:spacing w:after="0" w:line="240" w:lineRule="auto"/>
        <w:ind w:left="539" w:hanging="539"/>
        <w:jc w:val="both"/>
        <w:rPr>
          <w:rFonts w:cs="Arial"/>
          <w:i/>
          <w:lang w:val="en-GB"/>
        </w:rPr>
      </w:pPr>
    </w:p>
    <w:p w14:paraId="148F28F2" w14:textId="77777777" w:rsidR="00A6185E" w:rsidRPr="00A6185E" w:rsidRDefault="00A6185E" w:rsidP="009E389F">
      <w:pPr>
        <w:widowControl w:val="0"/>
        <w:numPr>
          <w:ilvl w:val="0"/>
          <w:numId w:val="20"/>
        </w:numPr>
        <w:suppressAutoHyphens/>
        <w:autoSpaceDE w:val="0"/>
        <w:autoSpaceDN w:val="0"/>
        <w:spacing w:after="0" w:line="240" w:lineRule="auto"/>
        <w:ind w:left="539" w:hanging="539"/>
        <w:jc w:val="both"/>
        <w:textAlignment w:val="baseline"/>
        <w:rPr>
          <w:lang w:val="en-GB"/>
        </w:rPr>
      </w:pPr>
      <w:r w:rsidRPr="00A6185E">
        <w:rPr>
          <w:i/>
          <w:lang w:val="en-GB"/>
        </w:rPr>
        <w:t>Urges</w:t>
      </w:r>
      <w:r w:rsidRPr="00A6185E">
        <w:rPr>
          <w:lang w:val="en-GB"/>
        </w:rPr>
        <w:t xml:space="preserve"> Parties and </w:t>
      </w:r>
      <w:r w:rsidRPr="00A6185E">
        <w:rPr>
          <w:i/>
          <w:lang w:val="en-GB"/>
        </w:rPr>
        <w:t>encourages</w:t>
      </w:r>
      <w:r w:rsidRPr="00A6185E">
        <w:rPr>
          <w:lang w:val="en-GB"/>
        </w:rPr>
        <w:t xml:space="preserve"> non-Parties to disseminate and implement the Guidelines, as appropriate, across all flyways, where necessary translating the Guidelines into different languages for their wider dissemination and use; </w:t>
      </w:r>
    </w:p>
    <w:p w14:paraId="5322957E" w14:textId="77777777" w:rsidR="00A6185E" w:rsidRPr="00A6185E" w:rsidRDefault="00A6185E" w:rsidP="009E389F">
      <w:pPr>
        <w:suppressAutoHyphens/>
        <w:adjustRightInd w:val="0"/>
        <w:spacing w:after="0" w:line="240" w:lineRule="auto"/>
        <w:ind w:left="539" w:hanging="539"/>
        <w:jc w:val="both"/>
        <w:rPr>
          <w:rFonts w:cs="Arial"/>
          <w:lang w:val="en-GB"/>
        </w:rPr>
      </w:pPr>
    </w:p>
    <w:p w14:paraId="70CDEAD9" w14:textId="77777777" w:rsidR="00A6185E" w:rsidRPr="00A6185E" w:rsidRDefault="00A6185E" w:rsidP="009E389F">
      <w:pPr>
        <w:widowControl w:val="0"/>
        <w:numPr>
          <w:ilvl w:val="0"/>
          <w:numId w:val="20"/>
        </w:numPr>
        <w:suppressAutoHyphens/>
        <w:autoSpaceDE w:val="0"/>
        <w:autoSpaceDN w:val="0"/>
        <w:spacing w:after="0" w:line="240" w:lineRule="auto"/>
        <w:ind w:left="540" w:hanging="540"/>
        <w:contextualSpacing/>
        <w:jc w:val="both"/>
        <w:textAlignment w:val="baseline"/>
        <w:rPr>
          <w:lang w:val="en-GB"/>
        </w:rPr>
      </w:pPr>
      <w:r w:rsidRPr="00A6185E">
        <w:rPr>
          <w:i/>
          <w:lang w:val="en-GB"/>
        </w:rPr>
        <w:t>Encourages</w:t>
      </w:r>
      <w:r w:rsidRPr="00A6185E">
        <w:rPr>
          <w:lang w:val="en-GB"/>
        </w:rPr>
        <w:t xml:space="preserve"> CMS Parties and </w:t>
      </w:r>
      <w:r w:rsidRPr="00A6185E">
        <w:rPr>
          <w:i/>
          <w:lang w:val="en-GB"/>
        </w:rPr>
        <w:t xml:space="preserve">invites </w:t>
      </w:r>
      <w:r w:rsidRPr="00A6185E">
        <w:rPr>
          <w:lang w:val="en-GB"/>
        </w:rPr>
        <w:t xml:space="preserve">Parties and Signatories of CMS Family instruments to identify within flyways, those geographical areas where poisoning is causing significant mortality or morbidity in migratory birds, and address these as a matter of priority applying the Guidelines as appropriate; </w:t>
      </w:r>
    </w:p>
    <w:p w14:paraId="65BC445E" w14:textId="77777777" w:rsidR="00A6185E" w:rsidRPr="00A6185E" w:rsidRDefault="00A6185E" w:rsidP="00453114">
      <w:pPr>
        <w:widowControl w:val="0"/>
        <w:numPr>
          <w:ilvl w:val="0"/>
          <w:numId w:val="20"/>
        </w:numPr>
        <w:suppressAutoHyphens/>
        <w:autoSpaceDE w:val="0"/>
        <w:autoSpaceDN w:val="0"/>
        <w:spacing w:after="80" w:line="240" w:lineRule="auto"/>
        <w:ind w:left="567" w:hanging="567"/>
        <w:jc w:val="both"/>
        <w:textAlignment w:val="baseline"/>
        <w:rPr>
          <w:lang w:val="en-GB"/>
        </w:rPr>
      </w:pPr>
      <w:r w:rsidRPr="00A6185E">
        <w:rPr>
          <w:i/>
          <w:iCs/>
          <w:lang w:val="en-GB"/>
        </w:rPr>
        <w:lastRenderedPageBreak/>
        <w:t xml:space="preserve">Urges </w:t>
      </w:r>
      <w:r w:rsidRPr="00A6185E">
        <w:rPr>
          <w:lang w:val="en-GB"/>
        </w:rPr>
        <w:t>CMS Parties and invites Parties, Signatories and non-Parties of CMS Family instruments that are Range States of vultures and other scavenging raptors to:</w:t>
      </w:r>
    </w:p>
    <w:p w14:paraId="0297B932" w14:textId="77777777" w:rsidR="00A6185E" w:rsidRPr="00A6185E" w:rsidRDefault="00A6185E" w:rsidP="000A5708">
      <w:pPr>
        <w:widowControl w:val="0"/>
        <w:numPr>
          <w:ilvl w:val="1"/>
          <w:numId w:val="21"/>
        </w:numPr>
        <w:suppressAutoHyphens/>
        <w:autoSpaceDE w:val="0"/>
        <w:autoSpaceDN w:val="0"/>
        <w:spacing w:after="80" w:line="240" w:lineRule="auto"/>
        <w:ind w:left="993" w:hanging="426"/>
        <w:jc w:val="both"/>
        <w:textAlignment w:val="baseline"/>
        <w:rPr>
          <w:lang w:val="en-GB"/>
        </w:rPr>
      </w:pPr>
      <w:r w:rsidRPr="00A6185E">
        <w:rPr>
          <w:lang w:val="en-GB"/>
        </w:rPr>
        <w:t xml:space="preserve">ensure safety testing of existing veterinary NSAIDs on live, captive </w:t>
      </w:r>
      <w:proofErr w:type="gramStart"/>
      <w:r w:rsidRPr="00A6185E">
        <w:rPr>
          <w:lang w:val="en-GB"/>
        </w:rPr>
        <w:t>Old World</w:t>
      </w:r>
      <w:proofErr w:type="gramEnd"/>
      <w:r w:rsidRPr="00A6185E">
        <w:rPr>
          <w:lang w:val="en-GB"/>
        </w:rPr>
        <w:t xml:space="preserve"> vultures, eagles and other scavenger birds;</w:t>
      </w:r>
    </w:p>
    <w:p w14:paraId="11A86DFC" w14:textId="77777777" w:rsidR="00A6185E" w:rsidRPr="00A6185E" w:rsidRDefault="00A6185E" w:rsidP="000A5708">
      <w:pPr>
        <w:widowControl w:val="0"/>
        <w:numPr>
          <w:ilvl w:val="1"/>
          <w:numId w:val="21"/>
        </w:numPr>
        <w:suppressAutoHyphens/>
        <w:autoSpaceDE w:val="0"/>
        <w:autoSpaceDN w:val="0"/>
        <w:spacing w:after="80" w:line="240" w:lineRule="auto"/>
        <w:ind w:left="993" w:hanging="426"/>
        <w:jc w:val="both"/>
        <w:textAlignment w:val="baseline"/>
        <w:rPr>
          <w:lang w:val="en-GB"/>
        </w:rPr>
      </w:pPr>
      <w:r w:rsidRPr="00A6185E">
        <w:rPr>
          <w:lang w:val="en-GB"/>
        </w:rPr>
        <w:t>withdraw licensing of vulture-toxic NSAIDs (including diclofenac) for veterinary use or implement comprehensive risk assessment with particular reference to known regional threats to vultures and other scavenging raptors;</w:t>
      </w:r>
    </w:p>
    <w:p w14:paraId="05902695" w14:textId="77777777" w:rsidR="00A6185E" w:rsidRPr="00A6185E" w:rsidRDefault="00A6185E" w:rsidP="000A5708">
      <w:pPr>
        <w:widowControl w:val="0"/>
        <w:numPr>
          <w:ilvl w:val="1"/>
          <w:numId w:val="21"/>
        </w:numPr>
        <w:suppressAutoHyphens/>
        <w:autoSpaceDE w:val="0"/>
        <w:autoSpaceDN w:val="0"/>
        <w:spacing w:after="80" w:line="240" w:lineRule="auto"/>
        <w:ind w:left="993" w:hanging="426"/>
        <w:jc w:val="both"/>
        <w:textAlignment w:val="baseline"/>
        <w:rPr>
          <w:lang w:val="en-GB"/>
        </w:rPr>
      </w:pPr>
      <w:r w:rsidRPr="00A6185E">
        <w:rPr>
          <w:lang w:val="en-GB"/>
        </w:rPr>
        <w:t>ensure that safety testing on vultures of new veterinary NSAIDs is made a mandatory part of the protocol of research and development and wholly financed by the pharmaceutical industry, making licensing conditional on the results of these tests; and</w:t>
      </w:r>
    </w:p>
    <w:p w14:paraId="0624D7EE" w14:textId="77777777" w:rsidR="00A6185E" w:rsidRPr="00A6185E" w:rsidRDefault="00A6185E" w:rsidP="000A5708">
      <w:pPr>
        <w:widowControl w:val="0"/>
        <w:numPr>
          <w:ilvl w:val="1"/>
          <w:numId w:val="21"/>
        </w:numPr>
        <w:suppressAutoHyphens/>
        <w:autoSpaceDE w:val="0"/>
        <w:autoSpaceDN w:val="0"/>
        <w:adjustRightInd w:val="0"/>
        <w:spacing w:after="0" w:line="240" w:lineRule="auto"/>
        <w:ind w:left="993" w:hanging="426"/>
        <w:jc w:val="both"/>
        <w:textAlignment w:val="baseline"/>
        <w:rPr>
          <w:rFonts w:cs="Arial"/>
          <w:lang w:val="en-GB"/>
        </w:rPr>
      </w:pPr>
      <w:r w:rsidRPr="00A6185E">
        <w:rPr>
          <w:lang w:val="en-GB"/>
        </w:rPr>
        <w:t>contribute to identification and promotion of safe alternative drugs;</w:t>
      </w:r>
    </w:p>
    <w:p w14:paraId="4E7C88F9" w14:textId="77777777" w:rsidR="00A6185E" w:rsidRPr="00A6185E" w:rsidRDefault="00A6185E" w:rsidP="009E389F">
      <w:pPr>
        <w:suppressAutoHyphens/>
        <w:adjustRightInd w:val="0"/>
        <w:spacing w:after="0" w:line="240" w:lineRule="auto"/>
        <w:ind w:left="900" w:hanging="360"/>
        <w:jc w:val="both"/>
        <w:rPr>
          <w:rFonts w:cs="Arial"/>
          <w:lang w:val="en-GB"/>
        </w:rPr>
      </w:pPr>
    </w:p>
    <w:p w14:paraId="1A9F8530" w14:textId="77777777" w:rsidR="00A6185E" w:rsidRPr="00A6185E" w:rsidRDefault="00A6185E" w:rsidP="009E389F">
      <w:pPr>
        <w:widowControl w:val="0"/>
        <w:numPr>
          <w:ilvl w:val="0"/>
          <w:numId w:val="20"/>
        </w:numPr>
        <w:suppressAutoHyphens/>
        <w:autoSpaceDE w:val="0"/>
        <w:autoSpaceDN w:val="0"/>
        <w:spacing w:after="0" w:line="240" w:lineRule="auto"/>
        <w:ind w:left="540" w:hanging="540"/>
        <w:contextualSpacing/>
        <w:jc w:val="both"/>
        <w:textAlignment w:val="baseline"/>
        <w:rPr>
          <w:lang w:val="en-GB"/>
        </w:rPr>
      </w:pPr>
      <w:r w:rsidRPr="00A6185E">
        <w:rPr>
          <w:i/>
          <w:lang w:val="en-GB"/>
        </w:rPr>
        <w:t xml:space="preserve">Urges </w:t>
      </w:r>
      <w:r w:rsidRPr="00A6185E">
        <w:rPr>
          <w:lang w:val="en-GB"/>
        </w:rPr>
        <w:t xml:space="preserve">the Secretariat to consult regularly with relevant stakeholders, including government agencies, scientific bodies, non-governmental organizations and the agricultural, pharmaceutical, hunting and fishing sectors, in order to monitor the impacts of poisoning on migratory birds and to support the elaboration of national strategies and sector implementation plans as necessary to minimize detrimental impacts; </w:t>
      </w:r>
    </w:p>
    <w:p w14:paraId="74C535E9" w14:textId="77777777" w:rsidR="00A6185E" w:rsidRPr="00A6185E" w:rsidRDefault="00A6185E" w:rsidP="009E389F">
      <w:pPr>
        <w:suppressAutoHyphens/>
        <w:adjustRightInd w:val="0"/>
        <w:spacing w:after="0" w:line="240" w:lineRule="auto"/>
        <w:ind w:left="540" w:hanging="540"/>
        <w:jc w:val="both"/>
        <w:rPr>
          <w:rFonts w:cs="Arial"/>
          <w:lang w:val="en-GB"/>
        </w:rPr>
      </w:pPr>
    </w:p>
    <w:p w14:paraId="4CB223AE" w14:textId="77777777" w:rsidR="00A6185E" w:rsidRPr="00A6185E" w:rsidRDefault="00A6185E" w:rsidP="009E389F">
      <w:pPr>
        <w:widowControl w:val="0"/>
        <w:numPr>
          <w:ilvl w:val="0"/>
          <w:numId w:val="20"/>
        </w:numPr>
        <w:suppressAutoHyphens/>
        <w:autoSpaceDE w:val="0"/>
        <w:autoSpaceDN w:val="0"/>
        <w:spacing w:after="0" w:line="240" w:lineRule="auto"/>
        <w:ind w:left="540" w:hanging="540"/>
        <w:contextualSpacing/>
        <w:jc w:val="both"/>
        <w:textAlignment w:val="baseline"/>
        <w:rPr>
          <w:lang w:val="en-GB"/>
        </w:rPr>
      </w:pPr>
      <w:r w:rsidRPr="00A6185E">
        <w:rPr>
          <w:i/>
          <w:lang w:val="en-GB"/>
        </w:rPr>
        <w:t xml:space="preserve">Encourages </w:t>
      </w:r>
      <w:r w:rsidRPr="00A6185E">
        <w:rPr>
          <w:lang w:val="en-GB"/>
        </w:rPr>
        <w:t xml:space="preserve">CMS Parties to monitor and evaluate the impact of poisoning on migratory bird species regularly at national level, as well as the effectiveness of measures put in place to prevent, minimize, reduce, or control poisoning impacts, as appropriate; </w:t>
      </w:r>
    </w:p>
    <w:p w14:paraId="690FA3C0" w14:textId="77777777" w:rsidR="00A6185E" w:rsidRPr="00A6185E" w:rsidRDefault="00A6185E" w:rsidP="009E389F">
      <w:pPr>
        <w:suppressAutoHyphens/>
        <w:adjustRightInd w:val="0"/>
        <w:spacing w:after="0" w:line="240" w:lineRule="auto"/>
        <w:ind w:left="540" w:hanging="540"/>
        <w:jc w:val="both"/>
        <w:rPr>
          <w:rFonts w:cs="Arial"/>
          <w:lang w:val="en-GB"/>
        </w:rPr>
      </w:pPr>
    </w:p>
    <w:p w14:paraId="3B167124" w14:textId="77777777" w:rsidR="004A741B" w:rsidRDefault="00A6185E" w:rsidP="004A741B">
      <w:pPr>
        <w:widowControl w:val="0"/>
        <w:numPr>
          <w:ilvl w:val="0"/>
          <w:numId w:val="20"/>
        </w:numPr>
        <w:suppressAutoHyphens/>
        <w:autoSpaceDE w:val="0"/>
        <w:autoSpaceDN w:val="0"/>
        <w:spacing w:after="0" w:line="240" w:lineRule="auto"/>
        <w:ind w:left="540" w:hanging="540"/>
        <w:contextualSpacing/>
        <w:jc w:val="both"/>
        <w:textAlignment w:val="baseline"/>
        <w:rPr>
          <w:lang w:val="en-GB"/>
        </w:rPr>
      </w:pPr>
      <w:r w:rsidRPr="00A6185E">
        <w:rPr>
          <w:i/>
          <w:lang w:val="en-GB"/>
        </w:rPr>
        <w:t xml:space="preserve">Calls on </w:t>
      </w:r>
      <w:r w:rsidRPr="00A6185E">
        <w:rPr>
          <w:lang w:val="en-GB"/>
        </w:rPr>
        <w:t>Parties and non-Parties, including inter-governmental organizations and other relevant institutions to elaborate strategies to address poisoning or to include measures contained in this Resolution and in the Guidelines in their National Biodiversity Strategies and Action Plans (NBSAPs) or relevant legislation as appropriate to prevent, minimize, reduce or control the impact of poisoning on migratory bird species and for this purpose involving relevant enforcement authorities</w:t>
      </w:r>
      <w:r w:rsidR="005024EA">
        <w:rPr>
          <w:lang w:val="en-GB"/>
        </w:rPr>
        <w:t>;</w:t>
      </w:r>
    </w:p>
    <w:p w14:paraId="6B8342DE" w14:textId="77777777" w:rsidR="004A741B" w:rsidRDefault="004A741B" w:rsidP="004A741B">
      <w:pPr>
        <w:widowControl w:val="0"/>
        <w:suppressAutoHyphens/>
        <w:autoSpaceDE w:val="0"/>
        <w:autoSpaceDN w:val="0"/>
        <w:spacing w:after="0" w:line="240" w:lineRule="auto"/>
        <w:ind w:left="540"/>
        <w:contextualSpacing/>
        <w:jc w:val="both"/>
        <w:textAlignment w:val="baseline"/>
        <w:rPr>
          <w:lang w:val="en-GB"/>
        </w:rPr>
      </w:pPr>
    </w:p>
    <w:p w14:paraId="56B71AD6" w14:textId="54076C40" w:rsidR="00A6185E" w:rsidRPr="001B0A59" w:rsidRDefault="00A6185E" w:rsidP="004A741B">
      <w:pPr>
        <w:widowControl w:val="0"/>
        <w:numPr>
          <w:ilvl w:val="0"/>
          <w:numId w:val="20"/>
        </w:numPr>
        <w:suppressAutoHyphens/>
        <w:autoSpaceDE w:val="0"/>
        <w:autoSpaceDN w:val="0"/>
        <w:spacing w:after="0" w:line="240" w:lineRule="auto"/>
        <w:ind w:left="540" w:hanging="540"/>
        <w:contextualSpacing/>
        <w:jc w:val="both"/>
        <w:textAlignment w:val="baseline"/>
        <w:rPr>
          <w:strike/>
          <w:lang w:val="en-GB"/>
        </w:rPr>
      </w:pPr>
      <w:r w:rsidRPr="001B0A59">
        <w:rPr>
          <w:i/>
          <w:strike/>
          <w:lang w:val="en-GB"/>
        </w:rPr>
        <w:t>Instructs</w:t>
      </w:r>
      <w:r w:rsidRPr="001B0A59">
        <w:rPr>
          <w:strike/>
          <w:lang w:val="en-GB"/>
        </w:rPr>
        <w:t xml:space="preserve"> the Secretariat, in close cooperation with relevant CMS instruments, to liaise with the Bern Convention Secretariat, the European Commission and other relevant international organizations in order to update the Guidelines as necessary, and </w:t>
      </w:r>
      <w:r w:rsidRPr="001B0A59">
        <w:rPr>
          <w:i/>
          <w:strike/>
          <w:lang w:val="en-GB"/>
        </w:rPr>
        <w:t>invites</w:t>
      </w:r>
      <w:r w:rsidRPr="001B0A59">
        <w:rPr>
          <w:strike/>
          <w:lang w:val="en-GB"/>
        </w:rPr>
        <w:t xml:space="preserve"> Parties to contribute to the dissemination and updating of the Guidelines;</w:t>
      </w:r>
    </w:p>
    <w:p w14:paraId="1922CB8E" w14:textId="77777777" w:rsidR="00CE0123" w:rsidRPr="004A741B" w:rsidRDefault="00CE0123" w:rsidP="00CE0123">
      <w:pPr>
        <w:widowControl w:val="0"/>
        <w:suppressAutoHyphens/>
        <w:autoSpaceDE w:val="0"/>
        <w:autoSpaceDN w:val="0"/>
        <w:spacing w:after="0" w:line="240" w:lineRule="auto"/>
        <w:ind w:left="540"/>
        <w:contextualSpacing/>
        <w:jc w:val="both"/>
        <w:textAlignment w:val="baseline"/>
        <w:rPr>
          <w:lang w:val="en-GB"/>
        </w:rPr>
      </w:pPr>
    </w:p>
    <w:p w14:paraId="498D556A" w14:textId="102E4A11" w:rsidR="00A6185E" w:rsidRPr="00A6185E" w:rsidRDefault="00A6185E" w:rsidP="009E389F">
      <w:pPr>
        <w:widowControl w:val="0"/>
        <w:numPr>
          <w:ilvl w:val="0"/>
          <w:numId w:val="20"/>
        </w:numPr>
        <w:suppressAutoHyphens/>
        <w:autoSpaceDE w:val="0"/>
        <w:autoSpaceDN w:val="0"/>
        <w:spacing w:after="0" w:line="240" w:lineRule="auto"/>
        <w:ind w:left="540" w:hanging="540"/>
        <w:contextualSpacing/>
        <w:jc w:val="both"/>
        <w:textAlignment w:val="baseline"/>
        <w:rPr>
          <w:lang w:val="en-GB"/>
        </w:rPr>
      </w:pPr>
      <w:r w:rsidRPr="00A6185E">
        <w:rPr>
          <w:i/>
          <w:lang w:val="en-GB"/>
        </w:rPr>
        <w:t>Invites</w:t>
      </w:r>
      <w:r w:rsidRPr="00A6185E">
        <w:rPr>
          <w:lang w:val="en-GB"/>
        </w:rPr>
        <w:t xml:space="preserve"> the IUCN and its Species Survival Commission (SSC) to cooperate actively with CMS </w:t>
      </w:r>
      <w:r w:rsidRPr="001B0A59">
        <w:rPr>
          <w:strike/>
          <w:lang w:val="en-GB"/>
        </w:rPr>
        <w:t>and the Preventing Poisoning Working Group (PPWG)</w:t>
      </w:r>
      <w:r w:rsidRPr="00A6185E">
        <w:rPr>
          <w:lang w:val="en-GB"/>
        </w:rPr>
        <w:t xml:space="preserve"> on a global analysis of the impact of poisoning on wildlife, resources permitting;</w:t>
      </w:r>
    </w:p>
    <w:p w14:paraId="4E129CE6" w14:textId="77777777" w:rsidR="00A6185E" w:rsidRPr="00A6185E" w:rsidRDefault="00A6185E" w:rsidP="009E389F">
      <w:pPr>
        <w:suppressAutoHyphens/>
        <w:adjustRightInd w:val="0"/>
        <w:spacing w:after="0" w:line="240" w:lineRule="auto"/>
        <w:ind w:left="540" w:hanging="540"/>
        <w:jc w:val="both"/>
        <w:rPr>
          <w:rFonts w:cs="Arial"/>
          <w:lang w:val="en-GB"/>
        </w:rPr>
      </w:pPr>
    </w:p>
    <w:p w14:paraId="3B19F1C8" w14:textId="77777777" w:rsidR="00A6185E" w:rsidRPr="00A6185E" w:rsidRDefault="00A6185E" w:rsidP="009E389F">
      <w:pPr>
        <w:widowControl w:val="0"/>
        <w:numPr>
          <w:ilvl w:val="0"/>
          <w:numId w:val="20"/>
        </w:numPr>
        <w:suppressAutoHyphens/>
        <w:autoSpaceDE w:val="0"/>
        <w:autoSpaceDN w:val="0"/>
        <w:spacing w:after="0" w:line="240" w:lineRule="auto"/>
        <w:ind w:left="540" w:hanging="540"/>
        <w:contextualSpacing/>
        <w:jc w:val="both"/>
        <w:textAlignment w:val="baseline"/>
        <w:rPr>
          <w:lang w:val="en-GB"/>
        </w:rPr>
      </w:pPr>
      <w:r w:rsidRPr="00A6185E">
        <w:rPr>
          <w:i/>
          <w:lang w:val="en-GB"/>
        </w:rPr>
        <w:t>Invites</w:t>
      </w:r>
      <w:r w:rsidRPr="00A6185E">
        <w:rPr>
          <w:lang w:val="en-GB"/>
        </w:rPr>
        <w:t xml:space="preserve"> the Rotterdam Convention on the Prior Informed Consent for Certain Hazardous Chemicals and Pesticides in International Trade to cooperate actively with CMS on matters related to poisoning of migratory birds, and in particular on the question of clarifying existing guidelines used in decision-making processes under that Convention as appropriate; </w:t>
      </w:r>
    </w:p>
    <w:p w14:paraId="6D5D5168" w14:textId="77777777" w:rsidR="00A6185E" w:rsidRPr="00A6185E" w:rsidRDefault="00A6185E" w:rsidP="009E389F">
      <w:pPr>
        <w:suppressAutoHyphens/>
        <w:adjustRightInd w:val="0"/>
        <w:spacing w:after="0" w:line="240" w:lineRule="auto"/>
        <w:ind w:left="540" w:hanging="540"/>
        <w:jc w:val="both"/>
        <w:rPr>
          <w:rFonts w:cs="Arial"/>
          <w:lang w:val="en-GB"/>
        </w:rPr>
      </w:pPr>
    </w:p>
    <w:p w14:paraId="3008F520" w14:textId="77777777" w:rsidR="00A6185E" w:rsidRPr="00A6185E" w:rsidRDefault="00A6185E" w:rsidP="009E389F">
      <w:pPr>
        <w:widowControl w:val="0"/>
        <w:numPr>
          <w:ilvl w:val="0"/>
          <w:numId w:val="20"/>
        </w:numPr>
        <w:suppressAutoHyphens/>
        <w:autoSpaceDE w:val="0"/>
        <w:autoSpaceDN w:val="0"/>
        <w:spacing w:after="0" w:line="240" w:lineRule="auto"/>
        <w:ind w:left="540" w:hanging="540"/>
        <w:contextualSpacing/>
        <w:jc w:val="both"/>
        <w:textAlignment w:val="baseline"/>
        <w:rPr>
          <w:lang w:val="en-GB"/>
        </w:rPr>
      </w:pPr>
      <w:r w:rsidRPr="00A6185E">
        <w:rPr>
          <w:i/>
          <w:lang w:val="en-GB"/>
        </w:rPr>
        <w:t>Invites</w:t>
      </w:r>
      <w:r w:rsidRPr="00A6185E">
        <w:rPr>
          <w:lang w:val="en-GB"/>
        </w:rPr>
        <w:t xml:space="preserve"> the International Cooperation on Harmonization of Technical Requirements for Registration of Veterinary Medicinal Products (VICH) and the Organization for Economic Cooperation and Development (OECD) to consider conducting an evaluation of the risk that veterinary medicinal products pose to migratory bird species and other species, that might be poisoned by their food resources containing such products through either lethal or sub-lethal impacts, and using the results to provide guidance to the veterinary sector; </w:t>
      </w:r>
    </w:p>
    <w:p w14:paraId="62B0874B" w14:textId="77777777" w:rsidR="00A6185E" w:rsidRDefault="00A6185E" w:rsidP="009E389F">
      <w:pPr>
        <w:suppressAutoHyphens/>
        <w:adjustRightInd w:val="0"/>
        <w:spacing w:after="0" w:line="240" w:lineRule="auto"/>
        <w:ind w:left="540" w:hanging="540"/>
        <w:jc w:val="both"/>
        <w:rPr>
          <w:rFonts w:cs="Arial"/>
          <w:lang w:val="en-GB"/>
        </w:rPr>
      </w:pPr>
    </w:p>
    <w:p w14:paraId="345B279F" w14:textId="77777777" w:rsidR="00453114" w:rsidRPr="00A6185E" w:rsidRDefault="00453114" w:rsidP="009E389F">
      <w:pPr>
        <w:suppressAutoHyphens/>
        <w:adjustRightInd w:val="0"/>
        <w:spacing w:after="0" w:line="240" w:lineRule="auto"/>
        <w:ind w:left="540" w:hanging="540"/>
        <w:jc w:val="both"/>
        <w:rPr>
          <w:rFonts w:cs="Arial"/>
          <w:lang w:val="en-GB"/>
        </w:rPr>
      </w:pPr>
    </w:p>
    <w:p w14:paraId="29432AB4" w14:textId="13DDAD04" w:rsidR="00A6185E" w:rsidRPr="00A6185E" w:rsidRDefault="00A6185E" w:rsidP="009E389F">
      <w:pPr>
        <w:widowControl w:val="0"/>
        <w:numPr>
          <w:ilvl w:val="0"/>
          <w:numId w:val="20"/>
        </w:numPr>
        <w:suppressAutoHyphens/>
        <w:autoSpaceDE w:val="0"/>
        <w:autoSpaceDN w:val="0"/>
        <w:spacing w:after="0" w:line="240" w:lineRule="auto"/>
        <w:ind w:left="540" w:hanging="540"/>
        <w:contextualSpacing/>
        <w:jc w:val="both"/>
        <w:textAlignment w:val="baseline"/>
        <w:rPr>
          <w:lang w:val="en-GB"/>
        </w:rPr>
      </w:pPr>
      <w:r w:rsidRPr="00D57573">
        <w:rPr>
          <w:i/>
          <w:lang w:val="en-GB"/>
        </w:rPr>
        <w:lastRenderedPageBreak/>
        <w:t>E</w:t>
      </w:r>
      <w:r w:rsidRPr="00A6185E">
        <w:rPr>
          <w:i/>
          <w:lang w:val="en-GB"/>
        </w:rPr>
        <w:t xml:space="preserve">ncourages </w:t>
      </w:r>
      <w:r w:rsidRPr="00A6185E">
        <w:rPr>
          <w:lang w:val="en-GB"/>
        </w:rPr>
        <w:t xml:space="preserve">all those concerned with preventing poisoning of migratory birds to engage with such groups and create active partnerships – at appropriate scales – as a priority in implementing the Guidelines; </w:t>
      </w:r>
    </w:p>
    <w:p w14:paraId="10CA08CB" w14:textId="60A74162" w:rsidR="00A6185E" w:rsidRPr="00A6185E" w:rsidRDefault="00A6185E" w:rsidP="00D57573">
      <w:pPr>
        <w:suppressAutoHyphens/>
        <w:adjustRightInd w:val="0"/>
        <w:spacing w:after="0" w:line="240" w:lineRule="auto"/>
        <w:ind w:left="540" w:hanging="540"/>
        <w:jc w:val="both"/>
        <w:rPr>
          <w:rFonts w:cs="Arial"/>
          <w:lang w:val="en-GB"/>
        </w:rPr>
      </w:pPr>
    </w:p>
    <w:p w14:paraId="6BCA11C5" w14:textId="77777777" w:rsidR="00B45509" w:rsidRDefault="00A6185E" w:rsidP="00D57573">
      <w:pPr>
        <w:widowControl w:val="0"/>
        <w:numPr>
          <w:ilvl w:val="0"/>
          <w:numId w:val="20"/>
        </w:numPr>
        <w:suppressAutoHyphens/>
        <w:autoSpaceDE w:val="0"/>
        <w:autoSpaceDN w:val="0"/>
        <w:spacing w:after="0" w:line="240" w:lineRule="auto"/>
        <w:ind w:left="540" w:hanging="540"/>
        <w:contextualSpacing/>
        <w:jc w:val="both"/>
        <w:textAlignment w:val="baseline"/>
        <w:rPr>
          <w:lang w:val="en-GB"/>
        </w:rPr>
      </w:pPr>
      <w:r w:rsidRPr="00A6185E">
        <w:rPr>
          <w:i/>
          <w:lang w:val="en-GB"/>
        </w:rPr>
        <w:t xml:space="preserve">Invites </w:t>
      </w:r>
      <w:r w:rsidRPr="00A6185E">
        <w:rPr>
          <w:lang w:val="en-GB"/>
        </w:rPr>
        <w:t>Parties to note that neonicotinoid insecticides have become a main replacement for the organophosphates and carbamates reviewed; and to consider conducting further research on and monitoring migratory bird mortality incidents associated with the use of these and other insecticides;</w:t>
      </w:r>
    </w:p>
    <w:p w14:paraId="4218ABE0" w14:textId="77777777" w:rsidR="00B45509" w:rsidRDefault="00B45509" w:rsidP="00D57573">
      <w:pPr>
        <w:pStyle w:val="ListParagraph"/>
        <w:spacing w:after="0" w:line="240" w:lineRule="auto"/>
        <w:rPr>
          <w:lang w:val="en-GB"/>
        </w:rPr>
      </w:pPr>
    </w:p>
    <w:p w14:paraId="31C01F93" w14:textId="221BBD8E" w:rsidR="00A6185E" w:rsidRPr="00A6185E" w:rsidRDefault="00D57573" w:rsidP="00D57573">
      <w:pPr>
        <w:widowControl w:val="0"/>
        <w:suppressAutoHyphens/>
        <w:autoSpaceDE w:val="0"/>
        <w:autoSpaceDN w:val="0"/>
        <w:spacing w:after="0" w:line="240" w:lineRule="auto"/>
        <w:ind w:left="540" w:hanging="540"/>
        <w:contextualSpacing/>
        <w:jc w:val="both"/>
        <w:textAlignment w:val="baseline"/>
        <w:rPr>
          <w:lang w:val="en-GB"/>
        </w:rPr>
      </w:pPr>
      <w:r>
        <w:rPr>
          <w:lang w:val="en-GB"/>
        </w:rPr>
        <w:t>14.bis</w:t>
      </w:r>
      <w:r>
        <w:rPr>
          <w:lang w:val="en-GB"/>
        </w:rPr>
        <w:tab/>
      </w:r>
      <w:r w:rsidRPr="001B0A59">
        <w:rPr>
          <w:i/>
          <w:u w:val="single"/>
          <w:lang w:val="en-GB"/>
        </w:rPr>
        <w:t>Invite</w:t>
      </w:r>
      <w:r>
        <w:rPr>
          <w:i/>
          <w:u w:val="single"/>
          <w:lang w:val="en-GB"/>
        </w:rPr>
        <w:t>s</w:t>
      </w:r>
      <w:r w:rsidRPr="001B0A59">
        <w:rPr>
          <w:iCs/>
          <w:u w:val="single"/>
          <w:lang w:val="en-GB"/>
        </w:rPr>
        <w:t xml:space="preserve"> Parties, organizations and stakeholders to promote and contribute to </w:t>
      </w:r>
      <w:r>
        <w:rPr>
          <w:iCs/>
          <w:u w:val="single"/>
          <w:lang w:val="en-GB"/>
        </w:rPr>
        <w:t>the</w:t>
      </w:r>
      <w:r w:rsidRPr="001B0A59">
        <w:rPr>
          <w:iCs/>
          <w:u w:val="single"/>
          <w:lang w:val="en-GB"/>
        </w:rPr>
        <w:t xml:space="preserve"> </w:t>
      </w:r>
      <w:r w:rsidRPr="001B0A59">
        <w:rPr>
          <w:i/>
          <w:u w:val="single"/>
          <w:lang w:val="en-GB"/>
        </w:rPr>
        <w:t>International Day against Criminal Poisoning of Wildlife</w:t>
      </w:r>
      <w:r w:rsidRPr="001B0A59">
        <w:rPr>
          <w:iCs/>
          <w:u w:val="single"/>
          <w:lang w:val="en-GB"/>
        </w:rPr>
        <w:t>, held on 1 March each year, to raise awareness and showcase efforts and achievements in preventing poisoning of migratory wildlife</w:t>
      </w:r>
      <w:r>
        <w:rPr>
          <w:iCs/>
          <w:u w:val="single"/>
          <w:lang w:val="en-GB"/>
        </w:rPr>
        <w:t>;</w:t>
      </w:r>
      <w:r w:rsidR="00A6185E" w:rsidRPr="00A6185E">
        <w:rPr>
          <w:lang w:val="en-GB"/>
        </w:rPr>
        <w:t xml:space="preserve"> </w:t>
      </w:r>
    </w:p>
    <w:p w14:paraId="32881D59" w14:textId="77777777" w:rsidR="00A6185E" w:rsidRPr="00A6185E" w:rsidRDefault="00A6185E" w:rsidP="00D57573">
      <w:pPr>
        <w:suppressAutoHyphens/>
        <w:adjustRightInd w:val="0"/>
        <w:spacing w:after="0" w:line="240" w:lineRule="auto"/>
        <w:ind w:left="540" w:hanging="540"/>
        <w:jc w:val="both"/>
        <w:rPr>
          <w:rFonts w:cs="Arial"/>
          <w:lang w:val="en-GB"/>
        </w:rPr>
      </w:pPr>
    </w:p>
    <w:p w14:paraId="2ADABC18" w14:textId="77777777" w:rsidR="00A6185E" w:rsidRDefault="00A6185E" w:rsidP="00D57573">
      <w:pPr>
        <w:widowControl w:val="0"/>
        <w:numPr>
          <w:ilvl w:val="0"/>
          <w:numId w:val="20"/>
        </w:numPr>
        <w:suppressAutoHyphens/>
        <w:autoSpaceDE w:val="0"/>
        <w:autoSpaceDN w:val="0"/>
        <w:spacing w:after="0" w:line="240" w:lineRule="auto"/>
        <w:ind w:left="540" w:hanging="540"/>
        <w:contextualSpacing/>
        <w:jc w:val="both"/>
        <w:textAlignment w:val="baseline"/>
        <w:rPr>
          <w:lang w:val="en-GB"/>
        </w:rPr>
      </w:pPr>
      <w:r w:rsidRPr="00A6185E">
        <w:rPr>
          <w:i/>
          <w:lang w:val="en-GB"/>
        </w:rPr>
        <w:t>Calls on</w:t>
      </w:r>
      <w:r w:rsidRPr="00A6185E">
        <w:rPr>
          <w:lang w:val="en-GB"/>
        </w:rPr>
        <w:t xml:space="preserve"> Parties and </w:t>
      </w:r>
      <w:r w:rsidRPr="00A6185E">
        <w:rPr>
          <w:i/>
          <w:lang w:val="en-GB"/>
        </w:rPr>
        <w:t>invites</w:t>
      </w:r>
      <w:r w:rsidRPr="00A6185E">
        <w:rPr>
          <w:lang w:val="en-GB"/>
        </w:rPr>
        <w:t xml:space="preserve"> non-Parties and stakeholders, with the support of the Secretariat, to strengthen national and local capacity for the implementation of this Resolution including, </w:t>
      </w:r>
      <w:r w:rsidRPr="00A6185E">
        <w:rPr>
          <w:iCs/>
          <w:lang w:val="en-GB"/>
        </w:rPr>
        <w:t>inter alia</w:t>
      </w:r>
      <w:r w:rsidRPr="00A6185E">
        <w:rPr>
          <w:lang w:val="en-GB"/>
        </w:rPr>
        <w:t xml:space="preserve">, by developing training courses, translating and disseminating examples of best practice, sharing protocols, experiences and regulations, transferring technology, forensic techniques and promoting the use of online tools to address specific issues that are relevant to prevent, reduce, or control poisoning of migratory birds protected under the Convention; </w:t>
      </w:r>
    </w:p>
    <w:p w14:paraId="4FF2126A" w14:textId="77777777" w:rsidR="007575D9" w:rsidRPr="00A6185E" w:rsidRDefault="007575D9" w:rsidP="007575D9">
      <w:pPr>
        <w:widowControl w:val="0"/>
        <w:suppressAutoHyphens/>
        <w:autoSpaceDE w:val="0"/>
        <w:autoSpaceDN w:val="0"/>
        <w:spacing w:after="0" w:line="240" w:lineRule="auto"/>
        <w:ind w:left="540"/>
        <w:contextualSpacing/>
        <w:jc w:val="both"/>
        <w:textAlignment w:val="baseline"/>
        <w:rPr>
          <w:lang w:val="en-GB"/>
        </w:rPr>
      </w:pPr>
    </w:p>
    <w:p w14:paraId="246EB99D" w14:textId="49D122C7" w:rsidR="00A6185E" w:rsidRDefault="00A6185E" w:rsidP="009E389F">
      <w:pPr>
        <w:widowControl w:val="0"/>
        <w:numPr>
          <w:ilvl w:val="0"/>
          <w:numId w:val="20"/>
        </w:numPr>
        <w:suppressAutoHyphens/>
        <w:autoSpaceDE w:val="0"/>
        <w:autoSpaceDN w:val="0"/>
        <w:spacing w:after="0" w:line="240" w:lineRule="auto"/>
        <w:ind w:left="539" w:hanging="539"/>
        <w:jc w:val="both"/>
        <w:textAlignment w:val="baseline"/>
        <w:rPr>
          <w:lang w:val="en-GB"/>
        </w:rPr>
      </w:pPr>
      <w:r w:rsidRPr="00A6185E">
        <w:rPr>
          <w:i/>
          <w:lang w:val="en-GB"/>
        </w:rPr>
        <w:t>Urges</w:t>
      </w:r>
      <w:r w:rsidRPr="00A6185E">
        <w:rPr>
          <w:lang w:val="en-GB"/>
        </w:rPr>
        <w:t xml:space="preserve"> Parties, the United Nations Environment Programme and other relevant international organizations, as well as the industry, bilateral and multilateral donors and others, to consider supporting financially the implementation of this Resolution and the Guidelines, including through the coordination provided by </w:t>
      </w:r>
      <w:r w:rsidRPr="001B0A59">
        <w:rPr>
          <w:strike/>
          <w:lang w:val="en-GB"/>
        </w:rPr>
        <w:t xml:space="preserve">the PPWG and </w:t>
      </w:r>
      <w:r w:rsidRPr="00A6185E">
        <w:rPr>
          <w:lang w:val="en-GB"/>
        </w:rPr>
        <w:t xml:space="preserve">the Intergovernmental Task Force on Phasing Out the Use of Lead Ammunition and Lead Fishing Weights as per operative paragraph </w:t>
      </w:r>
      <w:r w:rsidR="00B95194" w:rsidRPr="00720D1D">
        <w:rPr>
          <w:lang w:val="en-GB"/>
        </w:rPr>
        <w:t>XX</w:t>
      </w:r>
      <w:r w:rsidRPr="00A6185E">
        <w:rPr>
          <w:lang w:val="en-GB"/>
        </w:rPr>
        <w:t xml:space="preserve">, support of regional workshops, and the provision of financial assistance to developing countries for relevant capacity-building; </w:t>
      </w:r>
    </w:p>
    <w:p w14:paraId="2114C9CB" w14:textId="77777777" w:rsidR="007575D9" w:rsidRPr="00A6185E" w:rsidRDefault="007575D9" w:rsidP="007575D9">
      <w:pPr>
        <w:widowControl w:val="0"/>
        <w:suppressAutoHyphens/>
        <w:autoSpaceDE w:val="0"/>
        <w:autoSpaceDN w:val="0"/>
        <w:spacing w:after="0" w:line="240" w:lineRule="auto"/>
        <w:ind w:left="539"/>
        <w:jc w:val="both"/>
        <w:textAlignment w:val="baseline"/>
        <w:rPr>
          <w:lang w:val="en-GB"/>
        </w:rPr>
      </w:pPr>
    </w:p>
    <w:p w14:paraId="46D38E28" w14:textId="77777777" w:rsidR="00A6185E" w:rsidRPr="007575D9" w:rsidRDefault="00A6185E" w:rsidP="009E389F">
      <w:pPr>
        <w:widowControl w:val="0"/>
        <w:numPr>
          <w:ilvl w:val="0"/>
          <w:numId w:val="20"/>
        </w:numPr>
        <w:suppressAutoHyphens/>
        <w:autoSpaceDE w:val="0"/>
        <w:autoSpaceDN w:val="0"/>
        <w:spacing w:after="0" w:line="240" w:lineRule="auto"/>
        <w:ind w:left="539" w:hanging="539"/>
        <w:jc w:val="both"/>
        <w:textAlignment w:val="baseline"/>
        <w:rPr>
          <w:i/>
          <w:lang w:val="en-GB"/>
        </w:rPr>
      </w:pPr>
      <w:r w:rsidRPr="00A6185E">
        <w:rPr>
          <w:i/>
          <w:lang w:val="en-GB"/>
        </w:rPr>
        <w:t xml:space="preserve">Further invite </w:t>
      </w:r>
      <w:r w:rsidRPr="00A6185E">
        <w:rPr>
          <w:iCs/>
          <w:lang w:val="en-GB"/>
        </w:rPr>
        <w:t>those Parties that have made progress in improving the availability of lead-free ammunition and fishing weights to assist Parties that are in the early stages of this transition by facilitating the export of such products at lower prices, where possible;</w:t>
      </w:r>
    </w:p>
    <w:p w14:paraId="2B803451" w14:textId="77777777" w:rsidR="007575D9" w:rsidRPr="00A6185E" w:rsidRDefault="007575D9" w:rsidP="007575D9">
      <w:pPr>
        <w:widowControl w:val="0"/>
        <w:suppressAutoHyphens/>
        <w:autoSpaceDE w:val="0"/>
        <w:autoSpaceDN w:val="0"/>
        <w:spacing w:after="0" w:line="240" w:lineRule="auto"/>
        <w:ind w:left="539"/>
        <w:jc w:val="both"/>
        <w:textAlignment w:val="baseline"/>
        <w:rPr>
          <w:i/>
          <w:lang w:val="en-GB"/>
        </w:rPr>
      </w:pPr>
    </w:p>
    <w:p w14:paraId="3D01715E" w14:textId="77777777" w:rsidR="00A6185E" w:rsidRPr="00E911F6" w:rsidRDefault="00A6185E" w:rsidP="009E389F">
      <w:pPr>
        <w:widowControl w:val="0"/>
        <w:numPr>
          <w:ilvl w:val="0"/>
          <w:numId w:val="20"/>
        </w:numPr>
        <w:suppressAutoHyphens/>
        <w:autoSpaceDE w:val="0"/>
        <w:autoSpaceDN w:val="0"/>
        <w:spacing w:after="0" w:line="240" w:lineRule="auto"/>
        <w:ind w:left="539" w:hanging="539"/>
        <w:jc w:val="both"/>
        <w:textAlignment w:val="baseline"/>
        <w:rPr>
          <w:strike/>
          <w:lang w:val="en-GB"/>
        </w:rPr>
      </w:pPr>
      <w:r w:rsidRPr="00E911F6">
        <w:rPr>
          <w:i/>
          <w:strike/>
          <w:lang w:val="en-GB"/>
        </w:rPr>
        <w:t>Agrees to continue</w:t>
      </w:r>
      <w:r w:rsidRPr="00E911F6">
        <w:rPr>
          <w:strike/>
          <w:lang w:val="en-GB"/>
        </w:rPr>
        <w:t xml:space="preserve"> the PPWG, subject to the availability of resources, under the terms of reference annexed to this Resolution, ensuring its membership incorporates expertise from all geographical regions as well as representatives of industry and governments, and focuses on facilitating concerted efforts to prevent the impact of other sources of poisoning, address geographic gaps, and to monitor the implementation of the Guidelines; </w:t>
      </w:r>
    </w:p>
    <w:p w14:paraId="7B66FF02" w14:textId="77777777" w:rsidR="00A6185E" w:rsidRPr="00A6185E" w:rsidRDefault="00A6185E" w:rsidP="009E389F">
      <w:pPr>
        <w:suppressAutoHyphens/>
        <w:spacing w:after="0" w:line="240" w:lineRule="auto"/>
        <w:ind w:left="540" w:hanging="540"/>
        <w:jc w:val="both"/>
        <w:rPr>
          <w:lang w:val="en-GB"/>
        </w:rPr>
      </w:pPr>
    </w:p>
    <w:p w14:paraId="3951E417" w14:textId="49159B04" w:rsidR="00A6185E" w:rsidRPr="00A6185E" w:rsidRDefault="00A6185E" w:rsidP="009E389F">
      <w:pPr>
        <w:widowControl w:val="0"/>
        <w:numPr>
          <w:ilvl w:val="0"/>
          <w:numId w:val="20"/>
        </w:numPr>
        <w:suppressAutoHyphens/>
        <w:autoSpaceDE w:val="0"/>
        <w:autoSpaceDN w:val="0"/>
        <w:spacing w:after="0" w:line="240" w:lineRule="auto"/>
        <w:ind w:left="540" w:hanging="540"/>
        <w:jc w:val="both"/>
        <w:textAlignment w:val="baseline"/>
        <w:rPr>
          <w:lang w:val="en-GB"/>
        </w:rPr>
      </w:pPr>
      <w:r w:rsidRPr="00BE4831">
        <w:rPr>
          <w:i/>
          <w:iCs/>
          <w:lang w:val="en-GB"/>
        </w:rPr>
        <w:t>Agrees</w:t>
      </w:r>
      <w:r w:rsidRPr="00A6185E">
        <w:rPr>
          <w:lang w:val="en-GB"/>
        </w:rPr>
        <w:t xml:space="preserve"> to continue, subject to availability of resources, the Intergovernmental Task Force on Phasing Out the Use of Lead Ammunition and Lead Fishing Weights to take forward the implementation </w:t>
      </w:r>
      <w:r w:rsidR="00441288" w:rsidRPr="00E911F6">
        <w:rPr>
          <w:u w:val="single"/>
          <w:lang w:val="en-GB"/>
        </w:rPr>
        <w:t>and update</w:t>
      </w:r>
      <w:r w:rsidR="00441288">
        <w:rPr>
          <w:lang w:val="en-GB"/>
        </w:rPr>
        <w:t xml:space="preserve"> </w:t>
      </w:r>
      <w:r w:rsidRPr="00A6185E">
        <w:rPr>
          <w:lang w:val="en-GB"/>
        </w:rPr>
        <w:t>of the Guidelines in its relevant sections, as appropriate, also promoting actions to raise awareness among hunters and anglers on the risk related to the use of lead in ammunition and fishing weights and on the availability of non-toxic alternatives</w:t>
      </w:r>
      <w:r w:rsidR="005626A8">
        <w:rPr>
          <w:lang w:val="en-GB"/>
        </w:rPr>
        <w:t xml:space="preserve"> </w:t>
      </w:r>
      <w:r w:rsidR="005626A8" w:rsidRPr="5B0B4A6E">
        <w:rPr>
          <w:rFonts w:eastAsia="Arial" w:cs="Arial"/>
          <w:u w:val="single"/>
        </w:rPr>
        <w:t xml:space="preserve">and </w:t>
      </w:r>
      <w:r w:rsidR="005626A8">
        <w:rPr>
          <w:rFonts w:eastAsia="Arial" w:cs="Arial"/>
          <w:u w:val="single"/>
        </w:rPr>
        <w:t xml:space="preserve">to </w:t>
      </w:r>
      <w:r w:rsidR="005626A8" w:rsidRPr="5B0B4A6E">
        <w:rPr>
          <w:rFonts w:eastAsia="Arial" w:cs="Arial"/>
          <w:u w:val="single"/>
        </w:rPr>
        <w:t>e</w:t>
      </w:r>
      <w:r w:rsidR="005626A8" w:rsidRPr="5B0B4A6E">
        <w:rPr>
          <w:rFonts w:eastAsia="Arial" w:cs="Arial"/>
          <w:color w:val="000000" w:themeColor="text1"/>
          <w:u w:val="single"/>
        </w:rPr>
        <w:t>ngag</w:t>
      </w:r>
      <w:r w:rsidR="005626A8">
        <w:rPr>
          <w:rFonts w:eastAsia="Arial" w:cs="Arial"/>
          <w:color w:val="000000" w:themeColor="text1"/>
          <w:u w:val="single"/>
        </w:rPr>
        <w:t>e</w:t>
      </w:r>
      <w:r w:rsidR="005626A8" w:rsidRPr="5B0B4A6E">
        <w:rPr>
          <w:rFonts w:eastAsia="Arial" w:cs="Arial"/>
          <w:color w:val="000000" w:themeColor="text1"/>
          <w:u w:val="single"/>
        </w:rPr>
        <w:t xml:space="preserve"> in discussions with the Olympic Committee and the International Shooting Federation to seek consensus on regulating the use of lead ammunition in international sports shooting</w:t>
      </w:r>
      <w:r w:rsidRPr="00A6185E">
        <w:rPr>
          <w:lang w:val="en-GB"/>
        </w:rPr>
        <w:t>; and</w:t>
      </w:r>
    </w:p>
    <w:p w14:paraId="15A823A5" w14:textId="77777777" w:rsidR="00A6185E" w:rsidRPr="00A6185E" w:rsidRDefault="00A6185E" w:rsidP="009E389F">
      <w:pPr>
        <w:suppressAutoHyphens/>
        <w:spacing w:after="0" w:line="240" w:lineRule="auto"/>
        <w:ind w:left="540"/>
        <w:contextualSpacing/>
        <w:jc w:val="both"/>
        <w:rPr>
          <w:lang w:val="en-GB"/>
        </w:rPr>
      </w:pPr>
    </w:p>
    <w:p w14:paraId="6E6C29E2" w14:textId="500372ED" w:rsidR="00D4333C" w:rsidRDefault="00A6185E" w:rsidP="009E389F">
      <w:pPr>
        <w:widowControl w:val="0"/>
        <w:numPr>
          <w:ilvl w:val="0"/>
          <w:numId w:val="20"/>
        </w:numPr>
        <w:suppressAutoHyphens/>
        <w:autoSpaceDE w:val="0"/>
        <w:autoSpaceDN w:val="0"/>
        <w:spacing w:after="0" w:line="240" w:lineRule="auto"/>
        <w:ind w:left="540" w:hanging="540"/>
        <w:contextualSpacing/>
        <w:jc w:val="both"/>
        <w:textAlignment w:val="baseline"/>
        <w:rPr>
          <w:lang w:val="en-GB"/>
        </w:rPr>
      </w:pPr>
      <w:r w:rsidRPr="00A6185E">
        <w:rPr>
          <w:i/>
          <w:lang w:val="en-GB"/>
        </w:rPr>
        <w:t>Calls on</w:t>
      </w:r>
      <w:r w:rsidRPr="00A6185E">
        <w:rPr>
          <w:lang w:val="en-GB"/>
        </w:rPr>
        <w:t xml:space="preserve"> Parties to report progress in implementing actions taken under this Resolution, and results achieved to future COPs through their National Reports.</w:t>
      </w:r>
    </w:p>
    <w:p w14:paraId="25BEAB63" w14:textId="77777777" w:rsidR="00AC5AF1" w:rsidRDefault="00AC5AF1">
      <w:pPr>
        <w:rPr>
          <w:lang w:val="en-GB"/>
        </w:rPr>
        <w:sectPr w:rsidR="00AC5AF1" w:rsidSect="00D93628">
          <w:headerReference w:type="even" r:id="rId26"/>
          <w:headerReference w:type="default" r:id="rId27"/>
          <w:headerReference w:type="first" r:id="rId28"/>
          <w:footerReference w:type="first" r:id="rId29"/>
          <w:pgSz w:w="11906" w:h="16838" w:code="9"/>
          <w:pgMar w:top="1440" w:right="1440" w:bottom="1440" w:left="1440" w:header="720" w:footer="720" w:gutter="0"/>
          <w:cols w:space="720"/>
          <w:titlePg/>
          <w:docGrid w:linePitch="360"/>
        </w:sectPr>
      </w:pPr>
    </w:p>
    <w:p w14:paraId="73B4485C" w14:textId="1048476C" w:rsidR="00A6185E" w:rsidRPr="00BD2392" w:rsidRDefault="00A6185E" w:rsidP="009E389F">
      <w:pPr>
        <w:suppressAutoHyphens/>
        <w:spacing w:after="0" w:line="240" w:lineRule="auto"/>
        <w:jc w:val="right"/>
        <w:rPr>
          <w:rFonts w:cs="Arial"/>
          <w:b/>
          <w:strike/>
          <w:lang w:val="en-GB"/>
        </w:rPr>
      </w:pPr>
      <w:r w:rsidRPr="00BD2392">
        <w:rPr>
          <w:rFonts w:cs="Arial"/>
          <w:b/>
          <w:strike/>
          <w:lang w:val="en-GB"/>
        </w:rPr>
        <w:lastRenderedPageBreak/>
        <w:t>Annex to Resolution 11.15 (Rev.COP14)</w:t>
      </w:r>
    </w:p>
    <w:p w14:paraId="6648EAE1" w14:textId="3FE8B188" w:rsidR="00A6185E" w:rsidRPr="00BD2392" w:rsidRDefault="00A6185E" w:rsidP="009E389F">
      <w:pPr>
        <w:suppressAutoHyphens/>
        <w:spacing w:after="0" w:line="240" w:lineRule="auto"/>
        <w:jc w:val="right"/>
        <w:rPr>
          <w:rFonts w:cs="Arial"/>
          <w:strike/>
          <w:lang w:val="en-GB"/>
        </w:rPr>
      </w:pPr>
    </w:p>
    <w:p w14:paraId="1667A484" w14:textId="5CEF8A31" w:rsidR="00A6185E" w:rsidRPr="00BD2392" w:rsidRDefault="00A6185E" w:rsidP="009E389F">
      <w:pPr>
        <w:suppressAutoHyphens/>
        <w:spacing w:after="0" w:line="240" w:lineRule="auto"/>
        <w:jc w:val="center"/>
        <w:rPr>
          <w:rFonts w:cs="Arial"/>
          <w:b/>
          <w:bCs/>
          <w:strike/>
          <w:lang w:val="en-GB"/>
        </w:rPr>
      </w:pPr>
    </w:p>
    <w:p w14:paraId="211F0936" w14:textId="3AA4CA7F" w:rsidR="00A6185E" w:rsidRPr="00BD2392" w:rsidRDefault="00A6185E" w:rsidP="009E389F">
      <w:pPr>
        <w:suppressAutoHyphens/>
        <w:spacing w:after="0" w:line="240" w:lineRule="auto"/>
        <w:jc w:val="center"/>
        <w:rPr>
          <w:rFonts w:cs="Arial"/>
          <w:b/>
          <w:bCs/>
          <w:strike/>
          <w:lang w:val="en-GB"/>
        </w:rPr>
      </w:pPr>
      <w:r w:rsidRPr="00BD2392">
        <w:rPr>
          <w:rFonts w:cs="Arial"/>
          <w:b/>
          <w:bCs/>
          <w:strike/>
          <w:lang w:val="en-GB"/>
        </w:rPr>
        <w:t>TERMS OF REFERENCE OF THE PREVENTING POISONING WORKING GROUP (PPWG)</w:t>
      </w:r>
    </w:p>
    <w:p w14:paraId="3EB12B5E" w14:textId="5E0D5A9D" w:rsidR="00A6185E" w:rsidRPr="00BD2392" w:rsidRDefault="00A6185E" w:rsidP="009E389F">
      <w:pPr>
        <w:suppressAutoHyphens/>
        <w:spacing w:after="0" w:line="240" w:lineRule="auto"/>
        <w:jc w:val="center"/>
        <w:rPr>
          <w:rFonts w:cs="Arial"/>
          <w:i/>
          <w:iCs/>
          <w:strike/>
          <w:lang w:val="en-GB"/>
        </w:rPr>
      </w:pPr>
      <w:r w:rsidRPr="00BD2392">
        <w:rPr>
          <w:rFonts w:cs="Arial"/>
          <w:bCs/>
          <w:strike/>
          <w:lang w:val="en-GB"/>
        </w:rPr>
        <w:t>(for the intersessional period until COP15)</w:t>
      </w:r>
    </w:p>
    <w:p w14:paraId="2DD98B51" w14:textId="415A32F2" w:rsidR="00A6185E" w:rsidRPr="00BD2392" w:rsidRDefault="00A6185E" w:rsidP="009E389F">
      <w:pPr>
        <w:suppressAutoHyphens/>
        <w:spacing w:after="0" w:line="240" w:lineRule="auto"/>
        <w:jc w:val="both"/>
        <w:rPr>
          <w:rFonts w:cs="Arial"/>
          <w:i/>
          <w:iCs/>
          <w:strike/>
          <w:lang w:val="en-GB"/>
        </w:rPr>
      </w:pPr>
    </w:p>
    <w:p w14:paraId="0DC277EC" w14:textId="3C6135B2" w:rsidR="00A6185E" w:rsidRPr="00BD2392" w:rsidRDefault="00A6185E" w:rsidP="009E389F">
      <w:pPr>
        <w:suppressAutoHyphens/>
        <w:spacing w:after="0" w:line="240" w:lineRule="auto"/>
        <w:jc w:val="both"/>
        <w:rPr>
          <w:rFonts w:cs="Arial"/>
          <w:i/>
          <w:iCs/>
          <w:strike/>
          <w:lang w:val="en-GB"/>
        </w:rPr>
      </w:pPr>
    </w:p>
    <w:p w14:paraId="787F55DF" w14:textId="0DE4B0C3" w:rsidR="00A6185E" w:rsidRPr="00BD2392" w:rsidRDefault="00A6185E" w:rsidP="009E389F">
      <w:pPr>
        <w:widowControl w:val="0"/>
        <w:numPr>
          <w:ilvl w:val="0"/>
          <w:numId w:val="19"/>
        </w:numPr>
        <w:suppressAutoHyphens/>
        <w:autoSpaceDE w:val="0"/>
        <w:autoSpaceDN w:val="0"/>
        <w:spacing w:after="0" w:line="240" w:lineRule="auto"/>
        <w:ind w:left="540" w:hanging="540"/>
        <w:contextualSpacing/>
        <w:jc w:val="both"/>
        <w:textAlignment w:val="baseline"/>
        <w:rPr>
          <w:rFonts w:cs="Arial"/>
          <w:b/>
          <w:bCs/>
          <w:strike/>
          <w:lang w:val="en-GB"/>
        </w:rPr>
      </w:pPr>
      <w:r w:rsidRPr="00BD2392">
        <w:rPr>
          <w:rFonts w:cs="Arial"/>
          <w:b/>
          <w:bCs/>
          <w:strike/>
          <w:lang w:val="en-GB"/>
        </w:rPr>
        <w:t>Background and purpose</w:t>
      </w:r>
    </w:p>
    <w:p w14:paraId="480E549B" w14:textId="195DE981" w:rsidR="00A6185E" w:rsidRPr="00BD2392" w:rsidRDefault="00A6185E" w:rsidP="009E389F">
      <w:pPr>
        <w:suppressAutoHyphens/>
        <w:spacing w:after="0" w:line="240" w:lineRule="auto"/>
        <w:jc w:val="both"/>
        <w:rPr>
          <w:rFonts w:cs="Arial"/>
          <w:b/>
          <w:bCs/>
          <w:strike/>
          <w:lang w:val="en-GB"/>
        </w:rPr>
      </w:pPr>
    </w:p>
    <w:p w14:paraId="68D09D3E" w14:textId="5D686786" w:rsidR="00A6185E" w:rsidRPr="00BD2392" w:rsidRDefault="00A6185E" w:rsidP="009E389F">
      <w:pPr>
        <w:suppressAutoHyphens/>
        <w:spacing w:after="0" w:line="240" w:lineRule="auto"/>
        <w:jc w:val="both"/>
        <w:rPr>
          <w:rFonts w:cs="Arial"/>
          <w:strike/>
          <w:lang w:val="en-GB"/>
        </w:rPr>
      </w:pPr>
      <w:r w:rsidRPr="00BD2392">
        <w:rPr>
          <w:rFonts w:cs="Arial"/>
          <w:strike/>
          <w:lang w:val="en-GB"/>
        </w:rPr>
        <w:t>This Working Group was established by Resolution 10.26</w:t>
      </w:r>
      <w:r w:rsidRPr="00BD2392">
        <w:rPr>
          <w:rFonts w:cs="Arial"/>
          <w:strike/>
          <w:vertAlign w:val="superscript"/>
          <w:lang w:val="en-GB"/>
        </w:rPr>
        <w:t>,</w:t>
      </w:r>
      <w:r w:rsidRPr="00BD2392">
        <w:rPr>
          <w:rFonts w:cs="Arial"/>
          <w:strike/>
          <w:vertAlign w:val="superscript"/>
          <w:lang w:val="en-GB"/>
        </w:rPr>
        <w:footnoteReference w:id="2"/>
      </w:r>
      <w:r w:rsidRPr="00BD2392">
        <w:rPr>
          <w:rFonts w:cs="Arial"/>
          <w:strike/>
          <w:lang w:val="en-GB"/>
        </w:rPr>
        <w:t xml:space="preserve"> to assist the Parties to the Convention on Migratory Species (CMS) and its associated instruments, relevant Multilateral Environmental Agreements (MEAs) and Conventions to review the causes and consequences of poisoning of migratory birds, and to recommend suitable responses to address the problems.</w:t>
      </w:r>
    </w:p>
    <w:p w14:paraId="262D32AF" w14:textId="0958777E" w:rsidR="00A6185E" w:rsidRPr="00BD2392" w:rsidRDefault="00A6185E" w:rsidP="009E389F">
      <w:pPr>
        <w:suppressAutoHyphens/>
        <w:spacing w:after="0" w:line="240" w:lineRule="auto"/>
        <w:jc w:val="both"/>
        <w:rPr>
          <w:rFonts w:cs="Arial"/>
          <w:strike/>
          <w:lang w:val="en-GB"/>
        </w:rPr>
      </w:pPr>
    </w:p>
    <w:p w14:paraId="2EFE3147" w14:textId="178A7B91" w:rsidR="00A6185E" w:rsidRPr="00BD2392" w:rsidRDefault="00A6185E" w:rsidP="009E389F">
      <w:pPr>
        <w:widowControl w:val="0"/>
        <w:numPr>
          <w:ilvl w:val="0"/>
          <w:numId w:val="19"/>
        </w:numPr>
        <w:suppressAutoHyphens/>
        <w:autoSpaceDE w:val="0"/>
        <w:autoSpaceDN w:val="0"/>
        <w:spacing w:after="0" w:line="240" w:lineRule="auto"/>
        <w:ind w:left="540" w:hanging="540"/>
        <w:contextualSpacing/>
        <w:jc w:val="both"/>
        <w:textAlignment w:val="baseline"/>
        <w:rPr>
          <w:rFonts w:cs="Arial"/>
          <w:b/>
          <w:bCs/>
          <w:strike/>
          <w:lang w:val="en-GB"/>
        </w:rPr>
      </w:pPr>
      <w:r w:rsidRPr="00BD2392">
        <w:rPr>
          <w:rFonts w:cs="Arial"/>
          <w:b/>
          <w:bCs/>
          <w:strike/>
          <w:lang w:val="en-GB"/>
        </w:rPr>
        <w:t>Role and Scope</w:t>
      </w:r>
    </w:p>
    <w:p w14:paraId="68B53221" w14:textId="36B3344E" w:rsidR="00A6185E" w:rsidRPr="00BD2392" w:rsidRDefault="00A6185E" w:rsidP="009E389F">
      <w:pPr>
        <w:suppressAutoHyphens/>
        <w:spacing w:after="0" w:line="240" w:lineRule="auto"/>
        <w:jc w:val="both"/>
        <w:rPr>
          <w:rFonts w:cs="Arial"/>
          <w:b/>
          <w:bCs/>
          <w:strike/>
          <w:lang w:val="en-GB"/>
        </w:rPr>
      </w:pPr>
    </w:p>
    <w:p w14:paraId="0A5104D1" w14:textId="23130BB6" w:rsidR="00A6185E" w:rsidRPr="00BD2392" w:rsidRDefault="00A6185E" w:rsidP="009E389F">
      <w:pPr>
        <w:suppressAutoHyphens/>
        <w:spacing w:after="0" w:line="240" w:lineRule="auto"/>
        <w:jc w:val="both"/>
        <w:rPr>
          <w:rFonts w:cs="Arial"/>
          <w:strike/>
          <w:lang w:val="en-GB"/>
        </w:rPr>
      </w:pPr>
      <w:r w:rsidRPr="00BD2392">
        <w:rPr>
          <w:rFonts w:cs="Arial"/>
          <w:strike/>
          <w:lang w:val="en-GB"/>
        </w:rPr>
        <w:t>The role of the Working Group is to facilitate concerted efforts, actions and procedures to prevent poisoning of migratory birds other than lead poisoning which is dealt with by the Intergovernmental Task Force on Phasing Out the Use of Lead Ammunition and Lead Fishing Weights. Its geographical scope is global. The Working Group will cover all migratory bird taxa as identified by CMS and its relevant associated instruments.</w:t>
      </w:r>
    </w:p>
    <w:p w14:paraId="61327DD2" w14:textId="2CB51405" w:rsidR="00A6185E" w:rsidRPr="00BD2392" w:rsidRDefault="00A6185E" w:rsidP="009E389F">
      <w:pPr>
        <w:suppressAutoHyphens/>
        <w:spacing w:after="0" w:line="240" w:lineRule="auto"/>
        <w:jc w:val="both"/>
        <w:rPr>
          <w:rFonts w:cs="Arial"/>
          <w:strike/>
          <w:lang w:val="en-GB"/>
        </w:rPr>
      </w:pPr>
    </w:p>
    <w:p w14:paraId="6911CE75" w14:textId="25875834" w:rsidR="00A6185E" w:rsidRPr="00BD2392" w:rsidRDefault="00A6185E" w:rsidP="009E389F">
      <w:pPr>
        <w:suppressAutoHyphens/>
        <w:spacing w:after="0" w:line="240" w:lineRule="auto"/>
        <w:jc w:val="both"/>
        <w:rPr>
          <w:rFonts w:cs="Arial"/>
          <w:strike/>
          <w:lang w:val="en-GB"/>
        </w:rPr>
      </w:pPr>
      <w:r w:rsidRPr="00BD2392">
        <w:rPr>
          <w:rFonts w:cs="Arial"/>
          <w:bCs/>
          <w:strike/>
          <w:lang w:val="en-GB"/>
        </w:rPr>
        <w:t xml:space="preserve">The Working Group, resources permitting, must report </w:t>
      </w:r>
      <w:proofErr w:type="gramStart"/>
      <w:r w:rsidRPr="00BD2392">
        <w:rPr>
          <w:rFonts w:cs="Arial"/>
          <w:bCs/>
          <w:strike/>
          <w:lang w:val="en-GB"/>
        </w:rPr>
        <w:t>taking into account</w:t>
      </w:r>
      <w:proofErr w:type="gramEnd"/>
      <w:r w:rsidRPr="00BD2392">
        <w:rPr>
          <w:rFonts w:cs="Arial"/>
          <w:bCs/>
          <w:strike/>
          <w:lang w:val="en-GB"/>
        </w:rPr>
        <w:t xml:space="preserve"> the regional aspects.</w:t>
      </w:r>
    </w:p>
    <w:p w14:paraId="6B2A514B" w14:textId="544F80C8" w:rsidR="00A6185E" w:rsidRPr="00BD2392" w:rsidRDefault="00A6185E" w:rsidP="009E389F">
      <w:pPr>
        <w:suppressAutoHyphens/>
        <w:spacing w:after="0" w:line="240" w:lineRule="auto"/>
        <w:jc w:val="both"/>
        <w:rPr>
          <w:rFonts w:cs="Arial"/>
          <w:strike/>
          <w:lang w:val="en-GB"/>
        </w:rPr>
      </w:pPr>
    </w:p>
    <w:p w14:paraId="517D8E93" w14:textId="38F9617B" w:rsidR="00A6185E" w:rsidRPr="00BD2392" w:rsidRDefault="00A6185E" w:rsidP="009E389F">
      <w:pPr>
        <w:widowControl w:val="0"/>
        <w:numPr>
          <w:ilvl w:val="0"/>
          <w:numId w:val="19"/>
        </w:numPr>
        <w:suppressAutoHyphens/>
        <w:autoSpaceDE w:val="0"/>
        <w:autoSpaceDN w:val="0"/>
        <w:spacing w:after="0" w:line="240" w:lineRule="auto"/>
        <w:ind w:left="540" w:hanging="540"/>
        <w:contextualSpacing/>
        <w:jc w:val="both"/>
        <w:textAlignment w:val="baseline"/>
        <w:rPr>
          <w:rFonts w:cs="Arial"/>
          <w:b/>
          <w:bCs/>
          <w:strike/>
          <w:lang w:val="en-GB"/>
        </w:rPr>
      </w:pPr>
      <w:r w:rsidRPr="00BD2392">
        <w:rPr>
          <w:rFonts w:cs="Arial"/>
          <w:b/>
          <w:bCs/>
          <w:strike/>
          <w:lang w:val="en-GB"/>
        </w:rPr>
        <w:t>Remit</w:t>
      </w:r>
    </w:p>
    <w:p w14:paraId="58D37FA2" w14:textId="521D879F" w:rsidR="00A6185E" w:rsidRPr="00BD2392" w:rsidRDefault="00A6185E" w:rsidP="009E389F">
      <w:pPr>
        <w:suppressAutoHyphens/>
        <w:spacing w:after="0" w:line="240" w:lineRule="auto"/>
        <w:jc w:val="both"/>
        <w:rPr>
          <w:rFonts w:cs="Arial"/>
          <w:b/>
          <w:bCs/>
          <w:strike/>
          <w:lang w:val="en-GB"/>
        </w:rPr>
      </w:pPr>
    </w:p>
    <w:p w14:paraId="44D448B6" w14:textId="6743E605" w:rsidR="00A6185E" w:rsidRPr="00BD2392" w:rsidRDefault="00A6185E" w:rsidP="009E389F">
      <w:pPr>
        <w:suppressAutoHyphens/>
        <w:spacing w:after="0" w:line="240" w:lineRule="auto"/>
        <w:jc w:val="both"/>
        <w:rPr>
          <w:rFonts w:cs="Arial"/>
          <w:strike/>
          <w:lang w:val="en-GB"/>
        </w:rPr>
      </w:pPr>
      <w:r w:rsidRPr="00BD2392">
        <w:rPr>
          <w:rFonts w:cs="Arial"/>
          <w:strike/>
          <w:lang w:val="en-GB"/>
        </w:rPr>
        <w:t>The Working Group will:</w:t>
      </w:r>
    </w:p>
    <w:p w14:paraId="1EF6464F" w14:textId="32DC4CE5" w:rsidR="00A6185E" w:rsidRPr="00BD2392" w:rsidRDefault="00A6185E" w:rsidP="009E389F">
      <w:pPr>
        <w:suppressAutoHyphens/>
        <w:spacing w:after="0" w:line="240" w:lineRule="auto"/>
        <w:jc w:val="both"/>
        <w:rPr>
          <w:rFonts w:cs="Arial"/>
          <w:strike/>
          <w:lang w:val="en-GB"/>
        </w:rPr>
      </w:pPr>
    </w:p>
    <w:p w14:paraId="68F41685" w14:textId="08CBFEE1" w:rsidR="00A6185E" w:rsidRPr="00BD2392" w:rsidRDefault="00A6185E" w:rsidP="009E389F">
      <w:pPr>
        <w:suppressAutoHyphens/>
        <w:spacing w:after="0" w:line="240" w:lineRule="auto"/>
        <w:jc w:val="both"/>
        <w:rPr>
          <w:rFonts w:cs="Arial"/>
          <w:b/>
          <w:strike/>
          <w:lang w:val="en-GB"/>
        </w:rPr>
      </w:pPr>
      <w:bookmarkStart w:id="0" w:name="_Hlk21078329"/>
      <w:r w:rsidRPr="00BD2392">
        <w:rPr>
          <w:rFonts w:cs="Arial"/>
          <w:b/>
          <w:strike/>
          <w:lang w:val="en-GB"/>
        </w:rPr>
        <w:t>Support implementation of the Preventing Poisoning Guidelines</w:t>
      </w:r>
      <w:bookmarkEnd w:id="0"/>
    </w:p>
    <w:p w14:paraId="7710D3A4" w14:textId="14FDA4DB" w:rsidR="00A6185E" w:rsidRPr="00BD2392" w:rsidRDefault="00A6185E" w:rsidP="009E389F">
      <w:pPr>
        <w:suppressAutoHyphens/>
        <w:spacing w:after="0" w:line="240" w:lineRule="auto"/>
        <w:jc w:val="both"/>
        <w:rPr>
          <w:rFonts w:cs="Arial"/>
          <w:b/>
          <w:strike/>
          <w:lang w:val="en-GB"/>
        </w:rPr>
      </w:pPr>
    </w:p>
    <w:p w14:paraId="5B9426EC" w14:textId="54810C19" w:rsidR="00A6185E" w:rsidRPr="00BD2392" w:rsidRDefault="00A6185E" w:rsidP="009E389F">
      <w:pPr>
        <w:widowControl w:val="0"/>
        <w:numPr>
          <w:ilvl w:val="0"/>
          <w:numId w:val="16"/>
        </w:numPr>
        <w:suppressAutoHyphens/>
        <w:autoSpaceDE w:val="0"/>
        <w:autoSpaceDN w:val="0"/>
        <w:spacing w:after="0" w:line="240" w:lineRule="auto"/>
        <w:jc w:val="both"/>
        <w:textAlignment w:val="baseline"/>
        <w:rPr>
          <w:rFonts w:cs="Arial"/>
          <w:strike/>
          <w:lang w:val="en-GB"/>
        </w:rPr>
      </w:pPr>
      <w:r w:rsidRPr="00BD2392">
        <w:rPr>
          <w:rFonts w:cs="Arial"/>
          <w:strike/>
          <w:lang w:val="en-GB"/>
        </w:rPr>
        <w:t>facilitate implementation of the Preventing Poisoning Guidelines and other relevant Resolutions adopted by COP as well as other relevant frameworks for action on relevant issues other than lead poisoning;</w:t>
      </w:r>
    </w:p>
    <w:p w14:paraId="5DA61EBF" w14:textId="7A744DB6" w:rsidR="00A6185E" w:rsidRPr="00BD2392" w:rsidRDefault="00A6185E" w:rsidP="009E389F">
      <w:pPr>
        <w:widowControl w:val="0"/>
        <w:numPr>
          <w:ilvl w:val="0"/>
          <w:numId w:val="16"/>
        </w:numPr>
        <w:suppressAutoHyphens/>
        <w:autoSpaceDE w:val="0"/>
        <w:autoSpaceDN w:val="0"/>
        <w:spacing w:after="0" w:line="240" w:lineRule="auto"/>
        <w:jc w:val="both"/>
        <w:textAlignment w:val="baseline"/>
        <w:rPr>
          <w:rFonts w:cs="Arial"/>
          <w:strike/>
          <w:lang w:val="en-GB"/>
        </w:rPr>
      </w:pPr>
      <w:r w:rsidRPr="00BD2392">
        <w:rPr>
          <w:rFonts w:cs="Arial"/>
          <w:strike/>
          <w:lang w:val="en-GB"/>
        </w:rPr>
        <w:t>set and implement priorities for its work;</w:t>
      </w:r>
    </w:p>
    <w:p w14:paraId="48F67E9F" w14:textId="69CEECF2" w:rsidR="00A6185E" w:rsidRPr="00BD2392" w:rsidRDefault="00A6185E" w:rsidP="009E389F">
      <w:pPr>
        <w:widowControl w:val="0"/>
        <w:numPr>
          <w:ilvl w:val="0"/>
          <w:numId w:val="16"/>
        </w:numPr>
        <w:suppressAutoHyphens/>
        <w:autoSpaceDE w:val="0"/>
        <w:autoSpaceDN w:val="0"/>
        <w:spacing w:after="0" w:line="240" w:lineRule="auto"/>
        <w:jc w:val="both"/>
        <w:textAlignment w:val="baseline"/>
        <w:rPr>
          <w:rFonts w:cs="Arial"/>
          <w:strike/>
          <w:lang w:val="en-GB"/>
        </w:rPr>
      </w:pPr>
      <w:r w:rsidRPr="00BD2392">
        <w:rPr>
          <w:rFonts w:cs="Arial"/>
          <w:strike/>
          <w:lang w:val="en-GB"/>
        </w:rPr>
        <w:t>keep the Guidelines actively under review in the light of developing research findings and other relevant information and report relevant developments to the Scientific Council;</w:t>
      </w:r>
    </w:p>
    <w:p w14:paraId="33646F8E" w14:textId="353B8DAB" w:rsidR="00A6185E" w:rsidRPr="00BD2392" w:rsidRDefault="00A6185E" w:rsidP="009E389F">
      <w:pPr>
        <w:widowControl w:val="0"/>
        <w:numPr>
          <w:ilvl w:val="0"/>
          <w:numId w:val="16"/>
        </w:numPr>
        <w:suppressAutoHyphens/>
        <w:autoSpaceDE w:val="0"/>
        <w:autoSpaceDN w:val="0"/>
        <w:spacing w:after="0" w:line="240" w:lineRule="auto"/>
        <w:jc w:val="both"/>
        <w:textAlignment w:val="baseline"/>
        <w:rPr>
          <w:rFonts w:cs="Arial"/>
          <w:strike/>
          <w:lang w:val="en-GB"/>
        </w:rPr>
      </w:pPr>
      <w:r w:rsidRPr="00BD2392">
        <w:rPr>
          <w:rFonts w:cs="Arial"/>
          <w:strike/>
          <w:lang w:val="en-GB"/>
        </w:rPr>
        <w:t>assist in resource mobilization for priority actions, in collaboration and through the creation of synergies with other initiatives such as the Intergovernmental Task Force on Phasing Out the Use of Lead Ammunition and Lead Fishing Weights and the Intergovernmental Task Force on Illegal Killing, Taking and Trade of Migratory Birds in the Mediterranean, the Vulture Working Group, and the Landbirds Working Group;</w:t>
      </w:r>
    </w:p>
    <w:p w14:paraId="2F18739A" w14:textId="24E52E91" w:rsidR="00A6185E" w:rsidRPr="00BD2392" w:rsidRDefault="00A6185E" w:rsidP="009E389F">
      <w:pPr>
        <w:widowControl w:val="0"/>
        <w:numPr>
          <w:ilvl w:val="0"/>
          <w:numId w:val="16"/>
        </w:numPr>
        <w:suppressAutoHyphens/>
        <w:autoSpaceDE w:val="0"/>
        <w:autoSpaceDN w:val="0"/>
        <w:spacing w:after="0" w:line="240" w:lineRule="auto"/>
        <w:jc w:val="both"/>
        <w:textAlignment w:val="baseline"/>
        <w:rPr>
          <w:rFonts w:cs="Arial"/>
          <w:strike/>
          <w:lang w:val="en-GB"/>
        </w:rPr>
      </w:pPr>
      <w:r w:rsidRPr="00BD2392">
        <w:rPr>
          <w:rFonts w:cs="Arial"/>
          <w:strike/>
          <w:lang w:val="en-GB"/>
        </w:rPr>
        <w:t>actively seek engagement from and with relevant agrochemical and veterinary pharmaceutical industries so as to develop alternative less detrimental solutions;</w:t>
      </w:r>
    </w:p>
    <w:p w14:paraId="5817ACB1" w14:textId="11764AD5" w:rsidR="00A6185E" w:rsidRPr="00BD2392" w:rsidRDefault="00A6185E" w:rsidP="009E389F">
      <w:pPr>
        <w:widowControl w:val="0"/>
        <w:numPr>
          <w:ilvl w:val="0"/>
          <w:numId w:val="16"/>
        </w:numPr>
        <w:suppressAutoHyphens/>
        <w:autoSpaceDE w:val="0"/>
        <w:autoSpaceDN w:val="0"/>
        <w:spacing w:after="0" w:line="240" w:lineRule="auto"/>
        <w:jc w:val="both"/>
        <w:textAlignment w:val="baseline"/>
        <w:rPr>
          <w:rFonts w:cs="Arial"/>
          <w:strike/>
          <w:lang w:val="en-GB"/>
        </w:rPr>
      </w:pPr>
      <w:r w:rsidRPr="00BD2392">
        <w:rPr>
          <w:rFonts w:cs="Arial"/>
          <w:strike/>
          <w:lang w:val="en-GB"/>
        </w:rPr>
        <w:t>review, take account of, and communicate best practice when poisons are used as management tools in the protection of migratory birds and other biodiversity;</w:t>
      </w:r>
    </w:p>
    <w:p w14:paraId="1F48E2A9" w14:textId="5B7B762B" w:rsidR="00A6185E" w:rsidRPr="00BD2392" w:rsidRDefault="00A6185E" w:rsidP="009E389F">
      <w:pPr>
        <w:widowControl w:val="0"/>
        <w:numPr>
          <w:ilvl w:val="0"/>
          <w:numId w:val="16"/>
        </w:numPr>
        <w:suppressAutoHyphens/>
        <w:autoSpaceDE w:val="0"/>
        <w:autoSpaceDN w:val="0"/>
        <w:spacing w:after="0" w:line="240" w:lineRule="auto"/>
        <w:ind w:left="1077"/>
        <w:jc w:val="both"/>
        <w:textAlignment w:val="baseline"/>
        <w:rPr>
          <w:rFonts w:cs="Arial"/>
          <w:strike/>
          <w:lang w:val="en-GB"/>
        </w:rPr>
      </w:pPr>
      <w:r w:rsidRPr="00BD2392">
        <w:rPr>
          <w:rFonts w:cs="Arial"/>
          <w:strike/>
          <w:lang w:val="en-GB"/>
        </w:rPr>
        <w:t xml:space="preserve">encourage the translation and dissemination of the Guidelines widely within </w:t>
      </w:r>
      <w:r w:rsidRPr="00BD2392">
        <w:rPr>
          <w:rFonts w:cs="Arial"/>
          <w:strike/>
          <w:lang w:val="en-GB"/>
        </w:rPr>
        <w:lastRenderedPageBreak/>
        <w:t>relevant networks, as well as to end-users and others;</w:t>
      </w:r>
    </w:p>
    <w:p w14:paraId="4A2C3780" w14:textId="531C935C" w:rsidR="00A6185E" w:rsidRPr="00BD2392" w:rsidRDefault="00A6185E" w:rsidP="009E389F">
      <w:pPr>
        <w:widowControl w:val="0"/>
        <w:numPr>
          <w:ilvl w:val="0"/>
          <w:numId w:val="16"/>
        </w:numPr>
        <w:suppressAutoHyphens/>
        <w:autoSpaceDE w:val="0"/>
        <w:autoSpaceDN w:val="0"/>
        <w:spacing w:after="0" w:line="240" w:lineRule="auto"/>
        <w:ind w:left="1077"/>
        <w:jc w:val="both"/>
        <w:textAlignment w:val="baseline"/>
        <w:rPr>
          <w:rFonts w:cs="Arial"/>
          <w:strike/>
          <w:lang w:val="en-GB"/>
        </w:rPr>
      </w:pPr>
      <w:r w:rsidRPr="00BD2392">
        <w:rPr>
          <w:rFonts w:cs="Arial"/>
          <w:strike/>
          <w:lang w:val="en-GB"/>
        </w:rPr>
        <w:t>monitor the implementation of the relevant decisions and plans and their effectiveness and submit progress reports to the governing bodies of the participating MEAs;</w:t>
      </w:r>
    </w:p>
    <w:p w14:paraId="1D59F5A1" w14:textId="6FA475BB" w:rsidR="00A6185E" w:rsidRPr="00BD2392" w:rsidRDefault="00A6185E" w:rsidP="009E389F">
      <w:pPr>
        <w:widowControl w:val="0"/>
        <w:numPr>
          <w:ilvl w:val="0"/>
          <w:numId w:val="16"/>
        </w:numPr>
        <w:suppressAutoHyphens/>
        <w:autoSpaceDE w:val="0"/>
        <w:autoSpaceDN w:val="0"/>
        <w:spacing w:after="0" w:line="240" w:lineRule="auto"/>
        <w:ind w:left="1077"/>
        <w:jc w:val="both"/>
        <w:textAlignment w:val="baseline"/>
        <w:rPr>
          <w:rFonts w:cs="Arial"/>
          <w:strike/>
          <w:lang w:val="en-GB"/>
        </w:rPr>
      </w:pPr>
      <w:r w:rsidRPr="00BD2392">
        <w:rPr>
          <w:rFonts w:cs="Arial"/>
          <w:strike/>
          <w:lang w:val="en-GB"/>
        </w:rPr>
        <w:t>stimulate internal and external communication and exchange of information, experience, best practice and know-how;</w:t>
      </w:r>
    </w:p>
    <w:p w14:paraId="1F30E9F2" w14:textId="6E04D3F5" w:rsidR="00A6185E" w:rsidRPr="00BD2392" w:rsidRDefault="00A6185E" w:rsidP="009E389F">
      <w:pPr>
        <w:widowControl w:val="0"/>
        <w:numPr>
          <w:ilvl w:val="0"/>
          <w:numId w:val="16"/>
        </w:numPr>
        <w:suppressAutoHyphens/>
        <w:autoSpaceDE w:val="0"/>
        <w:autoSpaceDN w:val="0"/>
        <w:spacing w:after="0" w:line="240" w:lineRule="auto"/>
        <w:jc w:val="both"/>
        <w:textAlignment w:val="baseline"/>
        <w:rPr>
          <w:rFonts w:cs="Arial"/>
          <w:strike/>
          <w:lang w:val="en-GB"/>
        </w:rPr>
      </w:pPr>
      <w:r w:rsidRPr="00BD2392">
        <w:rPr>
          <w:rFonts w:cs="Arial"/>
          <w:strike/>
          <w:lang w:val="en-GB"/>
        </w:rPr>
        <w:t>strengthen relevant regional and international networks; and</w:t>
      </w:r>
    </w:p>
    <w:p w14:paraId="328BB531" w14:textId="4A445BE2" w:rsidR="00A6185E" w:rsidRPr="00BD2392" w:rsidRDefault="00A6185E" w:rsidP="009E389F">
      <w:pPr>
        <w:suppressAutoHyphens/>
        <w:spacing w:after="0" w:line="240" w:lineRule="auto"/>
        <w:jc w:val="both"/>
        <w:rPr>
          <w:rFonts w:cs="Arial"/>
          <w:strike/>
          <w:lang w:val="en-GB"/>
        </w:rPr>
      </w:pPr>
    </w:p>
    <w:p w14:paraId="34B2EF32" w14:textId="1713D2E1" w:rsidR="00A6185E" w:rsidRPr="00BD2392" w:rsidRDefault="00A6185E" w:rsidP="009E389F">
      <w:pPr>
        <w:suppressAutoHyphens/>
        <w:spacing w:after="0" w:line="240" w:lineRule="auto"/>
        <w:jc w:val="both"/>
        <w:rPr>
          <w:rFonts w:cs="Arial"/>
          <w:b/>
          <w:strike/>
          <w:lang w:val="en-GB"/>
        </w:rPr>
      </w:pPr>
      <w:r w:rsidRPr="00BD2392">
        <w:rPr>
          <w:rFonts w:cs="Arial"/>
          <w:b/>
          <w:strike/>
          <w:lang w:val="en-GB"/>
        </w:rPr>
        <w:t>Assess other causes of migratory bird poisoning</w:t>
      </w:r>
    </w:p>
    <w:p w14:paraId="4F8F1533" w14:textId="6E8DC459" w:rsidR="00A6185E" w:rsidRPr="00BD2392" w:rsidRDefault="00A6185E" w:rsidP="009E389F">
      <w:pPr>
        <w:suppressAutoHyphens/>
        <w:spacing w:after="0" w:line="240" w:lineRule="auto"/>
        <w:jc w:val="both"/>
        <w:rPr>
          <w:rFonts w:cs="Arial"/>
          <w:b/>
          <w:strike/>
          <w:lang w:val="en-GB"/>
        </w:rPr>
      </w:pPr>
    </w:p>
    <w:p w14:paraId="3F2D1CAB" w14:textId="0C79FDFA" w:rsidR="00A6185E" w:rsidRPr="00BD2392" w:rsidRDefault="00A6185E" w:rsidP="009E389F">
      <w:pPr>
        <w:widowControl w:val="0"/>
        <w:numPr>
          <w:ilvl w:val="0"/>
          <w:numId w:val="16"/>
        </w:numPr>
        <w:suppressAutoHyphens/>
        <w:autoSpaceDE w:val="0"/>
        <w:autoSpaceDN w:val="0"/>
        <w:spacing w:after="0" w:line="240" w:lineRule="auto"/>
        <w:jc w:val="both"/>
        <w:textAlignment w:val="baseline"/>
        <w:rPr>
          <w:rFonts w:cs="Arial"/>
          <w:strike/>
          <w:lang w:val="en-GB"/>
        </w:rPr>
      </w:pPr>
      <w:r w:rsidRPr="00BD2392">
        <w:rPr>
          <w:rFonts w:cs="Arial"/>
          <w:strike/>
          <w:lang w:val="en-GB"/>
        </w:rPr>
        <w:t>resources permitting, consider the need for additional guidance for preventing impacts on migratory birds from other types of poison (for example pheromone-type substances) and geographic gaps, and how these might be developed.</w:t>
      </w:r>
    </w:p>
    <w:p w14:paraId="40B1AF7A" w14:textId="3F1106A2" w:rsidR="00A6185E" w:rsidRPr="00BD2392" w:rsidRDefault="00A6185E" w:rsidP="009E389F">
      <w:pPr>
        <w:suppressAutoHyphens/>
        <w:spacing w:after="0" w:line="240" w:lineRule="auto"/>
        <w:jc w:val="both"/>
        <w:rPr>
          <w:rFonts w:cs="Arial"/>
          <w:strike/>
          <w:lang w:val="en-GB"/>
        </w:rPr>
      </w:pPr>
    </w:p>
    <w:p w14:paraId="7BA5AF9C" w14:textId="0AB3E807" w:rsidR="00A6185E" w:rsidRPr="00BD2392" w:rsidRDefault="00A6185E" w:rsidP="009E389F">
      <w:pPr>
        <w:suppressAutoHyphens/>
        <w:spacing w:after="0" w:line="240" w:lineRule="auto"/>
        <w:jc w:val="both"/>
        <w:rPr>
          <w:rFonts w:cs="Arial"/>
          <w:strike/>
          <w:lang w:val="en-GB"/>
        </w:rPr>
      </w:pPr>
      <w:r w:rsidRPr="00BD2392">
        <w:rPr>
          <w:rFonts w:cs="Arial"/>
          <w:strike/>
          <w:lang w:val="en-GB"/>
        </w:rPr>
        <w:t>For effective working, the Working Group will establish task groups addressing either thematic issues (e.g., for different poison types) and/or geographical regions to progress its work.</w:t>
      </w:r>
    </w:p>
    <w:p w14:paraId="1E4F0124" w14:textId="32D909D1" w:rsidR="00A6185E" w:rsidRPr="00BD2392" w:rsidRDefault="00A6185E" w:rsidP="009E389F">
      <w:pPr>
        <w:suppressAutoHyphens/>
        <w:spacing w:after="0" w:line="240" w:lineRule="auto"/>
        <w:jc w:val="both"/>
        <w:rPr>
          <w:rFonts w:cs="Arial"/>
          <w:strike/>
          <w:lang w:val="en-GB"/>
        </w:rPr>
      </w:pPr>
    </w:p>
    <w:p w14:paraId="57EB7328" w14:textId="687C772C" w:rsidR="00A6185E" w:rsidRPr="00BD2392" w:rsidRDefault="00A6185E" w:rsidP="009E389F">
      <w:pPr>
        <w:widowControl w:val="0"/>
        <w:numPr>
          <w:ilvl w:val="0"/>
          <w:numId w:val="19"/>
        </w:numPr>
        <w:suppressAutoHyphens/>
        <w:autoSpaceDE w:val="0"/>
        <w:autoSpaceDN w:val="0"/>
        <w:spacing w:after="0" w:line="240" w:lineRule="auto"/>
        <w:ind w:left="540" w:hanging="540"/>
        <w:contextualSpacing/>
        <w:jc w:val="both"/>
        <w:textAlignment w:val="baseline"/>
        <w:rPr>
          <w:rFonts w:cs="Arial"/>
          <w:b/>
          <w:bCs/>
          <w:strike/>
          <w:lang w:val="en-GB"/>
        </w:rPr>
      </w:pPr>
      <w:r w:rsidRPr="00BD2392">
        <w:rPr>
          <w:rFonts w:cs="Arial"/>
          <w:b/>
          <w:bCs/>
          <w:strike/>
          <w:lang w:val="en-GB"/>
        </w:rPr>
        <w:t>Membership</w:t>
      </w:r>
    </w:p>
    <w:p w14:paraId="7EAD9E65" w14:textId="09F4D091" w:rsidR="00A6185E" w:rsidRPr="00BD2392" w:rsidRDefault="00A6185E" w:rsidP="009E389F">
      <w:pPr>
        <w:suppressAutoHyphens/>
        <w:spacing w:after="0" w:line="240" w:lineRule="auto"/>
        <w:jc w:val="both"/>
        <w:rPr>
          <w:rFonts w:cs="Arial"/>
          <w:b/>
          <w:bCs/>
          <w:strike/>
          <w:lang w:val="en-GB"/>
        </w:rPr>
      </w:pPr>
    </w:p>
    <w:p w14:paraId="65A272DD" w14:textId="54285363" w:rsidR="00A6185E" w:rsidRPr="00BD2392" w:rsidRDefault="00A6185E" w:rsidP="009E389F">
      <w:pPr>
        <w:suppressAutoHyphens/>
        <w:spacing w:after="0" w:line="240" w:lineRule="auto"/>
        <w:jc w:val="both"/>
        <w:rPr>
          <w:rFonts w:cs="Arial"/>
          <w:strike/>
          <w:lang w:val="en-GB"/>
        </w:rPr>
      </w:pPr>
      <w:r w:rsidRPr="00BD2392">
        <w:rPr>
          <w:rFonts w:cs="Arial"/>
          <w:strike/>
          <w:lang w:val="en-GB"/>
        </w:rPr>
        <w:t>The membership of the Working Group will comprise the Secretariats of the participating MEAs, as well as academic institutions, non-governmental organizations and other stakeholders, as appropriate.</w:t>
      </w:r>
    </w:p>
    <w:p w14:paraId="241D70F6" w14:textId="2A13E471" w:rsidR="00A6185E" w:rsidRPr="00BD2392" w:rsidRDefault="00A6185E" w:rsidP="009E389F">
      <w:pPr>
        <w:suppressAutoHyphens/>
        <w:spacing w:after="0" w:line="240" w:lineRule="auto"/>
        <w:jc w:val="both"/>
        <w:rPr>
          <w:rFonts w:cs="Arial"/>
          <w:strike/>
          <w:lang w:val="en-GB"/>
        </w:rPr>
      </w:pPr>
    </w:p>
    <w:p w14:paraId="18835DB1" w14:textId="34BF92B8" w:rsidR="00A6185E" w:rsidRPr="00BD2392" w:rsidRDefault="00A6185E" w:rsidP="009E389F">
      <w:pPr>
        <w:suppressAutoHyphens/>
        <w:spacing w:after="0" w:line="240" w:lineRule="auto"/>
        <w:jc w:val="both"/>
        <w:rPr>
          <w:rFonts w:cs="Arial"/>
          <w:strike/>
          <w:lang w:val="en-GB"/>
        </w:rPr>
      </w:pPr>
      <w:r w:rsidRPr="00BD2392">
        <w:rPr>
          <w:rFonts w:cs="Arial"/>
          <w:strike/>
          <w:lang w:val="en-GB"/>
        </w:rPr>
        <w:t>The following representatives will also be invited to contribute to the Working Group:</w:t>
      </w:r>
    </w:p>
    <w:p w14:paraId="02AE1E5B" w14:textId="3D0CAC09" w:rsidR="00A6185E" w:rsidRPr="00BD2392" w:rsidRDefault="00A6185E" w:rsidP="009E389F">
      <w:pPr>
        <w:widowControl w:val="0"/>
        <w:numPr>
          <w:ilvl w:val="0"/>
          <w:numId w:val="17"/>
        </w:numPr>
        <w:suppressAutoHyphens/>
        <w:autoSpaceDE w:val="0"/>
        <w:autoSpaceDN w:val="0"/>
        <w:spacing w:after="0" w:line="240" w:lineRule="auto"/>
        <w:ind w:left="714" w:hanging="357"/>
        <w:jc w:val="both"/>
        <w:textAlignment w:val="baseline"/>
        <w:rPr>
          <w:rFonts w:cs="Arial"/>
          <w:strike/>
          <w:lang w:val="en-GB"/>
        </w:rPr>
      </w:pPr>
      <w:r w:rsidRPr="00BD2392">
        <w:rPr>
          <w:rFonts w:cs="Arial"/>
          <w:strike/>
          <w:lang w:val="en-GB"/>
        </w:rPr>
        <w:t>Representatives of CMS Parties;</w:t>
      </w:r>
    </w:p>
    <w:p w14:paraId="6CCF2E5F" w14:textId="2810FE7A" w:rsidR="00A6185E" w:rsidRPr="00BD2392" w:rsidRDefault="00A6185E" w:rsidP="009E389F">
      <w:pPr>
        <w:widowControl w:val="0"/>
        <w:numPr>
          <w:ilvl w:val="0"/>
          <w:numId w:val="17"/>
        </w:numPr>
        <w:suppressAutoHyphens/>
        <w:autoSpaceDE w:val="0"/>
        <w:autoSpaceDN w:val="0"/>
        <w:spacing w:after="0" w:line="240" w:lineRule="auto"/>
        <w:ind w:left="714" w:hanging="357"/>
        <w:jc w:val="both"/>
        <w:textAlignment w:val="baseline"/>
        <w:rPr>
          <w:rFonts w:cs="Arial"/>
          <w:strike/>
          <w:lang w:val="en-GB"/>
        </w:rPr>
      </w:pPr>
      <w:r w:rsidRPr="00BD2392">
        <w:rPr>
          <w:rFonts w:cs="Arial"/>
          <w:strike/>
          <w:lang w:val="en-GB"/>
        </w:rPr>
        <w:t>Representatives of the CMS Scientific Council, the Technical Committee of the Agreement on the Conservation of African-Eurasian Migratory Waterbirds (AEWA), Technical Advisory Group of the Memorandum of Understanding on the Conservation of Migratory Birds of Prey in Africa and Eurasia (Raptor MOU), Bern Convention Expert Group on Birds;</w:t>
      </w:r>
    </w:p>
    <w:p w14:paraId="6332DDE2" w14:textId="648685D1" w:rsidR="00A6185E" w:rsidRPr="00BD2392" w:rsidRDefault="00A6185E" w:rsidP="009E389F">
      <w:pPr>
        <w:widowControl w:val="0"/>
        <w:numPr>
          <w:ilvl w:val="0"/>
          <w:numId w:val="17"/>
        </w:numPr>
        <w:suppressAutoHyphens/>
        <w:autoSpaceDE w:val="0"/>
        <w:autoSpaceDN w:val="0"/>
        <w:spacing w:after="0" w:line="240" w:lineRule="auto"/>
        <w:ind w:left="714" w:hanging="357"/>
        <w:jc w:val="both"/>
        <w:textAlignment w:val="baseline"/>
        <w:rPr>
          <w:rFonts w:cs="Arial"/>
          <w:strike/>
          <w:lang w:val="en-GB"/>
        </w:rPr>
      </w:pPr>
      <w:r w:rsidRPr="00BD2392">
        <w:rPr>
          <w:rFonts w:cs="Arial"/>
          <w:strike/>
          <w:lang w:val="en-GB"/>
        </w:rPr>
        <w:t xml:space="preserve">Representatives of the CMS Illegal Killing, Taking and Trade of Migratory Birds in the Mediterranean Task Force, the </w:t>
      </w:r>
      <w:r w:rsidRPr="00BD2392">
        <w:rPr>
          <w:rFonts w:cs="Arial"/>
          <w:bCs/>
          <w:iCs/>
          <w:strike/>
          <w:lang w:val="en-GB"/>
        </w:rPr>
        <w:t>Asia Pacific Illegal Taking of Migratory Birds Intergovernmental Task Force, the</w:t>
      </w:r>
      <w:r w:rsidRPr="00BD2392">
        <w:rPr>
          <w:rFonts w:cs="Arial"/>
          <w:b/>
          <w:i/>
          <w:strike/>
          <w:lang w:val="en-GB"/>
        </w:rPr>
        <w:t xml:space="preserve"> </w:t>
      </w:r>
      <w:r w:rsidRPr="00BD2392">
        <w:rPr>
          <w:rFonts w:cs="Arial"/>
          <w:strike/>
          <w:lang w:val="en-GB"/>
        </w:rPr>
        <w:t xml:space="preserve">African-Eurasian Migratory Landbirds Working Group and Flyways Working Group; </w:t>
      </w:r>
    </w:p>
    <w:p w14:paraId="3177231C" w14:textId="0507B31B" w:rsidR="00A6185E" w:rsidRPr="00BD2392" w:rsidRDefault="00A6185E" w:rsidP="009E389F">
      <w:pPr>
        <w:widowControl w:val="0"/>
        <w:numPr>
          <w:ilvl w:val="0"/>
          <w:numId w:val="17"/>
        </w:numPr>
        <w:suppressAutoHyphens/>
        <w:autoSpaceDE w:val="0"/>
        <w:autoSpaceDN w:val="0"/>
        <w:spacing w:after="0" w:line="240" w:lineRule="auto"/>
        <w:ind w:left="714" w:hanging="357"/>
        <w:jc w:val="both"/>
        <w:textAlignment w:val="baseline"/>
        <w:rPr>
          <w:rFonts w:cs="Arial"/>
          <w:strike/>
          <w:lang w:val="en-GB"/>
        </w:rPr>
      </w:pPr>
      <w:r w:rsidRPr="00BD2392">
        <w:rPr>
          <w:rFonts w:cs="Arial"/>
          <w:strike/>
          <w:lang w:val="en-GB"/>
        </w:rPr>
        <w:t>Independent experts on an ad hoc basis as necessary and appropriate; and</w:t>
      </w:r>
    </w:p>
    <w:p w14:paraId="428AB440" w14:textId="1D65FCED" w:rsidR="00A6185E" w:rsidRPr="00BD2392" w:rsidRDefault="00A6185E" w:rsidP="009E389F">
      <w:pPr>
        <w:widowControl w:val="0"/>
        <w:numPr>
          <w:ilvl w:val="0"/>
          <w:numId w:val="17"/>
        </w:numPr>
        <w:suppressAutoHyphens/>
        <w:autoSpaceDE w:val="0"/>
        <w:autoSpaceDN w:val="0"/>
        <w:spacing w:after="0" w:line="240" w:lineRule="auto"/>
        <w:jc w:val="both"/>
        <w:textAlignment w:val="baseline"/>
        <w:rPr>
          <w:rFonts w:cs="Arial"/>
          <w:strike/>
          <w:lang w:val="en-GB"/>
        </w:rPr>
      </w:pPr>
      <w:r w:rsidRPr="00BD2392">
        <w:rPr>
          <w:rFonts w:cs="Arial"/>
          <w:strike/>
          <w:lang w:val="en-GB"/>
        </w:rPr>
        <w:t>ECHA.</w:t>
      </w:r>
    </w:p>
    <w:p w14:paraId="5E31D53D" w14:textId="6CA4C2E6" w:rsidR="00A6185E" w:rsidRPr="00BD2392" w:rsidRDefault="00A6185E" w:rsidP="009E389F">
      <w:pPr>
        <w:suppressAutoHyphens/>
        <w:spacing w:after="0" w:line="240" w:lineRule="auto"/>
        <w:jc w:val="both"/>
        <w:rPr>
          <w:rFonts w:cs="Arial"/>
          <w:i/>
          <w:iCs/>
          <w:strike/>
          <w:lang w:val="en-GB"/>
        </w:rPr>
      </w:pPr>
    </w:p>
    <w:p w14:paraId="38CE64C5" w14:textId="30C8E95A" w:rsidR="00A6185E" w:rsidRPr="00BD2392" w:rsidRDefault="00A6185E" w:rsidP="009E389F">
      <w:pPr>
        <w:widowControl w:val="0"/>
        <w:numPr>
          <w:ilvl w:val="0"/>
          <w:numId w:val="19"/>
        </w:numPr>
        <w:suppressAutoHyphens/>
        <w:autoSpaceDE w:val="0"/>
        <w:autoSpaceDN w:val="0"/>
        <w:spacing w:after="0" w:line="240" w:lineRule="auto"/>
        <w:ind w:left="540" w:hanging="540"/>
        <w:contextualSpacing/>
        <w:jc w:val="both"/>
        <w:textAlignment w:val="baseline"/>
        <w:rPr>
          <w:rFonts w:cs="Arial"/>
          <w:b/>
          <w:bCs/>
          <w:strike/>
          <w:lang w:val="en-GB"/>
        </w:rPr>
      </w:pPr>
      <w:r w:rsidRPr="00BD2392">
        <w:rPr>
          <w:rFonts w:cs="Arial"/>
          <w:b/>
          <w:bCs/>
          <w:strike/>
          <w:lang w:val="en-GB"/>
        </w:rPr>
        <w:t>Governance</w:t>
      </w:r>
    </w:p>
    <w:p w14:paraId="60FCAAB6" w14:textId="26ACF385" w:rsidR="00A6185E" w:rsidRPr="00BD2392" w:rsidRDefault="00A6185E" w:rsidP="009E389F">
      <w:pPr>
        <w:suppressAutoHyphens/>
        <w:spacing w:after="0" w:line="240" w:lineRule="auto"/>
        <w:jc w:val="both"/>
        <w:rPr>
          <w:rFonts w:cs="Arial"/>
          <w:strike/>
          <w:lang w:val="en-GB"/>
        </w:rPr>
      </w:pPr>
    </w:p>
    <w:p w14:paraId="582DFD74" w14:textId="2A22EE24" w:rsidR="00A6185E" w:rsidRPr="00BD2392" w:rsidRDefault="00A6185E" w:rsidP="009E389F">
      <w:pPr>
        <w:suppressAutoHyphens/>
        <w:spacing w:after="0" w:line="240" w:lineRule="auto"/>
        <w:jc w:val="both"/>
        <w:rPr>
          <w:rFonts w:cs="Arial"/>
          <w:strike/>
          <w:lang w:val="en-GB"/>
        </w:rPr>
      </w:pPr>
      <w:r w:rsidRPr="00BD2392">
        <w:rPr>
          <w:rFonts w:cs="Arial"/>
          <w:strike/>
          <w:lang w:val="en-GB"/>
        </w:rPr>
        <w:t>The Working Group will elect a Chair and a Vice-Chair from amongst its members and will operate by seeking consensus among the Group. The Working Group will report to the Scientific Council on its actions, membership and other related issues.</w:t>
      </w:r>
    </w:p>
    <w:p w14:paraId="77613636" w14:textId="1916A795" w:rsidR="00A6185E" w:rsidRPr="00BD2392" w:rsidRDefault="00A6185E" w:rsidP="009E389F">
      <w:pPr>
        <w:suppressAutoHyphens/>
        <w:spacing w:after="0" w:line="240" w:lineRule="auto"/>
        <w:jc w:val="both"/>
        <w:rPr>
          <w:rFonts w:cs="Arial"/>
          <w:strike/>
          <w:lang w:val="en-GB"/>
        </w:rPr>
      </w:pPr>
    </w:p>
    <w:p w14:paraId="6769A51C" w14:textId="319977D9" w:rsidR="00A6185E" w:rsidRPr="00BD2392" w:rsidRDefault="00A6185E" w:rsidP="009E389F">
      <w:pPr>
        <w:widowControl w:val="0"/>
        <w:numPr>
          <w:ilvl w:val="0"/>
          <w:numId w:val="19"/>
        </w:numPr>
        <w:suppressAutoHyphens/>
        <w:autoSpaceDE w:val="0"/>
        <w:autoSpaceDN w:val="0"/>
        <w:spacing w:after="0" w:line="240" w:lineRule="auto"/>
        <w:ind w:left="540" w:hanging="540"/>
        <w:contextualSpacing/>
        <w:jc w:val="both"/>
        <w:textAlignment w:val="baseline"/>
        <w:rPr>
          <w:rFonts w:cs="Arial"/>
          <w:b/>
          <w:bCs/>
          <w:strike/>
          <w:lang w:val="en-GB"/>
        </w:rPr>
      </w:pPr>
      <w:r w:rsidRPr="00BD2392">
        <w:rPr>
          <w:rFonts w:cs="Arial"/>
          <w:b/>
          <w:bCs/>
          <w:strike/>
          <w:lang w:val="en-GB"/>
        </w:rPr>
        <w:t>Operation</w:t>
      </w:r>
    </w:p>
    <w:p w14:paraId="5AF007CD" w14:textId="67979818" w:rsidR="00A6185E" w:rsidRPr="00BD2392" w:rsidRDefault="00A6185E" w:rsidP="009E389F">
      <w:pPr>
        <w:suppressAutoHyphens/>
        <w:spacing w:after="0" w:line="240" w:lineRule="auto"/>
        <w:jc w:val="both"/>
        <w:rPr>
          <w:rFonts w:cs="Arial"/>
          <w:strike/>
          <w:lang w:val="en-GB"/>
        </w:rPr>
      </w:pPr>
    </w:p>
    <w:p w14:paraId="45681B24" w14:textId="0FDD8138" w:rsidR="00A6185E" w:rsidRPr="00BD2392" w:rsidRDefault="00A6185E" w:rsidP="009E389F">
      <w:pPr>
        <w:suppressAutoHyphens/>
        <w:spacing w:after="0" w:line="240" w:lineRule="auto"/>
        <w:jc w:val="both"/>
        <w:rPr>
          <w:rFonts w:cs="Arial"/>
          <w:strike/>
          <w:lang w:val="en-GB"/>
        </w:rPr>
      </w:pPr>
      <w:r w:rsidRPr="00BD2392">
        <w:rPr>
          <w:rFonts w:cs="Arial"/>
          <w:strike/>
          <w:lang w:val="en-GB"/>
        </w:rPr>
        <w:t>Funding permitting, a coordinator will be appointed with the following functions:</w:t>
      </w:r>
    </w:p>
    <w:p w14:paraId="45E5FB7C" w14:textId="523B4D5F" w:rsidR="00A6185E" w:rsidRPr="00BD2392" w:rsidRDefault="00A6185E" w:rsidP="009E389F">
      <w:pPr>
        <w:widowControl w:val="0"/>
        <w:numPr>
          <w:ilvl w:val="0"/>
          <w:numId w:val="18"/>
        </w:numPr>
        <w:suppressAutoHyphens/>
        <w:autoSpaceDE w:val="0"/>
        <w:autoSpaceDN w:val="0"/>
        <w:spacing w:after="0" w:line="240" w:lineRule="auto"/>
        <w:jc w:val="both"/>
        <w:textAlignment w:val="baseline"/>
        <w:rPr>
          <w:rFonts w:cs="Arial"/>
          <w:strike/>
          <w:lang w:val="en-GB"/>
        </w:rPr>
      </w:pPr>
      <w:r w:rsidRPr="00BD2392">
        <w:rPr>
          <w:rFonts w:cs="Arial"/>
          <w:strike/>
          <w:lang w:val="en-GB"/>
        </w:rPr>
        <w:t>organizing the meetings of the Working Group and preparing the background documents;</w:t>
      </w:r>
    </w:p>
    <w:p w14:paraId="22EDA1DC" w14:textId="442506CD" w:rsidR="00A6185E" w:rsidRPr="00BD2392" w:rsidRDefault="00A6185E" w:rsidP="009E389F">
      <w:pPr>
        <w:widowControl w:val="0"/>
        <w:numPr>
          <w:ilvl w:val="0"/>
          <w:numId w:val="18"/>
        </w:numPr>
        <w:suppressAutoHyphens/>
        <w:autoSpaceDE w:val="0"/>
        <w:autoSpaceDN w:val="0"/>
        <w:spacing w:after="0" w:line="240" w:lineRule="auto"/>
        <w:jc w:val="both"/>
        <w:textAlignment w:val="baseline"/>
        <w:rPr>
          <w:rFonts w:cs="Arial"/>
          <w:strike/>
          <w:lang w:val="en-GB"/>
        </w:rPr>
      </w:pPr>
      <w:r w:rsidRPr="00BD2392">
        <w:rPr>
          <w:rFonts w:cs="Arial"/>
          <w:strike/>
          <w:lang w:val="en-GB"/>
        </w:rPr>
        <w:t>maintaining and moderating the Working Group’s communications;</w:t>
      </w:r>
    </w:p>
    <w:p w14:paraId="11673849" w14:textId="3F38AFD8" w:rsidR="00A6185E" w:rsidRPr="00BD2392" w:rsidRDefault="00A6185E" w:rsidP="009E389F">
      <w:pPr>
        <w:widowControl w:val="0"/>
        <w:numPr>
          <w:ilvl w:val="0"/>
          <w:numId w:val="18"/>
        </w:numPr>
        <w:suppressAutoHyphens/>
        <w:autoSpaceDE w:val="0"/>
        <w:autoSpaceDN w:val="0"/>
        <w:spacing w:after="0" w:line="240" w:lineRule="auto"/>
        <w:jc w:val="both"/>
        <w:textAlignment w:val="baseline"/>
        <w:rPr>
          <w:rFonts w:cs="Arial"/>
          <w:strike/>
          <w:lang w:val="en-GB"/>
        </w:rPr>
      </w:pPr>
      <w:r w:rsidRPr="00BD2392">
        <w:rPr>
          <w:rFonts w:cs="Arial"/>
          <w:strike/>
          <w:lang w:val="en-GB"/>
        </w:rPr>
        <w:t>facilitating fundraising and resource mobilization; and</w:t>
      </w:r>
    </w:p>
    <w:p w14:paraId="3FE7074F" w14:textId="3B994941" w:rsidR="00A6185E" w:rsidRPr="00BD2392" w:rsidRDefault="00A6185E" w:rsidP="009E389F">
      <w:pPr>
        <w:widowControl w:val="0"/>
        <w:numPr>
          <w:ilvl w:val="0"/>
          <w:numId w:val="18"/>
        </w:numPr>
        <w:suppressAutoHyphens/>
        <w:autoSpaceDE w:val="0"/>
        <w:autoSpaceDN w:val="0"/>
        <w:spacing w:after="0" w:line="240" w:lineRule="auto"/>
        <w:contextualSpacing/>
        <w:jc w:val="both"/>
        <w:textAlignment w:val="baseline"/>
        <w:rPr>
          <w:rFonts w:cs="Arial"/>
          <w:strike/>
          <w:lang w:val="en-GB"/>
        </w:rPr>
      </w:pPr>
      <w:r w:rsidRPr="00BD2392">
        <w:rPr>
          <w:rFonts w:cs="Arial"/>
          <w:strike/>
          <w:lang w:val="en-GB"/>
        </w:rPr>
        <w:t>facilitating engagement with stakeholders within and beyond the Working Group.</w:t>
      </w:r>
    </w:p>
    <w:p w14:paraId="1D1043C8" w14:textId="3ABFD705" w:rsidR="00A6185E" w:rsidRPr="00BD2392" w:rsidRDefault="00A6185E" w:rsidP="009E389F">
      <w:pPr>
        <w:suppressAutoHyphens/>
        <w:spacing w:after="0" w:line="240" w:lineRule="auto"/>
        <w:jc w:val="both"/>
        <w:rPr>
          <w:rFonts w:cs="Arial"/>
          <w:strike/>
          <w:lang w:val="en-GB"/>
        </w:rPr>
      </w:pPr>
      <w:r w:rsidRPr="00BD2392">
        <w:rPr>
          <w:rFonts w:cs="Arial"/>
          <w:strike/>
          <w:lang w:val="en-GB"/>
        </w:rPr>
        <w:t>Meetings of the Working Group will be convened at appropriate intervals, as considered necessary and funding permitting. Between meetings, business will be conducted electronically, which will provide the primary mode of communication.</w:t>
      </w:r>
    </w:p>
    <w:p w14:paraId="14052095" w14:textId="6CA8A884" w:rsidR="00A6185E" w:rsidRPr="00BD2392" w:rsidRDefault="00A6185E" w:rsidP="009E389F">
      <w:pPr>
        <w:suppressAutoHyphens/>
        <w:spacing w:after="0" w:line="240" w:lineRule="auto"/>
        <w:jc w:val="both"/>
        <w:rPr>
          <w:rFonts w:cs="Arial"/>
          <w:strike/>
          <w:lang w:val="en-GB"/>
        </w:rPr>
      </w:pPr>
    </w:p>
    <w:p w14:paraId="32AD8733" w14:textId="0177E2ED" w:rsidR="00253AF0" w:rsidRPr="00BD2392" w:rsidRDefault="00A6185E" w:rsidP="002B4063">
      <w:pPr>
        <w:spacing w:after="0" w:line="240" w:lineRule="auto"/>
        <w:jc w:val="both"/>
        <w:rPr>
          <w:rFonts w:cs="Arial"/>
          <w:u w:val="single"/>
        </w:rPr>
      </w:pPr>
      <w:r w:rsidRPr="00BD2392">
        <w:rPr>
          <w:rFonts w:cs="Arial"/>
          <w:strike/>
          <w:lang w:val="en-GB"/>
        </w:rPr>
        <w:t>The Working Group, in collaboration with Parties and relevant international organizations, subject to the availability of funds, will organize regional workshops in trouble spot areas to assist in developing appropriate local or regional solutions to prevent the poisoning of migratory birds.</w:t>
      </w:r>
    </w:p>
    <w:p w14:paraId="65D69F43" w14:textId="7EDF29B7" w:rsidR="000B4DEF" w:rsidRDefault="000B4DEF" w:rsidP="00CE5B4C">
      <w:pPr>
        <w:spacing w:after="0" w:line="240" w:lineRule="auto"/>
        <w:rPr>
          <w:lang w:val="en-GB"/>
        </w:rPr>
      </w:pPr>
    </w:p>
    <w:p w14:paraId="5C16CF66" w14:textId="77777777" w:rsidR="006406E6" w:rsidRDefault="006406E6">
      <w:pPr>
        <w:rPr>
          <w:lang w:val="en-GB"/>
        </w:rPr>
        <w:sectPr w:rsidR="006406E6" w:rsidSect="00D93628">
          <w:pgSz w:w="11906" w:h="16838" w:code="9"/>
          <w:pgMar w:top="1440" w:right="1440" w:bottom="1440" w:left="1440" w:header="720" w:footer="720" w:gutter="0"/>
          <w:cols w:space="720"/>
          <w:titlePg/>
          <w:docGrid w:linePitch="360"/>
        </w:sectPr>
      </w:pPr>
    </w:p>
    <w:p w14:paraId="52503DE7" w14:textId="10935CF0" w:rsidR="000B4DEF" w:rsidRDefault="006406E6" w:rsidP="006406E6">
      <w:pPr>
        <w:spacing w:after="0" w:line="240" w:lineRule="auto"/>
        <w:jc w:val="right"/>
        <w:rPr>
          <w:b/>
          <w:bCs/>
          <w:lang w:val="en-GB"/>
        </w:rPr>
      </w:pPr>
      <w:r w:rsidRPr="006406E6">
        <w:rPr>
          <w:b/>
          <w:bCs/>
          <w:lang w:val="en-GB"/>
        </w:rPr>
        <w:lastRenderedPageBreak/>
        <w:t>ANNEX 2</w:t>
      </w:r>
    </w:p>
    <w:p w14:paraId="3D724415" w14:textId="77777777" w:rsidR="006406E6" w:rsidRPr="006406E6" w:rsidRDefault="006406E6" w:rsidP="006406E6">
      <w:pPr>
        <w:spacing w:after="0" w:line="240" w:lineRule="auto"/>
        <w:jc w:val="right"/>
        <w:rPr>
          <w:b/>
          <w:bCs/>
          <w:lang w:val="en-GB"/>
        </w:rPr>
      </w:pPr>
    </w:p>
    <w:p w14:paraId="7497CEA3" w14:textId="1256E60B" w:rsidR="00253AF0" w:rsidRDefault="006406E6" w:rsidP="006406E6">
      <w:pPr>
        <w:spacing w:after="0" w:line="240" w:lineRule="auto"/>
        <w:jc w:val="center"/>
        <w:rPr>
          <w:lang w:val="en-GB"/>
        </w:rPr>
      </w:pPr>
      <w:r>
        <w:rPr>
          <w:lang w:val="en-GB"/>
        </w:rPr>
        <w:t>DRAFT DECISIONS</w:t>
      </w:r>
    </w:p>
    <w:p w14:paraId="726820FD" w14:textId="77777777" w:rsidR="006406E6" w:rsidRDefault="006406E6" w:rsidP="006406E6">
      <w:pPr>
        <w:spacing w:after="0" w:line="240" w:lineRule="auto"/>
        <w:rPr>
          <w:lang w:val="en-GB"/>
        </w:rPr>
      </w:pPr>
    </w:p>
    <w:p w14:paraId="2E49281D" w14:textId="77777777" w:rsidR="0058670F" w:rsidRPr="002C69C3" w:rsidRDefault="0058670F" w:rsidP="0058670F">
      <w:pPr>
        <w:keepNext/>
        <w:spacing w:after="0"/>
        <w:jc w:val="center"/>
        <w:outlineLvl w:val="3"/>
        <w:rPr>
          <w:b/>
          <w:bCs/>
        </w:rPr>
      </w:pPr>
      <w:r w:rsidRPr="002C69C3">
        <w:rPr>
          <w:b/>
          <w:bCs/>
        </w:rPr>
        <w:t>PREVENTING POISONING OF MIGRATORY BIRDS</w:t>
      </w:r>
    </w:p>
    <w:p w14:paraId="296D3439" w14:textId="77777777" w:rsidR="003E2CB1" w:rsidRDefault="003E2CB1" w:rsidP="003E2CB1">
      <w:pPr>
        <w:spacing w:after="0"/>
        <w:jc w:val="both"/>
        <w:rPr>
          <w:b/>
          <w:bCs/>
          <w:i/>
          <w:iCs/>
        </w:rPr>
      </w:pPr>
    </w:p>
    <w:p w14:paraId="473B0AD5" w14:textId="77777777" w:rsidR="00453114" w:rsidRDefault="00453114" w:rsidP="003E2CB1">
      <w:pPr>
        <w:spacing w:after="0"/>
        <w:jc w:val="both"/>
        <w:rPr>
          <w:b/>
          <w:bCs/>
          <w:i/>
          <w:iCs/>
        </w:rPr>
      </w:pPr>
    </w:p>
    <w:p w14:paraId="0D29BC9D" w14:textId="6746FD38" w:rsidR="003E2CB1" w:rsidRPr="002C69C3" w:rsidRDefault="003E2CB1" w:rsidP="003E2CB1">
      <w:pPr>
        <w:spacing w:after="0"/>
        <w:jc w:val="both"/>
        <w:rPr>
          <w:b/>
          <w:bCs/>
          <w:i/>
          <w:iCs/>
        </w:rPr>
      </w:pPr>
      <w:r w:rsidRPr="002C69C3">
        <w:rPr>
          <w:b/>
          <w:bCs/>
          <w:i/>
          <w:iCs/>
        </w:rPr>
        <w:t>Directed to Parties</w:t>
      </w:r>
    </w:p>
    <w:p w14:paraId="69E1C2B9" w14:textId="77777777" w:rsidR="006406E6" w:rsidRDefault="006406E6" w:rsidP="00445AB0">
      <w:pPr>
        <w:spacing w:after="0" w:line="240" w:lineRule="auto"/>
        <w:jc w:val="both"/>
        <w:rPr>
          <w:lang w:val="en-GB"/>
        </w:rPr>
      </w:pPr>
    </w:p>
    <w:p w14:paraId="677D75D6" w14:textId="1539E675" w:rsidR="00D526DA" w:rsidRPr="003372A5" w:rsidRDefault="00D526DA" w:rsidP="008C311A">
      <w:pPr>
        <w:shd w:val="clear" w:color="auto" w:fill="FFFFFF"/>
        <w:spacing w:after="0" w:line="233" w:lineRule="atLeast"/>
        <w:ind w:left="851" w:hanging="851"/>
        <w:jc w:val="both"/>
      </w:pPr>
      <w:r w:rsidRPr="003372A5">
        <w:t>15.AA</w:t>
      </w:r>
      <w:r w:rsidRPr="003372A5">
        <w:tab/>
        <w:t>Parties are encouraged to</w:t>
      </w:r>
      <w:r w:rsidR="008C673C" w:rsidRPr="003372A5">
        <w:t>:</w:t>
      </w:r>
    </w:p>
    <w:p w14:paraId="1C296941" w14:textId="2E9A10A6" w:rsidR="006406E6" w:rsidRPr="003372A5" w:rsidRDefault="006406E6" w:rsidP="00C46522">
      <w:pPr>
        <w:spacing w:after="0" w:line="240" w:lineRule="auto"/>
        <w:jc w:val="both"/>
        <w:rPr>
          <w:lang w:val="en-GB"/>
        </w:rPr>
      </w:pPr>
    </w:p>
    <w:p w14:paraId="139F3275" w14:textId="7AF5DE6F" w:rsidR="007A3D37" w:rsidRPr="003372A5" w:rsidRDefault="008866F7" w:rsidP="00A567FD">
      <w:pPr>
        <w:pStyle w:val="ListParagraph"/>
        <w:numPr>
          <w:ilvl w:val="0"/>
          <w:numId w:val="26"/>
        </w:numPr>
        <w:spacing w:after="40" w:line="240" w:lineRule="auto"/>
        <w:ind w:left="1418" w:hanging="567"/>
        <w:contextualSpacing w:val="0"/>
        <w:jc w:val="both"/>
        <w:rPr>
          <w:lang w:val="en-GB"/>
        </w:rPr>
      </w:pPr>
      <w:r w:rsidRPr="003372A5">
        <w:rPr>
          <w:lang w:val="en-GB"/>
        </w:rPr>
        <w:t xml:space="preserve">undertake national review and monitoring exercises to </w:t>
      </w:r>
      <w:r w:rsidR="008C6D93" w:rsidRPr="003372A5">
        <w:rPr>
          <w:lang w:val="en-GB"/>
        </w:rPr>
        <w:t>encourage</w:t>
      </w:r>
      <w:r w:rsidRPr="003372A5">
        <w:rPr>
          <w:lang w:val="en-GB"/>
        </w:rPr>
        <w:t xml:space="preserve"> implementation of the phase</w:t>
      </w:r>
      <w:r w:rsidR="002578DB" w:rsidRPr="003372A5">
        <w:rPr>
          <w:lang w:val="en-GB"/>
        </w:rPr>
        <w:t>-out</w:t>
      </w:r>
      <w:r w:rsidRPr="003372A5">
        <w:rPr>
          <w:lang w:val="en-GB"/>
        </w:rPr>
        <w:t xml:space="preserve"> of lead ammunition and lead fishing weights, and </w:t>
      </w:r>
      <w:r w:rsidR="000723B6" w:rsidRPr="003372A5">
        <w:rPr>
          <w:lang w:val="en-GB"/>
        </w:rPr>
        <w:t>in doing so</w:t>
      </w:r>
      <w:r w:rsidRPr="003372A5">
        <w:rPr>
          <w:lang w:val="en-GB"/>
        </w:rPr>
        <w:t>:</w:t>
      </w:r>
      <w:r w:rsidR="00654D41" w:rsidRPr="003372A5">
        <w:rPr>
          <w:lang w:val="en-GB"/>
        </w:rPr>
        <w:t xml:space="preserve"> </w:t>
      </w:r>
    </w:p>
    <w:p w14:paraId="21547EA6" w14:textId="31226F8B" w:rsidR="00064322" w:rsidRPr="003372A5" w:rsidRDefault="00064322" w:rsidP="00A567FD">
      <w:pPr>
        <w:pStyle w:val="ListParagraph"/>
        <w:numPr>
          <w:ilvl w:val="0"/>
          <w:numId w:val="22"/>
        </w:numPr>
        <w:spacing w:after="40" w:line="240" w:lineRule="auto"/>
        <w:ind w:left="1985" w:hanging="425"/>
        <w:contextualSpacing w:val="0"/>
        <w:jc w:val="both"/>
        <w:rPr>
          <w:lang w:val="en-GB"/>
        </w:rPr>
      </w:pPr>
      <w:r w:rsidRPr="003372A5">
        <w:rPr>
          <w:lang w:val="en-GB"/>
        </w:rPr>
        <w:t>review, in light of the scientific evidence of the harms caused by lead ammunition to wildlife and the wider environment, the provisions and effectiveness of</w:t>
      </w:r>
      <w:r w:rsidR="00AA7D67" w:rsidRPr="003372A5">
        <w:rPr>
          <w:lang w:val="en-GB"/>
        </w:rPr>
        <w:t xml:space="preserve"> </w:t>
      </w:r>
      <w:r w:rsidRPr="003372A5">
        <w:rPr>
          <w:lang w:val="en-GB"/>
        </w:rPr>
        <w:t>implementation of their legal instruments (legislation and policies) that regulate the</w:t>
      </w:r>
      <w:r w:rsidR="00AA7D67" w:rsidRPr="003372A5">
        <w:rPr>
          <w:lang w:val="en-GB"/>
        </w:rPr>
        <w:t xml:space="preserve"> </w:t>
      </w:r>
      <w:r w:rsidRPr="003372A5">
        <w:rPr>
          <w:lang w:val="en-GB"/>
        </w:rPr>
        <w:t>use of lead ammunition and lead fishing weights, and modify these or introduce</w:t>
      </w:r>
      <w:r w:rsidR="00AA7D67" w:rsidRPr="003372A5">
        <w:rPr>
          <w:lang w:val="en-GB"/>
        </w:rPr>
        <w:t xml:space="preserve"> </w:t>
      </w:r>
      <w:r w:rsidRPr="003372A5">
        <w:rPr>
          <w:lang w:val="en-GB"/>
        </w:rPr>
        <w:t>additional measures where necessary to restrict use of lead in ammunition and</w:t>
      </w:r>
      <w:r w:rsidR="00AA7D67" w:rsidRPr="003372A5">
        <w:rPr>
          <w:lang w:val="en-GB"/>
        </w:rPr>
        <w:t xml:space="preserve"> </w:t>
      </w:r>
      <w:r w:rsidRPr="003372A5">
        <w:rPr>
          <w:lang w:val="en-GB"/>
        </w:rPr>
        <w:t>fishing weights;</w:t>
      </w:r>
    </w:p>
    <w:p w14:paraId="478A5656" w14:textId="77777777" w:rsidR="00AA7D67" w:rsidRPr="003372A5" w:rsidRDefault="00064322" w:rsidP="00A567FD">
      <w:pPr>
        <w:pStyle w:val="ListParagraph"/>
        <w:numPr>
          <w:ilvl w:val="0"/>
          <w:numId w:val="22"/>
        </w:numPr>
        <w:spacing w:after="40" w:line="240" w:lineRule="auto"/>
        <w:ind w:left="1985" w:hanging="425"/>
        <w:contextualSpacing w:val="0"/>
        <w:jc w:val="both"/>
        <w:rPr>
          <w:lang w:val="en-GB"/>
        </w:rPr>
      </w:pPr>
      <w:r w:rsidRPr="003372A5">
        <w:rPr>
          <w:lang w:val="en-GB"/>
        </w:rPr>
        <w:t>actively facilitate and support the development and availability of expanded product ranges of non-toxic alternative to lead ammunition and fishing weights, including through the innovative use of economic measures;</w:t>
      </w:r>
    </w:p>
    <w:p w14:paraId="28EFEC31" w14:textId="77777777" w:rsidR="00AA7D67" w:rsidRPr="003372A5" w:rsidRDefault="00064322" w:rsidP="00A567FD">
      <w:pPr>
        <w:pStyle w:val="ListParagraph"/>
        <w:numPr>
          <w:ilvl w:val="0"/>
          <w:numId w:val="22"/>
        </w:numPr>
        <w:spacing w:after="40" w:line="240" w:lineRule="auto"/>
        <w:ind w:left="1985" w:hanging="425"/>
        <w:contextualSpacing w:val="0"/>
        <w:jc w:val="both"/>
        <w:rPr>
          <w:lang w:val="en-GB"/>
        </w:rPr>
      </w:pPr>
      <w:r w:rsidRPr="003372A5">
        <w:rPr>
          <w:lang w:val="en-GB"/>
        </w:rPr>
        <w:t xml:space="preserve">implement ongoing national-level monitoring and collate and </w:t>
      </w:r>
      <w:proofErr w:type="spellStart"/>
      <w:r w:rsidRPr="003372A5">
        <w:rPr>
          <w:lang w:val="en-GB"/>
        </w:rPr>
        <w:t>analyze</w:t>
      </w:r>
      <w:proofErr w:type="spellEnd"/>
      <w:r w:rsidRPr="003372A5">
        <w:rPr>
          <w:lang w:val="en-GB"/>
        </w:rPr>
        <w:t xml:space="preserve"> information on shooting activities, ammunition use across different areas and over time, and compliance with any restrictions;</w:t>
      </w:r>
    </w:p>
    <w:p w14:paraId="2BAB3C63" w14:textId="7AE56EA6" w:rsidR="00AA7D67" w:rsidRPr="003372A5" w:rsidRDefault="00064322" w:rsidP="00A567FD">
      <w:pPr>
        <w:pStyle w:val="ListParagraph"/>
        <w:numPr>
          <w:ilvl w:val="0"/>
          <w:numId w:val="22"/>
        </w:numPr>
        <w:spacing w:after="40" w:line="240" w:lineRule="auto"/>
        <w:ind w:left="1985" w:hanging="425"/>
        <w:contextualSpacing w:val="0"/>
        <w:jc w:val="both"/>
        <w:rPr>
          <w:lang w:val="en-GB"/>
        </w:rPr>
      </w:pPr>
      <w:r w:rsidRPr="003372A5">
        <w:rPr>
          <w:lang w:val="en-GB"/>
        </w:rPr>
        <w:t>collate national information on shooting activities, ammunition use across different areas and over time, and compliance; and map this information against at-risk migratory bird habitats to determine likely affected areas and scale of impacts;</w:t>
      </w:r>
    </w:p>
    <w:p w14:paraId="510D4D6B" w14:textId="3848C2E9" w:rsidR="00AA7D67" w:rsidRPr="003372A5" w:rsidRDefault="00064322" w:rsidP="00C46522">
      <w:pPr>
        <w:pStyle w:val="ListParagraph"/>
        <w:numPr>
          <w:ilvl w:val="0"/>
          <w:numId w:val="22"/>
        </w:numPr>
        <w:spacing w:after="0" w:line="240" w:lineRule="auto"/>
        <w:ind w:left="1985" w:hanging="425"/>
        <w:contextualSpacing w:val="0"/>
        <w:jc w:val="both"/>
        <w:rPr>
          <w:lang w:val="en-GB"/>
        </w:rPr>
      </w:pPr>
      <w:r w:rsidRPr="003372A5">
        <w:rPr>
          <w:lang w:val="en-GB"/>
        </w:rPr>
        <w:t xml:space="preserve">share </w:t>
      </w:r>
      <w:r w:rsidR="00603DAD" w:rsidRPr="003372A5">
        <w:rPr>
          <w:lang w:val="en-GB"/>
        </w:rPr>
        <w:t xml:space="preserve">information on progress made on </w:t>
      </w:r>
      <w:r w:rsidR="0073474A" w:rsidRPr="003372A5">
        <w:rPr>
          <w:lang w:val="en-GB"/>
        </w:rPr>
        <w:t xml:space="preserve">activities </w:t>
      </w:r>
      <w:r w:rsidR="00603DAD" w:rsidRPr="003372A5">
        <w:rPr>
          <w:lang w:val="en-GB"/>
        </w:rPr>
        <w:t>i. and ii.</w:t>
      </w:r>
      <w:r w:rsidR="0073474A" w:rsidRPr="003372A5">
        <w:rPr>
          <w:lang w:val="en-GB"/>
        </w:rPr>
        <w:t xml:space="preserve"> above</w:t>
      </w:r>
      <w:r w:rsidR="00603DAD" w:rsidRPr="003372A5">
        <w:rPr>
          <w:lang w:val="en-GB"/>
        </w:rPr>
        <w:t xml:space="preserve">, and </w:t>
      </w:r>
      <w:r w:rsidRPr="003372A5">
        <w:rPr>
          <w:lang w:val="en-GB"/>
        </w:rPr>
        <w:t>th</w:t>
      </w:r>
      <w:r w:rsidR="00603DAD" w:rsidRPr="003372A5">
        <w:rPr>
          <w:lang w:val="en-GB"/>
        </w:rPr>
        <w:t>e</w:t>
      </w:r>
      <w:r w:rsidRPr="003372A5">
        <w:rPr>
          <w:lang w:val="en-GB"/>
        </w:rPr>
        <w:t xml:space="preserve"> information </w:t>
      </w:r>
      <w:r w:rsidR="0073474A" w:rsidRPr="003372A5">
        <w:rPr>
          <w:lang w:val="en-GB"/>
        </w:rPr>
        <w:t>collated from activities iii. and iv.</w:t>
      </w:r>
      <w:r w:rsidRPr="003372A5">
        <w:rPr>
          <w:lang w:val="en-GB"/>
        </w:rPr>
        <w:t xml:space="preserve"> with the Secretariat </w:t>
      </w:r>
      <w:r w:rsidR="00EA7E69" w:rsidRPr="003372A5">
        <w:rPr>
          <w:lang w:val="en-GB"/>
        </w:rPr>
        <w:t xml:space="preserve">for use by </w:t>
      </w:r>
      <w:r w:rsidRPr="003372A5">
        <w:rPr>
          <w:lang w:val="en-GB"/>
        </w:rPr>
        <w:t>the Intergovernmental Task Force on Phasing Out the Use of Lead Ammunition and Lead Fishing Weights (Lead Task</w:t>
      </w:r>
      <w:r w:rsidR="005619C5" w:rsidRPr="003372A5">
        <w:rPr>
          <w:lang w:val="en-GB"/>
        </w:rPr>
        <w:t xml:space="preserve"> </w:t>
      </w:r>
      <w:r w:rsidRPr="003372A5">
        <w:rPr>
          <w:lang w:val="en-GB"/>
        </w:rPr>
        <w:t>Force);</w:t>
      </w:r>
    </w:p>
    <w:p w14:paraId="01BF8428" w14:textId="77777777" w:rsidR="00B51637" w:rsidRPr="003372A5" w:rsidRDefault="00B51637" w:rsidP="00445AB0">
      <w:pPr>
        <w:pStyle w:val="ListParagraph"/>
        <w:spacing w:after="0" w:line="240" w:lineRule="auto"/>
        <w:jc w:val="both"/>
        <w:rPr>
          <w:lang w:val="en-GB"/>
        </w:rPr>
      </w:pPr>
    </w:p>
    <w:p w14:paraId="3C09BE63" w14:textId="52EB9095" w:rsidR="00B51637" w:rsidRPr="003372A5" w:rsidRDefault="00B51637" w:rsidP="008C311A">
      <w:pPr>
        <w:pStyle w:val="ListParagraph"/>
        <w:numPr>
          <w:ilvl w:val="0"/>
          <w:numId w:val="26"/>
        </w:numPr>
        <w:spacing w:after="0" w:line="240" w:lineRule="auto"/>
        <w:ind w:left="1418" w:hanging="567"/>
        <w:contextualSpacing w:val="0"/>
        <w:jc w:val="both"/>
        <w:rPr>
          <w:lang w:val="en-GB"/>
        </w:rPr>
      </w:pPr>
      <w:r w:rsidRPr="003372A5">
        <w:rPr>
          <w:rFonts w:eastAsia="Arial" w:cs="Arial"/>
        </w:rPr>
        <w:t>nominate representatives to the Lead Task Force</w:t>
      </w:r>
      <w:r w:rsidR="00445AB0" w:rsidRPr="003372A5">
        <w:rPr>
          <w:rFonts w:eastAsia="Arial" w:cs="Arial"/>
        </w:rPr>
        <w:t>;</w:t>
      </w:r>
    </w:p>
    <w:p w14:paraId="4C19EB9E" w14:textId="77777777" w:rsidR="005619C5" w:rsidRPr="003372A5" w:rsidRDefault="005619C5" w:rsidP="008C311A">
      <w:pPr>
        <w:pStyle w:val="ListParagraph"/>
        <w:spacing w:after="0" w:line="240" w:lineRule="auto"/>
        <w:ind w:left="1418" w:hanging="567"/>
        <w:contextualSpacing w:val="0"/>
        <w:jc w:val="both"/>
        <w:rPr>
          <w:lang w:val="en-GB"/>
        </w:rPr>
      </w:pPr>
    </w:p>
    <w:p w14:paraId="6A043823" w14:textId="543D3CC3" w:rsidR="00064322" w:rsidRPr="003372A5" w:rsidRDefault="00064322" w:rsidP="008C311A">
      <w:pPr>
        <w:pStyle w:val="ListParagraph"/>
        <w:numPr>
          <w:ilvl w:val="0"/>
          <w:numId w:val="26"/>
        </w:numPr>
        <w:spacing w:after="0" w:line="240" w:lineRule="auto"/>
        <w:ind w:left="1418" w:hanging="567"/>
        <w:contextualSpacing w:val="0"/>
        <w:jc w:val="both"/>
        <w:rPr>
          <w:lang w:val="en-GB"/>
        </w:rPr>
      </w:pPr>
      <w:r w:rsidRPr="003372A5">
        <w:rPr>
          <w:lang w:val="en-GB"/>
        </w:rPr>
        <w:t>take active measures to implement the recommendations set out in</w:t>
      </w:r>
      <w:r w:rsidR="005619C5" w:rsidRPr="003372A5">
        <w:rPr>
          <w:lang w:val="en-GB"/>
        </w:rPr>
        <w:t xml:space="preserve"> </w:t>
      </w:r>
      <w:r w:rsidRPr="003372A5">
        <w:rPr>
          <w:lang w:val="en-GB"/>
        </w:rPr>
        <w:t>UNEP/CMS/COP11/Doc.23.1.2 Annex 2 to substitute lead ammunition and fishing weights for non-toxic alternatives; and</w:t>
      </w:r>
    </w:p>
    <w:p w14:paraId="591C011C" w14:textId="77777777" w:rsidR="005619C5" w:rsidRPr="003372A5" w:rsidRDefault="005619C5" w:rsidP="008C311A">
      <w:pPr>
        <w:pStyle w:val="ListParagraph"/>
        <w:spacing w:after="0" w:line="240" w:lineRule="auto"/>
        <w:ind w:left="1418" w:hanging="567"/>
        <w:contextualSpacing w:val="0"/>
        <w:jc w:val="both"/>
        <w:rPr>
          <w:lang w:val="en-GB"/>
        </w:rPr>
      </w:pPr>
    </w:p>
    <w:p w14:paraId="7E2BB974" w14:textId="0C78D32A" w:rsidR="005619C5" w:rsidRPr="003372A5" w:rsidRDefault="005619C5" w:rsidP="008C311A">
      <w:pPr>
        <w:pStyle w:val="ListParagraph"/>
        <w:numPr>
          <w:ilvl w:val="0"/>
          <w:numId w:val="26"/>
        </w:numPr>
        <w:spacing w:after="0" w:line="240" w:lineRule="auto"/>
        <w:ind w:left="1418" w:hanging="567"/>
        <w:contextualSpacing w:val="0"/>
        <w:jc w:val="both"/>
        <w:rPr>
          <w:lang w:val="en-GB"/>
        </w:rPr>
      </w:pPr>
      <w:r w:rsidRPr="003372A5">
        <w:rPr>
          <w:lang w:val="en-GB"/>
        </w:rPr>
        <w:t>enhance and continue efforts to prevent poisoning of migratory birds to contribute to achieving the Kunming-Montreal Global Biodiversity Framework.</w:t>
      </w:r>
    </w:p>
    <w:p w14:paraId="74B2539E" w14:textId="59735A58" w:rsidR="00A567FD" w:rsidRDefault="00A567FD" w:rsidP="008C311A">
      <w:pPr>
        <w:spacing w:after="0"/>
        <w:ind w:left="1418" w:hanging="567"/>
        <w:jc w:val="both"/>
        <w:rPr>
          <w:b/>
          <w:bCs/>
          <w:i/>
          <w:iCs/>
        </w:rPr>
      </w:pPr>
      <w:r>
        <w:rPr>
          <w:b/>
          <w:bCs/>
          <w:i/>
          <w:iCs/>
        </w:rPr>
        <w:br w:type="page"/>
      </w:r>
    </w:p>
    <w:p w14:paraId="27C09CD9" w14:textId="0C109F0C" w:rsidR="00944468" w:rsidRPr="003372A5" w:rsidRDefault="00944468" w:rsidP="00A567FD">
      <w:pPr>
        <w:spacing w:after="0" w:line="240" w:lineRule="auto"/>
        <w:jc w:val="both"/>
        <w:rPr>
          <w:b/>
          <w:bCs/>
          <w:i/>
          <w:iCs/>
        </w:rPr>
      </w:pPr>
      <w:r w:rsidRPr="003372A5">
        <w:rPr>
          <w:b/>
          <w:bCs/>
          <w:i/>
          <w:iCs/>
        </w:rPr>
        <w:lastRenderedPageBreak/>
        <w:t>Directed to Parties, intergovernmental organizations, non-governmental organizations, donors and others</w:t>
      </w:r>
    </w:p>
    <w:p w14:paraId="45350D63" w14:textId="77777777" w:rsidR="00944468" w:rsidRPr="003372A5" w:rsidRDefault="00944468" w:rsidP="00A567FD">
      <w:pPr>
        <w:spacing w:after="0" w:line="240" w:lineRule="auto"/>
        <w:jc w:val="both"/>
        <w:rPr>
          <w:lang w:val="en-GB"/>
        </w:rPr>
      </w:pPr>
    </w:p>
    <w:p w14:paraId="32B39613" w14:textId="76606892" w:rsidR="00BF5348" w:rsidRPr="003372A5" w:rsidRDefault="00BF5348" w:rsidP="00A567FD">
      <w:pPr>
        <w:spacing w:after="0" w:line="240" w:lineRule="auto"/>
        <w:ind w:left="851" w:hanging="851"/>
        <w:jc w:val="both"/>
      </w:pPr>
      <w:r w:rsidRPr="003372A5">
        <w:t>15.BB</w:t>
      </w:r>
      <w:r w:rsidRPr="003372A5">
        <w:tab/>
        <w:t>Parties, intergovernmental and non-governmental organizations and donors are encouraged to</w:t>
      </w:r>
      <w:r w:rsidR="00146A65" w:rsidRPr="003372A5">
        <w:t xml:space="preserve"> </w:t>
      </w:r>
      <w:r w:rsidR="00146A65" w:rsidRPr="003372A5">
        <w:rPr>
          <w:lang w:val="en-GB"/>
        </w:rPr>
        <w:t>provide financial support for</w:t>
      </w:r>
      <w:r w:rsidRPr="003372A5">
        <w:t>:</w:t>
      </w:r>
    </w:p>
    <w:p w14:paraId="6DA46354" w14:textId="77777777" w:rsidR="00C22C8A" w:rsidRPr="003372A5" w:rsidRDefault="00C22C8A" w:rsidP="00A567FD">
      <w:pPr>
        <w:spacing w:after="0" w:line="240" w:lineRule="auto"/>
        <w:jc w:val="both"/>
        <w:rPr>
          <w:b/>
          <w:bCs/>
          <w:i/>
          <w:iCs/>
        </w:rPr>
      </w:pPr>
    </w:p>
    <w:p w14:paraId="5693B111" w14:textId="3A1DE5A2" w:rsidR="00C22C8A" w:rsidRPr="003372A5" w:rsidRDefault="00E04CA5" w:rsidP="00A567FD">
      <w:pPr>
        <w:pStyle w:val="ListParagraph"/>
        <w:numPr>
          <w:ilvl w:val="0"/>
          <w:numId w:val="23"/>
        </w:numPr>
        <w:spacing w:after="0" w:line="240" w:lineRule="auto"/>
        <w:ind w:left="1418" w:hanging="567"/>
        <w:contextualSpacing w:val="0"/>
        <w:jc w:val="both"/>
        <w:rPr>
          <w:lang w:val="en-GB"/>
        </w:rPr>
      </w:pPr>
      <w:r w:rsidRPr="003372A5">
        <w:rPr>
          <w:lang w:val="en-GB"/>
        </w:rPr>
        <w:t>an</w:t>
      </w:r>
      <w:r w:rsidRPr="003372A5">
        <w:rPr>
          <w:rFonts w:eastAsia="Arial" w:cs="Arial"/>
        </w:rPr>
        <w:t xml:space="preserve"> analysis of the current impacts and hotspots of poisoning of migratory wildlife</w:t>
      </w:r>
      <w:r w:rsidR="00C22C8A" w:rsidRPr="003372A5">
        <w:rPr>
          <w:rFonts w:eastAsia="Arial" w:cs="Arial"/>
        </w:rPr>
        <w:t>;</w:t>
      </w:r>
    </w:p>
    <w:p w14:paraId="39261504" w14:textId="77777777" w:rsidR="00294E48" w:rsidRPr="003372A5" w:rsidRDefault="00294E48" w:rsidP="00A567FD">
      <w:pPr>
        <w:pStyle w:val="ListParagraph"/>
        <w:spacing w:after="0" w:line="240" w:lineRule="auto"/>
        <w:ind w:left="1418" w:hanging="567"/>
        <w:contextualSpacing w:val="0"/>
        <w:jc w:val="both"/>
        <w:rPr>
          <w:lang w:val="en-GB"/>
        </w:rPr>
      </w:pPr>
    </w:p>
    <w:p w14:paraId="24EAB569" w14:textId="587C1787" w:rsidR="002F5717" w:rsidRPr="003372A5" w:rsidRDefault="00C22C8A" w:rsidP="00A567FD">
      <w:pPr>
        <w:pStyle w:val="ListParagraph"/>
        <w:numPr>
          <w:ilvl w:val="0"/>
          <w:numId w:val="23"/>
        </w:numPr>
        <w:spacing w:after="0" w:line="240" w:lineRule="auto"/>
        <w:ind w:left="1418" w:hanging="567"/>
        <w:contextualSpacing w:val="0"/>
        <w:jc w:val="both"/>
        <w:rPr>
          <w:lang w:val="en-GB"/>
        </w:rPr>
      </w:pPr>
      <w:r w:rsidRPr="003372A5">
        <w:rPr>
          <w:rFonts w:eastAsia="Arial" w:cs="Arial"/>
        </w:rPr>
        <w:t>an update of the</w:t>
      </w:r>
      <w:r w:rsidR="00294E48" w:rsidRPr="003372A5">
        <w:t xml:space="preserve"> Guidelines to Prevent the Risk of Poisoning to Migratory Birds (UNEP/CMS/COP11/Doc.23.1.2 Annex 2)</w:t>
      </w:r>
      <w:r w:rsidR="00643504" w:rsidRPr="003372A5">
        <w:t>; and</w:t>
      </w:r>
    </w:p>
    <w:p w14:paraId="215A19D6" w14:textId="77777777" w:rsidR="00643504" w:rsidRPr="003372A5" w:rsidRDefault="00643504" w:rsidP="00A567FD">
      <w:pPr>
        <w:pStyle w:val="ListParagraph"/>
        <w:spacing w:after="0" w:line="240" w:lineRule="auto"/>
        <w:ind w:left="1418" w:hanging="567"/>
        <w:contextualSpacing w:val="0"/>
        <w:jc w:val="both"/>
        <w:rPr>
          <w:lang w:val="en-GB"/>
        </w:rPr>
      </w:pPr>
    </w:p>
    <w:p w14:paraId="2EE21A05" w14:textId="263BCB48" w:rsidR="008E2D17" w:rsidRPr="003372A5" w:rsidRDefault="002F5717" w:rsidP="00A567FD">
      <w:pPr>
        <w:pStyle w:val="ListParagraph"/>
        <w:numPr>
          <w:ilvl w:val="0"/>
          <w:numId w:val="23"/>
        </w:numPr>
        <w:spacing w:after="0" w:line="240" w:lineRule="auto"/>
        <w:ind w:left="1418" w:hanging="567"/>
        <w:contextualSpacing w:val="0"/>
        <w:jc w:val="both"/>
        <w:rPr>
          <w:lang w:val="en-GB"/>
        </w:rPr>
      </w:pPr>
      <w:r w:rsidRPr="003372A5">
        <w:t xml:space="preserve">meetings </w:t>
      </w:r>
      <w:r w:rsidR="00D55D1F" w:rsidRPr="003372A5">
        <w:t xml:space="preserve">of the Lead Task Force </w:t>
      </w:r>
      <w:r w:rsidRPr="003372A5">
        <w:t xml:space="preserve">and </w:t>
      </w:r>
      <w:r w:rsidR="00D55D1F" w:rsidRPr="003372A5">
        <w:t xml:space="preserve">the production of </w:t>
      </w:r>
      <w:r w:rsidRPr="003372A5">
        <w:t xml:space="preserve">communication outputs </w:t>
      </w:r>
      <w:r w:rsidR="00643504" w:rsidRPr="003372A5">
        <w:rPr>
          <w:rFonts w:eastAsia="Arial" w:cs="Arial"/>
        </w:rPr>
        <w:t>linked to priority areas/flyways</w:t>
      </w:r>
      <w:r w:rsidR="00175EE6" w:rsidRPr="003372A5">
        <w:rPr>
          <w:rFonts w:eastAsia="Arial" w:cs="Arial"/>
        </w:rPr>
        <w:t>.</w:t>
      </w:r>
    </w:p>
    <w:p w14:paraId="75BADBE5" w14:textId="77777777" w:rsidR="000C375B" w:rsidRPr="003372A5" w:rsidRDefault="000C375B" w:rsidP="00A567FD">
      <w:pPr>
        <w:spacing w:after="0" w:line="240" w:lineRule="auto"/>
        <w:jc w:val="both"/>
        <w:rPr>
          <w:b/>
          <w:bCs/>
          <w:i/>
          <w:iCs/>
        </w:rPr>
      </w:pPr>
    </w:p>
    <w:p w14:paraId="6F70770B" w14:textId="010346AC" w:rsidR="008E2D17" w:rsidRPr="003372A5" w:rsidRDefault="001C2C8E" w:rsidP="00A567FD">
      <w:pPr>
        <w:spacing w:after="0" w:line="240" w:lineRule="auto"/>
        <w:jc w:val="both"/>
        <w:rPr>
          <w:b/>
          <w:bCs/>
          <w:i/>
          <w:iCs/>
        </w:rPr>
      </w:pPr>
      <w:r w:rsidRPr="003372A5">
        <w:rPr>
          <w:b/>
          <w:bCs/>
          <w:i/>
          <w:iCs/>
        </w:rPr>
        <w:t>Directed to the Scientific Council:</w:t>
      </w:r>
    </w:p>
    <w:p w14:paraId="5682A4E1" w14:textId="77777777" w:rsidR="001C2C8E" w:rsidRPr="003372A5" w:rsidRDefault="001C2C8E" w:rsidP="00A567FD">
      <w:pPr>
        <w:spacing w:after="0" w:line="240" w:lineRule="auto"/>
        <w:jc w:val="both"/>
        <w:rPr>
          <w:b/>
          <w:bCs/>
          <w:i/>
          <w:iCs/>
        </w:rPr>
      </w:pPr>
    </w:p>
    <w:p w14:paraId="4F50BC21" w14:textId="03DFA556" w:rsidR="00955F0F" w:rsidRPr="003372A5" w:rsidRDefault="00A44D89" w:rsidP="00A567FD">
      <w:pPr>
        <w:spacing w:after="0" w:line="240" w:lineRule="auto"/>
        <w:ind w:left="851" w:hanging="851"/>
        <w:jc w:val="both"/>
      </w:pPr>
      <w:r w:rsidRPr="003372A5">
        <w:t>15.CC</w:t>
      </w:r>
      <w:r w:rsidR="000302D4" w:rsidRPr="003372A5">
        <w:tab/>
      </w:r>
      <w:r w:rsidR="00882FE4" w:rsidRPr="003372A5">
        <w:t>The Scientific Council is requested, subject to the availability of resources, to</w:t>
      </w:r>
      <w:r w:rsidR="004D39E0" w:rsidRPr="003372A5">
        <w:t xml:space="preserve"> provide feedback</w:t>
      </w:r>
      <w:r w:rsidR="00A556E0" w:rsidRPr="003372A5">
        <w:t xml:space="preserve"> and </w:t>
      </w:r>
      <w:proofErr w:type="gramStart"/>
      <w:r w:rsidR="00A556E0" w:rsidRPr="003372A5">
        <w:t>inputs to</w:t>
      </w:r>
      <w:proofErr w:type="gramEnd"/>
      <w:r w:rsidR="00A556E0" w:rsidRPr="003372A5">
        <w:t xml:space="preserve"> relevant draft out</w:t>
      </w:r>
      <w:r w:rsidR="003A6976" w:rsidRPr="003372A5">
        <w:t xml:space="preserve">puts produced </w:t>
      </w:r>
      <w:r w:rsidR="006908D5" w:rsidRPr="003372A5">
        <w:t xml:space="preserve">under Decision </w:t>
      </w:r>
      <w:proofErr w:type="gramStart"/>
      <w:r w:rsidR="006908D5" w:rsidRPr="003372A5">
        <w:t>15.DD</w:t>
      </w:r>
      <w:r w:rsidR="008E513A" w:rsidRPr="003372A5">
        <w:t xml:space="preserve"> </w:t>
      </w:r>
      <w:r w:rsidR="0073474A" w:rsidRPr="003372A5">
        <w:t>d</w:t>
      </w:r>
      <w:proofErr w:type="gramEnd"/>
      <w:r w:rsidR="008E513A" w:rsidRPr="003372A5">
        <w:t xml:space="preserve">) and </w:t>
      </w:r>
      <w:r w:rsidR="0073474A" w:rsidRPr="003372A5">
        <w:t>e</w:t>
      </w:r>
      <w:r w:rsidR="008E513A" w:rsidRPr="003372A5">
        <w:t>)</w:t>
      </w:r>
      <w:r w:rsidR="00416CDD" w:rsidRPr="003372A5">
        <w:t>.</w:t>
      </w:r>
    </w:p>
    <w:p w14:paraId="68AB7A5B" w14:textId="77777777" w:rsidR="001C2C8E" w:rsidRPr="003372A5" w:rsidRDefault="001C2C8E" w:rsidP="00A567FD">
      <w:pPr>
        <w:spacing w:after="0" w:line="240" w:lineRule="auto"/>
        <w:jc w:val="both"/>
        <w:rPr>
          <w:b/>
          <w:bCs/>
          <w:i/>
          <w:iCs/>
        </w:rPr>
      </w:pPr>
    </w:p>
    <w:p w14:paraId="5F0DC9EA" w14:textId="582042B2" w:rsidR="00C33DE9" w:rsidRPr="003372A5" w:rsidRDefault="00C33DE9" w:rsidP="00445AB0">
      <w:pPr>
        <w:spacing w:after="0" w:line="240" w:lineRule="auto"/>
        <w:jc w:val="both"/>
        <w:rPr>
          <w:lang w:val="en-GB"/>
        </w:rPr>
      </w:pPr>
      <w:r w:rsidRPr="003372A5">
        <w:rPr>
          <w:b/>
          <w:bCs/>
          <w:i/>
          <w:iCs/>
        </w:rPr>
        <w:t>Directed to the Secretariat</w:t>
      </w:r>
    </w:p>
    <w:p w14:paraId="01037EB2" w14:textId="77777777" w:rsidR="0070406A" w:rsidRPr="003372A5" w:rsidRDefault="0070406A" w:rsidP="0070406A">
      <w:pPr>
        <w:spacing w:after="0"/>
        <w:jc w:val="both"/>
      </w:pPr>
    </w:p>
    <w:p w14:paraId="2F0807D3" w14:textId="78E37462" w:rsidR="00C33DE9" w:rsidRPr="003372A5" w:rsidRDefault="00C33DE9" w:rsidP="00715654">
      <w:pPr>
        <w:spacing w:after="0"/>
        <w:ind w:left="851" w:hanging="851"/>
        <w:jc w:val="both"/>
      </w:pPr>
      <w:r w:rsidRPr="003372A5">
        <w:t>1</w:t>
      </w:r>
      <w:r w:rsidR="0070406A" w:rsidRPr="003372A5">
        <w:t>5</w:t>
      </w:r>
      <w:r w:rsidRPr="003372A5">
        <w:t>.</w:t>
      </w:r>
      <w:r w:rsidR="000302D4" w:rsidRPr="003372A5">
        <w:t>DD</w:t>
      </w:r>
      <w:r w:rsidRPr="003372A5">
        <w:tab/>
        <w:t>The Secretariat shall, subject to the availability of resources:</w:t>
      </w:r>
    </w:p>
    <w:p w14:paraId="09ACA693" w14:textId="77777777" w:rsidR="00B61012" w:rsidRPr="003372A5" w:rsidRDefault="00B61012" w:rsidP="00445AB0">
      <w:pPr>
        <w:spacing w:after="0"/>
        <w:jc w:val="both"/>
      </w:pPr>
    </w:p>
    <w:p w14:paraId="5A835B75" w14:textId="028F7200" w:rsidR="00D218E8" w:rsidRPr="003372A5" w:rsidRDefault="00D218E8" w:rsidP="00C46522">
      <w:pPr>
        <w:pStyle w:val="ListParagraph"/>
        <w:numPr>
          <w:ilvl w:val="0"/>
          <w:numId w:val="25"/>
        </w:numPr>
        <w:spacing w:after="0" w:line="240" w:lineRule="auto"/>
        <w:ind w:left="1418" w:hanging="567"/>
        <w:contextualSpacing w:val="0"/>
        <w:jc w:val="both"/>
      </w:pPr>
      <w:r w:rsidRPr="003372A5">
        <w:t>appoint a Coordinator of the Intergovernmental Task Force on Phasing Out the Use of Lead Ammunition and Lead Fishing Weights (Lead Task Force) for the triennium 202</w:t>
      </w:r>
      <w:r w:rsidR="00AD6C59" w:rsidRPr="003372A5">
        <w:t>6</w:t>
      </w:r>
      <w:r w:rsidRPr="003372A5">
        <w:t>-202</w:t>
      </w:r>
      <w:r w:rsidR="00AD6C59" w:rsidRPr="003372A5">
        <w:t>9</w:t>
      </w:r>
      <w:r w:rsidRPr="003372A5">
        <w:t xml:space="preserve">, in collaboration with Parties, </w:t>
      </w:r>
      <w:r w:rsidR="005457AA" w:rsidRPr="003372A5">
        <w:t xml:space="preserve">and </w:t>
      </w:r>
      <w:r w:rsidR="00A9690F" w:rsidRPr="003372A5">
        <w:t>request</w:t>
      </w:r>
      <w:r w:rsidR="00230602" w:rsidRPr="003372A5">
        <w:t xml:space="preserve"> Parties through a notification to nominate representatives for the Task Force, </w:t>
      </w:r>
      <w:r w:rsidRPr="003372A5">
        <w:t xml:space="preserve">and </w:t>
      </w:r>
      <w:proofErr w:type="gramStart"/>
      <w:r w:rsidRPr="003372A5">
        <w:t>convene</w:t>
      </w:r>
      <w:proofErr w:type="gramEnd"/>
      <w:r w:rsidRPr="003372A5">
        <w:t xml:space="preserve"> the first meeting as early as possible after COP1</w:t>
      </w:r>
      <w:r w:rsidR="008E7C68" w:rsidRPr="003372A5">
        <w:t>5</w:t>
      </w:r>
      <w:r w:rsidRPr="003372A5">
        <w:t>;</w:t>
      </w:r>
    </w:p>
    <w:p w14:paraId="2BBCCBAE" w14:textId="77777777" w:rsidR="008E7C68" w:rsidRPr="003372A5" w:rsidRDefault="008E7C68" w:rsidP="00C46522">
      <w:pPr>
        <w:pStyle w:val="ListParagraph"/>
        <w:spacing w:after="0" w:line="240" w:lineRule="auto"/>
        <w:ind w:left="1418" w:hanging="567"/>
        <w:contextualSpacing w:val="0"/>
        <w:jc w:val="both"/>
      </w:pPr>
    </w:p>
    <w:p w14:paraId="76E3D718" w14:textId="1AF378FA" w:rsidR="0027111B" w:rsidRPr="003372A5" w:rsidRDefault="0027111B" w:rsidP="00C46522">
      <w:pPr>
        <w:pStyle w:val="ListParagraph"/>
        <w:numPr>
          <w:ilvl w:val="0"/>
          <w:numId w:val="25"/>
        </w:numPr>
        <w:spacing w:after="0" w:line="240" w:lineRule="auto"/>
        <w:ind w:left="1418" w:hanging="567"/>
        <w:contextualSpacing w:val="0"/>
        <w:jc w:val="both"/>
      </w:pPr>
      <w:r w:rsidRPr="003372A5">
        <w:t>provide guidance to</w:t>
      </w:r>
      <w:r w:rsidR="00230602" w:rsidRPr="003372A5">
        <w:t xml:space="preserve"> Parties on the implementation of Decision </w:t>
      </w:r>
      <w:proofErr w:type="gramStart"/>
      <w:r w:rsidR="00230602" w:rsidRPr="003372A5">
        <w:t>15.AA</w:t>
      </w:r>
      <w:proofErr w:type="gramEnd"/>
      <w:r w:rsidR="00230602" w:rsidRPr="003372A5">
        <w:t xml:space="preserve"> a)</w:t>
      </w:r>
      <w:r w:rsidR="003133AC" w:rsidRPr="003372A5">
        <w:t>, including through a notification</w:t>
      </w:r>
      <w:r w:rsidRPr="003372A5">
        <w:t>;</w:t>
      </w:r>
      <w:r w:rsidR="003133AC" w:rsidRPr="003372A5">
        <w:t xml:space="preserve"> </w:t>
      </w:r>
    </w:p>
    <w:p w14:paraId="1DBFA52A" w14:textId="77777777" w:rsidR="0027111B" w:rsidRPr="003372A5" w:rsidRDefault="0027111B" w:rsidP="00C46522">
      <w:pPr>
        <w:pStyle w:val="ListParagraph"/>
        <w:spacing w:after="0" w:line="240" w:lineRule="auto"/>
        <w:ind w:left="1418" w:hanging="567"/>
        <w:contextualSpacing w:val="0"/>
      </w:pPr>
    </w:p>
    <w:p w14:paraId="5526C841" w14:textId="6174BEEB" w:rsidR="008E7C68" w:rsidRPr="003372A5" w:rsidRDefault="00D218E8" w:rsidP="00C46522">
      <w:pPr>
        <w:pStyle w:val="ListParagraph"/>
        <w:numPr>
          <w:ilvl w:val="0"/>
          <w:numId w:val="25"/>
        </w:numPr>
        <w:spacing w:after="0" w:line="240" w:lineRule="auto"/>
        <w:ind w:left="1418" w:hanging="567"/>
        <w:contextualSpacing w:val="0"/>
        <w:jc w:val="both"/>
      </w:pPr>
      <w:r w:rsidRPr="003372A5">
        <w:t>collate the information provided by Parties in response to Decision 1</w:t>
      </w:r>
      <w:r w:rsidR="00DE69F9" w:rsidRPr="003372A5">
        <w:t>5</w:t>
      </w:r>
      <w:r w:rsidRPr="003372A5">
        <w:t>.AA</w:t>
      </w:r>
      <w:r w:rsidR="002E6207" w:rsidRPr="003372A5">
        <w:t xml:space="preserve"> a)</w:t>
      </w:r>
      <w:r w:rsidRPr="003372A5">
        <w:t xml:space="preserve"> through the Lead Task Force, and, based on this information, determine the efficacy of regulations, and</w:t>
      </w:r>
      <w:r w:rsidRPr="003372A5">
        <w:rPr>
          <w:b/>
          <w:bCs/>
          <w:i/>
          <w:iCs/>
        </w:rPr>
        <w:t xml:space="preserve"> </w:t>
      </w:r>
      <w:r w:rsidRPr="003372A5">
        <w:t>develop guidance on the steps and procedures to adjust or develop legislation for a complete phase-out of the use of lead ammunition and lead fishing weights in all habitats, in line with the Guidelines to Prevent the Risk of Poisoning to Migratory Birds (UNEP/CMS/COP11/Doc.23.1.2 Annex 2</w:t>
      </w:r>
      <w:r w:rsidR="00FC5DDA" w:rsidRPr="003372A5">
        <w:t>; the Guidelines</w:t>
      </w:r>
      <w:r w:rsidRPr="003372A5">
        <w:t>), and existing information on alternatives;</w:t>
      </w:r>
    </w:p>
    <w:p w14:paraId="33584B9D" w14:textId="77777777" w:rsidR="00FC5DDA" w:rsidRPr="003372A5" w:rsidRDefault="00FC5DDA" w:rsidP="00C46522">
      <w:pPr>
        <w:pStyle w:val="ListParagraph"/>
        <w:spacing w:after="0" w:line="240" w:lineRule="auto"/>
        <w:ind w:left="1418" w:hanging="567"/>
        <w:contextualSpacing w:val="0"/>
        <w:jc w:val="both"/>
      </w:pPr>
    </w:p>
    <w:p w14:paraId="474F227C" w14:textId="6ADF79D0" w:rsidR="00FC5DDA" w:rsidRPr="003372A5" w:rsidRDefault="00C230CC" w:rsidP="00C46522">
      <w:pPr>
        <w:pStyle w:val="ListParagraph"/>
        <w:numPr>
          <w:ilvl w:val="0"/>
          <w:numId w:val="25"/>
        </w:numPr>
        <w:spacing w:after="0" w:line="240" w:lineRule="auto"/>
        <w:ind w:left="1418" w:hanging="567"/>
        <w:contextualSpacing w:val="0"/>
        <w:jc w:val="both"/>
      </w:pPr>
      <w:r w:rsidRPr="003372A5">
        <w:t xml:space="preserve">prepare an analysis </w:t>
      </w:r>
      <w:r w:rsidRPr="003372A5">
        <w:rPr>
          <w:rFonts w:eastAsia="Arial" w:cs="Arial"/>
        </w:rPr>
        <w:t>on the current impacts and hotspots of poisoning of migratory wildlife</w:t>
      </w:r>
      <w:r w:rsidR="003D53AA" w:rsidRPr="003372A5">
        <w:rPr>
          <w:rFonts w:eastAsia="Arial" w:cs="Arial"/>
        </w:rPr>
        <w:t>,</w:t>
      </w:r>
      <w:r w:rsidRPr="003372A5">
        <w:rPr>
          <w:rFonts w:eastAsia="Arial" w:cs="Arial"/>
        </w:rPr>
        <w:t xml:space="preserve"> including a mapping exercise that identifies the geographic areas and types of poisons already addressed by existing CMS instruments</w:t>
      </w:r>
      <w:r w:rsidR="00A870D5" w:rsidRPr="003372A5">
        <w:rPr>
          <w:rFonts w:eastAsia="Arial" w:cs="Arial"/>
        </w:rPr>
        <w:t>, as well as</w:t>
      </w:r>
      <w:r w:rsidRPr="003372A5">
        <w:rPr>
          <w:rFonts w:eastAsia="Arial" w:cs="Arial"/>
        </w:rPr>
        <w:t xml:space="preserve"> gaps and links to existing structures and instruments</w:t>
      </w:r>
      <w:r w:rsidR="00FC5DDA" w:rsidRPr="003372A5">
        <w:rPr>
          <w:rFonts w:eastAsia="Arial" w:cs="Arial"/>
        </w:rPr>
        <w:t>;</w:t>
      </w:r>
      <w:r w:rsidR="00B61012" w:rsidRPr="003372A5">
        <w:rPr>
          <w:rFonts w:eastAsia="Arial" w:cs="Arial"/>
        </w:rPr>
        <w:t xml:space="preserve"> and</w:t>
      </w:r>
    </w:p>
    <w:p w14:paraId="54A253DC" w14:textId="77777777" w:rsidR="00B61012" w:rsidRPr="003372A5" w:rsidRDefault="00B61012" w:rsidP="00C46522">
      <w:pPr>
        <w:pStyle w:val="ListParagraph"/>
        <w:spacing w:after="0" w:line="240" w:lineRule="auto"/>
        <w:ind w:left="1418" w:hanging="567"/>
        <w:contextualSpacing w:val="0"/>
        <w:jc w:val="both"/>
      </w:pPr>
    </w:p>
    <w:p w14:paraId="7923E736" w14:textId="13FFD1CC" w:rsidR="005037E5" w:rsidRPr="003372A5" w:rsidRDefault="00FC5DDA" w:rsidP="00C46522">
      <w:pPr>
        <w:pStyle w:val="ListParagraph"/>
        <w:numPr>
          <w:ilvl w:val="0"/>
          <w:numId w:val="25"/>
        </w:numPr>
        <w:spacing w:after="0" w:line="240" w:lineRule="auto"/>
        <w:ind w:left="1418" w:hanging="567"/>
        <w:contextualSpacing w:val="0"/>
        <w:jc w:val="both"/>
      </w:pPr>
      <w:r w:rsidRPr="003372A5">
        <w:rPr>
          <w:rFonts w:eastAsia="Arial" w:cs="Arial"/>
          <w:color w:val="000000" w:themeColor="text1"/>
        </w:rPr>
        <w:t>prepare an update</w:t>
      </w:r>
      <w:r w:rsidR="00C230CC" w:rsidRPr="003372A5">
        <w:rPr>
          <w:rFonts w:eastAsia="Arial" w:cs="Arial"/>
          <w:color w:val="000000" w:themeColor="text1"/>
        </w:rPr>
        <w:t xml:space="preserve"> of the Guidelines</w:t>
      </w:r>
      <w:r w:rsidR="00B61012" w:rsidRPr="003372A5">
        <w:rPr>
          <w:rFonts w:eastAsia="Arial" w:cs="Arial"/>
          <w:color w:val="000000" w:themeColor="text1"/>
        </w:rPr>
        <w:t xml:space="preserve">, in close cooperation with </w:t>
      </w:r>
      <w:r w:rsidR="00B61012" w:rsidRPr="003372A5">
        <w:rPr>
          <w:lang w:val="en-GB"/>
        </w:rPr>
        <w:t xml:space="preserve">relevant CMS instruments, </w:t>
      </w:r>
      <w:r w:rsidR="00416CDD" w:rsidRPr="003372A5">
        <w:rPr>
          <w:lang w:val="en-GB"/>
        </w:rPr>
        <w:t xml:space="preserve">other MEAs </w:t>
      </w:r>
      <w:r w:rsidR="00B61012" w:rsidRPr="003372A5">
        <w:rPr>
          <w:lang w:val="en-GB"/>
        </w:rPr>
        <w:t>and other relevant international organizations</w:t>
      </w:r>
      <w:r w:rsidR="00416CDD" w:rsidRPr="003372A5">
        <w:rPr>
          <w:lang w:val="en-GB"/>
        </w:rPr>
        <w:t>.</w:t>
      </w:r>
    </w:p>
    <w:p w14:paraId="01F29C1B" w14:textId="77777777" w:rsidR="00C33DE9" w:rsidRPr="00C33DE9" w:rsidRDefault="00C33DE9" w:rsidP="00C46522">
      <w:pPr>
        <w:spacing w:after="0" w:line="240" w:lineRule="auto"/>
        <w:jc w:val="both"/>
        <w:rPr>
          <w:lang w:val="en-GB"/>
        </w:rPr>
      </w:pPr>
    </w:p>
    <w:sectPr w:rsidR="00C33DE9" w:rsidRPr="00C33DE9" w:rsidSect="00D93628">
      <w:headerReference w:type="even" r:id="rId30"/>
      <w:headerReference w:type="first" r:id="rId3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72374" w14:textId="77777777" w:rsidR="007A5FA5" w:rsidRDefault="007A5FA5" w:rsidP="002E0DE9">
      <w:pPr>
        <w:spacing w:after="0" w:line="240" w:lineRule="auto"/>
      </w:pPr>
      <w:r>
        <w:separator/>
      </w:r>
    </w:p>
  </w:endnote>
  <w:endnote w:type="continuationSeparator" w:id="0">
    <w:p w14:paraId="15504525" w14:textId="77777777" w:rsidR="007A5FA5" w:rsidRDefault="007A5FA5" w:rsidP="002E0DE9">
      <w:pPr>
        <w:spacing w:after="0" w:line="240" w:lineRule="auto"/>
      </w:pPr>
      <w:r>
        <w:continuationSeparator/>
      </w:r>
    </w:p>
  </w:endnote>
  <w:endnote w:type="continuationNotice" w:id="1">
    <w:p w14:paraId="21184F3E" w14:textId="77777777" w:rsidR="007A5FA5" w:rsidRDefault="007A5F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23C0" w14:textId="77777777" w:rsidR="004605CF" w:rsidRDefault="004605CF">
    <w:pPr>
      <w:pStyle w:val="Footer"/>
    </w:pPr>
  </w:p>
  <w:p w14:paraId="7304E333" w14:textId="77777777" w:rsidR="0037457F" w:rsidRDefault="0037457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463457"/>
      <w:docPartObj>
        <w:docPartGallery w:val="Page Numbers (Bottom of Page)"/>
        <w:docPartUnique/>
      </w:docPartObj>
    </w:sdtPr>
    <w:sdtEndPr>
      <w:rPr>
        <w:noProof/>
        <w:sz w:val="18"/>
        <w:szCs w:val="18"/>
      </w:rPr>
    </w:sdtEndPr>
    <w:sdtContent>
      <w:p w14:paraId="16641731" w14:textId="707D9B75" w:rsidR="004B1A53" w:rsidRPr="004B1A53" w:rsidRDefault="004B1A53">
        <w:pPr>
          <w:pStyle w:val="Footer"/>
          <w:jc w:val="center"/>
          <w:rPr>
            <w:noProof/>
            <w:sz w:val="18"/>
            <w:szCs w:val="18"/>
          </w:rPr>
        </w:pPr>
        <w:r w:rsidRPr="004B1A53">
          <w:rPr>
            <w:noProof/>
            <w:sz w:val="18"/>
            <w:szCs w:val="18"/>
          </w:rPr>
          <w:fldChar w:fldCharType="begin"/>
        </w:r>
        <w:r w:rsidRPr="004B1A53">
          <w:rPr>
            <w:noProof/>
            <w:sz w:val="18"/>
            <w:szCs w:val="18"/>
          </w:rPr>
          <w:instrText xml:space="preserve"> PAGE   \* MERGEFORMAT </w:instrText>
        </w:r>
        <w:r w:rsidRPr="004B1A53">
          <w:rPr>
            <w:noProof/>
            <w:sz w:val="18"/>
            <w:szCs w:val="18"/>
          </w:rPr>
          <w:fldChar w:fldCharType="separate"/>
        </w:r>
        <w:r w:rsidRPr="004B1A53">
          <w:rPr>
            <w:noProof/>
            <w:sz w:val="18"/>
            <w:szCs w:val="18"/>
          </w:rPr>
          <w:t>2</w:t>
        </w:r>
        <w:r w:rsidRPr="004B1A53">
          <w:rPr>
            <w:noProof/>
            <w:sz w:val="18"/>
            <w:szCs w:val="18"/>
          </w:rPr>
          <w:fldChar w:fldCharType="end"/>
        </w:r>
      </w:p>
    </w:sdtContent>
  </w:sdt>
  <w:p w14:paraId="3534357C" w14:textId="77777777" w:rsidR="002E400E" w:rsidRDefault="002E4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F651D" w14:textId="77777777" w:rsidR="007A5FA5" w:rsidRDefault="007A5FA5" w:rsidP="002E0DE9">
      <w:pPr>
        <w:spacing w:after="0" w:line="240" w:lineRule="auto"/>
      </w:pPr>
      <w:r>
        <w:separator/>
      </w:r>
    </w:p>
  </w:footnote>
  <w:footnote w:type="continuationSeparator" w:id="0">
    <w:p w14:paraId="6CD26E47" w14:textId="77777777" w:rsidR="007A5FA5" w:rsidRDefault="007A5FA5" w:rsidP="002E0DE9">
      <w:pPr>
        <w:spacing w:after="0" w:line="240" w:lineRule="auto"/>
      </w:pPr>
      <w:r>
        <w:continuationSeparator/>
      </w:r>
    </w:p>
  </w:footnote>
  <w:footnote w:type="continuationNotice" w:id="1">
    <w:p w14:paraId="5016C3AA" w14:textId="77777777" w:rsidR="007A5FA5" w:rsidRDefault="007A5FA5">
      <w:pPr>
        <w:spacing w:after="0" w:line="240" w:lineRule="auto"/>
      </w:pPr>
    </w:p>
  </w:footnote>
  <w:footnote w:id="2">
    <w:p w14:paraId="6F4FBB12" w14:textId="1B64B394" w:rsidR="002E0DE9" w:rsidRDefault="00A6185E" w:rsidP="005E3E2E">
      <w:r w:rsidRPr="00B107A9">
        <w:rPr>
          <w:rStyle w:val="FootnoteReference"/>
          <w:rFonts w:ascii="Arial" w:eastAsiaTheme="majorEastAsia" w:hAnsi="Arial" w:cs="Arial"/>
          <w:strike/>
          <w:sz w:val="16"/>
          <w:szCs w:val="16"/>
          <w:vertAlign w:val="superscript"/>
        </w:rPr>
        <w:footnoteRef/>
      </w:r>
      <w:r w:rsidRPr="00B107A9">
        <w:rPr>
          <w:rFonts w:cs="Arial"/>
          <w:strike/>
          <w:sz w:val="16"/>
          <w:szCs w:val="16"/>
        </w:rPr>
        <w:t xml:space="preserve"> </w:t>
      </w:r>
      <w:r w:rsidRPr="00B107A9">
        <w:rPr>
          <w:rFonts w:cs="Arial"/>
          <w:strike/>
          <w:sz w:val="16"/>
          <w:szCs w:val="16"/>
        </w:rPr>
        <w:tab/>
        <w:t xml:space="preserve">Under the name Minimizing the Risk of Poisoning to Migratory Birds Working Group. Resolution 10.26 has been superseded by Resolution 11.15 (Rev.COP14) </w:t>
      </w:r>
      <w:r w:rsidRPr="00B107A9">
        <w:rPr>
          <w:rFonts w:cs="Arial"/>
          <w:i/>
          <w:iCs/>
          <w:strike/>
          <w:sz w:val="16"/>
          <w:szCs w:val="16"/>
        </w:rPr>
        <w:t>Preventing Poisoning of Migratory Birds</w:t>
      </w:r>
      <w:r w:rsidRPr="00B107A9">
        <w:rPr>
          <w:rFonts w:cs="Arial"/>
          <w:strike/>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66C811FF"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271009" w:rsidRPr="003372A5">
      <w:rPr>
        <w:rFonts w:eastAsia="Times New Roman" w:cs="Arial"/>
        <w:i/>
        <w:sz w:val="18"/>
        <w:szCs w:val="18"/>
        <w:lang w:val="en-GB"/>
      </w:rPr>
      <w:t>2</w:t>
    </w:r>
    <w:r w:rsidR="003D1538" w:rsidRPr="003372A5">
      <w:rPr>
        <w:rFonts w:eastAsia="Times New Roman" w:cs="Arial"/>
        <w:i/>
        <w:sz w:val="18"/>
        <w:szCs w:val="18"/>
        <w:lang w:val="en-GB"/>
      </w:rPr>
      <w:t>6</w:t>
    </w:r>
    <w:r w:rsidR="00271009" w:rsidRPr="003372A5">
      <w:rPr>
        <w:rFonts w:eastAsia="Times New Roman" w:cs="Arial"/>
        <w:i/>
        <w:sz w:val="18"/>
        <w:szCs w:val="18"/>
        <w:lang w:val="en-GB"/>
      </w:rPr>
      <w:t>.</w:t>
    </w:r>
    <w:r w:rsidR="00AD341C">
      <w:rPr>
        <w:rFonts w:eastAsia="Times New Roman" w:cs="Arial"/>
        <w:i/>
        <w:sz w:val="18"/>
        <w:szCs w:val="18"/>
        <w:lang w:val="en-GB"/>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28F8D41F"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6A689A">
      <w:rPr>
        <w:rFonts w:eastAsia="Times New Roman" w:cs="Arial"/>
        <w:i/>
        <w:sz w:val="18"/>
        <w:szCs w:val="18"/>
        <w:lang w:val="en-GB"/>
      </w:rPr>
      <w:t>5</w:t>
    </w:r>
    <w:r w:rsidRPr="002E0DE9">
      <w:rPr>
        <w:rFonts w:eastAsia="Times New Roman" w:cs="Arial"/>
        <w:i/>
        <w:sz w:val="18"/>
        <w:szCs w:val="18"/>
        <w:lang w:val="en-GB"/>
      </w:rPr>
      <w:t>/</w:t>
    </w:r>
    <w:r w:rsidR="006A7DC4">
      <w:rPr>
        <w:rFonts w:eastAsia="Times New Roman" w:cs="Arial"/>
        <w:i/>
        <w:sz w:val="18"/>
        <w:szCs w:val="18"/>
        <w:lang w:val="en-GB"/>
      </w:rPr>
      <w:t>Doc</w:t>
    </w:r>
    <w:r w:rsidR="003372A5">
      <w:rPr>
        <w:rFonts w:eastAsia="Times New Roman" w:cs="Arial"/>
        <w:i/>
        <w:sz w:val="18"/>
        <w:szCs w:val="18"/>
        <w:lang w:val="en-GB"/>
      </w:rPr>
      <w:t>.26.</w:t>
    </w:r>
    <w:r w:rsidR="00AD341C">
      <w:rPr>
        <w:rFonts w:eastAsia="Times New Roman" w:cs="Arial"/>
        <w:i/>
        <w:sz w:val="18"/>
        <w:szCs w:val="18"/>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38EE" w14:textId="1D8095CD" w:rsidR="002E0DE9" w:rsidRPr="002E0DE9" w:rsidRDefault="000922CC"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0" locked="0" layoutInCell="1" allowOverlap="1" wp14:anchorId="04B36C4F" wp14:editId="1C5AB6A4">
          <wp:simplePos x="0" y="0"/>
          <wp:positionH relativeFrom="column">
            <wp:posOffset>5566715</wp:posOffset>
          </wp:positionH>
          <wp:positionV relativeFrom="paragraph">
            <wp:posOffset>101600</wp:posOffset>
          </wp:positionV>
          <wp:extent cx="541020" cy="259715"/>
          <wp:effectExtent l="0" t="0" r="0" b="6985"/>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00C05D27"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2CD201A5" wp14:editId="64DEDD13">
          <wp:simplePos x="0" y="0"/>
          <wp:positionH relativeFrom="column">
            <wp:posOffset>731520</wp:posOffset>
          </wp:positionH>
          <wp:positionV relativeFrom="paragraph">
            <wp:posOffset>-45720</wp:posOffset>
          </wp:positionV>
          <wp:extent cx="429768" cy="438912"/>
          <wp:effectExtent l="0" t="0" r="8890" b="0"/>
          <wp:wrapTight wrapText="bothSides">
            <wp:wrapPolygon edited="0">
              <wp:start x="0" y="0"/>
              <wp:lineTo x="0" y="20631"/>
              <wp:lineTo x="21089" y="20631"/>
              <wp:lineTo x="21089" y="0"/>
              <wp:lineTo x="0" y="0"/>
            </wp:wrapPolygon>
          </wp:wrapTight>
          <wp:docPr id="2"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pic:nvPicPr>
                <pic:blipFill>
                  <a:blip r:embed="rId2"/>
                  <a:srcRect l="2780" t="-1236" r="60236" b="48836"/>
                  <a:stretch>
                    <a:fillRect/>
                  </a:stretch>
                </pic:blipFill>
                <pic:spPr>
                  <a:xfrm>
                    <a:off x="0" y="0"/>
                    <a:ext cx="429768" cy="438912"/>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C05D27">
      <w:rPr>
        <w:noProof/>
      </w:rPr>
      <w:drawing>
        <wp:anchor distT="0" distB="0" distL="114300" distR="114300" simplePos="0" relativeHeight="251658242" behindDoc="0" locked="0" layoutInCell="1" allowOverlap="1" wp14:anchorId="529FA352" wp14:editId="7C2301DD">
          <wp:simplePos x="0" y="0"/>
          <wp:positionH relativeFrom="column">
            <wp:posOffset>-73025</wp:posOffset>
          </wp:positionH>
          <wp:positionV relativeFrom="paragraph">
            <wp:posOffset>-82550</wp:posOffset>
          </wp:positionV>
          <wp:extent cx="640080" cy="640080"/>
          <wp:effectExtent l="0" t="0" r="7620" b="762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00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78D137" w14:textId="652E85BA"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67BF" w14:textId="34B7DCC6" w:rsidR="002E400E" w:rsidRPr="004F2AB9" w:rsidRDefault="00637691" w:rsidP="002E0DE9">
    <w:pPr>
      <w:pStyle w:val="Header"/>
      <w:pBdr>
        <w:bottom w:val="single" w:sz="4" w:space="1" w:color="auto"/>
      </w:pBdr>
      <w:rPr>
        <w:i/>
        <w:sz w:val="18"/>
        <w:szCs w:val="18"/>
        <w:lang w:val="fr-FR"/>
      </w:rPr>
    </w:pPr>
    <w:r w:rsidRPr="003372A5">
      <w:rPr>
        <w:rFonts w:eastAsia="Times New Roman" w:cs="Arial"/>
        <w:i/>
        <w:sz w:val="18"/>
        <w:szCs w:val="18"/>
        <w:lang w:val="fr-FR"/>
      </w:rPr>
      <w:t>UNEP/CMS/COP15/Doc.</w:t>
    </w:r>
    <w:r w:rsidR="00271009" w:rsidRPr="003372A5">
      <w:rPr>
        <w:rFonts w:eastAsia="Times New Roman" w:cs="Arial"/>
        <w:i/>
        <w:sz w:val="18"/>
        <w:szCs w:val="18"/>
        <w:lang w:val="fr-FR"/>
      </w:rPr>
      <w:t>2</w:t>
    </w:r>
    <w:r w:rsidR="003D1538" w:rsidRPr="003372A5">
      <w:rPr>
        <w:rFonts w:eastAsia="Times New Roman" w:cs="Arial"/>
        <w:i/>
        <w:sz w:val="18"/>
        <w:szCs w:val="18"/>
        <w:lang w:val="fr-FR"/>
      </w:rPr>
      <w:t>6</w:t>
    </w:r>
    <w:r w:rsidR="00271009" w:rsidRPr="003372A5">
      <w:rPr>
        <w:rFonts w:eastAsia="Times New Roman" w:cs="Arial"/>
        <w:i/>
        <w:sz w:val="18"/>
        <w:szCs w:val="18"/>
        <w:lang w:val="fr-FR"/>
      </w:rPr>
      <w:t>.</w:t>
    </w:r>
    <w:r w:rsidR="00AD341C">
      <w:rPr>
        <w:rFonts w:eastAsia="Times New Roman" w:cs="Arial"/>
        <w:i/>
        <w:sz w:val="18"/>
        <w:szCs w:val="18"/>
        <w:lang w:val="fr-FR"/>
      </w:rPr>
      <w:t>2</w:t>
    </w:r>
    <w:r w:rsidRPr="003372A5">
      <w:rPr>
        <w:rFonts w:eastAsia="Times New Roman" w:cs="Arial"/>
        <w:i/>
        <w:sz w:val="18"/>
        <w:szCs w:val="18"/>
        <w:lang w:val="fr-FR"/>
      </w:rPr>
      <w:t>/Annex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5394" w14:textId="2AF46510" w:rsidR="002E400E" w:rsidRPr="004F2AB9" w:rsidRDefault="00A0410B" w:rsidP="00842B75">
    <w:pPr>
      <w:pStyle w:val="Header"/>
      <w:pBdr>
        <w:bottom w:val="single" w:sz="4" w:space="1" w:color="auto"/>
      </w:pBdr>
      <w:jc w:val="right"/>
      <w:rPr>
        <w:i/>
        <w:sz w:val="18"/>
        <w:szCs w:val="18"/>
        <w:lang w:val="fr-FR"/>
      </w:rPr>
    </w:pPr>
    <w:r w:rsidRPr="003372A5">
      <w:rPr>
        <w:rFonts w:eastAsia="Times New Roman" w:cs="Arial"/>
        <w:i/>
        <w:sz w:val="18"/>
        <w:szCs w:val="18"/>
        <w:lang w:val="fr-FR"/>
      </w:rPr>
      <w:t>UNEP/CMS/COP15/Do</w:t>
    </w:r>
    <w:r w:rsidR="003372A5">
      <w:rPr>
        <w:rFonts w:eastAsia="Times New Roman" w:cs="Arial"/>
        <w:i/>
        <w:sz w:val="18"/>
        <w:szCs w:val="18"/>
        <w:lang w:val="fr-FR"/>
      </w:rPr>
      <w:t>c.26.</w:t>
    </w:r>
    <w:r w:rsidR="00AD341C">
      <w:rPr>
        <w:rFonts w:eastAsia="Times New Roman" w:cs="Arial"/>
        <w:i/>
        <w:sz w:val="18"/>
        <w:szCs w:val="18"/>
        <w:lang w:val="fr-FR"/>
      </w:rPr>
      <w:t>2</w:t>
    </w:r>
    <w:r w:rsidR="003372A5">
      <w:rPr>
        <w:rFonts w:eastAsia="Times New Roman" w:cs="Arial"/>
        <w:i/>
        <w:sz w:val="18"/>
        <w:szCs w:val="18"/>
        <w:lang w:val="fr-FR"/>
      </w:rPr>
      <w:t>/Annex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AE07" w14:textId="130EC64E" w:rsidR="004605CF" w:rsidRPr="004F2AB9" w:rsidRDefault="004605CF" w:rsidP="00D75A16">
    <w:pPr>
      <w:pStyle w:val="Header"/>
      <w:pBdr>
        <w:bottom w:val="single" w:sz="4" w:space="1" w:color="auto"/>
      </w:pBdr>
      <w:rPr>
        <w:rFonts w:eastAsia="Times New Roman" w:cs="Arial"/>
        <w:i/>
        <w:sz w:val="18"/>
        <w:szCs w:val="18"/>
        <w:lang w:val="fr-FR"/>
      </w:rPr>
    </w:pPr>
    <w:r w:rsidRPr="004F2AB9">
      <w:rPr>
        <w:rFonts w:eastAsia="Times New Roman" w:cs="Arial"/>
        <w:i/>
        <w:sz w:val="18"/>
        <w:szCs w:val="18"/>
        <w:lang w:val="fr-FR"/>
      </w:rPr>
      <w:t>UNEP/CMS/COP15/</w:t>
    </w:r>
    <w:r w:rsidRPr="003372A5">
      <w:rPr>
        <w:rFonts w:eastAsia="Times New Roman" w:cs="Arial"/>
        <w:i/>
        <w:sz w:val="18"/>
        <w:szCs w:val="18"/>
        <w:lang w:val="fr-FR"/>
      </w:rPr>
      <w:t>Doc.</w:t>
    </w:r>
    <w:r w:rsidR="00271009" w:rsidRPr="003372A5">
      <w:rPr>
        <w:rFonts w:eastAsia="Times New Roman" w:cs="Arial"/>
        <w:i/>
        <w:sz w:val="18"/>
        <w:szCs w:val="18"/>
        <w:lang w:val="fr-FR"/>
      </w:rPr>
      <w:t>2</w:t>
    </w:r>
    <w:r w:rsidR="003D1538" w:rsidRPr="003372A5">
      <w:rPr>
        <w:rFonts w:eastAsia="Times New Roman" w:cs="Arial"/>
        <w:i/>
        <w:sz w:val="18"/>
        <w:szCs w:val="18"/>
        <w:lang w:val="fr-FR"/>
      </w:rPr>
      <w:t>6</w:t>
    </w:r>
    <w:r w:rsidR="00271009" w:rsidRPr="003372A5">
      <w:rPr>
        <w:rFonts w:eastAsia="Times New Roman" w:cs="Arial"/>
        <w:i/>
        <w:sz w:val="18"/>
        <w:szCs w:val="18"/>
        <w:lang w:val="fr-FR"/>
      </w:rPr>
      <w:t>.</w:t>
    </w:r>
    <w:r w:rsidR="00AD341C">
      <w:rPr>
        <w:rFonts w:eastAsia="Times New Roman" w:cs="Arial"/>
        <w:i/>
        <w:sz w:val="18"/>
        <w:szCs w:val="18"/>
        <w:lang w:val="fr-FR"/>
      </w:rPr>
      <w:t>2</w:t>
    </w:r>
    <w:r w:rsidR="003F4C56" w:rsidRPr="003372A5">
      <w:rPr>
        <w:rFonts w:eastAsia="Times New Roman" w:cs="Arial"/>
        <w:i/>
        <w:sz w:val="18"/>
        <w:szCs w:val="18"/>
        <w:lang w:val="fr-FR"/>
      </w:rPr>
      <w:t xml:space="preserve">/Annex </w:t>
    </w:r>
    <w:r w:rsidR="00EF27EB" w:rsidRPr="003372A5">
      <w:rPr>
        <w:rFonts w:eastAsia="Times New Roman" w:cs="Arial"/>
        <w:i/>
        <w:sz w:val="18"/>
        <w:szCs w:val="18"/>
        <w:lang w:val="fr-FR"/>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D6259" w14:textId="558B1864" w:rsidR="002E400E" w:rsidRPr="004F2AB9" w:rsidRDefault="00637691" w:rsidP="002E0DE9">
    <w:pPr>
      <w:pStyle w:val="Header"/>
      <w:pBdr>
        <w:bottom w:val="single" w:sz="4" w:space="1" w:color="auto"/>
      </w:pBdr>
      <w:rPr>
        <w:i/>
        <w:sz w:val="18"/>
        <w:szCs w:val="18"/>
        <w:lang w:val="fr-FR"/>
      </w:rPr>
    </w:pPr>
    <w:r w:rsidRPr="004F2AB9">
      <w:rPr>
        <w:rFonts w:eastAsia="Times New Roman" w:cs="Arial"/>
        <w:i/>
        <w:sz w:val="18"/>
        <w:szCs w:val="18"/>
        <w:lang w:val="fr-FR"/>
      </w:rPr>
      <w:t>UNEP/CMS/COP15/</w:t>
    </w:r>
    <w:r w:rsidRPr="003372A5">
      <w:rPr>
        <w:rFonts w:eastAsia="Times New Roman" w:cs="Arial"/>
        <w:i/>
        <w:sz w:val="18"/>
        <w:szCs w:val="18"/>
        <w:lang w:val="fr-FR"/>
      </w:rPr>
      <w:t>Doc.</w:t>
    </w:r>
    <w:r w:rsidR="00507202" w:rsidRPr="003372A5">
      <w:rPr>
        <w:rFonts w:eastAsia="Times New Roman" w:cs="Arial"/>
        <w:i/>
        <w:sz w:val="18"/>
        <w:szCs w:val="18"/>
        <w:lang w:val="fr-FR"/>
      </w:rPr>
      <w:t>2</w:t>
    </w:r>
    <w:r w:rsidR="003D1538" w:rsidRPr="003372A5">
      <w:rPr>
        <w:rFonts w:eastAsia="Times New Roman" w:cs="Arial"/>
        <w:i/>
        <w:sz w:val="18"/>
        <w:szCs w:val="18"/>
        <w:lang w:val="fr-FR"/>
      </w:rPr>
      <w:t>6</w:t>
    </w:r>
    <w:r w:rsidR="00507202" w:rsidRPr="003372A5">
      <w:rPr>
        <w:rFonts w:eastAsia="Times New Roman" w:cs="Arial"/>
        <w:i/>
        <w:sz w:val="18"/>
        <w:szCs w:val="18"/>
        <w:lang w:val="fr-FR"/>
      </w:rPr>
      <w:t>.</w:t>
    </w:r>
    <w:r w:rsidR="00AD341C">
      <w:rPr>
        <w:rFonts w:eastAsia="Times New Roman" w:cs="Arial"/>
        <w:i/>
        <w:sz w:val="18"/>
        <w:szCs w:val="18"/>
        <w:lang w:val="fr-FR"/>
      </w:rPr>
      <w:t>2</w:t>
    </w:r>
    <w:r w:rsidRPr="003372A5">
      <w:rPr>
        <w:rFonts w:eastAsia="Times New Roman" w:cs="Arial"/>
        <w:i/>
        <w:sz w:val="18"/>
        <w:szCs w:val="18"/>
        <w:lang w:val="fr-FR"/>
      </w:rPr>
      <w:t>/Annex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3D39" w14:textId="0EE8E6D4" w:rsidR="006406E6" w:rsidRPr="004F2AB9" w:rsidRDefault="006406E6" w:rsidP="006406E6">
    <w:pPr>
      <w:pStyle w:val="Header"/>
      <w:pBdr>
        <w:bottom w:val="single" w:sz="4" w:space="1" w:color="auto"/>
      </w:pBdr>
      <w:jc w:val="right"/>
      <w:rPr>
        <w:rFonts w:eastAsia="Times New Roman" w:cs="Arial"/>
        <w:i/>
        <w:sz w:val="18"/>
        <w:szCs w:val="18"/>
        <w:lang w:val="fr-FR"/>
      </w:rPr>
    </w:pPr>
    <w:r w:rsidRPr="004F2AB9">
      <w:rPr>
        <w:rFonts w:eastAsia="Times New Roman" w:cs="Arial"/>
        <w:i/>
        <w:sz w:val="18"/>
        <w:szCs w:val="18"/>
        <w:lang w:val="fr-FR"/>
      </w:rPr>
      <w:t>UNEP/C</w:t>
    </w:r>
    <w:r w:rsidRPr="003372A5">
      <w:rPr>
        <w:rFonts w:eastAsia="Times New Roman" w:cs="Arial"/>
        <w:i/>
        <w:sz w:val="18"/>
        <w:szCs w:val="18"/>
        <w:lang w:val="fr-FR"/>
      </w:rPr>
      <w:t>MS/COP15/Doc.</w:t>
    </w:r>
    <w:r w:rsidR="00271009" w:rsidRPr="003372A5">
      <w:rPr>
        <w:rFonts w:eastAsia="Times New Roman" w:cs="Arial"/>
        <w:i/>
        <w:sz w:val="18"/>
        <w:szCs w:val="18"/>
        <w:lang w:val="fr-FR"/>
      </w:rPr>
      <w:t>2</w:t>
    </w:r>
    <w:r w:rsidR="003D1538" w:rsidRPr="003372A5">
      <w:rPr>
        <w:rFonts w:eastAsia="Times New Roman" w:cs="Arial"/>
        <w:i/>
        <w:sz w:val="18"/>
        <w:szCs w:val="18"/>
        <w:lang w:val="fr-FR"/>
      </w:rPr>
      <w:t>6</w:t>
    </w:r>
    <w:r w:rsidR="00271009" w:rsidRPr="003372A5">
      <w:rPr>
        <w:rFonts w:eastAsia="Times New Roman" w:cs="Arial"/>
        <w:i/>
        <w:sz w:val="18"/>
        <w:szCs w:val="18"/>
        <w:lang w:val="fr-FR"/>
      </w:rPr>
      <w:t>.</w:t>
    </w:r>
    <w:r w:rsidR="00AD341C">
      <w:rPr>
        <w:rFonts w:eastAsia="Times New Roman" w:cs="Arial"/>
        <w:i/>
        <w:sz w:val="18"/>
        <w:szCs w:val="18"/>
        <w:lang w:val="fr-FR"/>
      </w:rPr>
      <w:t>2</w:t>
    </w:r>
    <w:r w:rsidRPr="003372A5">
      <w:rPr>
        <w:rFonts w:eastAsia="Times New Roman" w:cs="Arial"/>
        <w:i/>
        <w:sz w:val="18"/>
        <w:szCs w:val="18"/>
        <w:lang w:val="fr-FR"/>
      </w:rPr>
      <w:t>/Annex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2B329DF"/>
    <w:multiLevelType w:val="hybridMultilevel"/>
    <w:tmpl w:val="0816B7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44632"/>
    <w:multiLevelType w:val="hybridMultilevel"/>
    <w:tmpl w:val="8E26EF9C"/>
    <w:lvl w:ilvl="0" w:tplc="F4D2C378">
      <w:start w:val="1"/>
      <w:numFmt w:val="decimal"/>
      <w:lvlText w:val="%1."/>
      <w:lvlJc w:val="left"/>
      <w:pPr>
        <w:ind w:left="720" w:hanging="360"/>
      </w:pPr>
      <w:rPr>
        <w:i w:val="0"/>
        <w:iCs/>
        <w:strike w:val="0"/>
      </w:rPr>
    </w:lvl>
    <w:lvl w:ilvl="1" w:tplc="C25486C4">
      <w:start w:val="1"/>
      <w:numFmt w:val="lowerLetter"/>
      <w:lvlText w:val="%2)"/>
      <w:lvlJc w:val="left"/>
      <w:pPr>
        <w:ind w:left="1440" w:hanging="360"/>
      </w:pPr>
      <w:rPr>
        <w:rFonts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DC67DF1"/>
    <w:multiLevelType w:val="hybridMultilevel"/>
    <w:tmpl w:val="CC72D562"/>
    <w:lvl w:ilvl="0" w:tplc="04090017">
      <w:start w:val="1"/>
      <w:numFmt w:val="lowerLetter"/>
      <w:lvlText w:val="%1)"/>
      <w:lvlJc w:val="left"/>
      <w:pPr>
        <w:ind w:left="720" w:hanging="360"/>
      </w:pPr>
    </w:lvl>
    <w:lvl w:ilvl="1" w:tplc="554492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81309"/>
    <w:multiLevelType w:val="hybridMultilevel"/>
    <w:tmpl w:val="64A4406E"/>
    <w:lvl w:ilvl="0" w:tplc="5544928A">
      <w:start w:val="1"/>
      <w:numFmt w:val="lowerLetter"/>
      <w:lvlText w:val="%1)"/>
      <w:lvlJc w:val="left"/>
      <w:pPr>
        <w:ind w:left="1353" w:hanging="360"/>
      </w:pPr>
      <w:rPr>
        <w:rFonts w:hint="default"/>
      </w:rPr>
    </w:lvl>
    <w:lvl w:ilvl="1" w:tplc="10000019" w:tentative="1">
      <w:start w:val="1"/>
      <w:numFmt w:val="lowerLetter"/>
      <w:lvlText w:val="%2."/>
      <w:lvlJc w:val="left"/>
      <w:pPr>
        <w:ind w:left="2073" w:hanging="360"/>
      </w:pPr>
    </w:lvl>
    <w:lvl w:ilvl="2" w:tplc="1000001B" w:tentative="1">
      <w:start w:val="1"/>
      <w:numFmt w:val="lowerRoman"/>
      <w:lvlText w:val="%3."/>
      <w:lvlJc w:val="right"/>
      <w:pPr>
        <w:ind w:left="2793" w:hanging="180"/>
      </w:pPr>
    </w:lvl>
    <w:lvl w:ilvl="3" w:tplc="1000000F" w:tentative="1">
      <w:start w:val="1"/>
      <w:numFmt w:val="decimal"/>
      <w:lvlText w:val="%4."/>
      <w:lvlJc w:val="left"/>
      <w:pPr>
        <w:ind w:left="3513" w:hanging="360"/>
      </w:pPr>
    </w:lvl>
    <w:lvl w:ilvl="4" w:tplc="10000019" w:tentative="1">
      <w:start w:val="1"/>
      <w:numFmt w:val="lowerLetter"/>
      <w:lvlText w:val="%5."/>
      <w:lvlJc w:val="left"/>
      <w:pPr>
        <w:ind w:left="4233" w:hanging="360"/>
      </w:pPr>
    </w:lvl>
    <w:lvl w:ilvl="5" w:tplc="1000001B" w:tentative="1">
      <w:start w:val="1"/>
      <w:numFmt w:val="lowerRoman"/>
      <w:lvlText w:val="%6."/>
      <w:lvlJc w:val="right"/>
      <w:pPr>
        <w:ind w:left="4953" w:hanging="180"/>
      </w:pPr>
    </w:lvl>
    <w:lvl w:ilvl="6" w:tplc="1000000F" w:tentative="1">
      <w:start w:val="1"/>
      <w:numFmt w:val="decimal"/>
      <w:lvlText w:val="%7."/>
      <w:lvlJc w:val="left"/>
      <w:pPr>
        <w:ind w:left="5673" w:hanging="360"/>
      </w:pPr>
    </w:lvl>
    <w:lvl w:ilvl="7" w:tplc="10000019" w:tentative="1">
      <w:start w:val="1"/>
      <w:numFmt w:val="lowerLetter"/>
      <w:lvlText w:val="%8."/>
      <w:lvlJc w:val="left"/>
      <w:pPr>
        <w:ind w:left="6393" w:hanging="360"/>
      </w:pPr>
    </w:lvl>
    <w:lvl w:ilvl="8" w:tplc="1000001B" w:tentative="1">
      <w:start w:val="1"/>
      <w:numFmt w:val="lowerRoman"/>
      <w:lvlText w:val="%9."/>
      <w:lvlJc w:val="right"/>
      <w:pPr>
        <w:ind w:left="7113" w:hanging="180"/>
      </w:pPr>
    </w:lvl>
  </w:abstractNum>
  <w:abstractNum w:abstractNumId="7" w15:restartNumberingAfterBreak="0">
    <w:nsid w:val="33877DA8"/>
    <w:multiLevelType w:val="hybridMultilevel"/>
    <w:tmpl w:val="86F4DFDA"/>
    <w:lvl w:ilvl="0" w:tplc="994A5BF0">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7AC6EF0"/>
    <w:multiLevelType w:val="hybridMultilevel"/>
    <w:tmpl w:val="6266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D46929"/>
    <w:multiLevelType w:val="hybridMultilevel"/>
    <w:tmpl w:val="72F6D126"/>
    <w:lvl w:ilvl="0" w:tplc="0409001B">
      <w:start w:val="1"/>
      <w:numFmt w:val="lowerRoman"/>
      <w:lvlText w:val="%1."/>
      <w:lvlJc w:val="righ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0"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952BD5"/>
    <w:multiLevelType w:val="hybridMultilevel"/>
    <w:tmpl w:val="7A4054C4"/>
    <w:lvl w:ilvl="0" w:tplc="FFFFFFFF">
      <w:start w:val="1"/>
      <w:numFmt w:val="lowerLetter"/>
      <w:lvlText w:val="%1)"/>
      <w:lvlJc w:val="left"/>
      <w:pPr>
        <w:ind w:left="1440" w:hanging="360"/>
      </w:pPr>
      <w:rPr>
        <w:i/>
        <w:iCs/>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50EE05D4"/>
    <w:multiLevelType w:val="hybridMultilevel"/>
    <w:tmpl w:val="7A4054C4"/>
    <w:lvl w:ilvl="0" w:tplc="53AA2706">
      <w:start w:val="1"/>
      <w:numFmt w:val="lowerLetter"/>
      <w:lvlText w:val="%1)"/>
      <w:lvlJc w:val="left"/>
      <w:pPr>
        <w:ind w:left="1440" w:hanging="360"/>
      </w:pPr>
      <w:rPr>
        <w:i/>
        <w:iCs/>
        <w:sz w:val="20"/>
        <w:szCs w:val="20"/>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4"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022263"/>
    <w:multiLevelType w:val="hybridMultilevel"/>
    <w:tmpl w:val="4A0AE7C8"/>
    <w:lvl w:ilvl="0" w:tplc="08DE84C6">
      <w:numFmt w:val="bullet"/>
      <w:lvlText w:val="-"/>
      <w:lvlJc w:val="left"/>
      <w:pPr>
        <w:ind w:left="1080" w:hanging="72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5E1C1C13"/>
    <w:multiLevelType w:val="hybridMultilevel"/>
    <w:tmpl w:val="764CABE4"/>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62CB4833"/>
    <w:multiLevelType w:val="hybridMultilevel"/>
    <w:tmpl w:val="511276F8"/>
    <w:lvl w:ilvl="0" w:tplc="A2C29F96">
      <w:start w:val="1"/>
      <w:numFmt w:val="lowerLetter"/>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99D048D"/>
    <w:multiLevelType w:val="hybridMultilevel"/>
    <w:tmpl w:val="3BEC60C8"/>
    <w:lvl w:ilvl="0" w:tplc="AA2262D0">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735B2899"/>
    <w:multiLevelType w:val="hybridMultilevel"/>
    <w:tmpl w:val="77EE7196"/>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7BBD6264"/>
    <w:multiLevelType w:val="hybridMultilevel"/>
    <w:tmpl w:val="B6E4BB96"/>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0B3463"/>
    <w:multiLevelType w:val="hybridMultilevel"/>
    <w:tmpl w:val="7CD44A12"/>
    <w:lvl w:ilvl="0" w:tplc="0F42B674">
      <w:start w:val="1"/>
      <w:numFmt w:val="decimal"/>
      <w:lvlText w:val="%1."/>
      <w:lvlJc w:val="left"/>
      <w:pPr>
        <w:ind w:left="720" w:hanging="360"/>
      </w:pPr>
    </w:lvl>
    <w:lvl w:ilvl="1" w:tplc="0DB67098">
      <w:start w:val="1"/>
      <w:numFmt w:val="lowerLetter"/>
      <w:lvlText w:val="%2."/>
      <w:lvlJc w:val="left"/>
      <w:pPr>
        <w:ind w:left="1440" w:hanging="360"/>
      </w:pPr>
    </w:lvl>
    <w:lvl w:ilvl="2" w:tplc="DFD6CA58">
      <w:start w:val="1"/>
      <w:numFmt w:val="lowerRoman"/>
      <w:lvlText w:val="%3."/>
      <w:lvlJc w:val="right"/>
      <w:pPr>
        <w:ind w:left="2160" w:hanging="180"/>
      </w:pPr>
    </w:lvl>
    <w:lvl w:ilvl="3" w:tplc="080C0B7A">
      <w:start w:val="1"/>
      <w:numFmt w:val="decimal"/>
      <w:lvlText w:val="%4."/>
      <w:lvlJc w:val="left"/>
      <w:pPr>
        <w:ind w:left="2880" w:hanging="360"/>
      </w:pPr>
    </w:lvl>
    <w:lvl w:ilvl="4" w:tplc="B2B2D830">
      <w:start w:val="1"/>
      <w:numFmt w:val="lowerLetter"/>
      <w:lvlText w:val="%5."/>
      <w:lvlJc w:val="left"/>
      <w:pPr>
        <w:ind w:left="3600" w:hanging="360"/>
      </w:pPr>
    </w:lvl>
    <w:lvl w:ilvl="5" w:tplc="343E7D72">
      <w:start w:val="1"/>
      <w:numFmt w:val="lowerRoman"/>
      <w:lvlText w:val="%6."/>
      <w:lvlJc w:val="right"/>
      <w:pPr>
        <w:ind w:left="4320" w:hanging="180"/>
      </w:pPr>
    </w:lvl>
    <w:lvl w:ilvl="6" w:tplc="19485726">
      <w:start w:val="1"/>
      <w:numFmt w:val="decimal"/>
      <w:lvlText w:val="%7."/>
      <w:lvlJc w:val="left"/>
      <w:pPr>
        <w:ind w:left="5040" w:hanging="360"/>
      </w:pPr>
    </w:lvl>
    <w:lvl w:ilvl="7" w:tplc="C57EE7D0">
      <w:start w:val="1"/>
      <w:numFmt w:val="lowerLetter"/>
      <w:lvlText w:val="%8."/>
      <w:lvlJc w:val="left"/>
      <w:pPr>
        <w:ind w:left="5760" w:hanging="360"/>
      </w:pPr>
    </w:lvl>
    <w:lvl w:ilvl="8" w:tplc="92C63268">
      <w:start w:val="1"/>
      <w:numFmt w:val="lowerRoman"/>
      <w:lvlText w:val="%9."/>
      <w:lvlJc w:val="right"/>
      <w:pPr>
        <w:ind w:left="6480" w:hanging="180"/>
      </w:pPr>
    </w:lvl>
  </w:abstractNum>
  <w:num w:numId="1" w16cid:durableId="170028725">
    <w:abstractNumId w:val="11"/>
  </w:num>
  <w:num w:numId="2" w16cid:durableId="1342467551">
    <w:abstractNumId w:val="21"/>
  </w:num>
  <w:num w:numId="3" w16cid:durableId="1569996155">
    <w:abstractNumId w:val="0"/>
  </w:num>
  <w:num w:numId="4" w16cid:durableId="5037120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5"/>
  </w:num>
  <w:num w:numId="8" w16cid:durableId="657730385">
    <w:abstractNumId w:val="24"/>
  </w:num>
  <w:num w:numId="9" w16cid:durableId="1150515762">
    <w:abstractNumId w:val="14"/>
  </w:num>
  <w:num w:numId="10" w16cid:durableId="627323914">
    <w:abstractNumId w:val="2"/>
  </w:num>
  <w:num w:numId="11" w16cid:durableId="184490353">
    <w:abstractNumId w:val="6"/>
  </w:num>
  <w:num w:numId="12" w16cid:durableId="2134400578">
    <w:abstractNumId w:val="13"/>
  </w:num>
  <w:num w:numId="13" w16cid:durableId="1445883975">
    <w:abstractNumId w:val="12"/>
  </w:num>
  <w:num w:numId="14" w16cid:durableId="532545901">
    <w:abstractNumId w:val="25"/>
  </w:num>
  <w:num w:numId="15" w16cid:durableId="500895220">
    <w:abstractNumId w:val="20"/>
  </w:num>
  <w:num w:numId="16" w16cid:durableId="518937282">
    <w:abstractNumId w:val="7"/>
  </w:num>
  <w:num w:numId="17" w16cid:durableId="132874050">
    <w:abstractNumId w:val="8"/>
  </w:num>
  <w:num w:numId="18" w16cid:durableId="1808935623">
    <w:abstractNumId w:val="15"/>
  </w:num>
  <w:num w:numId="19" w16cid:durableId="450561843">
    <w:abstractNumId w:val="18"/>
  </w:num>
  <w:num w:numId="20" w16cid:durableId="540166439">
    <w:abstractNumId w:val="3"/>
  </w:num>
  <w:num w:numId="21" w16cid:durableId="156850796">
    <w:abstractNumId w:val="4"/>
  </w:num>
  <w:num w:numId="22" w16cid:durableId="61098393">
    <w:abstractNumId w:val="9"/>
  </w:num>
  <w:num w:numId="23" w16cid:durableId="320425381">
    <w:abstractNumId w:val="23"/>
  </w:num>
  <w:num w:numId="24" w16cid:durableId="237712974">
    <w:abstractNumId w:val="17"/>
  </w:num>
  <w:num w:numId="25" w16cid:durableId="1545369983">
    <w:abstractNumId w:val="16"/>
  </w:num>
  <w:num w:numId="26" w16cid:durableId="1763650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1451"/>
    <w:rsid w:val="00001BB9"/>
    <w:rsid w:val="00002F4C"/>
    <w:rsid w:val="00004E52"/>
    <w:rsid w:val="0001459A"/>
    <w:rsid w:val="00015E54"/>
    <w:rsid w:val="00020DF7"/>
    <w:rsid w:val="00023D76"/>
    <w:rsid w:val="00024AEA"/>
    <w:rsid w:val="00027E1A"/>
    <w:rsid w:val="000302D4"/>
    <w:rsid w:val="00032509"/>
    <w:rsid w:val="00033506"/>
    <w:rsid w:val="00034EC6"/>
    <w:rsid w:val="00036F10"/>
    <w:rsid w:val="00037282"/>
    <w:rsid w:val="000375DA"/>
    <w:rsid w:val="00037D88"/>
    <w:rsid w:val="00041848"/>
    <w:rsid w:val="0004188B"/>
    <w:rsid w:val="00044F04"/>
    <w:rsid w:val="00045B18"/>
    <w:rsid w:val="00052C5E"/>
    <w:rsid w:val="000539AB"/>
    <w:rsid w:val="00054B31"/>
    <w:rsid w:val="00055578"/>
    <w:rsid w:val="0005703B"/>
    <w:rsid w:val="00057280"/>
    <w:rsid w:val="00057A2F"/>
    <w:rsid w:val="00060627"/>
    <w:rsid w:val="0006101D"/>
    <w:rsid w:val="00062193"/>
    <w:rsid w:val="00063C40"/>
    <w:rsid w:val="0006415F"/>
    <w:rsid w:val="00064322"/>
    <w:rsid w:val="000661B2"/>
    <w:rsid w:val="000666FE"/>
    <w:rsid w:val="00070DD5"/>
    <w:rsid w:val="000723B6"/>
    <w:rsid w:val="0007596B"/>
    <w:rsid w:val="00076EFD"/>
    <w:rsid w:val="000773D0"/>
    <w:rsid w:val="00081045"/>
    <w:rsid w:val="000832A3"/>
    <w:rsid w:val="000857FF"/>
    <w:rsid w:val="00085D77"/>
    <w:rsid w:val="00086236"/>
    <w:rsid w:val="000873CC"/>
    <w:rsid w:val="00087D9F"/>
    <w:rsid w:val="00091166"/>
    <w:rsid w:val="000922CC"/>
    <w:rsid w:val="00093103"/>
    <w:rsid w:val="00096C70"/>
    <w:rsid w:val="000974D8"/>
    <w:rsid w:val="000A252A"/>
    <w:rsid w:val="000A5708"/>
    <w:rsid w:val="000B4DEF"/>
    <w:rsid w:val="000B7B12"/>
    <w:rsid w:val="000C2E68"/>
    <w:rsid w:val="000C375B"/>
    <w:rsid w:val="000C4625"/>
    <w:rsid w:val="000C4DAF"/>
    <w:rsid w:val="000C5717"/>
    <w:rsid w:val="000C5E6A"/>
    <w:rsid w:val="000C5FBE"/>
    <w:rsid w:val="000C6619"/>
    <w:rsid w:val="000D20AB"/>
    <w:rsid w:val="000D30F1"/>
    <w:rsid w:val="000D7220"/>
    <w:rsid w:val="000E2AF5"/>
    <w:rsid w:val="000E375F"/>
    <w:rsid w:val="000F13BB"/>
    <w:rsid w:val="000F2E83"/>
    <w:rsid w:val="000F4212"/>
    <w:rsid w:val="000F447B"/>
    <w:rsid w:val="00103C7C"/>
    <w:rsid w:val="00104826"/>
    <w:rsid w:val="00107907"/>
    <w:rsid w:val="00110E74"/>
    <w:rsid w:val="001128C6"/>
    <w:rsid w:val="00116C83"/>
    <w:rsid w:val="001225C1"/>
    <w:rsid w:val="001237C5"/>
    <w:rsid w:val="001238AF"/>
    <w:rsid w:val="001240FF"/>
    <w:rsid w:val="001257CC"/>
    <w:rsid w:val="001270B9"/>
    <w:rsid w:val="00130F41"/>
    <w:rsid w:val="00132E36"/>
    <w:rsid w:val="00133253"/>
    <w:rsid w:val="00135DFE"/>
    <w:rsid w:val="00137609"/>
    <w:rsid w:val="0014229C"/>
    <w:rsid w:val="001460CA"/>
    <w:rsid w:val="00146A65"/>
    <w:rsid w:val="00155CCD"/>
    <w:rsid w:val="00156F10"/>
    <w:rsid w:val="00157795"/>
    <w:rsid w:val="001614E3"/>
    <w:rsid w:val="00161C21"/>
    <w:rsid w:val="00162CE3"/>
    <w:rsid w:val="0017200E"/>
    <w:rsid w:val="00173F02"/>
    <w:rsid w:val="001755E7"/>
    <w:rsid w:val="001759D4"/>
    <w:rsid w:val="00175AD3"/>
    <w:rsid w:val="00175BF8"/>
    <w:rsid w:val="00175EE6"/>
    <w:rsid w:val="001764FF"/>
    <w:rsid w:val="00177179"/>
    <w:rsid w:val="00182100"/>
    <w:rsid w:val="00182720"/>
    <w:rsid w:val="00182CE5"/>
    <w:rsid w:val="00183D94"/>
    <w:rsid w:val="00184004"/>
    <w:rsid w:val="00184287"/>
    <w:rsid w:val="00186547"/>
    <w:rsid w:val="00190ADA"/>
    <w:rsid w:val="00191F8A"/>
    <w:rsid w:val="001A158A"/>
    <w:rsid w:val="001A2CD0"/>
    <w:rsid w:val="001A59C7"/>
    <w:rsid w:val="001A6B2E"/>
    <w:rsid w:val="001B0A59"/>
    <w:rsid w:val="001B20C1"/>
    <w:rsid w:val="001B570D"/>
    <w:rsid w:val="001B611F"/>
    <w:rsid w:val="001B64E2"/>
    <w:rsid w:val="001B6FA2"/>
    <w:rsid w:val="001B77BA"/>
    <w:rsid w:val="001C2C8E"/>
    <w:rsid w:val="001C52DD"/>
    <w:rsid w:val="001C6BDC"/>
    <w:rsid w:val="001C6C56"/>
    <w:rsid w:val="001C79AB"/>
    <w:rsid w:val="001D01E7"/>
    <w:rsid w:val="001D11A7"/>
    <w:rsid w:val="001D293E"/>
    <w:rsid w:val="001D4BEE"/>
    <w:rsid w:val="001D4ED9"/>
    <w:rsid w:val="001D740B"/>
    <w:rsid w:val="001E0289"/>
    <w:rsid w:val="001E474C"/>
    <w:rsid w:val="001F350D"/>
    <w:rsid w:val="001F4E07"/>
    <w:rsid w:val="001F52A5"/>
    <w:rsid w:val="001F6273"/>
    <w:rsid w:val="001F6A06"/>
    <w:rsid w:val="00200219"/>
    <w:rsid w:val="002018C8"/>
    <w:rsid w:val="002040EC"/>
    <w:rsid w:val="002162C4"/>
    <w:rsid w:val="00220775"/>
    <w:rsid w:val="00220F80"/>
    <w:rsid w:val="00221955"/>
    <w:rsid w:val="002241D5"/>
    <w:rsid w:val="00224282"/>
    <w:rsid w:val="002270C5"/>
    <w:rsid w:val="00230602"/>
    <w:rsid w:val="002326AB"/>
    <w:rsid w:val="00233A57"/>
    <w:rsid w:val="00233C62"/>
    <w:rsid w:val="0023427C"/>
    <w:rsid w:val="00234975"/>
    <w:rsid w:val="00234C22"/>
    <w:rsid w:val="00235010"/>
    <w:rsid w:val="00237692"/>
    <w:rsid w:val="00240319"/>
    <w:rsid w:val="002433FF"/>
    <w:rsid w:val="00244A57"/>
    <w:rsid w:val="0024559A"/>
    <w:rsid w:val="00251C6C"/>
    <w:rsid w:val="00251E52"/>
    <w:rsid w:val="00252906"/>
    <w:rsid w:val="00253AF0"/>
    <w:rsid w:val="002548BA"/>
    <w:rsid w:val="002554D0"/>
    <w:rsid w:val="002578DB"/>
    <w:rsid w:val="00257FD5"/>
    <w:rsid w:val="0026053E"/>
    <w:rsid w:val="00261784"/>
    <w:rsid w:val="00265381"/>
    <w:rsid w:val="002653B7"/>
    <w:rsid w:val="00271009"/>
    <w:rsid w:val="0027111B"/>
    <w:rsid w:val="0027463F"/>
    <w:rsid w:val="00274A3D"/>
    <w:rsid w:val="00275590"/>
    <w:rsid w:val="002761F3"/>
    <w:rsid w:val="002766F1"/>
    <w:rsid w:val="0027673A"/>
    <w:rsid w:val="0027689A"/>
    <w:rsid w:val="00281E0D"/>
    <w:rsid w:val="002833DA"/>
    <w:rsid w:val="00284272"/>
    <w:rsid w:val="00284880"/>
    <w:rsid w:val="00285AC3"/>
    <w:rsid w:val="002926D3"/>
    <w:rsid w:val="0029350C"/>
    <w:rsid w:val="00294E48"/>
    <w:rsid w:val="002A118F"/>
    <w:rsid w:val="002A1703"/>
    <w:rsid w:val="002A1774"/>
    <w:rsid w:val="002A4BA0"/>
    <w:rsid w:val="002A4D3A"/>
    <w:rsid w:val="002A5C4A"/>
    <w:rsid w:val="002B1B3E"/>
    <w:rsid w:val="002B2806"/>
    <w:rsid w:val="002B340B"/>
    <w:rsid w:val="002B4063"/>
    <w:rsid w:val="002C2026"/>
    <w:rsid w:val="002C5D5D"/>
    <w:rsid w:val="002D0398"/>
    <w:rsid w:val="002D15BC"/>
    <w:rsid w:val="002D1BBD"/>
    <w:rsid w:val="002D24FA"/>
    <w:rsid w:val="002D27ED"/>
    <w:rsid w:val="002D2EDE"/>
    <w:rsid w:val="002D3B67"/>
    <w:rsid w:val="002D4643"/>
    <w:rsid w:val="002D4BD1"/>
    <w:rsid w:val="002D59B2"/>
    <w:rsid w:val="002D7646"/>
    <w:rsid w:val="002E0DE9"/>
    <w:rsid w:val="002E0E83"/>
    <w:rsid w:val="002E171E"/>
    <w:rsid w:val="002E2D6F"/>
    <w:rsid w:val="002E400E"/>
    <w:rsid w:val="002E4229"/>
    <w:rsid w:val="002E48D5"/>
    <w:rsid w:val="002E6207"/>
    <w:rsid w:val="002E6A7D"/>
    <w:rsid w:val="002E7420"/>
    <w:rsid w:val="002E793B"/>
    <w:rsid w:val="002E79B5"/>
    <w:rsid w:val="002F1957"/>
    <w:rsid w:val="002F3C82"/>
    <w:rsid w:val="002F5717"/>
    <w:rsid w:val="002F79AD"/>
    <w:rsid w:val="0030030E"/>
    <w:rsid w:val="00302BEB"/>
    <w:rsid w:val="00303C87"/>
    <w:rsid w:val="0030609B"/>
    <w:rsid w:val="00307728"/>
    <w:rsid w:val="003133AC"/>
    <w:rsid w:val="00313F03"/>
    <w:rsid w:val="003140C2"/>
    <w:rsid w:val="0032022E"/>
    <w:rsid w:val="00320CE2"/>
    <w:rsid w:val="00321130"/>
    <w:rsid w:val="003213A7"/>
    <w:rsid w:val="00322F22"/>
    <w:rsid w:val="00327666"/>
    <w:rsid w:val="00327A01"/>
    <w:rsid w:val="00331D38"/>
    <w:rsid w:val="00331E3A"/>
    <w:rsid w:val="003372A5"/>
    <w:rsid w:val="00340C2D"/>
    <w:rsid w:val="003420BD"/>
    <w:rsid w:val="00344273"/>
    <w:rsid w:val="003470D9"/>
    <w:rsid w:val="00347846"/>
    <w:rsid w:val="00347A79"/>
    <w:rsid w:val="0035024E"/>
    <w:rsid w:val="0035076C"/>
    <w:rsid w:val="0035078C"/>
    <w:rsid w:val="003511C6"/>
    <w:rsid w:val="003519F5"/>
    <w:rsid w:val="00362362"/>
    <w:rsid w:val="00362B3E"/>
    <w:rsid w:val="00363EC6"/>
    <w:rsid w:val="003669FF"/>
    <w:rsid w:val="003720CA"/>
    <w:rsid w:val="00373265"/>
    <w:rsid w:val="00373E8D"/>
    <w:rsid w:val="0037457F"/>
    <w:rsid w:val="00387492"/>
    <w:rsid w:val="00393A96"/>
    <w:rsid w:val="00393EFA"/>
    <w:rsid w:val="00394647"/>
    <w:rsid w:val="003952C5"/>
    <w:rsid w:val="003A047C"/>
    <w:rsid w:val="003A111A"/>
    <w:rsid w:val="003A2BB2"/>
    <w:rsid w:val="003A6285"/>
    <w:rsid w:val="003A6976"/>
    <w:rsid w:val="003A76F8"/>
    <w:rsid w:val="003B30E1"/>
    <w:rsid w:val="003B4068"/>
    <w:rsid w:val="003B7DA2"/>
    <w:rsid w:val="003C0063"/>
    <w:rsid w:val="003C0919"/>
    <w:rsid w:val="003C1AC6"/>
    <w:rsid w:val="003C569E"/>
    <w:rsid w:val="003C7FDE"/>
    <w:rsid w:val="003D07B5"/>
    <w:rsid w:val="003D1143"/>
    <w:rsid w:val="003D12F4"/>
    <w:rsid w:val="003D1538"/>
    <w:rsid w:val="003D4B2A"/>
    <w:rsid w:val="003D53AA"/>
    <w:rsid w:val="003D5A7E"/>
    <w:rsid w:val="003D686F"/>
    <w:rsid w:val="003E085B"/>
    <w:rsid w:val="003E15D0"/>
    <w:rsid w:val="003E1FB9"/>
    <w:rsid w:val="003E2CB1"/>
    <w:rsid w:val="003E32D1"/>
    <w:rsid w:val="003E35EB"/>
    <w:rsid w:val="003E648D"/>
    <w:rsid w:val="003E78F2"/>
    <w:rsid w:val="003F4C56"/>
    <w:rsid w:val="003F5B4C"/>
    <w:rsid w:val="003F5D03"/>
    <w:rsid w:val="003F64BA"/>
    <w:rsid w:val="004037B8"/>
    <w:rsid w:val="004042D2"/>
    <w:rsid w:val="00404F0C"/>
    <w:rsid w:val="00405A2E"/>
    <w:rsid w:val="0040663F"/>
    <w:rsid w:val="00414D07"/>
    <w:rsid w:val="00414FEA"/>
    <w:rsid w:val="0041538A"/>
    <w:rsid w:val="004158C8"/>
    <w:rsid w:val="00415A07"/>
    <w:rsid w:val="00415C98"/>
    <w:rsid w:val="0041610F"/>
    <w:rsid w:val="00416CDD"/>
    <w:rsid w:val="0041703A"/>
    <w:rsid w:val="00417640"/>
    <w:rsid w:val="004211F1"/>
    <w:rsid w:val="00423979"/>
    <w:rsid w:val="00425AFB"/>
    <w:rsid w:val="004261D9"/>
    <w:rsid w:val="004264D0"/>
    <w:rsid w:val="0042687C"/>
    <w:rsid w:val="004303F3"/>
    <w:rsid w:val="00430719"/>
    <w:rsid w:val="00431AB9"/>
    <w:rsid w:val="00431FE3"/>
    <w:rsid w:val="00432E54"/>
    <w:rsid w:val="00434BDA"/>
    <w:rsid w:val="004354CE"/>
    <w:rsid w:val="0044070E"/>
    <w:rsid w:val="00440E0D"/>
    <w:rsid w:val="00441288"/>
    <w:rsid w:val="00441619"/>
    <w:rsid w:val="004426D4"/>
    <w:rsid w:val="00443325"/>
    <w:rsid w:val="00445AB0"/>
    <w:rsid w:val="00445B44"/>
    <w:rsid w:val="0044628C"/>
    <w:rsid w:val="004477BE"/>
    <w:rsid w:val="00447A23"/>
    <w:rsid w:val="00450240"/>
    <w:rsid w:val="00450763"/>
    <w:rsid w:val="00453114"/>
    <w:rsid w:val="004531F1"/>
    <w:rsid w:val="004532ED"/>
    <w:rsid w:val="0045361B"/>
    <w:rsid w:val="00455A7E"/>
    <w:rsid w:val="00456328"/>
    <w:rsid w:val="00457A20"/>
    <w:rsid w:val="004605CF"/>
    <w:rsid w:val="004605FB"/>
    <w:rsid w:val="004608C4"/>
    <w:rsid w:val="004628E8"/>
    <w:rsid w:val="00462AC1"/>
    <w:rsid w:val="00463513"/>
    <w:rsid w:val="004639CE"/>
    <w:rsid w:val="0046734B"/>
    <w:rsid w:val="004714F5"/>
    <w:rsid w:val="00472528"/>
    <w:rsid w:val="00472BCE"/>
    <w:rsid w:val="00472E00"/>
    <w:rsid w:val="004754AF"/>
    <w:rsid w:val="004773D7"/>
    <w:rsid w:val="0048120A"/>
    <w:rsid w:val="00482384"/>
    <w:rsid w:val="00482E1A"/>
    <w:rsid w:val="004858B7"/>
    <w:rsid w:val="00486BBB"/>
    <w:rsid w:val="004901A6"/>
    <w:rsid w:val="00490BAA"/>
    <w:rsid w:val="00493AE1"/>
    <w:rsid w:val="00495B71"/>
    <w:rsid w:val="00497392"/>
    <w:rsid w:val="004A222E"/>
    <w:rsid w:val="004A741B"/>
    <w:rsid w:val="004A7A84"/>
    <w:rsid w:val="004B07DB"/>
    <w:rsid w:val="004B1A53"/>
    <w:rsid w:val="004B33D4"/>
    <w:rsid w:val="004B549B"/>
    <w:rsid w:val="004B59A5"/>
    <w:rsid w:val="004C015B"/>
    <w:rsid w:val="004C158C"/>
    <w:rsid w:val="004C1FDD"/>
    <w:rsid w:val="004C351A"/>
    <w:rsid w:val="004C49E6"/>
    <w:rsid w:val="004C6FCA"/>
    <w:rsid w:val="004D0801"/>
    <w:rsid w:val="004D39E0"/>
    <w:rsid w:val="004D4B47"/>
    <w:rsid w:val="004D5BA5"/>
    <w:rsid w:val="004E17F5"/>
    <w:rsid w:val="004E410D"/>
    <w:rsid w:val="004E4C4E"/>
    <w:rsid w:val="004E59DB"/>
    <w:rsid w:val="004F2AB9"/>
    <w:rsid w:val="004F2AE0"/>
    <w:rsid w:val="004F5466"/>
    <w:rsid w:val="004F5567"/>
    <w:rsid w:val="00500665"/>
    <w:rsid w:val="00500A8B"/>
    <w:rsid w:val="005024EA"/>
    <w:rsid w:val="005037E5"/>
    <w:rsid w:val="0050590C"/>
    <w:rsid w:val="00507202"/>
    <w:rsid w:val="005103DB"/>
    <w:rsid w:val="005112D5"/>
    <w:rsid w:val="00511984"/>
    <w:rsid w:val="00513D92"/>
    <w:rsid w:val="0051405B"/>
    <w:rsid w:val="00516A25"/>
    <w:rsid w:val="0052115B"/>
    <w:rsid w:val="005248DF"/>
    <w:rsid w:val="00526392"/>
    <w:rsid w:val="00531BD1"/>
    <w:rsid w:val="005330F7"/>
    <w:rsid w:val="0053592F"/>
    <w:rsid w:val="00540F34"/>
    <w:rsid w:val="00542C7B"/>
    <w:rsid w:val="005457AA"/>
    <w:rsid w:val="005479C7"/>
    <w:rsid w:val="0055344C"/>
    <w:rsid w:val="005542D2"/>
    <w:rsid w:val="00560054"/>
    <w:rsid w:val="005619C5"/>
    <w:rsid w:val="005626A8"/>
    <w:rsid w:val="00562805"/>
    <w:rsid w:val="00563598"/>
    <w:rsid w:val="00570A36"/>
    <w:rsid w:val="00573941"/>
    <w:rsid w:val="00574E2E"/>
    <w:rsid w:val="0057601E"/>
    <w:rsid w:val="00582103"/>
    <w:rsid w:val="005850B2"/>
    <w:rsid w:val="0058670F"/>
    <w:rsid w:val="005869C0"/>
    <w:rsid w:val="0059075E"/>
    <w:rsid w:val="00590CE7"/>
    <w:rsid w:val="00594151"/>
    <w:rsid w:val="0059451A"/>
    <w:rsid w:val="00597EB1"/>
    <w:rsid w:val="005A2A3E"/>
    <w:rsid w:val="005B23A6"/>
    <w:rsid w:val="005C05B5"/>
    <w:rsid w:val="005C0F3C"/>
    <w:rsid w:val="005C1B52"/>
    <w:rsid w:val="005C28E8"/>
    <w:rsid w:val="005C5625"/>
    <w:rsid w:val="005C5C48"/>
    <w:rsid w:val="005C71D0"/>
    <w:rsid w:val="005D0F68"/>
    <w:rsid w:val="005D4966"/>
    <w:rsid w:val="005D5219"/>
    <w:rsid w:val="005D73B9"/>
    <w:rsid w:val="005D7730"/>
    <w:rsid w:val="005E031D"/>
    <w:rsid w:val="005E3E2E"/>
    <w:rsid w:val="005E68B1"/>
    <w:rsid w:val="005E6D3C"/>
    <w:rsid w:val="005F683E"/>
    <w:rsid w:val="005F738C"/>
    <w:rsid w:val="005F7F27"/>
    <w:rsid w:val="006001CF"/>
    <w:rsid w:val="00601380"/>
    <w:rsid w:val="0060159D"/>
    <w:rsid w:val="0060301A"/>
    <w:rsid w:val="0060311F"/>
    <w:rsid w:val="00603DAD"/>
    <w:rsid w:val="006043F7"/>
    <w:rsid w:val="00610891"/>
    <w:rsid w:val="00610AD6"/>
    <w:rsid w:val="00610BF1"/>
    <w:rsid w:val="006121E1"/>
    <w:rsid w:val="006126BB"/>
    <w:rsid w:val="00612A73"/>
    <w:rsid w:val="00613F23"/>
    <w:rsid w:val="00614AB6"/>
    <w:rsid w:val="0061746F"/>
    <w:rsid w:val="006233A9"/>
    <w:rsid w:val="00624803"/>
    <w:rsid w:val="00632C28"/>
    <w:rsid w:val="00637691"/>
    <w:rsid w:val="006406E6"/>
    <w:rsid w:val="00643504"/>
    <w:rsid w:val="00645731"/>
    <w:rsid w:val="006460A8"/>
    <w:rsid w:val="0064784A"/>
    <w:rsid w:val="00654D36"/>
    <w:rsid w:val="00654D41"/>
    <w:rsid w:val="006561F8"/>
    <w:rsid w:val="0066080A"/>
    <w:rsid w:val="00663789"/>
    <w:rsid w:val="00664C99"/>
    <w:rsid w:val="006704FB"/>
    <w:rsid w:val="00677561"/>
    <w:rsid w:val="00677EF5"/>
    <w:rsid w:val="00682891"/>
    <w:rsid w:val="00685055"/>
    <w:rsid w:val="006867A3"/>
    <w:rsid w:val="006908D5"/>
    <w:rsid w:val="00691E0B"/>
    <w:rsid w:val="006937FF"/>
    <w:rsid w:val="00694030"/>
    <w:rsid w:val="0069486F"/>
    <w:rsid w:val="00694FC4"/>
    <w:rsid w:val="006961BC"/>
    <w:rsid w:val="006972BB"/>
    <w:rsid w:val="006A2D1A"/>
    <w:rsid w:val="006A2FFE"/>
    <w:rsid w:val="006A689A"/>
    <w:rsid w:val="006A7DC4"/>
    <w:rsid w:val="006B0500"/>
    <w:rsid w:val="006B1848"/>
    <w:rsid w:val="006B4C5E"/>
    <w:rsid w:val="006B4C87"/>
    <w:rsid w:val="006B4CD9"/>
    <w:rsid w:val="006C0316"/>
    <w:rsid w:val="006C5729"/>
    <w:rsid w:val="006C586E"/>
    <w:rsid w:val="006D1515"/>
    <w:rsid w:val="006D198E"/>
    <w:rsid w:val="006D2054"/>
    <w:rsid w:val="006D3718"/>
    <w:rsid w:val="006D5706"/>
    <w:rsid w:val="006E1093"/>
    <w:rsid w:val="006E3276"/>
    <w:rsid w:val="006E4173"/>
    <w:rsid w:val="006E51B9"/>
    <w:rsid w:val="006E5FD8"/>
    <w:rsid w:val="006F23A4"/>
    <w:rsid w:val="006F3303"/>
    <w:rsid w:val="006F5502"/>
    <w:rsid w:val="006F5EFA"/>
    <w:rsid w:val="00702EC6"/>
    <w:rsid w:val="0070406A"/>
    <w:rsid w:val="00704633"/>
    <w:rsid w:val="00704E4A"/>
    <w:rsid w:val="007103D7"/>
    <w:rsid w:val="00710949"/>
    <w:rsid w:val="0071181A"/>
    <w:rsid w:val="00712506"/>
    <w:rsid w:val="00714809"/>
    <w:rsid w:val="00715654"/>
    <w:rsid w:val="00716285"/>
    <w:rsid w:val="007176E4"/>
    <w:rsid w:val="00717E52"/>
    <w:rsid w:val="007207A1"/>
    <w:rsid w:val="00720D1D"/>
    <w:rsid w:val="007244E6"/>
    <w:rsid w:val="007259EC"/>
    <w:rsid w:val="00727D0D"/>
    <w:rsid w:val="007310F1"/>
    <w:rsid w:val="0073233F"/>
    <w:rsid w:val="0073474A"/>
    <w:rsid w:val="00737270"/>
    <w:rsid w:val="007458F1"/>
    <w:rsid w:val="007476F6"/>
    <w:rsid w:val="007503A2"/>
    <w:rsid w:val="00750CB1"/>
    <w:rsid w:val="00751DE5"/>
    <w:rsid w:val="00754D06"/>
    <w:rsid w:val="00755FD9"/>
    <w:rsid w:val="007575D9"/>
    <w:rsid w:val="00757B83"/>
    <w:rsid w:val="00760EAD"/>
    <w:rsid w:val="00762778"/>
    <w:rsid w:val="00764D69"/>
    <w:rsid w:val="00767718"/>
    <w:rsid w:val="00770555"/>
    <w:rsid w:val="0077602A"/>
    <w:rsid w:val="00781A79"/>
    <w:rsid w:val="007820F0"/>
    <w:rsid w:val="00782787"/>
    <w:rsid w:val="007832DA"/>
    <w:rsid w:val="007837DE"/>
    <w:rsid w:val="007845E5"/>
    <w:rsid w:val="00786961"/>
    <w:rsid w:val="007872B8"/>
    <w:rsid w:val="0079068D"/>
    <w:rsid w:val="007909A1"/>
    <w:rsid w:val="007926F3"/>
    <w:rsid w:val="00793543"/>
    <w:rsid w:val="007940F3"/>
    <w:rsid w:val="0079530B"/>
    <w:rsid w:val="00796678"/>
    <w:rsid w:val="00797CE9"/>
    <w:rsid w:val="007A3D37"/>
    <w:rsid w:val="007A4756"/>
    <w:rsid w:val="007A5087"/>
    <w:rsid w:val="007A5FA5"/>
    <w:rsid w:val="007A6673"/>
    <w:rsid w:val="007A7A8A"/>
    <w:rsid w:val="007B40AA"/>
    <w:rsid w:val="007B5A03"/>
    <w:rsid w:val="007C2587"/>
    <w:rsid w:val="007C4C2F"/>
    <w:rsid w:val="007C62FD"/>
    <w:rsid w:val="007C7F49"/>
    <w:rsid w:val="007D0043"/>
    <w:rsid w:val="007D1E88"/>
    <w:rsid w:val="007D7BCA"/>
    <w:rsid w:val="007D7D3A"/>
    <w:rsid w:val="007E065A"/>
    <w:rsid w:val="007E1121"/>
    <w:rsid w:val="007E5074"/>
    <w:rsid w:val="007E62B8"/>
    <w:rsid w:val="007F0C6E"/>
    <w:rsid w:val="007F1819"/>
    <w:rsid w:val="007F2D01"/>
    <w:rsid w:val="007F62DA"/>
    <w:rsid w:val="007F6531"/>
    <w:rsid w:val="0080246D"/>
    <w:rsid w:val="0080303F"/>
    <w:rsid w:val="00804900"/>
    <w:rsid w:val="008051A7"/>
    <w:rsid w:val="008061CB"/>
    <w:rsid w:val="008071E8"/>
    <w:rsid w:val="0081193D"/>
    <w:rsid w:val="0081560D"/>
    <w:rsid w:val="00815C5D"/>
    <w:rsid w:val="00816618"/>
    <w:rsid w:val="0082005F"/>
    <w:rsid w:val="00820572"/>
    <w:rsid w:val="008238D1"/>
    <w:rsid w:val="00824AA0"/>
    <w:rsid w:val="0082500D"/>
    <w:rsid w:val="008259F7"/>
    <w:rsid w:val="00825ABB"/>
    <w:rsid w:val="00827662"/>
    <w:rsid w:val="00831B32"/>
    <w:rsid w:val="00831C1C"/>
    <w:rsid w:val="00832E7D"/>
    <w:rsid w:val="00836E6B"/>
    <w:rsid w:val="00837BC1"/>
    <w:rsid w:val="00837F50"/>
    <w:rsid w:val="00842B75"/>
    <w:rsid w:val="00842BA6"/>
    <w:rsid w:val="00842CCB"/>
    <w:rsid w:val="00845935"/>
    <w:rsid w:val="00845F94"/>
    <w:rsid w:val="00853836"/>
    <w:rsid w:val="008547CE"/>
    <w:rsid w:val="00856049"/>
    <w:rsid w:val="00856301"/>
    <w:rsid w:val="00856BE1"/>
    <w:rsid w:val="00860313"/>
    <w:rsid w:val="008619CA"/>
    <w:rsid w:val="00862516"/>
    <w:rsid w:val="00866B88"/>
    <w:rsid w:val="008679A3"/>
    <w:rsid w:val="00870220"/>
    <w:rsid w:val="00871567"/>
    <w:rsid w:val="00871E2C"/>
    <w:rsid w:val="00872FF8"/>
    <w:rsid w:val="00877E49"/>
    <w:rsid w:val="00877FEC"/>
    <w:rsid w:val="00882FE4"/>
    <w:rsid w:val="00884608"/>
    <w:rsid w:val="00884C24"/>
    <w:rsid w:val="008852CE"/>
    <w:rsid w:val="008866F7"/>
    <w:rsid w:val="008940E0"/>
    <w:rsid w:val="00895824"/>
    <w:rsid w:val="008A2398"/>
    <w:rsid w:val="008A2730"/>
    <w:rsid w:val="008A3966"/>
    <w:rsid w:val="008A3E01"/>
    <w:rsid w:val="008A4669"/>
    <w:rsid w:val="008A5116"/>
    <w:rsid w:val="008A7611"/>
    <w:rsid w:val="008A7A0F"/>
    <w:rsid w:val="008B0AC3"/>
    <w:rsid w:val="008B4DC9"/>
    <w:rsid w:val="008C1A0C"/>
    <w:rsid w:val="008C26D8"/>
    <w:rsid w:val="008C311A"/>
    <w:rsid w:val="008C3A4A"/>
    <w:rsid w:val="008C3BAF"/>
    <w:rsid w:val="008C673C"/>
    <w:rsid w:val="008C6D93"/>
    <w:rsid w:val="008D6B37"/>
    <w:rsid w:val="008D7F9C"/>
    <w:rsid w:val="008E0346"/>
    <w:rsid w:val="008E2D17"/>
    <w:rsid w:val="008E331B"/>
    <w:rsid w:val="008E399F"/>
    <w:rsid w:val="008E513A"/>
    <w:rsid w:val="008E6292"/>
    <w:rsid w:val="008E7441"/>
    <w:rsid w:val="008E7C68"/>
    <w:rsid w:val="008F39FE"/>
    <w:rsid w:val="008F4C75"/>
    <w:rsid w:val="008F628B"/>
    <w:rsid w:val="00902634"/>
    <w:rsid w:val="00910AE5"/>
    <w:rsid w:val="00912EF3"/>
    <w:rsid w:val="0091400D"/>
    <w:rsid w:val="009141C4"/>
    <w:rsid w:val="009159FD"/>
    <w:rsid w:val="00917817"/>
    <w:rsid w:val="0092141A"/>
    <w:rsid w:val="00921FF9"/>
    <w:rsid w:val="00927F92"/>
    <w:rsid w:val="0093003D"/>
    <w:rsid w:val="0093159F"/>
    <w:rsid w:val="00933589"/>
    <w:rsid w:val="00933B90"/>
    <w:rsid w:val="0093713A"/>
    <w:rsid w:val="00944468"/>
    <w:rsid w:val="00946606"/>
    <w:rsid w:val="00946669"/>
    <w:rsid w:val="00947354"/>
    <w:rsid w:val="00952198"/>
    <w:rsid w:val="00955F0F"/>
    <w:rsid w:val="00956B87"/>
    <w:rsid w:val="0095728D"/>
    <w:rsid w:val="00961BEB"/>
    <w:rsid w:val="00961BF6"/>
    <w:rsid w:val="00962ED0"/>
    <w:rsid w:val="00970C2C"/>
    <w:rsid w:val="009718E5"/>
    <w:rsid w:val="00972828"/>
    <w:rsid w:val="00973BAB"/>
    <w:rsid w:val="009743DD"/>
    <w:rsid w:val="009774A6"/>
    <w:rsid w:val="00977C91"/>
    <w:rsid w:val="00983E91"/>
    <w:rsid w:val="0098418A"/>
    <w:rsid w:val="009843C8"/>
    <w:rsid w:val="00992240"/>
    <w:rsid w:val="00994C0A"/>
    <w:rsid w:val="00996403"/>
    <w:rsid w:val="009967B0"/>
    <w:rsid w:val="00997AE2"/>
    <w:rsid w:val="009A0338"/>
    <w:rsid w:val="009A0569"/>
    <w:rsid w:val="009A08AE"/>
    <w:rsid w:val="009A12C8"/>
    <w:rsid w:val="009A202F"/>
    <w:rsid w:val="009A2337"/>
    <w:rsid w:val="009A3418"/>
    <w:rsid w:val="009A4FCA"/>
    <w:rsid w:val="009A7479"/>
    <w:rsid w:val="009B034E"/>
    <w:rsid w:val="009B28A1"/>
    <w:rsid w:val="009B3CF3"/>
    <w:rsid w:val="009C3B50"/>
    <w:rsid w:val="009D21CB"/>
    <w:rsid w:val="009D29AE"/>
    <w:rsid w:val="009E0FE7"/>
    <w:rsid w:val="009E12E6"/>
    <w:rsid w:val="009E1781"/>
    <w:rsid w:val="009E2A5C"/>
    <w:rsid w:val="009E389F"/>
    <w:rsid w:val="009E3FAA"/>
    <w:rsid w:val="009E3FCF"/>
    <w:rsid w:val="009E56D7"/>
    <w:rsid w:val="009E5CAC"/>
    <w:rsid w:val="009F424A"/>
    <w:rsid w:val="009F5FC6"/>
    <w:rsid w:val="009F642B"/>
    <w:rsid w:val="009F6C60"/>
    <w:rsid w:val="009F71E4"/>
    <w:rsid w:val="009F7BA2"/>
    <w:rsid w:val="00A0262E"/>
    <w:rsid w:val="00A02B92"/>
    <w:rsid w:val="00A0410B"/>
    <w:rsid w:val="00A05F7F"/>
    <w:rsid w:val="00A1043B"/>
    <w:rsid w:val="00A10C7F"/>
    <w:rsid w:val="00A119A3"/>
    <w:rsid w:val="00A15DBF"/>
    <w:rsid w:val="00A2119D"/>
    <w:rsid w:val="00A21E9F"/>
    <w:rsid w:val="00A23F9D"/>
    <w:rsid w:val="00A325B1"/>
    <w:rsid w:val="00A32E9C"/>
    <w:rsid w:val="00A33BE0"/>
    <w:rsid w:val="00A34482"/>
    <w:rsid w:val="00A350E8"/>
    <w:rsid w:val="00A35800"/>
    <w:rsid w:val="00A367CB"/>
    <w:rsid w:val="00A3682D"/>
    <w:rsid w:val="00A374D1"/>
    <w:rsid w:val="00A40866"/>
    <w:rsid w:val="00A44D89"/>
    <w:rsid w:val="00A44ED2"/>
    <w:rsid w:val="00A45986"/>
    <w:rsid w:val="00A45996"/>
    <w:rsid w:val="00A45A17"/>
    <w:rsid w:val="00A50522"/>
    <w:rsid w:val="00A5442D"/>
    <w:rsid w:val="00A556E0"/>
    <w:rsid w:val="00A567FD"/>
    <w:rsid w:val="00A56F6E"/>
    <w:rsid w:val="00A6185E"/>
    <w:rsid w:val="00A63907"/>
    <w:rsid w:val="00A64995"/>
    <w:rsid w:val="00A64F90"/>
    <w:rsid w:val="00A655A6"/>
    <w:rsid w:val="00A657C7"/>
    <w:rsid w:val="00A72665"/>
    <w:rsid w:val="00A75C46"/>
    <w:rsid w:val="00A75CDB"/>
    <w:rsid w:val="00A75FF2"/>
    <w:rsid w:val="00A81FC7"/>
    <w:rsid w:val="00A8305C"/>
    <w:rsid w:val="00A835CF"/>
    <w:rsid w:val="00A83B5E"/>
    <w:rsid w:val="00A8405B"/>
    <w:rsid w:val="00A86BA5"/>
    <w:rsid w:val="00A870D5"/>
    <w:rsid w:val="00A91763"/>
    <w:rsid w:val="00A92042"/>
    <w:rsid w:val="00A93363"/>
    <w:rsid w:val="00A9690F"/>
    <w:rsid w:val="00AA0D0E"/>
    <w:rsid w:val="00AA2DAA"/>
    <w:rsid w:val="00AA5324"/>
    <w:rsid w:val="00AA7D67"/>
    <w:rsid w:val="00AB13A4"/>
    <w:rsid w:val="00AB14CD"/>
    <w:rsid w:val="00AB25DA"/>
    <w:rsid w:val="00AB2F1A"/>
    <w:rsid w:val="00AB6679"/>
    <w:rsid w:val="00AB66B1"/>
    <w:rsid w:val="00AC01F4"/>
    <w:rsid w:val="00AC0ADF"/>
    <w:rsid w:val="00AC0D34"/>
    <w:rsid w:val="00AC2D49"/>
    <w:rsid w:val="00AC4664"/>
    <w:rsid w:val="00AC57EA"/>
    <w:rsid w:val="00AC5AF1"/>
    <w:rsid w:val="00AD001C"/>
    <w:rsid w:val="00AD341C"/>
    <w:rsid w:val="00AD41E0"/>
    <w:rsid w:val="00AD4874"/>
    <w:rsid w:val="00AD4F4C"/>
    <w:rsid w:val="00AD6C59"/>
    <w:rsid w:val="00AE381F"/>
    <w:rsid w:val="00AE3FA2"/>
    <w:rsid w:val="00AE44C9"/>
    <w:rsid w:val="00AE6CEB"/>
    <w:rsid w:val="00AE756F"/>
    <w:rsid w:val="00AF0534"/>
    <w:rsid w:val="00AF2025"/>
    <w:rsid w:val="00AF21E1"/>
    <w:rsid w:val="00AF3B11"/>
    <w:rsid w:val="00AF63ED"/>
    <w:rsid w:val="00AF6CAF"/>
    <w:rsid w:val="00AF712E"/>
    <w:rsid w:val="00B0019E"/>
    <w:rsid w:val="00B018BD"/>
    <w:rsid w:val="00B03D1B"/>
    <w:rsid w:val="00B1023F"/>
    <w:rsid w:val="00B107A9"/>
    <w:rsid w:val="00B10B28"/>
    <w:rsid w:val="00B126A2"/>
    <w:rsid w:val="00B12835"/>
    <w:rsid w:val="00B1358C"/>
    <w:rsid w:val="00B13A08"/>
    <w:rsid w:val="00B2055E"/>
    <w:rsid w:val="00B21814"/>
    <w:rsid w:val="00B21D42"/>
    <w:rsid w:val="00B22F4C"/>
    <w:rsid w:val="00B2593B"/>
    <w:rsid w:val="00B26B9D"/>
    <w:rsid w:val="00B3190C"/>
    <w:rsid w:val="00B31A78"/>
    <w:rsid w:val="00B33183"/>
    <w:rsid w:val="00B34469"/>
    <w:rsid w:val="00B371BB"/>
    <w:rsid w:val="00B4056E"/>
    <w:rsid w:val="00B4546D"/>
    <w:rsid w:val="00B45509"/>
    <w:rsid w:val="00B46E0A"/>
    <w:rsid w:val="00B51637"/>
    <w:rsid w:val="00B51A11"/>
    <w:rsid w:val="00B5289F"/>
    <w:rsid w:val="00B5375C"/>
    <w:rsid w:val="00B55276"/>
    <w:rsid w:val="00B557D6"/>
    <w:rsid w:val="00B60257"/>
    <w:rsid w:val="00B605F1"/>
    <w:rsid w:val="00B608C3"/>
    <w:rsid w:val="00B609A5"/>
    <w:rsid w:val="00B61012"/>
    <w:rsid w:val="00B611C5"/>
    <w:rsid w:val="00B63C18"/>
    <w:rsid w:val="00B646FC"/>
    <w:rsid w:val="00B6562C"/>
    <w:rsid w:val="00B665AB"/>
    <w:rsid w:val="00B716CD"/>
    <w:rsid w:val="00B73EC1"/>
    <w:rsid w:val="00B74C8E"/>
    <w:rsid w:val="00B75ECF"/>
    <w:rsid w:val="00B81CB2"/>
    <w:rsid w:val="00B83A56"/>
    <w:rsid w:val="00B840FC"/>
    <w:rsid w:val="00B86FD6"/>
    <w:rsid w:val="00B90CA6"/>
    <w:rsid w:val="00B91602"/>
    <w:rsid w:val="00B91C03"/>
    <w:rsid w:val="00B932C2"/>
    <w:rsid w:val="00B939B4"/>
    <w:rsid w:val="00B93B28"/>
    <w:rsid w:val="00B94691"/>
    <w:rsid w:val="00B95194"/>
    <w:rsid w:val="00BA039B"/>
    <w:rsid w:val="00BA35D2"/>
    <w:rsid w:val="00BA3E36"/>
    <w:rsid w:val="00BA6CF2"/>
    <w:rsid w:val="00BA6F46"/>
    <w:rsid w:val="00BA7383"/>
    <w:rsid w:val="00BA794F"/>
    <w:rsid w:val="00BB0E16"/>
    <w:rsid w:val="00BB1F67"/>
    <w:rsid w:val="00BB212B"/>
    <w:rsid w:val="00BB27DD"/>
    <w:rsid w:val="00BB52EF"/>
    <w:rsid w:val="00BB7FAE"/>
    <w:rsid w:val="00BC60DB"/>
    <w:rsid w:val="00BC690E"/>
    <w:rsid w:val="00BC7FB4"/>
    <w:rsid w:val="00BD2392"/>
    <w:rsid w:val="00BE3EEC"/>
    <w:rsid w:val="00BE4831"/>
    <w:rsid w:val="00BE54DD"/>
    <w:rsid w:val="00BE750D"/>
    <w:rsid w:val="00BE796F"/>
    <w:rsid w:val="00BE7D74"/>
    <w:rsid w:val="00BF3306"/>
    <w:rsid w:val="00BF48A2"/>
    <w:rsid w:val="00BF5348"/>
    <w:rsid w:val="00C01ED7"/>
    <w:rsid w:val="00C05D27"/>
    <w:rsid w:val="00C062DB"/>
    <w:rsid w:val="00C067D4"/>
    <w:rsid w:val="00C108C1"/>
    <w:rsid w:val="00C12B3C"/>
    <w:rsid w:val="00C17532"/>
    <w:rsid w:val="00C17B3C"/>
    <w:rsid w:val="00C22028"/>
    <w:rsid w:val="00C22C8A"/>
    <w:rsid w:val="00C2305C"/>
    <w:rsid w:val="00C230CC"/>
    <w:rsid w:val="00C235F9"/>
    <w:rsid w:val="00C24B2A"/>
    <w:rsid w:val="00C276B6"/>
    <w:rsid w:val="00C31E42"/>
    <w:rsid w:val="00C322FA"/>
    <w:rsid w:val="00C32D69"/>
    <w:rsid w:val="00C32E9F"/>
    <w:rsid w:val="00C3354A"/>
    <w:rsid w:val="00C33DE9"/>
    <w:rsid w:val="00C34F42"/>
    <w:rsid w:val="00C36489"/>
    <w:rsid w:val="00C36C97"/>
    <w:rsid w:val="00C42D06"/>
    <w:rsid w:val="00C4505C"/>
    <w:rsid w:val="00C46275"/>
    <w:rsid w:val="00C46522"/>
    <w:rsid w:val="00C50116"/>
    <w:rsid w:val="00C63D97"/>
    <w:rsid w:val="00C6488E"/>
    <w:rsid w:val="00C67933"/>
    <w:rsid w:val="00C71DEF"/>
    <w:rsid w:val="00C735B3"/>
    <w:rsid w:val="00C7409D"/>
    <w:rsid w:val="00C814A0"/>
    <w:rsid w:val="00C81CFE"/>
    <w:rsid w:val="00C82A71"/>
    <w:rsid w:val="00C93A7F"/>
    <w:rsid w:val="00C95279"/>
    <w:rsid w:val="00C974A1"/>
    <w:rsid w:val="00CA0D28"/>
    <w:rsid w:val="00CA30C1"/>
    <w:rsid w:val="00CA3982"/>
    <w:rsid w:val="00CA58C8"/>
    <w:rsid w:val="00CB37B7"/>
    <w:rsid w:val="00CB52EA"/>
    <w:rsid w:val="00CB5B3E"/>
    <w:rsid w:val="00CB62B6"/>
    <w:rsid w:val="00CB7115"/>
    <w:rsid w:val="00CC1884"/>
    <w:rsid w:val="00CC20D1"/>
    <w:rsid w:val="00CC441A"/>
    <w:rsid w:val="00CC4581"/>
    <w:rsid w:val="00CC6679"/>
    <w:rsid w:val="00CC7366"/>
    <w:rsid w:val="00CD026D"/>
    <w:rsid w:val="00CD0601"/>
    <w:rsid w:val="00CD1C1D"/>
    <w:rsid w:val="00CD2794"/>
    <w:rsid w:val="00CD347C"/>
    <w:rsid w:val="00CD57D8"/>
    <w:rsid w:val="00CE0123"/>
    <w:rsid w:val="00CE465D"/>
    <w:rsid w:val="00CE5B4C"/>
    <w:rsid w:val="00CE675C"/>
    <w:rsid w:val="00CF1E3C"/>
    <w:rsid w:val="00CF4F27"/>
    <w:rsid w:val="00CF5CA3"/>
    <w:rsid w:val="00CF5D3B"/>
    <w:rsid w:val="00D009AA"/>
    <w:rsid w:val="00D00E32"/>
    <w:rsid w:val="00D031A8"/>
    <w:rsid w:val="00D06FA1"/>
    <w:rsid w:val="00D0713A"/>
    <w:rsid w:val="00D071E4"/>
    <w:rsid w:val="00D111D8"/>
    <w:rsid w:val="00D12FEE"/>
    <w:rsid w:val="00D13179"/>
    <w:rsid w:val="00D1567A"/>
    <w:rsid w:val="00D166B7"/>
    <w:rsid w:val="00D1672F"/>
    <w:rsid w:val="00D16741"/>
    <w:rsid w:val="00D20679"/>
    <w:rsid w:val="00D218E8"/>
    <w:rsid w:val="00D231AA"/>
    <w:rsid w:val="00D23550"/>
    <w:rsid w:val="00D2434B"/>
    <w:rsid w:val="00D24D00"/>
    <w:rsid w:val="00D258FF"/>
    <w:rsid w:val="00D268F7"/>
    <w:rsid w:val="00D30E99"/>
    <w:rsid w:val="00D32671"/>
    <w:rsid w:val="00D3453E"/>
    <w:rsid w:val="00D36D00"/>
    <w:rsid w:val="00D40160"/>
    <w:rsid w:val="00D418E6"/>
    <w:rsid w:val="00D4333C"/>
    <w:rsid w:val="00D4451C"/>
    <w:rsid w:val="00D4691A"/>
    <w:rsid w:val="00D515D5"/>
    <w:rsid w:val="00D526DA"/>
    <w:rsid w:val="00D538C3"/>
    <w:rsid w:val="00D55D1F"/>
    <w:rsid w:val="00D566ED"/>
    <w:rsid w:val="00D56E41"/>
    <w:rsid w:val="00D57573"/>
    <w:rsid w:val="00D57D58"/>
    <w:rsid w:val="00D61BE5"/>
    <w:rsid w:val="00D62903"/>
    <w:rsid w:val="00D62FDB"/>
    <w:rsid w:val="00D66DB0"/>
    <w:rsid w:val="00D75A16"/>
    <w:rsid w:val="00D77BCE"/>
    <w:rsid w:val="00D807CC"/>
    <w:rsid w:val="00D8210B"/>
    <w:rsid w:val="00D83992"/>
    <w:rsid w:val="00D90AEA"/>
    <w:rsid w:val="00D93628"/>
    <w:rsid w:val="00D95B6C"/>
    <w:rsid w:val="00D95DAC"/>
    <w:rsid w:val="00DA0153"/>
    <w:rsid w:val="00DA7B6F"/>
    <w:rsid w:val="00DB0E85"/>
    <w:rsid w:val="00DB5D4C"/>
    <w:rsid w:val="00DC1B3C"/>
    <w:rsid w:val="00DC25A1"/>
    <w:rsid w:val="00DC3347"/>
    <w:rsid w:val="00DC34B4"/>
    <w:rsid w:val="00DD2C15"/>
    <w:rsid w:val="00DD4314"/>
    <w:rsid w:val="00DD473D"/>
    <w:rsid w:val="00DD4928"/>
    <w:rsid w:val="00DD5330"/>
    <w:rsid w:val="00DD57DD"/>
    <w:rsid w:val="00DD5BBD"/>
    <w:rsid w:val="00DE1253"/>
    <w:rsid w:val="00DE481B"/>
    <w:rsid w:val="00DE69F9"/>
    <w:rsid w:val="00DF0F52"/>
    <w:rsid w:val="00DF2589"/>
    <w:rsid w:val="00DF34B9"/>
    <w:rsid w:val="00DF3DB6"/>
    <w:rsid w:val="00DF4B95"/>
    <w:rsid w:val="00DF5F6D"/>
    <w:rsid w:val="00E036D4"/>
    <w:rsid w:val="00E0425E"/>
    <w:rsid w:val="00E04CA5"/>
    <w:rsid w:val="00E05FE7"/>
    <w:rsid w:val="00E0653F"/>
    <w:rsid w:val="00E07098"/>
    <w:rsid w:val="00E10A3F"/>
    <w:rsid w:val="00E11F2B"/>
    <w:rsid w:val="00E25554"/>
    <w:rsid w:val="00E26022"/>
    <w:rsid w:val="00E30EF6"/>
    <w:rsid w:val="00E35132"/>
    <w:rsid w:val="00E36C65"/>
    <w:rsid w:val="00E37007"/>
    <w:rsid w:val="00E40406"/>
    <w:rsid w:val="00E4182C"/>
    <w:rsid w:val="00E53367"/>
    <w:rsid w:val="00E545C3"/>
    <w:rsid w:val="00E555D9"/>
    <w:rsid w:val="00E56B0E"/>
    <w:rsid w:val="00E56C45"/>
    <w:rsid w:val="00E602DE"/>
    <w:rsid w:val="00E60CC5"/>
    <w:rsid w:val="00E62493"/>
    <w:rsid w:val="00E705CF"/>
    <w:rsid w:val="00E7076E"/>
    <w:rsid w:val="00E715BF"/>
    <w:rsid w:val="00E71DEB"/>
    <w:rsid w:val="00E72EC0"/>
    <w:rsid w:val="00E77D51"/>
    <w:rsid w:val="00E81BFB"/>
    <w:rsid w:val="00E837DB"/>
    <w:rsid w:val="00E84A6D"/>
    <w:rsid w:val="00E911F6"/>
    <w:rsid w:val="00E95DA7"/>
    <w:rsid w:val="00EA7E69"/>
    <w:rsid w:val="00EB1BEC"/>
    <w:rsid w:val="00EB3205"/>
    <w:rsid w:val="00EB33E5"/>
    <w:rsid w:val="00EB6015"/>
    <w:rsid w:val="00EB6936"/>
    <w:rsid w:val="00EC0396"/>
    <w:rsid w:val="00EC1C7A"/>
    <w:rsid w:val="00EC3745"/>
    <w:rsid w:val="00ED15E9"/>
    <w:rsid w:val="00ED1A4D"/>
    <w:rsid w:val="00ED27CF"/>
    <w:rsid w:val="00ED3515"/>
    <w:rsid w:val="00ED3F0F"/>
    <w:rsid w:val="00ED5FA7"/>
    <w:rsid w:val="00ED7091"/>
    <w:rsid w:val="00EE5E81"/>
    <w:rsid w:val="00EE7D8D"/>
    <w:rsid w:val="00EF27EB"/>
    <w:rsid w:val="00EF2909"/>
    <w:rsid w:val="00EF708A"/>
    <w:rsid w:val="00F0040E"/>
    <w:rsid w:val="00F035FB"/>
    <w:rsid w:val="00F071CF"/>
    <w:rsid w:val="00F11722"/>
    <w:rsid w:val="00F13F47"/>
    <w:rsid w:val="00F154F6"/>
    <w:rsid w:val="00F166B9"/>
    <w:rsid w:val="00F22BBA"/>
    <w:rsid w:val="00F231E8"/>
    <w:rsid w:val="00F26BA0"/>
    <w:rsid w:val="00F27305"/>
    <w:rsid w:val="00F314FF"/>
    <w:rsid w:val="00F31A6C"/>
    <w:rsid w:val="00F3599A"/>
    <w:rsid w:val="00F36142"/>
    <w:rsid w:val="00F41E3F"/>
    <w:rsid w:val="00F4275C"/>
    <w:rsid w:val="00F42BD3"/>
    <w:rsid w:val="00F42F89"/>
    <w:rsid w:val="00F47590"/>
    <w:rsid w:val="00F500C7"/>
    <w:rsid w:val="00F5010B"/>
    <w:rsid w:val="00F53636"/>
    <w:rsid w:val="00F56281"/>
    <w:rsid w:val="00F61FDB"/>
    <w:rsid w:val="00F631B2"/>
    <w:rsid w:val="00F64E5D"/>
    <w:rsid w:val="00F658A3"/>
    <w:rsid w:val="00F65B5E"/>
    <w:rsid w:val="00F67E81"/>
    <w:rsid w:val="00F7155B"/>
    <w:rsid w:val="00F7317D"/>
    <w:rsid w:val="00F732AC"/>
    <w:rsid w:val="00F74E55"/>
    <w:rsid w:val="00F74F81"/>
    <w:rsid w:val="00F753E8"/>
    <w:rsid w:val="00F75474"/>
    <w:rsid w:val="00F75D12"/>
    <w:rsid w:val="00F77241"/>
    <w:rsid w:val="00F81B8E"/>
    <w:rsid w:val="00F83448"/>
    <w:rsid w:val="00F859F8"/>
    <w:rsid w:val="00F86B21"/>
    <w:rsid w:val="00F91772"/>
    <w:rsid w:val="00F9568B"/>
    <w:rsid w:val="00FA15DA"/>
    <w:rsid w:val="00FA29AC"/>
    <w:rsid w:val="00FA37EC"/>
    <w:rsid w:val="00FA5582"/>
    <w:rsid w:val="00FA6BDA"/>
    <w:rsid w:val="00FB02D0"/>
    <w:rsid w:val="00FB1887"/>
    <w:rsid w:val="00FB44CF"/>
    <w:rsid w:val="00FB4762"/>
    <w:rsid w:val="00FB7CA0"/>
    <w:rsid w:val="00FC15B8"/>
    <w:rsid w:val="00FC2618"/>
    <w:rsid w:val="00FC5DDA"/>
    <w:rsid w:val="00FD1827"/>
    <w:rsid w:val="00FD1C20"/>
    <w:rsid w:val="00FD2D7B"/>
    <w:rsid w:val="00FD327A"/>
    <w:rsid w:val="00FD4589"/>
    <w:rsid w:val="00FD62D0"/>
    <w:rsid w:val="00FE1122"/>
    <w:rsid w:val="00FE1C43"/>
    <w:rsid w:val="00FE321E"/>
    <w:rsid w:val="00FE35DE"/>
    <w:rsid w:val="00FF1336"/>
    <w:rsid w:val="00FF1E6D"/>
    <w:rsid w:val="00FF4A99"/>
    <w:rsid w:val="00FF6285"/>
    <w:rsid w:val="00FF73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E70A884A-28EF-4A7F-AFB6-9213F74B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430719"/>
    <w:rPr>
      <w:color w:val="605E5C"/>
      <w:shd w:val="clear" w:color="auto" w:fill="E1DFDD"/>
    </w:rPr>
  </w:style>
  <w:style w:type="paragraph" w:styleId="Revision">
    <w:name w:val="Revision"/>
    <w:hidden/>
    <w:uiPriority w:val="99"/>
    <w:semiHidden/>
    <w:rsid w:val="00497392"/>
    <w:pPr>
      <w:spacing w:after="0" w:line="240" w:lineRule="auto"/>
    </w:pPr>
  </w:style>
  <w:style w:type="character" w:styleId="FollowedHyperlink">
    <w:name w:val="FollowedHyperlink"/>
    <w:basedOn w:val="DefaultParagraphFont"/>
    <w:uiPriority w:val="99"/>
    <w:semiHidden/>
    <w:unhideWhenUsed/>
    <w:rsid w:val="00FC2618"/>
    <w:rPr>
      <w:color w:val="954F72" w:themeColor="followedHyperlink"/>
      <w:u w:val="single"/>
    </w:rPr>
  </w:style>
  <w:style w:type="character" w:styleId="Mention">
    <w:name w:val="Mention"/>
    <w:basedOn w:val="DefaultParagraphFont"/>
    <w:uiPriority w:val="99"/>
    <w:unhideWhenUsed/>
    <w:rsid w:val="00037D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document/guidelines-prevent-risk-poisoning-migratory-birds" TargetMode="External"/><Relationship Id="rId18" Type="http://schemas.openxmlformats.org/officeDocument/2006/relationships/hyperlink" Target="https://www.cms.int/sites/default/files/document/Guidelines%20to%20Prevent%20the%20Risk%20of%20Poisoning%20to%20Migratory%20Birds.pdf"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cms.int/en/document/preventing-poisoning-migratory-birds-9" TargetMode="External"/><Relationship Id="rId17" Type="http://schemas.openxmlformats.org/officeDocument/2006/relationships/hyperlink" Target="https://stopwildlifepoisoning.eu/"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en/page/intergovernmental-task-force-phasing-out-use-lead-ammunition-and-lead-fishing-weights-lead-ta-0"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ms.int/sites/default/files/uploads/lead_task_force.pdf"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cms.int/sites/default/files/document/cms_stc52_outcome-3_tor-lead-task-force_e.pdf"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page/intergovernmental-task-force-phasing-out-use-lead-ammunition-and-lead-fishing-weights-lead-ta-0"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7.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f86448fae11b97197a3c3d2113c876ae">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32cd0823407061637eb6773a60860f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2.xml><?xml version="1.0" encoding="utf-8"?>
<ds:datastoreItem xmlns:ds="http://schemas.openxmlformats.org/officeDocument/2006/customXml" ds:itemID="{192C65AD-0DF4-44E0-AE32-6A81780B38DE}"/>
</file>

<file path=customXml/itemProps3.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19DDF315-5974-484C-A3DB-7718D6991891}">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281</TotalTime>
  <Pages>16</Pages>
  <Words>6312</Words>
  <Characters>35983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42211</CharactersWithSpaces>
  <SharedDoc>false</SharedDoc>
  <HLinks>
    <vt:vector size="48" baseType="variant">
      <vt:variant>
        <vt:i4>3670077</vt:i4>
      </vt:variant>
      <vt:variant>
        <vt:i4>21</vt:i4>
      </vt:variant>
      <vt:variant>
        <vt:i4>0</vt:i4>
      </vt:variant>
      <vt:variant>
        <vt:i4>5</vt:i4>
      </vt:variant>
      <vt:variant>
        <vt:lpwstr>https://www.cms.int/sites/default/files/document/cms_stc52_outcome-3_tor-lead-task-force_e.pdf</vt:lpwstr>
      </vt:variant>
      <vt:variant>
        <vt:lpwstr/>
      </vt:variant>
      <vt:variant>
        <vt:i4>2752558</vt:i4>
      </vt:variant>
      <vt:variant>
        <vt:i4>18</vt:i4>
      </vt:variant>
      <vt:variant>
        <vt:i4>0</vt:i4>
      </vt:variant>
      <vt:variant>
        <vt:i4>5</vt:i4>
      </vt:variant>
      <vt:variant>
        <vt:lpwstr>https://www.cms.int/sites/default/files/document/Guidelines to Prevent the Risk of Poisoning to Migratory Birds.pdf</vt:lpwstr>
      </vt:variant>
      <vt:variant>
        <vt:lpwstr/>
      </vt:variant>
      <vt:variant>
        <vt:i4>5439568</vt:i4>
      </vt:variant>
      <vt:variant>
        <vt:i4>15</vt:i4>
      </vt:variant>
      <vt:variant>
        <vt:i4>0</vt:i4>
      </vt:variant>
      <vt:variant>
        <vt:i4>5</vt:i4>
      </vt:variant>
      <vt:variant>
        <vt:lpwstr>https://stopwildlifepoisoning.eu/</vt:lpwstr>
      </vt:variant>
      <vt:variant>
        <vt:lpwstr/>
      </vt:variant>
      <vt:variant>
        <vt:i4>6684776</vt:i4>
      </vt:variant>
      <vt:variant>
        <vt:i4>12</vt:i4>
      </vt:variant>
      <vt:variant>
        <vt:i4>0</vt:i4>
      </vt:variant>
      <vt:variant>
        <vt:i4>5</vt:i4>
      </vt:variant>
      <vt:variant>
        <vt:lpwstr>https://www.cms.int/en/page/intergovernmental-task-force-phasing-out-use-lead-ammunition-and-lead-fishing-weights-lead-ta-0</vt:lpwstr>
      </vt:variant>
      <vt:variant>
        <vt:lpwstr/>
      </vt:variant>
      <vt:variant>
        <vt:i4>4587537</vt:i4>
      </vt:variant>
      <vt:variant>
        <vt:i4>9</vt:i4>
      </vt:variant>
      <vt:variant>
        <vt:i4>0</vt:i4>
      </vt:variant>
      <vt:variant>
        <vt:i4>5</vt:i4>
      </vt:variant>
      <vt:variant>
        <vt:lpwstr>https://www.cms.int/sites/default/files/uploads/lead_task_force.pdf</vt:lpwstr>
      </vt:variant>
      <vt:variant>
        <vt:lpwstr/>
      </vt:variant>
      <vt:variant>
        <vt:i4>6684776</vt:i4>
      </vt:variant>
      <vt:variant>
        <vt:i4>6</vt:i4>
      </vt:variant>
      <vt:variant>
        <vt:i4>0</vt:i4>
      </vt:variant>
      <vt:variant>
        <vt:i4>5</vt:i4>
      </vt:variant>
      <vt:variant>
        <vt:lpwstr>https://www.cms.int/en/page/intergovernmental-task-force-phasing-out-use-lead-ammunition-and-lead-fishing-weights-lead-ta-0</vt:lpwstr>
      </vt:variant>
      <vt:variant>
        <vt:lpwstr/>
      </vt:variant>
      <vt:variant>
        <vt:i4>4915222</vt:i4>
      </vt:variant>
      <vt:variant>
        <vt:i4>3</vt:i4>
      </vt:variant>
      <vt:variant>
        <vt:i4>0</vt:i4>
      </vt:variant>
      <vt:variant>
        <vt:i4>5</vt:i4>
      </vt:variant>
      <vt:variant>
        <vt:lpwstr>https://www.cms.int/en/document/guidelines-prevent-risk-poisoning-migratory-birds</vt:lpwstr>
      </vt:variant>
      <vt:variant>
        <vt:lpwstr/>
      </vt:variant>
      <vt:variant>
        <vt:i4>3407978</vt:i4>
      </vt:variant>
      <vt:variant>
        <vt:i4>0</vt:i4>
      </vt:variant>
      <vt:variant>
        <vt:i4>0</vt:i4>
      </vt:variant>
      <vt:variant>
        <vt:i4>5</vt:i4>
      </vt:variant>
      <vt:variant>
        <vt:lpwstr>https://www.cms.int/en/document/preventing-poisoning-migratory-birds-9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147</cp:revision>
  <dcterms:created xsi:type="dcterms:W3CDTF">2025-07-31T09:35:00Z</dcterms:created>
  <dcterms:modified xsi:type="dcterms:W3CDTF">2025-10-08T07:27:00Z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en</vt:lpwstr>
  </property>
</Properties>
</file>