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Ind w:w="108" w:type="dxa"/>
        <w:tblLayout w:type="fixed"/>
        <w:tblCellMar>
          <w:left w:w="10" w:type="dxa"/>
          <w:right w:w="10" w:type="dxa"/>
        </w:tblCellMar>
        <w:tblLook w:val="0000" w:firstRow="0" w:lastRow="0" w:firstColumn="0" w:lastColumn="0" w:noHBand="0" w:noVBand="0"/>
      </w:tblPr>
      <w:tblGrid>
        <w:gridCol w:w="1526"/>
        <w:gridCol w:w="3719"/>
        <w:gridCol w:w="4403"/>
      </w:tblGrid>
      <w:tr w:rsidR="00565CCA" w:rsidRPr="00565CCA" w14:paraId="6E248FCF" w14:textId="77777777" w:rsidTr="009E287A">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45A65A31" w14:textId="77777777" w:rsidR="00565CCA" w:rsidRPr="00565CCA" w:rsidRDefault="00565CCA" w:rsidP="00FD1FC8">
            <w:pPr>
              <w:widowControl w:val="0"/>
              <w:suppressAutoHyphens/>
              <w:autoSpaceDE w:val="0"/>
              <w:autoSpaceDN w:val="0"/>
              <w:spacing w:after="0" w:line="240" w:lineRule="auto"/>
              <w:textAlignment w:val="baseline"/>
              <w:rPr>
                <w:rFonts w:ascii="Arial" w:hAnsi="Arial" w:cs="Arial"/>
              </w:rPr>
            </w:pPr>
            <w:bookmarkStart w:id="0" w:name="_Hlk208560930"/>
            <w:r w:rsidRPr="00565CCA">
              <w:rPr>
                <w:rFonts w:ascii="Arial" w:eastAsia="Times New Roman" w:hAnsi="Arial" w:cs="Arial"/>
                <w:noProof/>
              </w:rPr>
              <w:drawing>
                <wp:inline distT="0" distB="0" distL="0" distR="0" wp14:anchorId="398AEF45" wp14:editId="220A0E2C">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533" t="-726" r="-2533" b="-726"/>
                          <a:stretch>
                            <a:fillRect/>
                          </a:stretch>
                        </pic:blipFill>
                        <pic:spPr>
                          <a:xfrm>
                            <a:off x="0" y="0"/>
                            <a:ext cx="752478" cy="771525"/>
                          </a:xfrm>
                          <a:prstGeom prst="rect">
                            <a:avLst/>
                          </a:prstGeom>
                          <a:noFill/>
                          <a:ln>
                            <a:noFill/>
                            <a:prstDash/>
                          </a:ln>
                        </pic:spPr>
                      </pic:pic>
                    </a:graphicData>
                  </a:graphic>
                </wp:inline>
              </w:drawing>
            </w:r>
          </w:p>
          <w:p w14:paraId="19DEE2BE" w14:textId="77777777" w:rsidR="00565CCA" w:rsidRPr="00565CCA" w:rsidRDefault="00565CCA" w:rsidP="00FD1FC8">
            <w:pPr>
              <w:widowControl w:val="0"/>
              <w:suppressAutoHyphens/>
              <w:autoSpaceDE w:val="0"/>
              <w:autoSpaceDN w:val="0"/>
              <w:spacing w:after="0" w:line="240" w:lineRule="auto"/>
              <w:textAlignment w:val="baseline"/>
              <w:rPr>
                <w:rFonts w:ascii="Arial" w:eastAsia="Times New Roman" w:hAnsi="Arial" w:cs="Arial"/>
                <w:lang w:val="fr-FR"/>
              </w:rPr>
            </w:pPr>
          </w:p>
        </w:tc>
        <w:tc>
          <w:tcPr>
            <w:tcW w:w="3719" w:type="dxa"/>
            <w:tcBorders>
              <w:top w:val="single" w:sz="12" w:space="0" w:color="000000"/>
              <w:bottom w:val="single" w:sz="12" w:space="0" w:color="000000"/>
            </w:tcBorders>
            <w:tcMar>
              <w:top w:w="85" w:type="dxa"/>
              <w:left w:w="108" w:type="dxa"/>
              <w:bottom w:w="0" w:type="dxa"/>
              <w:right w:w="108" w:type="dxa"/>
            </w:tcMar>
          </w:tcPr>
          <w:p w14:paraId="16AD5DCE" w14:textId="77777777" w:rsidR="00565CCA" w:rsidRPr="00565CCA" w:rsidRDefault="00565CCA" w:rsidP="00FD1FC8">
            <w:pPr>
              <w:keepNext/>
              <w:widowControl w:val="0"/>
              <w:suppressAutoHyphens/>
              <w:autoSpaceDE w:val="0"/>
              <w:autoSpaceDN w:val="0"/>
              <w:spacing w:after="0" w:line="240" w:lineRule="auto"/>
              <w:ind w:left="-108"/>
              <w:textAlignment w:val="baseline"/>
              <w:outlineLvl w:val="1"/>
              <w:rPr>
                <w:rFonts w:ascii="Arial" w:eastAsia="Times New Roman" w:hAnsi="Arial" w:cs="Arial"/>
                <w:sz w:val="12"/>
                <w:szCs w:val="12"/>
                <w:lang w:val="fr-FR"/>
              </w:rPr>
            </w:pPr>
          </w:p>
          <w:p w14:paraId="13F465F4" w14:textId="77777777" w:rsidR="00565CCA" w:rsidRPr="00565CCA" w:rsidRDefault="00565CCA" w:rsidP="00FD1FC8">
            <w:pPr>
              <w:keepNext/>
              <w:widowControl w:val="0"/>
              <w:suppressAutoHyphens/>
              <w:autoSpaceDE w:val="0"/>
              <w:autoSpaceDN w:val="0"/>
              <w:spacing w:after="0" w:line="240" w:lineRule="auto"/>
              <w:ind w:left="-108"/>
              <w:textAlignment w:val="baseline"/>
              <w:outlineLvl w:val="1"/>
              <w:rPr>
                <w:rFonts w:ascii="Arial" w:hAnsi="Arial" w:cs="Arial"/>
                <w:lang w:val="fr-FR"/>
              </w:rPr>
            </w:pPr>
            <w:r w:rsidRPr="00565CCA">
              <w:rPr>
                <w:rFonts w:ascii="Arial" w:eastAsia="Arial" w:hAnsi="Arial" w:cs="Arial"/>
                <w:b/>
                <w:bCs/>
                <w:sz w:val="32"/>
                <w:szCs w:val="32"/>
                <w:lang w:val="fr-FR"/>
              </w:rPr>
              <w:t>CONVENTION SUR</w:t>
            </w:r>
          </w:p>
          <w:p w14:paraId="21F80B5F" w14:textId="77777777" w:rsidR="00565CCA" w:rsidRPr="00565CCA" w:rsidRDefault="00565CCA" w:rsidP="00FD1FC8">
            <w:pPr>
              <w:keepNext/>
              <w:widowControl w:val="0"/>
              <w:suppressAutoHyphens/>
              <w:autoSpaceDE w:val="0"/>
              <w:autoSpaceDN w:val="0"/>
              <w:spacing w:after="0" w:line="240" w:lineRule="auto"/>
              <w:ind w:left="-108"/>
              <w:textAlignment w:val="baseline"/>
              <w:outlineLvl w:val="1"/>
              <w:rPr>
                <w:rFonts w:ascii="Arial" w:hAnsi="Arial" w:cs="Arial"/>
                <w:lang w:val="fr-FR"/>
              </w:rPr>
            </w:pPr>
            <w:r w:rsidRPr="00565CCA">
              <w:rPr>
                <w:rFonts w:ascii="Arial" w:eastAsia="Arial" w:hAnsi="Arial" w:cs="Arial"/>
                <w:b/>
                <w:bCs/>
                <w:sz w:val="32"/>
                <w:szCs w:val="32"/>
                <w:lang w:val="fr-FR"/>
              </w:rPr>
              <w:t>LES ESPÈCES</w:t>
            </w:r>
          </w:p>
          <w:p w14:paraId="43D90B29" w14:textId="77777777" w:rsidR="00565CCA" w:rsidRPr="00565CCA" w:rsidRDefault="00565CCA" w:rsidP="00FD1FC8">
            <w:pPr>
              <w:keepNext/>
              <w:widowControl w:val="0"/>
              <w:suppressAutoHyphens/>
              <w:autoSpaceDE w:val="0"/>
              <w:autoSpaceDN w:val="0"/>
              <w:spacing w:after="0" w:line="240" w:lineRule="auto"/>
              <w:ind w:left="-108"/>
              <w:textAlignment w:val="baseline"/>
              <w:outlineLvl w:val="1"/>
              <w:rPr>
                <w:rFonts w:ascii="Arial" w:hAnsi="Arial" w:cs="Arial"/>
                <w:lang w:val="fr-FR"/>
              </w:rPr>
            </w:pPr>
            <w:r w:rsidRPr="00565CCA">
              <w:rPr>
                <w:rFonts w:ascii="Arial" w:eastAsia="Arial" w:hAnsi="Arial" w:cs="Arial"/>
                <w:b/>
                <w:bCs/>
                <w:sz w:val="32"/>
                <w:szCs w:val="32"/>
                <w:lang w:val="fr-FR"/>
              </w:rPr>
              <w:t>MIGRATRICES</w:t>
            </w:r>
          </w:p>
        </w:tc>
        <w:tc>
          <w:tcPr>
            <w:tcW w:w="4403" w:type="dxa"/>
            <w:tcBorders>
              <w:top w:val="single" w:sz="12" w:space="0" w:color="000000"/>
              <w:bottom w:val="single" w:sz="12" w:space="0" w:color="000000"/>
            </w:tcBorders>
            <w:tcMar>
              <w:top w:w="85" w:type="dxa"/>
              <w:left w:w="108" w:type="dxa"/>
              <w:bottom w:w="0" w:type="dxa"/>
              <w:right w:w="108" w:type="dxa"/>
            </w:tcMar>
          </w:tcPr>
          <w:p w14:paraId="788E00F4" w14:textId="42ED0203" w:rsidR="00565CCA" w:rsidRPr="009E287A" w:rsidRDefault="00565CCA" w:rsidP="00FD1FC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Arial" w:eastAsia="Arial" w:hAnsi="Arial" w:cs="Arial"/>
                <w:lang w:val="fr-FR"/>
              </w:rPr>
            </w:pPr>
            <w:r w:rsidRPr="009E287A">
              <w:rPr>
                <w:rFonts w:ascii="Arial" w:eastAsia="Arial" w:hAnsi="Arial" w:cs="Arial"/>
                <w:lang w:val="fr-FR"/>
              </w:rPr>
              <w:t>UNEP/CMS/COP15/Doc.</w:t>
            </w:r>
            <w:r w:rsidR="009E287A" w:rsidRPr="009E287A">
              <w:rPr>
                <w:rFonts w:ascii="Arial" w:eastAsia="Arial" w:hAnsi="Arial" w:cs="Arial"/>
                <w:lang w:val="fr-FR"/>
              </w:rPr>
              <w:t>25.6.2/Annexe 2</w:t>
            </w:r>
          </w:p>
          <w:p w14:paraId="7AC78168" w14:textId="06851DEE" w:rsidR="00565CCA" w:rsidRPr="00565CCA" w:rsidRDefault="009E287A" w:rsidP="00FD1FC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Arial" w:eastAsia="Arial" w:hAnsi="Arial" w:cs="Arial"/>
                <w:lang w:val="fr-FR"/>
              </w:rPr>
            </w:pPr>
            <w:r>
              <w:rPr>
                <w:rFonts w:ascii="Arial" w:eastAsia="Arial" w:hAnsi="Arial" w:cs="Arial"/>
                <w:lang w:val="fr-FR"/>
              </w:rPr>
              <w:t xml:space="preserve">28 octobre </w:t>
            </w:r>
            <w:r w:rsidR="00565CCA" w:rsidRPr="00565CCA">
              <w:rPr>
                <w:rFonts w:ascii="Arial" w:eastAsia="Arial" w:hAnsi="Arial" w:cs="Arial"/>
                <w:lang w:val="fr-FR"/>
              </w:rPr>
              <w:t>2025</w:t>
            </w:r>
          </w:p>
          <w:p w14:paraId="52BC5ADB" w14:textId="77777777" w:rsidR="00565CCA" w:rsidRPr="00565CCA" w:rsidRDefault="00565CCA" w:rsidP="00FD1FC8">
            <w:pPr>
              <w:widowControl w:val="0"/>
              <w:suppressAutoHyphens/>
              <w:autoSpaceDE w:val="0"/>
              <w:autoSpaceDN w:val="0"/>
              <w:spacing w:after="0" w:line="240" w:lineRule="auto"/>
              <w:textAlignment w:val="baseline"/>
              <w:rPr>
                <w:rFonts w:ascii="Arial" w:hAnsi="Arial" w:cs="Arial"/>
                <w:lang w:val="fr-FR"/>
              </w:rPr>
            </w:pPr>
            <w:r w:rsidRPr="00565CCA">
              <w:rPr>
                <w:rFonts w:ascii="Arial" w:eastAsia="Arial" w:hAnsi="Arial" w:cs="Arial"/>
                <w:lang w:val="fr-FR"/>
              </w:rPr>
              <w:t>Français</w:t>
            </w:r>
          </w:p>
          <w:p w14:paraId="1EF668F0" w14:textId="77777777" w:rsidR="00565CCA" w:rsidRPr="00565CCA" w:rsidRDefault="00565CCA" w:rsidP="00FD1FC8">
            <w:pPr>
              <w:widowControl w:val="0"/>
              <w:suppressAutoHyphens/>
              <w:autoSpaceDE w:val="0"/>
              <w:autoSpaceDN w:val="0"/>
              <w:spacing w:after="120" w:line="240" w:lineRule="auto"/>
              <w:textAlignment w:val="baseline"/>
              <w:rPr>
                <w:rFonts w:ascii="Arial" w:hAnsi="Arial" w:cs="Arial"/>
                <w:lang w:val="fr-FR"/>
              </w:rPr>
            </w:pPr>
            <w:r w:rsidRPr="00565CCA">
              <w:rPr>
                <w:rFonts w:ascii="Arial" w:eastAsia="Arial" w:hAnsi="Arial" w:cs="Arial"/>
                <w:lang w:val="fr-FR"/>
              </w:rPr>
              <w:t>Original : Anglais</w:t>
            </w:r>
          </w:p>
        </w:tc>
      </w:tr>
    </w:tbl>
    <w:p w14:paraId="0BADE320" w14:textId="77777777" w:rsidR="00565CCA" w:rsidRPr="00565CCA" w:rsidRDefault="00565CCA" w:rsidP="00565CCA">
      <w:pPr>
        <w:widowControl w:val="0"/>
        <w:tabs>
          <w:tab w:val="left" w:pos="-1057"/>
          <w:tab w:val="left" w:pos="-720"/>
        </w:tabs>
        <w:suppressAutoHyphens/>
        <w:autoSpaceDE w:val="0"/>
        <w:autoSpaceDN w:val="0"/>
        <w:spacing w:after="0" w:line="240" w:lineRule="auto"/>
        <w:textAlignment w:val="baseline"/>
        <w:rPr>
          <w:rFonts w:ascii="Arial" w:eastAsia="Arial" w:hAnsi="Arial" w:cs="Arial"/>
          <w:sz w:val="8"/>
          <w:szCs w:val="8"/>
          <w:lang w:val="fr-FR"/>
        </w:rPr>
      </w:pPr>
      <w:bookmarkStart w:id="1" w:name="_Hlk208560946"/>
      <w:bookmarkEnd w:id="0"/>
    </w:p>
    <w:p w14:paraId="28EEFDE5" w14:textId="77777777" w:rsidR="00565CCA" w:rsidRPr="00565CCA" w:rsidRDefault="00565CCA" w:rsidP="00565CCA">
      <w:pPr>
        <w:widowControl w:val="0"/>
        <w:tabs>
          <w:tab w:val="left" w:pos="-1057"/>
          <w:tab w:val="left" w:pos="-720"/>
        </w:tabs>
        <w:suppressAutoHyphens/>
        <w:autoSpaceDE w:val="0"/>
        <w:autoSpaceDN w:val="0"/>
        <w:spacing w:after="0" w:line="240" w:lineRule="auto"/>
        <w:textAlignment w:val="baseline"/>
        <w:rPr>
          <w:rFonts w:ascii="Arial" w:hAnsi="Arial" w:cs="Arial"/>
          <w:lang w:val="fr-FR"/>
        </w:rPr>
      </w:pPr>
      <w:r w:rsidRPr="00565CCA">
        <w:rPr>
          <w:rFonts w:ascii="Arial" w:eastAsia="Arial" w:hAnsi="Arial" w:cs="Arial"/>
          <w:lang w:val="fr-FR"/>
        </w:rPr>
        <w:t>15</w:t>
      </w:r>
      <w:r w:rsidRPr="00565CCA">
        <w:rPr>
          <w:rFonts w:ascii="Arial" w:eastAsia="Arial" w:hAnsi="Arial" w:cs="Arial"/>
          <w:vertAlign w:val="superscript"/>
          <w:lang w:val="fr-FR"/>
        </w:rPr>
        <w:t>ème</w:t>
      </w:r>
      <w:r w:rsidRPr="00565CCA">
        <w:rPr>
          <w:rFonts w:ascii="Arial" w:eastAsia="Arial" w:hAnsi="Arial" w:cs="Arial"/>
          <w:lang w:val="fr-FR"/>
        </w:rPr>
        <w:t xml:space="preserve"> SESSION DE LA CONFÉRENCE DES PARTIES</w:t>
      </w:r>
    </w:p>
    <w:p w14:paraId="738F07AA" w14:textId="77777777" w:rsidR="00565CCA" w:rsidRPr="00565CCA" w:rsidRDefault="00565CCA" w:rsidP="00565CC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Arial" w:hAnsi="Arial" w:cs="Arial"/>
          <w:lang w:val="fr-FR"/>
        </w:rPr>
      </w:pPr>
      <w:r w:rsidRPr="00565CCA">
        <w:rPr>
          <w:rFonts w:ascii="Arial" w:eastAsia="Arial" w:hAnsi="Arial" w:cs="Arial"/>
          <w:bCs/>
          <w:lang w:val="fr-FR"/>
        </w:rPr>
        <w:t>Campo Grande, Brésil, 23 au 29 mars 2026</w:t>
      </w:r>
    </w:p>
    <w:p w14:paraId="5125FDEB" w14:textId="5E5C43DD" w:rsidR="00565CCA" w:rsidRPr="00565CCA" w:rsidRDefault="00565CCA" w:rsidP="00565CCA">
      <w:pPr>
        <w:widowControl w:val="0"/>
        <w:suppressAutoHyphens/>
        <w:autoSpaceDE w:val="0"/>
        <w:autoSpaceDN w:val="0"/>
        <w:spacing w:after="0" w:line="228" w:lineRule="auto"/>
        <w:textAlignment w:val="baseline"/>
        <w:rPr>
          <w:rFonts w:ascii="Arial" w:hAnsi="Arial" w:cs="Arial"/>
          <w:lang w:val="fr-FR"/>
        </w:rPr>
      </w:pPr>
      <w:r w:rsidRPr="00565CCA">
        <w:rPr>
          <w:rFonts w:ascii="Arial" w:eastAsia="Arial" w:hAnsi="Arial" w:cs="Arial"/>
          <w:iCs/>
          <w:lang w:val="fr-FR"/>
        </w:rPr>
        <w:t xml:space="preserve">Point </w:t>
      </w:r>
      <w:r w:rsidR="009E287A">
        <w:rPr>
          <w:rFonts w:ascii="Arial" w:eastAsia="Arial" w:hAnsi="Arial" w:cs="Arial"/>
          <w:iCs/>
          <w:lang w:val="fr-FR"/>
        </w:rPr>
        <w:t>25.6.2</w:t>
      </w:r>
      <w:r w:rsidRPr="00565CCA">
        <w:rPr>
          <w:rFonts w:ascii="Arial" w:eastAsia="Arial" w:hAnsi="Arial" w:cs="Arial"/>
          <w:iCs/>
          <w:lang w:val="fr-FR"/>
        </w:rPr>
        <w:t xml:space="preserve"> de l’ordre du jour</w:t>
      </w:r>
    </w:p>
    <w:bookmarkEnd w:id="1"/>
    <w:p w14:paraId="072E47F1" w14:textId="77777777" w:rsidR="00923B2C" w:rsidRDefault="00923B2C">
      <w:pPr>
        <w:widowControl w:val="0"/>
        <w:spacing w:after="0" w:line="240" w:lineRule="auto"/>
        <w:ind w:right="283"/>
        <w:jc w:val="both"/>
        <w:rPr>
          <w:rFonts w:ascii="Arial" w:hAnsi="Arial" w:cs="Arial"/>
          <w:b/>
          <w:lang w:val="fr-FR"/>
        </w:rPr>
      </w:pPr>
    </w:p>
    <w:p w14:paraId="60AA615A" w14:textId="77777777" w:rsidR="009E287A" w:rsidRPr="00565CCA" w:rsidRDefault="009E287A">
      <w:pPr>
        <w:widowControl w:val="0"/>
        <w:spacing w:after="0" w:line="240" w:lineRule="auto"/>
        <w:ind w:right="283"/>
        <w:jc w:val="both"/>
        <w:rPr>
          <w:rFonts w:ascii="Arial" w:hAnsi="Arial" w:cs="Arial"/>
          <w:b/>
          <w:lang w:val="fr-FR"/>
        </w:rPr>
      </w:pPr>
    </w:p>
    <w:p w14:paraId="6C8FFD80" w14:textId="77777777" w:rsidR="009E287A" w:rsidRPr="009E287A" w:rsidRDefault="009E287A" w:rsidP="009E287A">
      <w:pPr>
        <w:widowControl w:val="0"/>
        <w:spacing w:after="0" w:line="240" w:lineRule="auto"/>
        <w:ind w:right="283"/>
        <w:jc w:val="center"/>
        <w:rPr>
          <w:rFonts w:ascii="Arial" w:hAnsi="Arial" w:cs="Arial"/>
          <w:b/>
          <w:lang w:val="fr-FR"/>
        </w:rPr>
      </w:pPr>
      <w:r w:rsidRPr="009E287A">
        <w:rPr>
          <w:rFonts w:ascii="Arial" w:hAnsi="Arial" w:cs="Arial"/>
          <w:b/>
          <w:lang w:val="fr-FR"/>
        </w:rPr>
        <w:t>PLAN D’ACTION PAR ESPÈCE DE LA CMS</w:t>
      </w:r>
    </w:p>
    <w:p w14:paraId="158AAD30" w14:textId="6AFD0E1C" w:rsidR="00923B2C" w:rsidRPr="00565CCA" w:rsidRDefault="009E287A" w:rsidP="009E287A">
      <w:pPr>
        <w:widowControl w:val="0"/>
        <w:spacing w:after="0" w:line="240" w:lineRule="auto"/>
        <w:ind w:right="283"/>
        <w:jc w:val="center"/>
        <w:rPr>
          <w:rFonts w:ascii="Arial" w:hAnsi="Arial" w:cs="Arial"/>
          <w:b/>
          <w:lang w:val="fr-FR"/>
        </w:rPr>
      </w:pPr>
      <w:r w:rsidRPr="009E287A">
        <w:rPr>
          <w:rFonts w:ascii="Arial" w:hAnsi="Arial" w:cs="Arial"/>
          <w:b/>
          <w:lang w:val="fr-FR"/>
        </w:rPr>
        <w:t>POUR L’ANGUILLE D’EUROPE (</w:t>
      </w:r>
      <w:r w:rsidRPr="009E287A">
        <w:rPr>
          <w:rFonts w:ascii="Arial" w:hAnsi="Arial" w:cs="Arial"/>
          <w:b/>
          <w:i/>
          <w:iCs/>
          <w:lang w:val="fr-FR"/>
        </w:rPr>
        <w:t xml:space="preserve">Anguilla </w:t>
      </w:r>
      <w:proofErr w:type="spellStart"/>
      <w:r w:rsidRPr="009E287A">
        <w:rPr>
          <w:rFonts w:ascii="Arial" w:hAnsi="Arial" w:cs="Arial"/>
          <w:b/>
          <w:i/>
          <w:iCs/>
          <w:lang w:val="fr-FR"/>
        </w:rPr>
        <w:t>anguilla</w:t>
      </w:r>
      <w:proofErr w:type="spellEnd"/>
      <w:r w:rsidRPr="009E287A">
        <w:rPr>
          <w:rFonts w:ascii="Arial" w:hAnsi="Arial" w:cs="Arial"/>
          <w:b/>
          <w:lang w:val="fr-FR"/>
        </w:rPr>
        <w:t>)</w:t>
      </w:r>
    </w:p>
    <w:p w14:paraId="0422CC9A" w14:textId="77777777" w:rsidR="00923B2C" w:rsidRPr="00565CCA" w:rsidRDefault="00923B2C">
      <w:pPr>
        <w:widowControl w:val="0"/>
        <w:spacing w:after="0" w:line="240" w:lineRule="auto"/>
        <w:ind w:right="283"/>
        <w:jc w:val="both"/>
        <w:rPr>
          <w:rFonts w:ascii="Arial" w:hAnsi="Arial" w:cs="Arial"/>
          <w:b/>
          <w:lang w:val="fr-FR"/>
        </w:rPr>
      </w:pPr>
    </w:p>
    <w:p w14:paraId="460FF255" w14:textId="77777777" w:rsidR="00923B2C" w:rsidRDefault="009C7B40">
      <w:pPr>
        <w:spacing w:after="0" w:line="240" w:lineRule="auto"/>
        <w:rPr>
          <w:rFonts w:ascii="Arial" w:hAnsi="Arial" w:cs="Arial"/>
          <w:b/>
          <w:color w:val="365F91"/>
          <w:lang w:val="fr-FR"/>
        </w:rPr>
      </w:pPr>
      <w:r>
        <w:rPr>
          <w:rFonts w:ascii="Arial" w:hAnsi="Arial" w:cs="Arial"/>
          <w:b/>
          <w:color w:val="365F91"/>
          <w:lang w:val="fr-FR"/>
        </w:rPr>
        <w:br w:type="page"/>
      </w:r>
    </w:p>
    <w:p w14:paraId="6CD07E2B" w14:textId="77777777" w:rsidR="00923B2C" w:rsidRDefault="00923B2C">
      <w:pPr>
        <w:widowControl w:val="0"/>
        <w:spacing w:after="0" w:line="240" w:lineRule="auto"/>
        <w:ind w:right="283"/>
        <w:jc w:val="center"/>
        <w:rPr>
          <w:rFonts w:ascii="Arial" w:eastAsia="Times New Roman" w:hAnsi="Arial" w:cs="Arial"/>
          <w:b/>
          <w:snapToGrid w:val="0"/>
          <w:sz w:val="24"/>
          <w:szCs w:val="24"/>
          <w:lang w:val="fr-FR"/>
        </w:rPr>
      </w:pPr>
    </w:p>
    <w:p w14:paraId="158528EA" w14:textId="77777777" w:rsidR="00923B2C" w:rsidRDefault="009C7B40">
      <w:pPr>
        <w:widowControl w:val="0"/>
        <w:spacing w:after="0" w:line="240" w:lineRule="auto"/>
        <w:ind w:right="283"/>
        <w:jc w:val="center"/>
        <w:rPr>
          <w:rFonts w:ascii="Arial" w:eastAsia="Times New Roman" w:hAnsi="Arial" w:cs="Arial"/>
          <w:b/>
          <w:snapToGrid w:val="0"/>
          <w:sz w:val="32"/>
          <w:szCs w:val="32"/>
          <w:lang w:val="fr-FR"/>
        </w:rPr>
      </w:pPr>
      <w:r>
        <w:rPr>
          <w:rFonts w:ascii="Arial" w:eastAsia="Times New Roman" w:hAnsi="Arial" w:cs="Arial"/>
          <w:b/>
          <w:snapToGrid w:val="0"/>
          <w:sz w:val="32"/>
          <w:szCs w:val="32"/>
          <w:lang w:val="fr-FR"/>
        </w:rPr>
        <w:t>PLAN D’ACTION PAR ESPÈCE DE LA CMS</w:t>
      </w:r>
    </w:p>
    <w:p w14:paraId="307F6510" w14:textId="77777777" w:rsidR="00923B2C" w:rsidRDefault="009C7B40">
      <w:pPr>
        <w:widowControl w:val="0"/>
        <w:spacing w:after="0" w:line="240" w:lineRule="auto"/>
        <w:ind w:right="283"/>
        <w:jc w:val="center"/>
        <w:rPr>
          <w:rFonts w:ascii="Arial" w:eastAsia="Times New Roman" w:hAnsi="Arial" w:cs="Arial"/>
          <w:b/>
          <w:snapToGrid w:val="0"/>
          <w:sz w:val="32"/>
          <w:szCs w:val="32"/>
          <w:lang w:val="fr-FR"/>
        </w:rPr>
      </w:pPr>
      <w:r>
        <w:rPr>
          <w:rFonts w:ascii="Arial" w:eastAsia="Times New Roman" w:hAnsi="Arial" w:cs="Arial"/>
          <w:b/>
          <w:snapToGrid w:val="0"/>
          <w:sz w:val="32"/>
          <w:szCs w:val="32"/>
          <w:lang w:val="fr-FR"/>
        </w:rPr>
        <w:t>POUR L’ANGUILLE D’EUROPE (</w:t>
      </w:r>
      <w:r>
        <w:rPr>
          <w:rFonts w:ascii="Arial" w:eastAsia="Times New Roman" w:hAnsi="Arial" w:cs="Arial"/>
          <w:b/>
          <w:i/>
          <w:snapToGrid w:val="0"/>
          <w:sz w:val="32"/>
          <w:szCs w:val="32"/>
          <w:lang w:val="fr-FR"/>
        </w:rPr>
        <w:t xml:space="preserve">Anguilla </w:t>
      </w:r>
      <w:proofErr w:type="spellStart"/>
      <w:r>
        <w:rPr>
          <w:rFonts w:ascii="Arial" w:eastAsia="Times New Roman" w:hAnsi="Arial" w:cs="Arial"/>
          <w:b/>
          <w:i/>
          <w:snapToGrid w:val="0"/>
          <w:sz w:val="32"/>
          <w:szCs w:val="32"/>
          <w:lang w:val="fr-FR"/>
        </w:rPr>
        <w:t>anguilla</w:t>
      </w:r>
      <w:proofErr w:type="spellEnd"/>
      <w:r>
        <w:rPr>
          <w:rFonts w:ascii="Arial" w:eastAsia="Times New Roman" w:hAnsi="Arial" w:cs="Arial"/>
          <w:b/>
          <w:snapToGrid w:val="0"/>
          <w:sz w:val="32"/>
          <w:szCs w:val="32"/>
          <w:lang w:val="fr-FR"/>
        </w:rPr>
        <w:t>)</w:t>
      </w:r>
    </w:p>
    <w:p w14:paraId="2254D84D" w14:textId="77777777" w:rsidR="00923B2C" w:rsidRDefault="00923B2C">
      <w:pPr>
        <w:widowControl w:val="0"/>
        <w:spacing w:after="0" w:line="240" w:lineRule="auto"/>
        <w:ind w:right="283"/>
        <w:jc w:val="center"/>
        <w:rPr>
          <w:rFonts w:ascii="Arial" w:eastAsia="Times New Roman" w:hAnsi="Arial" w:cs="Arial"/>
          <w:b/>
          <w:snapToGrid w:val="0"/>
          <w:sz w:val="24"/>
          <w:szCs w:val="24"/>
          <w:lang w:val="fr-FR"/>
        </w:rPr>
      </w:pPr>
    </w:p>
    <w:p w14:paraId="2BFAD25F" w14:textId="77777777" w:rsidR="00923B2C" w:rsidRDefault="00923B2C">
      <w:pPr>
        <w:widowControl w:val="0"/>
        <w:spacing w:after="0" w:line="240" w:lineRule="auto"/>
        <w:ind w:right="283"/>
        <w:jc w:val="center"/>
        <w:rPr>
          <w:rFonts w:ascii="Arial" w:eastAsia="Times New Roman" w:hAnsi="Arial" w:cs="Arial"/>
          <w:b/>
          <w:snapToGrid w:val="0"/>
          <w:sz w:val="24"/>
          <w:szCs w:val="24"/>
          <w:lang w:val="fr-FR"/>
        </w:rPr>
      </w:pPr>
    </w:p>
    <w:p w14:paraId="50655C87" w14:textId="77777777" w:rsidR="00923B2C" w:rsidRDefault="00923B2C">
      <w:pPr>
        <w:widowControl w:val="0"/>
        <w:spacing w:after="0" w:line="240" w:lineRule="auto"/>
        <w:ind w:right="283"/>
        <w:jc w:val="center"/>
        <w:rPr>
          <w:rFonts w:ascii="Arial" w:eastAsia="Times New Roman" w:hAnsi="Arial" w:cs="Arial"/>
          <w:b/>
          <w:snapToGrid w:val="0"/>
          <w:sz w:val="24"/>
          <w:szCs w:val="24"/>
          <w:lang w:val="fr-FR"/>
        </w:rPr>
      </w:pPr>
    </w:p>
    <w:p w14:paraId="5B9B94F6" w14:textId="77777777" w:rsidR="00923B2C" w:rsidRDefault="009C7B40">
      <w:pPr>
        <w:widowControl w:val="0"/>
        <w:spacing w:after="0" w:line="240" w:lineRule="auto"/>
        <w:ind w:right="283"/>
        <w:rPr>
          <w:rFonts w:ascii="Arial" w:eastAsia="Times New Roman" w:hAnsi="Arial" w:cs="Arial"/>
          <w:snapToGrid w:val="0"/>
          <w:lang w:val="fr-FR"/>
        </w:rPr>
      </w:pPr>
      <w:r>
        <w:rPr>
          <w:rFonts w:ascii="Arial" w:eastAsia="Times New Roman" w:hAnsi="Arial" w:cs="Arial"/>
          <w:b/>
          <w:bCs/>
          <w:iCs/>
          <w:noProof/>
          <w:sz w:val="36"/>
          <w:szCs w:val="36"/>
          <w:lang w:val="fr-FR" w:eastAsia="fr-FR"/>
        </w:rPr>
        <w:drawing>
          <wp:anchor distT="0" distB="0" distL="114300" distR="114300" simplePos="0" relativeHeight="251658240" behindDoc="0" locked="0" layoutInCell="1" allowOverlap="1" wp14:anchorId="7F9DC112" wp14:editId="6204BE5B">
            <wp:simplePos x="0" y="0"/>
            <wp:positionH relativeFrom="column">
              <wp:posOffset>5732</wp:posOffset>
            </wp:positionH>
            <wp:positionV relativeFrom="paragraph">
              <wp:posOffset>83803</wp:posOffset>
            </wp:positionV>
            <wp:extent cx="5568950" cy="4981575"/>
            <wp:effectExtent l="0" t="0" r="6350" b="0"/>
            <wp:wrapTopAndBottom/>
            <wp:docPr id="1841549696" name="Picture 16" descr="A close-up of a 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9696" name="Picture 16" descr="A close-up of a ee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950" cy="4981575"/>
                    </a:xfrm>
                    <a:prstGeom prst="rect">
                      <a:avLst/>
                    </a:prstGeom>
                  </pic:spPr>
                </pic:pic>
              </a:graphicData>
            </a:graphic>
          </wp:anchor>
        </w:drawing>
      </w:r>
      <w:r>
        <w:rPr>
          <w:rFonts w:ascii="Arial" w:eastAsia="Times New Roman" w:hAnsi="Arial" w:cs="Arial"/>
          <w:i/>
          <w:snapToGrid w:val="0"/>
          <w:sz w:val="16"/>
          <w:szCs w:val="16"/>
          <w:lang w:val="fr-FR"/>
        </w:rPr>
        <w:t xml:space="preserve">Crédit photo : David </w:t>
      </w:r>
      <w:proofErr w:type="spellStart"/>
      <w:r>
        <w:rPr>
          <w:rFonts w:ascii="Arial" w:eastAsia="Times New Roman" w:hAnsi="Arial" w:cs="Arial"/>
          <w:i/>
          <w:snapToGrid w:val="0"/>
          <w:sz w:val="16"/>
          <w:szCs w:val="16"/>
          <w:lang w:val="fr-FR"/>
        </w:rPr>
        <w:t>Curnick</w:t>
      </w:r>
      <w:proofErr w:type="spellEnd"/>
      <w:r>
        <w:rPr>
          <w:rFonts w:ascii="Arial" w:eastAsia="Times New Roman" w:hAnsi="Arial" w:cs="Arial"/>
          <w:i/>
          <w:snapToGrid w:val="0"/>
          <w:sz w:val="16"/>
          <w:szCs w:val="16"/>
          <w:lang w:val="fr-FR"/>
        </w:rPr>
        <w:t>, ZSL</w:t>
      </w:r>
    </w:p>
    <w:p w14:paraId="7AAE8D1C" w14:textId="77777777" w:rsidR="00923B2C" w:rsidRDefault="00923B2C">
      <w:pPr>
        <w:widowControl w:val="0"/>
        <w:spacing w:after="0" w:line="240" w:lineRule="auto"/>
        <w:ind w:right="283"/>
        <w:jc w:val="center"/>
        <w:rPr>
          <w:rFonts w:ascii="Arial" w:eastAsia="Times New Roman" w:hAnsi="Arial" w:cs="Arial"/>
          <w:b/>
          <w:bCs/>
          <w:i/>
          <w:snapToGrid w:val="0"/>
          <w:sz w:val="24"/>
          <w:szCs w:val="24"/>
          <w:lang w:val="fr-FR"/>
        </w:rPr>
      </w:pPr>
    </w:p>
    <w:p w14:paraId="15687305" w14:textId="77777777" w:rsidR="00923B2C" w:rsidRDefault="009C7B40">
      <w:pPr>
        <w:widowControl w:val="0"/>
        <w:spacing w:after="0" w:line="240" w:lineRule="auto"/>
        <w:ind w:right="283"/>
        <w:jc w:val="center"/>
        <w:rPr>
          <w:rFonts w:ascii="Arial" w:eastAsia="Times New Roman" w:hAnsi="Arial" w:cs="Arial"/>
          <w:b/>
          <w:bCs/>
          <w:i/>
          <w:snapToGrid w:val="0"/>
          <w:sz w:val="24"/>
          <w:szCs w:val="24"/>
          <w:lang w:val="fr-FR"/>
        </w:rPr>
      </w:pPr>
      <w:r>
        <w:rPr>
          <w:rFonts w:ascii="Arial" w:eastAsia="Times New Roman" w:hAnsi="Arial" w:cs="Arial"/>
          <w:sz w:val="24"/>
          <w:szCs w:val="24"/>
          <w:lang w:val="fr-FR"/>
        </w:rPr>
        <w:br w:type="page"/>
      </w:r>
    </w:p>
    <w:p w14:paraId="6311466E" w14:textId="77777777" w:rsidR="00923B2C" w:rsidRDefault="00923B2C">
      <w:pPr>
        <w:spacing w:after="0" w:line="240" w:lineRule="auto"/>
        <w:jc w:val="both"/>
        <w:rPr>
          <w:rFonts w:ascii="Arial" w:eastAsia="Times New Roman" w:hAnsi="Arial" w:cs="Arial"/>
          <w:snapToGrid w:val="0"/>
          <w:lang w:val="fr-FR" w:eastAsia="en-AU"/>
        </w:rPr>
      </w:pPr>
    </w:p>
    <w:p w14:paraId="28C7CBF8" w14:textId="77777777" w:rsidR="00923B2C" w:rsidRDefault="00923B2C">
      <w:pPr>
        <w:spacing w:after="0" w:line="240" w:lineRule="auto"/>
        <w:rPr>
          <w:rFonts w:ascii="Arial" w:eastAsia="Times New Roman" w:hAnsi="Arial" w:cs="Arial"/>
          <w:b/>
          <w:bCs/>
          <w:snapToGrid w:val="0"/>
          <w:lang w:val="fr-FR" w:eastAsia="en-AU"/>
        </w:rPr>
      </w:pPr>
    </w:p>
    <w:p w14:paraId="13E8B30D" w14:textId="77777777" w:rsidR="00923B2C" w:rsidRDefault="009C7B40">
      <w:pPr>
        <w:pStyle w:val="Heading1"/>
        <w:rPr>
          <w:lang w:val="fr-FR"/>
        </w:rPr>
      </w:pPr>
      <w:bookmarkStart w:id="2" w:name="_Toc212501804"/>
      <w:r>
        <w:rPr>
          <w:lang w:val="fr-FR"/>
        </w:rPr>
        <w:t>REMERCIEMENTS</w:t>
      </w:r>
      <w:bookmarkEnd w:id="2"/>
    </w:p>
    <w:p w14:paraId="6129B7E9" w14:textId="77777777" w:rsidR="00923B2C" w:rsidRDefault="00923B2C">
      <w:pPr>
        <w:spacing w:after="0" w:line="240" w:lineRule="auto"/>
        <w:rPr>
          <w:rFonts w:ascii="Arial" w:eastAsia="Times New Roman" w:hAnsi="Arial" w:cs="Arial"/>
          <w:b/>
          <w:bCs/>
          <w:snapToGrid w:val="0"/>
          <w:lang w:val="fr-FR" w:eastAsia="en-AU"/>
        </w:rPr>
      </w:pPr>
    </w:p>
    <w:p w14:paraId="18815CB5" w14:textId="77777777" w:rsidR="00923B2C" w:rsidRDefault="009C7B40">
      <w:pPr>
        <w:spacing w:after="0" w:line="240" w:lineRule="auto"/>
        <w:jc w:val="both"/>
        <w:rPr>
          <w:rFonts w:ascii="Arial" w:eastAsia="Times New Roman" w:hAnsi="Arial" w:cs="Arial"/>
          <w:snapToGrid w:val="0"/>
          <w:lang w:val="fr-FR" w:eastAsia="en-AU"/>
        </w:rPr>
      </w:pPr>
      <w:r>
        <w:rPr>
          <w:rFonts w:ascii="Arial" w:eastAsia="Times New Roman" w:hAnsi="Arial" w:cs="Arial"/>
          <w:snapToGrid w:val="0"/>
          <w:lang w:val="fr-FR" w:eastAsia="en-AU"/>
        </w:rPr>
        <w:t xml:space="preserve">L’élaboration du Plan d’action par espèce a été dirigée par Matt </w:t>
      </w:r>
      <w:proofErr w:type="spellStart"/>
      <w:r>
        <w:rPr>
          <w:rFonts w:ascii="Arial" w:eastAsia="Times New Roman" w:hAnsi="Arial" w:cs="Arial"/>
          <w:snapToGrid w:val="0"/>
          <w:lang w:val="fr-FR" w:eastAsia="en-AU"/>
        </w:rPr>
        <w:t>Gollock</w:t>
      </w:r>
      <w:proofErr w:type="spellEnd"/>
      <w:r>
        <w:rPr>
          <w:rFonts w:ascii="Arial" w:eastAsia="Times New Roman" w:hAnsi="Arial" w:cs="Arial"/>
          <w:snapToGrid w:val="0"/>
          <w:lang w:val="fr-FR" w:eastAsia="en-AU"/>
        </w:rPr>
        <w:t>, Président du Groupe de spécialistes de l’anguille de l’Union internationale pour la conservation de la nature (UICN), avec le soutien du Secrétariat de la CMS.</w:t>
      </w:r>
    </w:p>
    <w:p w14:paraId="35CE5748" w14:textId="77777777" w:rsidR="00923B2C" w:rsidRDefault="00923B2C">
      <w:pPr>
        <w:spacing w:after="0" w:line="240" w:lineRule="auto"/>
        <w:jc w:val="both"/>
        <w:rPr>
          <w:rFonts w:ascii="Arial" w:eastAsia="Times New Roman" w:hAnsi="Arial" w:cs="Arial"/>
          <w:snapToGrid w:val="0"/>
          <w:lang w:val="fr-FR" w:eastAsia="en-AU"/>
        </w:rPr>
      </w:pPr>
    </w:p>
    <w:p w14:paraId="47F74297" w14:textId="77777777" w:rsidR="00923B2C" w:rsidRDefault="009C7B40">
      <w:pPr>
        <w:spacing w:after="0" w:line="240" w:lineRule="auto"/>
        <w:jc w:val="both"/>
        <w:rPr>
          <w:rFonts w:ascii="Arial" w:eastAsia="Times New Roman" w:hAnsi="Arial" w:cs="Arial"/>
          <w:snapToGrid w:val="0"/>
          <w:lang w:val="fr-FR" w:eastAsia="en-AU"/>
        </w:rPr>
      </w:pPr>
      <w:r>
        <w:rPr>
          <w:rFonts w:ascii="Arial" w:eastAsia="Times New Roman" w:hAnsi="Arial" w:cs="Arial"/>
          <w:snapToGrid w:val="0"/>
          <w:lang w:val="fr-FR" w:eastAsia="en-AU"/>
        </w:rPr>
        <w:t xml:space="preserve">La Commission de la mer des Sargasses, la Principauté de Monaco et le Gouvernement suédois ont financé et soutenu l’élaboration de ce Plan d’action par espèce. </w:t>
      </w:r>
    </w:p>
    <w:p w14:paraId="73C28819" w14:textId="77777777" w:rsidR="00923B2C" w:rsidRDefault="00923B2C">
      <w:pPr>
        <w:spacing w:after="0" w:line="240" w:lineRule="auto"/>
        <w:jc w:val="both"/>
        <w:rPr>
          <w:rFonts w:ascii="Arial" w:eastAsia="Times New Roman" w:hAnsi="Arial" w:cs="Arial"/>
          <w:snapToGrid w:val="0"/>
          <w:lang w:val="fr-FR" w:eastAsia="en-AU"/>
        </w:rPr>
      </w:pPr>
    </w:p>
    <w:p w14:paraId="08EC20D8" w14:textId="77777777" w:rsidR="00923B2C" w:rsidRDefault="00923B2C">
      <w:pPr>
        <w:spacing w:after="0" w:line="240" w:lineRule="auto"/>
        <w:rPr>
          <w:rFonts w:ascii="Arial" w:eastAsia="Times New Roman" w:hAnsi="Arial" w:cs="Arial"/>
          <w:b/>
          <w:bCs/>
          <w:snapToGrid w:val="0"/>
          <w:lang w:val="fr-FR" w:eastAsia="en-AU"/>
        </w:rPr>
      </w:pPr>
    </w:p>
    <w:p w14:paraId="65B4B863" w14:textId="77777777" w:rsidR="00923B2C" w:rsidRDefault="009C7B40">
      <w:pPr>
        <w:spacing w:after="0" w:line="240" w:lineRule="auto"/>
        <w:rPr>
          <w:rFonts w:ascii="Arial" w:eastAsia="Times New Roman" w:hAnsi="Arial" w:cs="Arial"/>
          <w:b/>
          <w:bCs/>
          <w:snapToGrid w:val="0"/>
          <w:lang w:val="fr-FR" w:eastAsia="en-AU"/>
        </w:rPr>
      </w:pPr>
      <w:r>
        <w:rPr>
          <w:rFonts w:ascii="Arial" w:eastAsia="Times New Roman" w:hAnsi="Arial" w:cs="Arial"/>
          <w:b/>
          <w:bCs/>
          <w:snapToGrid w:val="0"/>
          <w:lang w:val="fr-FR" w:eastAsia="en-AU"/>
        </w:rPr>
        <w:br w:type="page"/>
      </w:r>
    </w:p>
    <w:p w14:paraId="61129776" w14:textId="77777777" w:rsidR="00923B2C" w:rsidRDefault="009C7B40">
      <w:pPr>
        <w:spacing w:after="240" w:line="240" w:lineRule="auto"/>
        <w:rPr>
          <w:rFonts w:ascii="Arial" w:eastAsia="Times New Roman" w:hAnsi="Arial" w:cs="Arial"/>
          <w:b/>
          <w:bCs/>
          <w:snapToGrid w:val="0"/>
          <w:sz w:val="21"/>
          <w:szCs w:val="21"/>
          <w:lang w:val="fr-FR" w:eastAsia="en-AU"/>
        </w:rPr>
      </w:pPr>
      <w:r>
        <w:rPr>
          <w:rFonts w:ascii="Arial" w:eastAsia="Times New Roman" w:hAnsi="Arial" w:cs="Arial"/>
          <w:b/>
          <w:bCs/>
          <w:snapToGrid w:val="0"/>
          <w:sz w:val="24"/>
          <w:szCs w:val="24"/>
          <w:lang w:val="fr-FR" w:eastAsia="en-AU"/>
        </w:rPr>
        <w:lastRenderedPageBreak/>
        <w:t>TABLE DES MATIÈRES</w:t>
      </w:r>
    </w:p>
    <w:p w14:paraId="2149807B" w14:textId="77777777" w:rsidR="00923B2C" w:rsidRDefault="00923B2C">
      <w:pPr>
        <w:pStyle w:val="TOC1"/>
        <w:rPr>
          <w:rFonts w:ascii="Arial" w:eastAsiaTheme="minorEastAsia" w:hAnsi="Arial" w:cs="Arial"/>
          <w:b w:val="0"/>
          <w:kern w:val="2"/>
          <w:sz w:val="24"/>
          <w:szCs w:val="24"/>
          <w:lang w:val="fr-FR" w:eastAsia="en-GB"/>
        </w:rPr>
      </w:pPr>
      <w:r>
        <w:rPr>
          <w:rFonts w:ascii="Arial" w:eastAsia="Times New Roman" w:hAnsi="Arial" w:cs="Arial"/>
          <w:snapToGrid w:val="0"/>
          <w:sz w:val="21"/>
          <w:szCs w:val="21"/>
          <w:lang w:val="fr-FR" w:eastAsia="en-AU"/>
        </w:rPr>
        <w:fldChar w:fldCharType="begin"/>
      </w:r>
      <w:r w:rsidR="009C7B40">
        <w:rPr>
          <w:rFonts w:ascii="Arial" w:eastAsia="Times New Roman" w:hAnsi="Arial" w:cs="Arial"/>
          <w:snapToGrid w:val="0"/>
          <w:sz w:val="21"/>
          <w:szCs w:val="21"/>
          <w:lang w:val="fr-FR" w:eastAsia="en-AU"/>
        </w:rPr>
        <w:instrText xml:space="preserve"> TOC \o "1-3" \h \z \u </w:instrText>
      </w:r>
      <w:r>
        <w:rPr>
          <w:rFonts w:ascii="Arial" w:eastAsia="Times New Roman" w:hAnsi="Arial" w:cs="Arial"/>
          <w:snapToGrid w:val="0"/>
          <w:sz w:val="21"/>
          <w:szCs w:val="21"/>
          <w:lang w:val="fr-FR" w:eastAsia="en-AU"/>
        </w:rPr>
        <w:fldChar w:fldCharType="separate"/>
      </w:r>
      <w:hyperlink w:anchor="_Toc212501804" w:history="1">
        <w:r w:rsidR="009C7B40">
          <w:rPr>
            <w:rStyle w:val="Hyperlink"/>
            <w:rFonts w:ascii="Arial" w:hAnsi="Arial" w:cs="Arial"/>
            <w:lang w:val="fr-FR"/>
          </w:rPr>
          <w:t>REMERCIEMENTS</w:t>
        </w:r>
        <w:r w:rsidR="009C7B40">
          <w:rPr>
            <w:rFonts w:ascii="Arial" w:hAnsi="Arial" w:cs="Arial"/>
            <w:webHidden/>
            <w:lang w:val="fr-FR"/>
          </w:rPr>
          <w:tab/>
        </w:r>
        <w:r>
          <w:rPr>
            <w:rFonts w:ascii="Arial" w:hAnsi="Arial" w:cs="Arial"/>
            <w:webHidden/>
            <w:lang w:val="fr-FR"/>
          </w:rPr>
          <w:fldChar w:fldCharType="begin"/>
        </w:r>
        <w:r w:rsidR="009C7B40">
          <w:rPr>
            <w:rFonts w:ascii="Arial" w:hAnsi="Arial" w:cs="Arial"/>
            <w:webHidden/>
            <w:lang w:val="fr-FR"/>
          </w:rPr>
          <w:instrText xml:space="preserve"> PAGEREF _Toc212501804 \h </w:instrText>
        </w:r>
        <w:r>
          <w:rPr>
            <w:rFonts w:ascii="Arial" w:hAnsi="Arial" w:cs="Arial"/>
            <w:webHidden/>
            <w:lang w:val="fr-FR"/>
          </w:rPr>
        </w:r>
        <w:r>
          <w:rPr>
            <w:rFonts w:ascii="Arial" w:hAnsi="Arial" w:cs="Arial"/>
            <w:webHidden/>
            <w:lang w:val="fr-FR"/>
          </w:rPr>
          <w:fldChar w:fldCharType="separate"/>
        </w:r>
        <w:r w:rsidR="009C7B40">
          <w:rPr>
            <w:rFonts w:ascii="Arial" w:hAnsi="Arial" w:cs="Arial"/>
            <w:webHidden/>
            <w:lang w:val="fr-FR"/>
          </w:rPr>
          <w:t xml:space="preserve"> 2</w:t>
        </w:r>
        <w:r>
          <w:rPr>
            <w:rFonts w:ascii="Arial" w:hAnsi="Arial" w:cs="Arial"/>
            <w:webHidden/>
            <w:lang w:val="fr-FR"/>
          </w:rPr>
          <w:fldChar w:fldCharType="end"/>
        </w:r>
      </w:hyperlink>
    </w:p>
    <w:p w14:paraId="1BD2B6C4" w14:textId="77777777" w:rsidR="00923B2C" w:rsidRDefault="009C7B40">
      <w:pPr>
        <w:pStyle w:val="TOC1"/>
        <w:rPr>
          <w:rFonts w:ascii="Arial" w:eastAsiaTheme="minorEastAsia" w:hAnsi="Arial" w:cs="Arial"/>
          <w:b w:val="0"/>
          <w:kern w:val="2"/>
          <w:sz w:val="24"/>
          <w:szCs w:val="24"/>
          <w:lang w:val="fr-FR" w:eastAsia="en-GB"/>
        </w:rPr>
      </w:pPr>
      <w:hyperlink w:anchor="_Toc212501805" w:history="1">
        <w:r>
          <w:rPr>
            <w:rStyle w:val="Hyperlink"/>
            <w:rFonts w:ascii="Arial" w:hAnsi="Arial" w:cs="Arial"/>
            <w:lang w:val="fr-FR"/>
          </w:rPr>
          <w:t>ACRONYMES ET ABRÉVIATIONS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_Toc212501805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4</w:t>
        </w:r>
        <w:r w:rsidR="00923B2C">
          <w:rPr>
            <w:rFonts w:ascii="Arial" w:hAnsi="Arial" w:cs="Arial"/>
            <w:webHidden/>
            <w:lang w:val="fr-FR"/>
          </w:rPr>
          <w:fldChar w:fldCharType="end"/>
        </w:r>
      </w:hyperlink>
    </w:p>
    <w:p w14:paraId="7DBA4D00" w14:textId="77777777" w:rsidR="00923B2C" w:rsidRDefault="009C7B40">
      <w:pPr>
        <w:pStyle w:val="TOC1"/>
        <w:rPr>
          <w:rFonts w:ascii="Arial" w:eastAsiaTheme="minorEastAsia" w:hAnsi="Arial" w:cs="Arial"/>
          <w:b w:val="0"/>
          <w:kern w:val="2"/>
          <w:sz w:val="24"/>
          <w:szCs w:val="24"/>
          <w:lang w:val="fr-FR" w:eastAsia="en-GB"/>
        </w:rPr>
      </w:pPr>
      <w:hyperlink w:anchor="_Toc212501806" w:history="1">
        <w:r>
          <w:rPr>
            <w:rStyle w:val="Hyperlink"/>
            <w:rFonts w:ascii="Arial" w:hAnsi="Arial" w:cs="Arial"/>
            <w:lang w:val="fr-FR"/>
          </w:rPr>
          <w:t>GLOSSAIRE</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_Toc212501806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4</w:t>
        </w:r>
        <w:r w:rsidR="00923B2C">
          <w:rPr>
            <w:rFonts w:ascii="Arial" w:hAnsi="Arial" w:cs="Arial"/>
            <w:webHidden/>
            <w:lang w:val="fr-FR"/>
          </w:rPr>
          <w:fldChar w:fldCharType="end"/>
        </w:r>
      </w:hyperlink>
    </w:p>
    <w:p w14:paraId="6F28E3FF" w14:textId="77777777" w:rsidR="00923B2C" w:rsidRDefault="009C7B40">
      <w:pPr>
        <w:pStyle w:val="TOC1"/>
        <w:rPr>
          <w:rFonts w:ascii="Arial" w:eastAsiaTheme="minorEastAsia" w:hAnsi="Arial" w:cs="Arial"/>
          <w:b w:val="0"/>
          <w:kern w:val="2"/>
          <w:sz w:val="24"/>
          <w:szCs w:val="24"/>
          <w:lang w:eastAsia="en-GB"/>
        </w:rPr>
      </w:pPr>
      <w:hyperlink w:anchor="_Toc212501807" w:history="1">
        <w:r>
          <w:rPr>
            <w:rStyle w:val="Hyperlink"/>
            <w:rFonts w:ascii="Arial" w:hAnsi="Arial" w:cs="Arial"/>
          </w:rPr>
          <w:t>1. INTRODUCTION</w:t>
        </w:r>
        <w:r>
          <w:rPr>
            <w:rFonts w:ascii="Arial" w:hAnsi="Arial" w:cs="Arial"/>
            <w:webHidden/>
          </w:rPr>
          <w:tab/>
        </w:r>
        <w:r w:rsidR="00923B2C">
          <w:rPr>
            <w:rFonts w:ascii="Arial" w:hAnsi="Arial" w:cs="Arial"/>
            <w:webHidden/>
          </w:rPr>
          <w:fldChar w:fldCharType="begin"/>
        </w:r>
        <w:r>
          <w:rPr>
            <w:rFonts w:ascii="Arial" w:hAnsi="Arial" w:cs="Arial"/>
            <w:webHidden/>
          </w:rPr>
          <w:instrText xml:space="preserve"> PAGEREF _Toc212501807 \h </w:instrText>
        </w:r>
        <w:r w:rsidR="00923B2C">
          <w:rPr>
            <w:rFonts w:ascii="Arial" w:hAnsi="Arial" w:cs="Arial"/>
            <w:webHidden/>
          </w:rPr>
        </w:r>
        <w:r w:rsidR="00923B2C">
          <w:rPr>
            <w:rFonts w:ascii="Arial" w:hAnsi="Arial" w:cs="Arial"/>
            <w:webHidden/>
          </w:rPr>
          <w:fldChar w:fldCharType="separate"/>
        </w:r>
        <w:r>
          <w:rPr>
            <w:rFonts w:ascii="Arial" w:hAnsi="Arial" w:cs="Arial"/>
            <w:webHidden/>
          </w:rPr>
          <w:t>6</w:t>
        </w:r>
        <w:r w:rsidR="00923B2C">
          <w:rPr>
            <w:rFonts w:ascii="Arial" w:hAnsi="Arial" w:cs="Arial"/>
            <w:webHidden/>
          </w:rPr>
          <w:fldChar w:fldCharType="end"/>
        </w:r>
      </w:hyperlink>
    </w:p>
    <w:p w14:paraId="0EBF962A" w14:textId="77777777" w:rsidR="00923B2C" w:rsidRDefault="009C7B40">
      <w:pPr>
        <w:pStyle w:val="TOC1"/>
        <w:rPr>
          <w:rFonts w:ascii="Arial" w:eastAsiaTheme="minorEastAsia" w:hAnsi="Arial" w:cs="Arial"/>
          <w:b w:val="0"/>
          <w:kern w:val="2"/>
          <w:sz w:val="24"/>
          <w:szCs w:val="24"/>
          <w:lang w:val="fr-FR" w:eastAsia="en-GB"/>
        </w:rPr>
      </w:pPr>
      <w:hyperlink w:anchor="_Toc212501808" w:history="1">
        <w:r>
          <w:rPr>
            <w:rStyle w:val="Hyperlink"/>
            <w:rFonts w:ascii="Arial" w:hAnsi="Arial" w:cs="Arial"/>
            <w:lang w:val="fr-FR"/>
          </w:rPr>
          <w:t>2. ÉVALUATION BIOLOGIQUE</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_Toc212501808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6</w:t>
        </w:r>
        <w:r w:rsidR="00923B2C">
          <w:rPr>
            <w:rFonts w:ascii="Arial" w:hAnsi="Arial" w:cs="Arial"/>
            <w:webHidden/>
            <w:lang w:val="fr-FR"/>
          </w:rPr>
          <w:fldChar w:fldCharType="end"/>
        </w:r>
      </w:hyperlink>
    </w:p>
    <w:p w14:paraId="66F08BB8" w14:textId="77777777" w:rsidR="00923B2C" w:rsidRDefault="009C7B40">
      <w:pPr>
        <w:pStyle w:val="TOC2"/>
        <w:tabs>
          <w:tab w:val="right" w:leader="dot" w:pos="9060"/>
        </w:tabs>
        <w:rPr>
          <w:rFonts w:ascii="Arial" w:eastAsiaTheme="minorEastAsia" w:hAnsi="Arial" w:cs="Arial"/>
          <w:i w:val="0"/>
          <w:kern w:val="2"/>
          <w:sz w:val="24"/>
          <w:szCs w:val="24"/>
          <w:lang w:eastAsia="en-GB"/>
        </w:rPr>
      </w:pPr>
      <w:hyperlink w:anchor="_Toc212501809" w:history="1">
        <w:r>
          <w:rPr>
            <w:rStyle w:val="Hyperlink"/>
            <w:rFonts w:ascii="Arial" w:hAnsi="Arial" w:cs="Arial"/>
          </w:rPr>
          <w:t>2.1 Taxon</w:t>
        </w:r>
        <w:r>
          <w:rPr>
            <w:rFonts w:ascii="Arial" w:hAnsi="Arial" w:cs="Arial"/>
            <w:webHidden/>
          </w:rPr>
          <w:tab/>
        </w:r>
        <w:r w:rsidR="00923B2C">
          <w:rPr>
            <w:rFonts w:ascii="Arial" w:hAnsi="Arial" w:cs="Arial"/>
            <w:webHidden/>
          </w:rPr>
          <w:fldChar w:fldCharType="begin"/>
        </w:r>
        <w:r>
          <w:rPr>
            <w:rFonts w:ascii="Arial" w:hAnsi="Arial" w:cs="Arial"/>
            <w:webHidden/>
          </w:rPr>
          <w:instrText xml:space="preserve"> PAGEREF _Toc212501809 \h </w:instrText>
        </w:r>
        <w:r w:rsidR="00923B2C">
          <w:rPr>
            <w:rFonts w:ascii="Arial" w:hAnsi="Arial" w:cs="Arial"/>
            <w:webHidden/>
          </w:rPr>
        </w:r>
        <w:r w:rsidR="00923B2C">
          <w:rPr>
            <w:rFonts w:ascii="Arial" w:hAnsi="Arial" w:cs="Arial"/>
            <w:webHidden/>
          </w:rPr>
          <w:fldChar w:fldCharType="separate"/>
        </w:r>
        <w:r>
          <w:rPr>
            <w:rFonts w:ascii="Arial" w:hAnsi="Arial" w:cs="Arial"/>
            <w:webHidden/>
          </w:rPr>
          <w:t>6</w:t>
        </w:r>
        <w:r w:rsidR="00923B2C">
          <w:rPr>
            <w:rFonts w:ascii="Arial" w:hAnsi="Arial" w:cs="Arial"/>
            <w:webHidden/>
          </w:rPr>
          <w:fldChar w:fldCharType="end"/>
        </w:r>
      </w:hyperlink>
    </w:p>
    <w:p w14:paraId="352CF01B"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0" w:history="1">
        <w:r>
          <w:rPr>
            <w:rStyle w:val="Hyperlink"/>
            <w:rFonts w:ascii="Arial" w:hAnsi="Arial" w:cs="Arial"/>
            <w:lang w:val="fr-FR"/>
          </w:rPr>
          <w:t>2.2 Répartition</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_Toc212501810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7</w:t>
        </w:r>
        <w:r w:rsidR="00923B2C">
          <w:rPr>
            <w:rFonts w:ascii="Arial" w:hAnsi="Arial" w:cs="Arial"/>
            <w:webHidden/>
            <w:lang w:val="fr-FR"/>
          </w:rPr>
          <w:fldChar w:fldCharType="end"/>
        </w:r>
      </w:hyperlink>
    </w:p>
    <w:p w14:paraId="1804029E"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1" w:history="1">
        <w:r>
          <w:rPr>
            <w:rStyle w:val="Hyperlink"/>
            <w:rFonts w:ascii="Arial" w:hAnsi="Arial" w:cs="Arial"/>
            <w:lang w:val="fr-FR" w:eastAsia="en-AU"/>
          </w:rPr>
          <w:t>2.3 Productivité et tendance de la population</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_Toc212501811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8</w:t>
        </w:r>
        <w:r w:rsidR="00923B2C">
          <w:rPr>
            <w:rFonts w:ascii="Arial" w:hAnsi="Arial" w:cs="Arial"/>
            <w:webHidden/>
            <w:lang w:val="fr-FR"/>
          </w:rPr>
          <w:fldChar w:fldCharType="end"/>
        </w:r>
      </w:hyperlink>
    </w:p>
    <w:p w14:paraId="6CE533D3" w14:textId="77777777" w:rsidR="00923B2C" w:rsidRDefault="009C7B40">
      <w:pPr>
        <w:pStyle w:val="TOC1"/>
        <w:rPr>
          <w:rFonts w:ascii="Arial" w:eastAsiaTheme="minorEastAsia" w:hAnsi="Arial" w:cs="Arial"/>
          <w:b w:val="0"/>
          <w:kern w:val="2"/>
          <w:sz w:val="24"/>
          <w:szCs w:val="24"/>
          <w:lang w:val="fr-FR" w:eastAsia="en-GB"/>
        </w:rPr>
      </w:pPr>
      <w:hyperlink w:anchor="_Toc212501812" w:history="1">
        <w:r>
          <w:rPr>
            <w:rStyle w:val="Hyperlink"/>
            <w:rFonts w:ascii="Arial" w:hAnsi="Arial" w:cs="Arial"/>
            <w:lang w:val="fr-FR"/>
          </w:rPr>
          <w:t>3. MENACES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_Toc212501812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9</w:t>
        </w:r>
        <w:r w:rsidR="00923B2C">
          <w:rPr>
            <w:rFonts w:ascii="Arial" w:hAnsi="Arial" w:cs="Arial"/>
            <w:webHidden/>
            <w:lang w:val="fr-FR"/>
          </w:rPr>
          <w:fldChar w:fldCharType="end"/>
        </w:r>
      </w:hyperlink>
    </w:p>
    <w:p w14:paraId="300209FC"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3" w:history="1">
        <w:r>
          <w:rPr>
            <w:rStyle w:val="Hyperlink"/>
            <w:rFonts w:ascii="Arial" w:hAnsi="Arial" w:cs="Arial"/>
            <w:lang w:val="fr-FR"/>
          </w:rPr>
          <w:t>3.1 Obstacles à la migration</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_Toc212501813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10</w:t>
        </w:r>
        <w:r w:rsidR="00923B2C">
          <w:rPr>
            <w:rFonts w:ascii="Arial" w:hAnsi="Arial" w:cs="Arial"/>
            <w:webHidden/>
            <w:lang w:val="fr-FR"/>
          </w:rPr>
          <w:fldChar w:fldCharType="end"/>
        </w:r>
      </w:hyperlink>
    </w:p>
    <w:p w14:paraId="5945C46A"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4" w:history="1">
        <w:r>
          <w:rPr>
            <w:rStyle w:val="Hyperlink"/>
            <w:rFonts w:ascii="Arial" w:hAnsi="Arial" w:cs="Arial"/>
            <w:lang w:val="fr-FR"/>
          </w:rPr>
          <w:t>3.2 Changement climatique</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_Toc212501814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10</w:t>
        </w:r>
        <w:r w:rsidR="00923B2C">
          <w:rPr>
            <w:rFonts w:ascii="Arial" w:hAnsi="Arial" w:cs="Arial"/>
            <w:webHidden/>
            <w:lang w:val="fr-FR"/>
          </w:rPr>
          <w:fldChar w:fldCharType="end"/>
        </w:r>
      </w:hyperlink>
    </w:p>
    <w:p w14:paraId="648CF55D"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5" w:history="1">
        <w:r>
          <w:rPr>
            <w:rStyle w:val="Hyperlink"/>
            <w:rFonts w:ascii="Arial" w:hAnsi="Arial" w:cs="Arial"/>
            <w:lang w:val="fr-FR"/>
          </w:rPr>
          <w:t>3.3 Perte d’habitat</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_Toc212501815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10</w:t>
        </w:r>
        <w:r w:rsidR="00923B2C">
          <w:rPr>
            <w:rFonts w:ascii="Arial" w:hAnsi="Arial" w:cs="Arial"/>
            <w:webHidden/>
            <w:lang w:val="fr-FR"/>
          </w:rPr>
          <w:fldChar w:fldCharType="end"/>
        </w:r>
      </w:hyperlink>
    </w:p>
    <w:p w14:paraId="0EADEF58"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6" w:history="1">
        <w:r>
          <w:rPr>
            <w:rStyle w:val="Hyperlink"/>
            <w:rFonts w:ascii="Arial" w:hAnsi="Arial" w:cs="Arial"/>
            <w:lang w:val="fr-FR"/>
          </w:rPr>
          <w:t>3.4 Exploitation et commerce non durables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_Toc212501816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11</w:t>
        </w:r>
        <w:r w:rsidR="00923B2C">
          <w:rPr>
            <w:rFonts w:ascii="Arial" w:hAnsi="Arial" w:cs="Arial"/>
            <w:webHidden/>
            <w:lang w:val="fr-FR"/>
          </w:rPr>
          <w:fldChar w:fldCharType="end"/>
        </w:r>
      </w:hyperlink>
    </w:p>
    <w:p w14:paraId="41C3AE6D" w14:textId="77777777" w:rsidR="00923B2C" w:rsidRDefault="009C7B40">
      <w:pPr>
        <w:pStyle w:val="TOC2"/>
        <w:tabs>
          <w:tab w:val="right" w:leader="dot" w:pos="9060"/>
        </w:tabs>
        <w:rPr>
          <w:rFonts w:ascii="Arial" w:eastAsiaTheme="minorEastAsia" w:hAnsi="Arial" w:cs="Arial"/>
          <w:i w:val="0"/>
          <w:kern w:val="2"/>
          <w:sz w:val="24"/>
          <w:szCs w:val="24"/>
          <w:lang w:eastAsia="en-GB"/>
        </w:rPr>
      </w:pPr>
      <w:hyperlink w:anchor="_Toc212501817" w:history="1">
        <w:r>
          <w:rPr>
            <w:rStyle w:val="Hyperlink"/>
            <w:rFonts w:ascii="Arial" w:hAnsi="Arial" w:cs="Arial"/>
          </w:rPr>
          <w:t>3.5 Pollution</w:t>
        </w:r>
        <w:r>
          <w:rPr>
            <w:rFonts w:ascii="Arial" w:hAnsi="Arial" w:cs="Arial"/>
            <w:webHidden/>
          </w:rPr>
          <w:tab/>
        </w:r>
        <w:r w:rsidR="00923B2C">
          <w:rPr>
            <w:rFonts w:ascii="Arial" w:hAnsi="Arial" w:cs="Arial"/>
            <w:webHidden/>
          </w:rPr>
          <w:fldChar w:fldCharType="begin"/>
        </w:r>
        <w:r>
          <w:rPr>
            <w:rFonts w:ascii="Arial" w:hAnsi="Arial" w:cs="Arial"/>
            <w:webHidden/>
          </w:rPr>
          <w:instrText xml:space="preserve"> PAGEREF _Toc212501817 \h </w:instrText>
        </w:r>
        <w:r w:rsidR="00923B2C">
          <w:rPr>
            <w:rFonts w:ascii="Arial" w:hAnsi="Arial" w:cs="Arial"/>
            <w:webHidden/>
          </w:rPr>
        </w:r>
        <w:r w:rsidR="00923B2C">
          <w:rPr>
            <w:rFonts w:ascii="Arial" w:hAnsi="Arial" w:cs="Arial"/>
            <w:webHidden/>
          </w:rPr>
          <w:fldChar w:fldCharType="separate"/>
        </w:r>
        <w:r>
          <w:rPr>
            <w:rFonts w:ascii="Arial" w:hAnsi="Arial" w:cs="Arial"/>
            <w:webHidden/>
          </w:rPr>
          <w:t>11</w:t>
        </w:r>
        <w:r w:rsidR="00923B2C">
          <w:rPr>
            <w:rFonts w:ascii="Arial" w:hAnsi="Arial" w:cs="Arial"/>
            <w:webHidden/>
          </w:rPr>
          <w:fldChar w:fldCharType="end"/>
        </w:r>
      </w:hyperlink>
    </w:p>
    <w:p w14:paraId="0B0772ED"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8" w:history="1">
        <w:r>
          <w:rPr>
            <w:rStyle w:val="Hyperlink"/>
            <w:rFonts w:ascii="Arial" w:hAnsi="Arial" w:cs="Arial"/>
            <w:lang w:val="fr-FR"/>
          </w:rPr>
          <w:t>3.6 Espèces envahissantes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_Toc212501818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11</w:t>
        </w:r>
        <w:r w:rsidR="00923B2C">
          <w:rPr>
            <w:rFonts w:ascii="Arial" w:hAnsi="Arial" w:cs="Arial"/>
            <w:webHidden/>
            <w:lang w:val="fr-FR"/>
          </w:rPr>
          <w:fldChar w:fldCharType="end"/>
        </w:r>
      </w:hyperlink>
    </w:p>
    <w:p w14:paraId="37D0B415"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19" w:history="1">
        <w:r>
          <w:rPr>
            <w:rStyle w:val="Hyperlink"/>
            <w:rFonts w:ascii="Arial" w:hAnsi="Arial" w:cs="Arial"/>
            <w:lang w:val="fr-FR"/>
          </w:rPr>
          <w:t>3.7 Parasites et maladies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_Toc212501819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12</w:t>
        </w:r>
        <w:r w:rsidR="00923B2C">
          <w:rPr>
            <w:rFonts w:ascii="Arial" w:hAnsi="Arial" w:cs="Arial"/>
            <w:webHidden/>
            <w:lang w:val="fr-FR"/>
          </w:rPr>
          <w:fldChar w:fldCharType="end"/>
        </w:r>
      </w:hyperlink>
    </w:p>
    <w:p w14:paraId="5C995621"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0" w:history="1">
        <w:r>
          <w:rPr>
            <w:rStyle w:val="Hyperlink"/>
            <w:rFonts w:ascii="Arial" w:hAnsi="Arial" w:cs="Arial"/>
            <w:lang w:val="fr-FR"/>
          </w:rPr>
          <w:t>3.8 Hiérarchisation des menaces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_Toc212501820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12</w:t>
        </w:r>
        <w:r w:rsidR="00923B2C">
          <w:rPr>
            <w:rFonts w:ascii="Arial" w:hAnsi="Arial" w:cs="Arial"/>
            <w:webHidden/>
            <w:lang w:val="fr-FR"/>
          </w:rPr>
          <w:fldChar w:fldCharType="end"/>
        </w:r>
      </w:hyperlink>
    </w:p>
    <w:p w14:paraId="018A1B4A" w14:textId="77777777" w:rsidR="00923B2C" w:rsidRDefault="009C7B40">
      <w:pPr>
        <w:pStyle w:val="TOC1"/>
        <w:rPr>
          <w:rFonts w:ascii="Arial" w:eastAsiaTheme="minorEastAsia" w:hAnsi="Arial" w:cs="Arial"/>
          <w:b w:val="0"/>
          <w:kern w:val="2"/>
          <w:sz w:val="24"/>
          <w:szCs w:val="24"/>
          <w:lang w:val="fr-FR" w:eastAsia="en-GB"/>
        </w:rPr>
      </w:pPr>
      <w:hyperlink w:anchor="_Toc212501821" w:history="1">
        <w:r>
          <w:rPr>
            <w:rStyle w:val="Hyperlink"/>
            <w:rFonts w:ascii="Arial" w:hAnsi="Arial" w:cs="Arial"/>
            <w:lang w:val="fr-FR"/>
          </w:rPr>
          <w:t>4. CADRE D’ACTION</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_Toc212501821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13</w:t>
        </w:r>
        <w:r w:rsidR="00923B2C">
          <w:rPr>
            <w:rFonts w:ascii="Arial" w:hAnsi="Arial" w:cs="Arial"/>
            <w:webHidden/>
            <w:lang w:val="fr-FR"/>
          </w:rPr>
          <w:fldChar w:fldCharType="end"/>
        </w:r>
      </w:hyperlink>
    </w:p>
    <w:p w14:paraId="2A459D8E"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2" w:history="1">
        <w:r>
          <w:rPr>
            <w:rStyle w:val="Hyperlink"/>
            <w:rFonts w:ascii="Arial" w:hAnsi="Arial" w:cs="Arial"/>
            <w:lang w:val="fr-FR"/>
          </w:rPr>
          <w:t>4.1 Objectif</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_Toc212501822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13</w:t>
        </w:r>
        <w:r w:rsidR="00923B2C">
          <w:rPr>
            <w:rFonts w:ascii="Arial" w:hAnsi="Arial" w:cs="Arial"/>
            <w:webHidden/>
            <w:lang w:val="fr-FR"/>
          </w:rPr>
          <w:fldChar w:fldCharType="end"/>
        </w:r>
      </w:hyperlink>
    </w:p>
    <w:p w14:paraId="4BBA28DA"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3" w:history="1">
        <w:r>
          <w:rPr>
            <w:rStyle w:val="Hyperlink"/>
            <w:rFonts w:ascii="Arial" w:hAnsi="Arial" w:cs="Arial"/>
            <w:lang w:val="fr-FR"/>
          </w:rPr>
          <w:t>4.2 Objectifs, actions et résultats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_Toc212501823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13</w:t>
        </w:r>
        <w:r w:rsidR="00923B2C">
          <w:rPr>
            <w:rFonts w:ascii="Arial" w:hAnsi="Arial" w:cs="Arial"/>
            <w:webHidden/>
            <w:lang w:val="fr-FR"/>
          </w:rPr>
          <w:fldChar w:fldCharType="end"/>
        </w:r>
      </w:hyperlink>
    </w:p>
    <w:p w14:paraId="3FBE177D"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4" w:history="1">
        <w:r>
          <w:rPr>
            <w:rStyle w:val="Hyperlink"/>
            <w:rFonts w:ascii="Arial" w:hAnsi="Arial" w:cs="Arial"/>
            <w:lang w:val="fr-FR"/>
          </w:rPr>
          <w:t>4.3 Études scientifiques et collecte de données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_Toc212501824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13</w:t>
        </w:r>
        <w:r w:rsidR="00923B2C">
          <w:rPr>
            <w:rFonts w:ascii="Arial" w:hAnsi="Arial" w:cs="Arial"/>
            <w:webHidden/>
            <w:lang w:val="fr-FR"/>
          </w:rPr>
          <w:fldChar w:fldCharType="end"/>
        </w:r>
      </w:hyperlink>
    </w:p>
    <w:p w14:paraId="7A97E1EF"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5" w:history="1">
        <w:r>
          <w:rPr>
            <w:rStyle w:val="Hyperlink"/>
            <w:rFonts w:ascii="Arial" w:hAnsi="Arial" w:cs="Arial"/>
            <w:lang w:val="fr-FR"/>
          </w:rPr>
          <w:t>4.4 Assurer des ressources suffisantes pour la conservation continue</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_Toc212501825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14</w:t>
        </w:r>
        <w:r w:rsidR="00923B2C">
          <w:rPr>
            <w:rFonts w:ascii="Arial" w:hAnsi="Arial" w:cs="Arial"/>
            <w:webHidden/>
            <w:lang w:val="fr-FR"/>
          </w:rPr>
          <w:fldChar w:fldCharType="end"/>
        </w:r>
      </w:hyperlink>
    </w:p>
    <w:p w14:paraId="2FC391A0"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6" w:history="1">
        <w:r>
          <w:rPr>
            <w:rStyle w:val="Hyperlink"/>
            <w:rFonts w:ascii="Arial" w:hAnsi="Arial" w:cs="Arial"/>
            <w:lang w:val="fr-FR"/>
          </w:rPr>
          <w:t>4.5 Cadre des objectifs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_Toc212501826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14</w:t>
        </w:r>
        <w:r w:rsidR="00923B2C">
          <w:rPr>
            <w:rFonts w:ascii="Arial" w:hAnsi="Arial" w:cs="Arial"/>
            <w:webHidden/>
            <w:lang w:val="fr-FR"/>
          </w:rPr>
          <w:fldChar w:fldCharType="end"/>
        </w:r>
      </w:hyperlink>
    </w:p>
    <w:p w14:paraId="7CB66E14"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7" w:history="1">
        <w:r>
          <w:rPr>
            <w:rStyle w:val="Hyperlink"/>
            <w:rFonts w:ascii="Arial" w:hAnsi="Arial" w:cs="Arial"/>
            <w:lang w:val="fr-FR"/>
          </w:rPr>
          <w:t>4.6 Mise en œuvre nationale</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_Toc212501827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14</w:t>
        </w:r>
        <w:r w:rsidR="00923B2C">
          <w:rPr>
            <w:rFonts w:ascii="Arial" w:hAnsi="Arial" w:cs="Arial"/>
            <w:webHidden/>
            <w:lang w:val="fr-FR"/>
          </w:rPr>
          <w:fldChar w:fldCharType="end"/>
        </w:r>
      </w:hyperlink>
    </w:p>
    <w:p w14:paraId="7DA9F5FD"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8" w:history="1">
        <w:r>
          <w:rPr>
            <w:rStyle w:val="Hyperlink"/>
            <w:rFonts w:ascii="Arial" w:hAnsi="Arial" w:cs="Arial"/>
            <w:lang w:val="fr-FR"/>
          </w:rPr>
          <w:t>4.7 Ressources disponibles, lignes directrices et outils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_Toc212501828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14</w:t>
        </w:r>
        <w:r w:rsidR="00923B2C">
          <w:rPr>
            <w:rFonts w:ascii="Arial" w:hAnsi="Arial" w:cs="Arial"/>
            <w:webHidden/>
            <w:lang w:val="fr-FR"/>
          </w:rPr>
          <w:fldChar w:fldCharType="end"/>
        </w:r>
      </w:hyperlink>
    </w:p>
    <w:p w14:paraId="7C4EED82"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29" w:history="1">
        <w:r>
          <w:rPr>
            <w:rStyle w:val="Hyperlink"/>
            <w:rFonts w:ascii="Arial" w:hAnsi="Arial" w:cs="Arial"/>
            <w:lang w:val="fr-FR"/>
          </w:rPr>
          <w:t>4.8 Activités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_Toc212501829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15</w:t>
        </w:r>
        <w:r w:rsidR="00923B2C">
          <w:rPr>
            <w:rFonts w:ascii="Arial" w:hAnsi="Arial" w:cs="Arial"/>
            <w:webHidden/>
            <w:lang w:val="fr-FR"/>
          </w:rPr>
          <w:fldChar w:fldCharType="end"/>
        </w:r>
      </w:hyperlink>
    </w:p>
    <w:p w14:paraId="7AFA8524" w14:textId="77777777" w:rsidR="00923B2C" w:rsidRDefault="009C7B40">
      <w:pPr>
        <w:pStyle w:val="TOC1"/>
        <w:rPr>
          <w:rFonts w:ascii="Arial" w:eastAsiaTheme="minorEastAsia" w:hAnsi="Arial" w:cs="Arial"/>
          <w:b w:val="0"/>
          <w:kern w:val="2"/>
          <w:sz w:val="24"/>
          <w:szCs w:val="24"/>
          <w:lang w:val="fr-FR" w:eastAsia="en-GB"/>
        </w:rPr>
      </w:pPr>
      <w:hyperlink w:anchor="_Toc212501830" w:history="1">
        <w:r>
          <w:rPr>
            <w:rStyle w:val="Hyperlink"/>
            <w:rFonts w:ascii="Arial" w:hAnsi="Arial" w:cs="Arial"/>
            <w:lang w:val="fr-FR"/>
          </w:rPr>
          <w:t>5. RÉFÉRENCES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_Toc212501830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22</w:t>
        </w:r>
        <w:r w:rsidR="00923B2C">
          <w:rPr>
            <w:rFonts w:ascii="Arial" w:hAnsi="Arial" w:cs="Arial"/>
            <w:webHidden/>
            <w:lang w:val="fr-FR"/>
          </w:rPr>
          <w:fldChar w:fldCharType="end"/>
        </w:r>
      </w:hyperlink>
    </w:p>
    <w:p w14:paraId="77D2AC16" w14:textId="77777777" w:rsidR="00923B2C" w:rsidRDefault="009C7B40">
      <w:pPr>
        <w:pStyle w:val="TOC1"/>
        <w:rPr>
          <w:rFonts w:ascii="Arial" w:eastAsiaTheme="minorEastAsia" w:hAnsi="Arial" w:cs="Arial"/>
          <w:b w:val="0"/>
          <w:kern w:val="2"/>
          <w:sz w:val="24"/>
          <w:szCs w:val="24"/>
          <w:lang w:val="fr-FR" w:eastAsia="en-GB"/>
        </w:rPr>
      </w:pPr>
      <w:hyperlink w:anchor="_Toc212501831" w:history="1">
        <w:r>
          <w:rPr>
            <w:rStyle w:val="Hyperlink"/>
            <w:rFonts w:ascii="Arial" w:hAnsi="Arial" w:cs="Arial"/>
            <w:lang w:val="fr-FR"/>
          </w:rPr>
          <w:t>ANNEXE 1 – MATRICE DES MENACES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_Toc212501831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25</w:t>
        </w:r>
        <w:r w:rsidR="00923B2C">
          <w:rPr>
            <w:rFonts w:ascii="Arial" w:hAnsi="Arial" w:cs="Arial"/>
            <w:webHidden/>
            <w:lang w:val="fr-FR"/>
          </w:rPr>
          <w:fldChar w:fldCharType="end"/>
        </w:r>
      </w:hyperlink>
    </w:p>
    <w:p w14:paraId="6820CB7D" w14:textId="77777777" w:rsidR="00923B2C" w:rsidRDefault="009C7B40">
      <w:pPr>
        <w:pStyle w:val="TOC1"/>
        <w:rPr>
          <w:rFonts w:ascii="Arial" w:eastAsiaTheme="minorEastAsia" w:hAnsi="Arial" w:cs="Arial"/>
          <w:b w:val="0"/>
          <w:kern w:val="2"/>
          <w:sz w:val="24"/>
          <w:szCs w:val="24"/>
          <w:lang w:val="fr-FR" w:eastAsia="en-GB"/>
        </w:rPr>
      </w:pPr>
      <w:hyperlink w:anchor="_Toc212501832" w:history="1">
        <w:r>
          <w:rPr>
            <w:rStyle w:val="Hyperlink"/>
            <w:rFonts w:ascii="Arial" w:hAnsi="Arial" w:cs="Arial"/>
            <w:lang w:val="fr-FR"/>
          </w:rPr>
          <w:t>ANNEXE 2 – POLITIQUES ET LÉGISLATION APPLICABLES À LA GESTION</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_Toc212501832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27</w:t>
        </w:r>
        <w:r w:rsidR="00923B2C">
          <w:rPr>
            <w:rFonts w:ascii="Arial" w:hAnsi="Arial" w:cs="Arial"/>
            <w:webHidden/>
            <w:lang w:val="fr-FR"/>
          </w:rPr>
          <w:fldChar w:fldCharType="end"/>
        </w:r>
      </w:hyperlink>
    </w:p>
    <w:p w14:paraId="4D2B7238"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33" w:history="1">
        <w:r>
          <w:rPr>
            <w:rStyle w:val="Hyperlink"/>
            <w:rFonts w:ascii="Arial" w:hAnsi="Arial" w:cs="Arial"/>
            <w:lang w:val="fr-FR"/>
          </w:rPr>
          <w:t>Annexe 2.1 Conservation et statut juridique</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_Toc212501833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27</w:t>
        </w:r>
        <w:r w:rsidR="00923B2C">
          <w:rPr>
            <w:rFonts w:ascii="Arial" w:hAnsi="Arial" w:cs="Arial"/>
            <w:webHidden/>
            <w:lang w:val="fr-FR"/>
          </w:rPr>
          <w:fldChar w:fldCharType="end"/>
        </w:r>
      </w:hyperlink>
    </w:p>
    <w:p w14:paraId="16C9B932" w14:textId="77777777" w:rsidR="00923B2C" w:rsidRDefault="009C7B40">
      <w:pPr>
        <w:pStyle w:val="TOC2"/>
        <w:tabs>
          <w:tab w:val="right" w:leader="dot" w:pos="9060"/>
        </w:tabs>
        <w:rPr>
          <w:rFonts w:ascii="Arial" w:eastAsiaTheme="minorEastAsia" w:hAnsi="Arial" w:cs="Arial"/>
          <w:i w:val="0"/>
          <w:kern w:val="2"/>
          <w:sz w:val="24"/>
          <w:szCs w:val="24"/>
          <w:lang w:val="fr-FR" w:eastAsia="en-GB"/>
        </w:rPr>
      </w:pPr>
      <w:hyperlink w:anchor="_Toc212501834" w:history="1">
        <w:r>
          <w:rPr>
            <w:rStyle w:val="Hyperlink"/>
            <w:rFonts w:ascii="Arial" w:hAnsi="Arial" w:cs="Arial"/>
            <w:lang w:val="fr-FR"/>
          </w:rPr>
          <w:t xml:space="preserve">Annexe 2.2 </w:t>
        </w:r>
        <w:r>
          <w:rPr>
            <w:rStyle w:val="Hyperlink"/>
            <w:rFonts w:ascii="Arial" w:hAnsi="Arial" w:cs="Arial"/>
            <w:lang w:val="fr-FR" w:eastAsia="en-AU"/>
          </w:rPr>
          <w:t>Conventions internationales ratifiées</w:t>
        </w:r>
        <w:r>
          <w:rPr>
            <w:rStyle w:val="Hyperlink"/>
            <w:rFonts w:ascii="Arial" w:hAnsi="Arial" w:cs="Arial"/>
            <w:lang w:val="fr-FR"/>
          </w:rPr>
          <w:t xml:space="preserve"> par les États de l’aire de répartition et leur affiliation aux organisations concernées</w:t>
        </w:r>
        <w:r>
          <w:rPr>
            <w:rFonts w:ascii="Arial" w:hAnsi="Arial" w:cs="Arial"/>
            <w:webHidden/>
            <w:lang w:val="fr-FR"/>
          </w:rPr>
          <w:tab/>
        </w:r>
        <w:r w:rsidR="00923B2C">
          <w:rPr>
            <w:rFonts w:ascii="Arial" w:hAnsi="Arial" w:cs="Arial"/>
            <w:webHidden/>
            <w:lang w:val="fr-FR"/>
          </w:rPr>
          <w:fldChar w:fldCharType="begin"/>
        </w:r>
        <w:r>
          <w:rPr>
            <w:rFonts w:ascii="Arial" w:hAnsi="Arial" w:cs="Arial"/>
            <w:webHidden/>
            <w:lang w:val="fr-FR"/>
          </w:rPr>
          <w:instrText xml:space="preserve"> PAGEREF _Toc212501834 \h </w:instrText>
        </w:r>
        <w:r w:rsidR="00923B2C">
          <w:rPr>
            <w:rFonts w:ascii="Arial" w:hAnsi="Arial" w:cs="Arial"/>
            <w:webHidden/>
            <w:lang w:val="fr-FR"/>
          </w:rPr>
        </w:r>
        <w:r w:rsidR="00923B2C">
          <w:rPr>
            <w:rFonts w:ascii="Arial" w:hAnsi="Arial" w:cs="Arial"/>
            <w:webHidden/>
            <w:lang w:val="fr-FR"/>
          </w:rPr>
          <w:fldChar w:fldCharType="separate"/>
        </w:r>
        <w:r>
          <w:rPr>
            <w:rFonts w:ascii="Arial" w:hAnsi="Arial" w:cs="Arial"/>
            <w:webHidden/>
            <w:lang w:val="fr-FR"/>
          </w:rPr>
          <w:t>29</w:t>
        </w:r>
        <w:r w:rsidR="00923B2C">
          <w:rPr>
            <w:rFonts w:ascii="Arial" w:hAnsi="Arial" w:cs="Arial"/>
            <w:webHidden/>
            <w:lang w:val="fr-FR"/>
          </w:rPr>
          <w:fldChar w:fldCharType="end"/>
        </w:r>
      </w:hyperlink>
    </w:p>
    <w:p w14:paraId="53D26763" w14:textId="77777777" w:rsidR="00923B2C" w:rsidRDefault="00923B2C">
      <w:pPr>
        <w:spacing w:after="120" w:line="240" w:lineRule="auto"/>
        <w:rPr>
          <w:rFonts w:ascii="Arial" w:eastAsia="Times New Roman" w:hAnsi="Arial" w:cs="Arial"/>
          <w:b/>
          <w:bCs/>
          <w:snapToGrid w:val="0"/>
          <w:sz w:val="24"/>
          <w:szCs w:val="24"/>
          <w:lang w:val="fr-FR" w:eastAsia="en-AU"/>
        </w:rPr>
      </w:pPr>
      <w:r>
        <w:rPr>
          <w:rFonts w:ascii="Arial" w:eastAsia="Times New Roman" w:hAnsi="Arial" w:cs="Arial"/>
          <w:b/>
          <w:bCs/>
          <w:snapToGrid w:val="0"/>
          <w:sz w:val="21"/>
          <w:szCs w:val="21"/>
          <w:lang w:val="fr-FR" w:eastAsia="en-AU"/>
        </w:rPr>
        <w:fldChar w:fldCharType="end"/>
      </w:r>
      <w:r w:rsidR="009C7B40">
        <w:rPr>
          <w:rFonts w:ascii="Arial" w:eastAsia="Times New Roman" w:hAnsi="Arial" w:cs="Arial"/>
          <w:b/>
          <w:bCs/>
          <w:snapToGrid w:val="0"/>
          <w:sz w:val="24"/>
          <w:szCs w:val="24"/>
          <w:lang w:val="fr-FR" w:eastAsia="en-AU"/>
        </w:rPr>
        <w:br w:type="page"/>
      </w:r>
    </w:p>
    <w:p w14:paraId="49D531F5" w14:textId="77777777" w:rsidR="00923B2C" w:rsidRDefault="009C7B40">
      <w:pPr>
        <w:pStyle w:val="Heading1"/>
        <w:rPr>
          <w:lang w:val="fr-FR"/>
        </w:rPr>
      </w:pPr>
      <w:bookmarkStart w:id="3" w:name="_Toc212501805"/>
      <w:r>
        <w:rPr>
          <w:lang w:val="fr-FR"/>
        </w:rPr>
        <w:lastRenderedPageBreak/>
        <w:t>ACRONYMES ET ABRÉVIATIONS</w:t>
      </w:r>
      <w:bookmarkEnd w:id="3"/>
    </w:p>
    <w:p w14:paraId="12EA5A8D" w14:textId="77777777" w:rsidR="00923B2C" w:rsidRDefault="00923B2C">
      <w:pPr>
        <w:widowControl w:val="0"/>
        <w:spacing w:after="0" w:line="240" w:lineRule="auto"/>
        <w:rPr>
          <w:rFonts w:ascii="Arial" w:hAnsi="Arial" w:cs="Arial"/>
          <w:snapToGrid w:val="0"/>
          <w:lang w:val="fr-FR"/>
        </w:rPr>
      </w:pPr>
    </w:p>
    <w:p w14:paraId="43A07ED5"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ABNJ</w:t>
      </w:r>
      <w:r>
        <w:rPr>
          <w:rFonts w:ascii="Arial" w:hAnsi="Arial" w:cs="Arial"/>
          <w:snapToGrid w:val="0"/>
          <w:lang w:val="fr-FR"/>
        </w:rPr>
        <w:tab/>
      </w:r>
      <w:r>
        <w:rPr>
          <w:rFonts w:ascii="Arial" w:hAnsi="Arial" w:cs="Arial"/>
          <w:snapToGrid w:val="0"/>
          <w:lang w:val="fr-FR"/>
        </w:rPr>
        <w:tab/>
        <w:t>Zones ne relevant pas de la juridiction nationale</w:t>
      </w:r>
    </w:p>
    <w:p w14:paraId="7F2E8046" w14:textId="77777777" w:rsidR="00923B2C" w:rsidRDefault="00923B2C">
      <w:pPr>
        <w:widowControl w:val="0"/>
        <w:spacing w:after="0" w:line="240" w:lineRule="auto"/>
        <w:rPr>
          <w:rFonts w:ascii="Arial" w:hAnsi="Arial" w:cs="Arial"/>
          <w:snapToGrid w:val="0"/>
          <w:lang w:val="fr-FR"/>
        </w:rPr>
      </w:pPr>
    </w:p>
    <w:p w14:paraId="35FC07E6"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AMOC</w:t>
      </w:r>
      <w:r>
        <w:rPr>
          <w:rFonts w:ascii="Arial" w:hAnsi="Arial" w:cs="Arial"/>
          <w:snapToGrid w:val="0"/>
          <w:lang w:val="fr-FR"/>
        </w:rPr>
        <w:tab/>
      </w:r>
      <w:r>
        <w:rPr>
          <w:rFonts w:ascii="Arial" w:hAnsi="Arial" w:cs="Arial"/>
          <w:snapToGrid w:val="0"/>
          <w:lang w:val="fr-FR"/>
        </w:rPr>
        <w:tab/>
        <w:t>Circulation méridienne de retournement de l’Atlantique</w:t>
      </w:r>
    </w:p>
    <w:p w14:paraId="20C7CFCF" w14:textId="77777777" w:rsidR="00923B2C" w:rsidRDefault="00923B2C">
      <w:pPr>
        <w:widowControl w:val="0"/>
        <w:spacing w:after="0" w:line="240" w:lineRule="auto"/>
        <w:rPr>
          <w:rFonts w:ascii="Arial" w:hAnsi="Arial" w:cs="Arial"/>
          <w:snapToGrid w:val="0"/>
          <w:lang w:val="fr-FR"/>
        </w:rPr>
      </w:pPr>
    </w:p>
    <w:p w14:paraId="2C7BF617"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BBNJ</w:t>
      </w:r>
      <w:r>
        <w:rPr>
          <w:rFonts w:ascii="Arial" w:hAnsi="Arial" w:cs="Arial"/>
          <w:snapToGrid w:val="0"/>
          <w:lang w:val="fr-FR"/>
        </w:rPr>
        <w:tab/>
      </w:r>
      <w:r>
        <w:rPr>
          <w:rFonts w:ascii="Arial" w:hAnsi="Arial" w:cs="Arial"/>
          <w:snapToGrid w:val="0"/>
          <w:lang w:val="fr-FR"/>
        </w:rPr>
        <w:tab/>
        <w:t>Biodiversité au-delà de la juridiction nationale</w:t>
      </w:r>
    </w:p>
    <w:p w14:paraId="2A9CAB8B" w14:textId="77777777" w:rsidR="00923B2C" w:rsidRDefault="00923B2C">
      <w:pPr>
        <w:widowControl w:val="0"/>
        <w:spacing w:after="0" w:line="240" w:lineRule="auto"/>
        <w:rPr>
          <w:rFonts w:ascii="Arial" w:hAnsi="Arial" w:cs="Arial"/>
          <w:snapToGrid w:val="0"/>
          <w:lang w:val="fr-FR"/>
        </w:rPr>
      </w:pPr>
    </w:p>
    <w:p w14:paraId="576DCF82"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CMS</w:t>
      </w:r>
      <w:r>
        <w:rPr>
          <w:rFonts w:ascii="Arial" w:hAnsi="Arial" w:cs="Arial"/>
          <w:snapToGrid w:val="0"/>
          <w:lang w:val="fr-FR"/>
        </w:rPr>
        <w:tab/>
      </w:r>
      <w:r>
        <w:rPr>
          <w:rFonts w:ascii="Arial" w:hAnsi="Arial" w:cs="Arial"/>
          <w:snapToGrid w:val="0"/>
          <w:lang w:val="fr-FR"/>
        </w:rPr>
        <w:tab/>
        <w:t>Convention sur la conservation des espèces migratrices appartenant à la faune sauvage</w:t>
      </w:r>
      <w:r>
        <w:rPr>
          <w:rFonts w:ascii="Arial" w:hAnsi="Arial" w:cs="Arial"/>
          <w:snapToGrid w:val="0"/>
          <w:lang w:val="fr-FR"/>
        </w:rPr>
        <w:br/>
        <w:t xml:space="preserve"> </w:t>
      </w:r>
    </w:p>
    <w:p w14:paraId="2ABE8A2A" w14:textId="77777777" w:rsidR="00923B2C" w:rsidRDefault="009C7B40">
      <w:pPr>
        <w:widowControl w:val="0"/>
        <w:spacing w:after="0" w:line="240" w:lineRule="auto"/>
        <w:ind w:left="1440" w:hanging="1440"/>
        <w:rPr>
          <w:rFonts w:ascii="Arial" w:hAnsi="Arial" w:cs="Arial"/>
          <w:snapToGrid w:val="0"/>
          <w:lang w:val="fr-FR"/>
        </w:rPr>
      </w:pPr>
      <w:r>
        <w:rPr>
          <w:rFonts w:ascii="Arial" w:hAnsi="Arial" w:cs="Arial"/>
          <w:snapToGrid w:val="0"/>
          <w:lang w:val="fr-FR"/>
        </w:rPr>
        <w:t>CITES</w:t>
      </w:r>
      <w:r>
        <w:rPr>
          <w:rFonts w:ascii="Arial" w:hAnsi="Arial" w:cs="Arial"/>
          <w:snapToGrid w:val="0"/>
          <w:lang w:val="fr-FR"/>
        </w:rPr>
        <w:tab/>
        <w:t xml:space="preserve">Convention sur le commerce international des espèces de faune et de flore sauvages menacées d’extinction </w:t>
      </w:r>
    </w:p>
    <w:p w14:paraId="6AC74239" w14:textId="77777777" w:rsidR="00923B2C" w:rsidRDefault="00923B2C">
      <w:pPr>
        <w:widowControl w:val="0"/>
        <w:spacing w:after="0" w:line="240" w:lineRule="auto"/>
        <w:ind w:left="1440" w:hanging="1440"/>
        <w:rPr>
          <w:rFonts w:ascii="Arial" w:hAnsi="Arial" w:cs="Arial"/>
          <w:snapToGrid w:val="0"/>
          <w:lang w:val="fr-FR"/>
        </w:rPr>
      </w:pPr>
    </w:p>
    <w:p w14:paraId="79448428"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CDB</w:t>
      </w:r>
      <w:r>
        <w:rPr>
          <w:rFonts w:ascii="Arial" w:hAnsi="Arial" w:cs="Arial"/>
          <w:snapToGrid w:val="0"/>
          <w:lang w:val="fr-FR"/>
        </w:rPr>
        <w:tab/>
      </w:r>
      <w:r>
        <w:rPr>
          <w:rFonts w:ascii="Arial" w:hAnsi="Arial" w:cs="Arial"/>
          <w:snapToGrid w:val="0"/>
          <w:lang w:val="fr-FR"/>
        </w:rPr>
        <w:tab/>
        <w:t xml:space="preserve"> Convention sur la diversité biologique </w:t>
      </w:r>
    </w:p>
    <w:p w14:paraId="548EF1AF" w14:textId="77777777" w:rsidR="00923B2C" w:rsidRDefault="00923B2C">
      <w:pPr>
        <w:widowControl w:val="0"/>
        <w:spacing w:after="0" w:line="240" w:lineRule="auto"/>
        <w:rPr>
          <w:rFonts w:ascii="Arial" w:hAnsi="Arial" w:cs="Arial"/>
          <w:snapToGrid w:val="0"/>
          <w:lang w:val="fr-FR"/>
        </w:rPr>
      </w:pPr>
    </w:p>
    <w:p w14:paraId="0ADAA9DC"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CECPAI</w:t>
      </w:r>
      <w:r>
        <w:rPr>
          <w:rFonts w:ascii="Arial" w:hAnsi="Arial" w:cs="Arial"/>
          <w:snapToGrid w:val="0"/>
          <w:lang w:val="fr-FR"/>
        </w:rPr>
        <w:tab/>
        <w:t>Commission européenne consultative pour les pêches et l’aquaculture dans les eaux intérieures</w:t>
      </w:r>
    </w:p>
    <w:p w14:paraId="01B303E4" w14:textId="77777777" w:rsidR="00923B2C" w:rsidRDefault="00923B2C">
      <w:pPr>
        <w:widowControl w:val="0"/>
        <w:spacing w:after="0" w:line="240" w:lineRule="auto"/>
        <w:rPr>
          <w:rFonts w:ascii="Arial" w:hAnsi="Arial" w:cs="Arial"/>
          <w:snapToGrid w:val="0"/>
          <w:lang w:val="fr-FR"/>
        </w:rPr>
      </w:pPr>
    </w:p>
    <w:p w14:paraId="4BA8E053" w14:textId="77777777" w:rsidR="00923B2C" w:rsidRDefault="009C7B40">
      <w:pPr>
        <w:widowControl w:val="0"/>
        <w:spacing w:after="0" w:line="240" w:lineRule="auto"/>
        <w:ind w:left="1440" w:hanging="1440"/>
        <w:rPr>
          <w:rFonts w:ascii="Arial" w:hAnsi="Arial" w:cs="Arial"/>
          <w:snapToGrid w:val="0"/>
          <w:lang w:val="fr-FR"/>
        </w:rPr>
      </w:pPr>
      <w:r>
        <w:rPr>
          <w:rFonts w:ascii="Arial" w:hAnsi="Arial" w:cs="Arial"/>
          <w:snapToGrid w:val="0"/>
          <w:lang w:val="fr-FR"/>
        </w:rPr>
        <w:t>CGPM</w:t>
      </w:r>
      <w:r>
        <w:rPr>
          <w:rFonts w:ascii="Arial" w:hAnsi="Arial" w:cs="Arial"/>
          <w:snapToGrid w:val="0"/>
          <w:lang w:val="fr-FR"/>
        </w:rPr>
        <w:tab/>
        <w:t>Commission générale des pêches pour la Méditerranée</w:t>
      </w:r>
    </w:p>
    <w:p w14:paraId="28B2A739" w14:textId="77777777" w:rsidR="00923B2C" w:rsidRDefault="00923B2C">
      <w:pPr>
        <w:widowControl w:val="0"/>
        <w:spacing w:after="0" w:line="240" w:lineRule="auto"/>
        <w:ind w:left="1440" w:hanging="1440"/>
        <w:rPr>
          <w:rFonts w:ascii="Arial" w:hAnsi="Arial" w:cs="Arial"/>
          <w:snapToGrid w:val="0"/>
          <w:lang w:val="fr-FR"/>
        </w:rPr>
      </w:pPr>
    </w:p>
    <w:p w14:paraId="68C602BB" w14:textId="77777777" w:rsidR="00923B2C" w:rsidRDefault="009C7B40">
      <w:pPr>
        <w:widowControl w:val="0"/>
        <w:spacing w:after="0" w:line="240" w:lineRule="auto"/>
        <w:rPr>
          <w:rFonts w:ascii="Arial" w:hAnsi="Arial" w:cs="Arial"/>
          <w:snapToGrid w:val="0"/>
          <w:lang w:val="fr-FR"/>
        </w:rPr>
      </w:pPr>
      <w:r>
        <w:rPr>
          <w:rFonts w:ascii="Arial" w:hAnsi="Arial" w:cs="Arial"/>
          <w:snapToGrid w:val="0"/>
          <w:lang w:val="fr-FR"/>
        </w:rPr>
        <w:t>HELCOM</w:t>
      </w:r>
      <w:r>
        <w:rPr>
          <w:rFonts w:ascii="Arial" w:hAnsi="Arial" w:cs="Arial"/>
          <w:snapToGrid w:val="0"/>
          <w:lang w:val="fr-FR"/>
        </w:rPr>
        <w:tab/>
        <w:t>Commission pour la protection de l’environnement marin de la mer Baltique</w:t>
      </w:r>
    </w:p>
    <w:p w14:paraId="0F63B5A6" w14:textId="77777777" w:rsidR="00923B2C" w:rsidRDefault="00923B2C">
      <w:pPr>
        <w:widowControl w:val="0"/>
        <w:spacing w:after="0" w:line="240" w:lineRule="auto"/>
        <w:rPr>
          <w:rFonts w:ascii="Arial" w:hAnsi="Arial" w:cs="Arial"/>
          <w:snapToGrid w:val="0"/>
          <w:lang w:val="fr-FR"/>
        </w:rPr>
      </w:pPr>
    </w:p>
    <w:p w14:paraId="7F3C627D" w14:textId="77777777" w:rsidR="00923B2C" w:rsidRDefault="009C7B40">
      <w:pPr>
        <w:widowControl w:val="0"/>
        <w:spacing w:after="0" w:line="240" w:lineRule="auto"/>
        <w:rPr>
          <w:rStyle w:val="st"/>
          <w:rFonts w:ascii="Arial" w:hAnsi="Arial" w:cs="Arial"/>
          <w:lang w:val="fr-FR"/>
        </w:rPr>
      </w:pPr>
      <w:r>
        <w:rPr>
          <w:rFonts w:ascii="Arial" w:hAnsi="Arial" w:cs="Arial"/>
          <w:snapToGrid w:val="0"/>
          <w:lang w:val="fr-FR"/>
        </w:rPr>
        <w:t>CIEM</w:t>
      </w:r>
      <w:r>
        <w:rPr>
          <w:rFonts w:ascii="Arial" w:hAnsi="Arial" w:cs="Arial"/>
          <w:snapToGrid w:val="0"/>
          <w:lang w:val="fr-FR"/>
        </w:rPr>
        <w:tab/>
      </w:r>
      <w:r>
        <w:rPr>
          <w:rFonts w:ascii="Arial" w:hAnsi="Arial" w:cs="Arial"/>
          <w:snapToGrid w:val="0"/>
          <w:lang w:val="fr-FR"/>
        </w:rPr>
        <w:tab/>
      </w:r>
      <w:r>
        <w:rPr>
          <w:rStyle w:val="st"/>
          <w:rFonts w:ascii="Arial" w:hAnsi="Arial" w:cs="Arial"/>
          <w:lang w:val="fr-FR"/>
        </w:rPr>
        <w:t>Conseil international pour l’exploration de la mer</w:t>
      </w:r>
    </w:p>
    <w:p w14:paraId="4A9B56A9" w14:textId="77777777" w:rsidR="00923B2C" w:rsidRDefault="00923B2C">
      <w:pPr>
        <w:widowControl w:val="0"/>
        <w:spacing w:after="0" w:line="240" w:lineRule="auto"/>
        <w:rPr>
          <w:rFonts w:ascii="Arial" w:hAnsi="Arial" w:cs="Arial"/>
          <w:snapToGrid w:val="0"/>
          <w:lang w:val="fr-FR"/>
        </w:rPr>
      </w:pPr>
    </w:p>
    <w:p w14:paraId="445877F9" w14:textId="77777777" w:rsidR="00923B2C" w:rsidRDefault="009C7B40">
      <w:pPr>
        <w:widowControl w:val="0"/>
        <w:spacing w:after="0" w:line="240" w:lineRule="auto"/>
        <w:ind w:left="1440" w:hanging="1440"/>
        <w:rPr>
          <w:rFonts w:ascii="Arial" w:hAnsi="Arial" w:cs="Arial"/>
          <w:snapToGrid w:val="0"/>
          <w:lang w:val="fr-FR"/>
        </w:rPr>
      </w:pPr>
      <w:r>
        <w:rPr>
          <w:rFonts w:ascii="Arial" w:hAnsi="Arial" w:cs="Arial"/>
          <w:snapToGrid w:val="0"/>
          <w:lang w:val="fr-FR"/>
        </w:rPr>
        <w:t>OSPAR</w:t>
      </w:r>
      <w:r>
        <w:rPr>
          <w:rFonts w:ascii="Arial" w:hAnsi="Arial" w:cs="Arial"/>
          <w:snapToGrid w:val="0"/>
          <w:lang w:val="fr-FR"/>
        </w:rPr>
        <w:tab/>
        <w:t>Convention pour la protection du milieu marin de l’Atlantique du Nord-Est</w:t>
      </w:r>
    </w:p>
    <w:p w14:paraId="10FF587D" w14:textId="77777777" w:rsidR="00923B2C" w:rsidRDefault="00923B2C">
      <w:pPr>
        <w:widowControl w:val="0"/>
        <w:spacing w:after="0" w:line="240" w:lineRule="auto"/>
        <w:ind w:left="1440" w:hanging="1440"/>
        <w:rPr>
          <w:rFonts w:ascii="Arial" w:hAnsi="Arial" w:cs="Arial"/>
          <w:snapToGrid w:val="0"/>
          <w:lang w:val="fr-FR"/>
        </w:rPr>
      </w:pPr>
    </w:p>
    <w:p w14:paraId="2EF25C66" w14:textId="77777777" w:rsidR="00923B2C" w:rsidRDefault="009C7B40">
      <w:pPr>
        <w:widowControl w:val="0"/>
        <w:spacing w:line="240" w:lineRule="auto"/>
        <w:ind w:left="1440" w:hanging="1440"/>
        <w:rPr>
          <w:rFonts w:ascii="Arial" w:hAnsi="Arial" w:cs="Arial"/>
          <w:snapToGrid w:val="0"/>
          <w:lang w:val="fr-FR"/>
        </w:rPr>
      </w:pPr>
      <w:r>
        <w:rPr>
          <w:rFonts w:ascii="Arial" w:hAnsi="Arial" w:cs="Arial"/>
          <w:snapToGrid w:val="0"/>
          <w:lang w:val="fr-FR"/>
        </w:rPr>
        <w:t>ORGP</w:t>
      </w:r>
      <w:r>
        <w:rPr>
          <w:rFonts w:ascii="Arial" w:hAnsi="Arial" w:cs="Arial"/>
          <w:snapToGrid w:val="0"/>
          <w:lang w:val="fr-FR"/>
        </w:rPr>
        <w:tab/>
        <w:t>Organismes régionaux des pêches</w:t>
      </w:r>
    </w:p>
    <w:p w14:paraId="22CF763F" w14:textId="51203B82" w:rsidR="00AF6D7F" w:rsidRDefault="00AF6D7F">
      <w:pPr>
        <w:widowControl w:val="0"/>
        <w:spacing w:after="0" w:line="240" w:lineRule="auto"/>
        <w:rPr>
          <w:rFonts w:ascii="Arial" w:hAnsi="Arial" w:cs="Arial"/>
          <w:snapToGrid w:val="0"/>
          <w:lang w:val="fr-FR"/>
        </w:rPr>
      </w:pPr>
      <w:r>
        <w:rPr>
          <w:rFonts w:ascii="Arial" w:hAnsi="Arial" w:cs="Arial"/>
          <w:snapToGrid w:val="0"/>
          <w:lang w:val="fr-FR"/>
        </w:rPr>
        <w:br w:type="page"/>
      </w:r>
    </w:p>
    <w:p w14:paraId="0BF8036A" w14:textId="77777777" w:rsidR="00923B2C" w:rsidRDefault="009C7B40">
      <w:pPr>
        <w:pStyle w:val="Heading1"/>
        <w:rPr>
          <w:lang w:val="fr-FR"/>
        </w:rPr>
      </w:pPr>
      <w:bookmarkStart w:id="4" w:name="_Toc212501806"/>
      <w:r>
        <w:rPr>
          <w:lang w:val="fr-FR"/>
        </w:rPr>
        <w:lastRenderedPageBreak/>
        <w:t>GLOSSAIRE</w:t>
      </w:r>
      <w:bookmarkEnd w:id="4"/>
    </w:p>
    <w:p w14:paraId="44A7B9A5" w14:textId="77777777" w:rsidR="00923B2C" w:rsidRDefault="00923B2C">
      <w:pPr>
        <w:spacing w:after="0" w:line="240" w:lineRule="auto"/>
        <w:rPr>
          <w:rFonts w:ascii="Arial" w:eastAsia="Times New Roman" w:hAnsi="Arial" w:cs="Arial"/>
          <w:b/>
          <w:bCs/>
          <w:snapToGrid w:val="0"/>
          <w:sz w:val="24"/>
          <w:szCs w:val="24"/>
          <w:lang w:val="fr-FR" w:eastAsia="en-AU"/>
        </w:rPr>
      </w:pPr>
    </w:p>
    <w:tbl>
      <w:tblPr>
        <w:tblW w:w="5000" w:type="pct"/>
        <w:tblBorders>
          <w:top w:val="single" w:sz="4" w:space="0" w:color="auto"/>
          <w:bottom w:val="single" w:sz="4" w:space="0" w:color="auto"/>
          <w:insideH w:val="single" w:sz="4" w:space="0" w:color="808080"/>
        </w:tblBorders>
        <w:tblCellMar>
          <w:top w:w="57" w:type="dxa"/>
          <w:bottom w:w="57" w:type="dxa"/>
        </w:tblCellMar>
        <w:tblLook w:val="05E0" w:firstRow="1" w:lastRow="1" w:firstColumn="1" w:lastColumn="1" w:noHBand="0" w:noVBand="1"/>
      </w:tblPr>
      <w:tblGrid>
        <w:gridCol w:w="1991"/>
        <w:gridCol w:w="7250"/>
      </w:tblGrid>
      <w:tr w:rsidR="00923B2C" w:rsidRPr="00AF6D7F" w14:paraId="4185D989" w14:textId="77777777" w:rsidTr="00AF6D7F">
        <w:tc>
          <w:tcPr>
            <w:tcW w:w="1077" w:type="pct"/>
          </w:tcPr>
          <w:p w14:paraId="7189DB5C" w14:textId="77777777" w:rsidR="00923B2C" w:rsidRPr="00AF6D7F" w:rsidRDefault="009C7B40">
            <w:pPr>
              <w:keepNext/>
              <w:spacing w:before="30" w:after="30" w:line="240" w:lineRule="auto"/>
              <w:rPr>
                <w:rFonts w:ascii="Arial" w:hAnsi="Arial" w:cs="Arial"/>
                <w:bCs/>
                <w:spacing w:val="6"/>
                <w:lang w:val="fr-FR"/>
              </w:rPr>
            </w:pPr>
            <w:r w:rsidRPr="00AF6D7F">
              <w:rPr>
                <w:rFonts w:ascii="Arial" w:hAnsi="Arial" w:cs="Arial"/>
                <w:bCs/>
                <w:spacing w:val="6"/>
                <w:lang w:val="fr-FR"/>
              </w:rPr>
              <w:t>Anthropique</w:t>
            </w:r>
          </w:p>
        </w:tc>
        <w:tc>
          <w:tcPr>
            <w:tcW w:w="3923" w:type="pct"/>
          </w:tcPr>
          <w:p w14:paraId="3DAD6EF1" w14:textId="005DF1AA" w:rsidR="00923B2C" w:rsidRPr="00AF6D7F" w:rsidRDefault="009C7B40" w:rsidP="00AF6D7F">
            <w:pPr>
              <w:keepNext/>
              <w:spacing w:before="30" w:after="30" w:line="240" w:lineRule="auto"/>
              <w:jc w:val="both"/>
              <w:rPr>
                <w:rFonts w:ascii="Arial" w:hAnsi="Arial" w:cs="Arial"/>
                <w:bCs/>
                <w:spacing w:val="6"/>
                <w:lang w:val="fr-FR"/>
              </w:rPr>
            </w:pPr>
            <w:r w:rsidRPr="00AF6D7F">
              <w:rPr>
                <w:rFonts w:ascii="Arial" w:hAnsi="Arial" w:cs="Arial"/>
                <w:bCs/>
                <w:spacing w:val="6"/>
                <w:lang w:val="fr-FR"/>
              </w:rPr>
              <w:t>Causé(e) par l’homme.</w:t>
            </w:r>
          </w:p>
        </w:tc>
      </w:tr>
      <w:tr w:rsidR="00923B2C" w:rsidRPr="00994604" w14:paraId="2EADF8D2" w14:textId="77777777" w:rsidTr="00AF6D7F">
        <w:tc>
          <w:tcPr>
            <w:tcW w:w="1077" w:type="pct"/>
          </w:tcPr>
          <w:p w14:paraId="46F72945"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Catadromes</w:t>
            </w:r>
          </w:p>
        </w:tc>
        <w:tc>
          <w:tcPr>
            <w:tcW w:w="3923" w:type="pct"/>
          </w:tcPr>
          <w:p w14:paraId="12F7275E" w14:textId="77777777" w:rsidR="00923B2C" w:rsidRPr="00AF6D7F" w:rsidRDefault="009C7B40" w:rsidP="00AF6D7F">
            <w:pPr>
              <w:spacing w:before="30" w:after="30" w:line="240" w:lineRule="auto"/>
              <w:jc w:val="both"/>
              <w:rPr>
                <w:rFonts w:ascii="Arial" w:hAnsi="Arial" w:cs="Arial"/>
                <w:lang w:val="fr-FR"/>
              </w:rPr>
            </w:pPr>
            <w:r w:rsidRPr="00AF6D7F">
              <w:rPr>
                <w:rFonts w:ascii="Arial" w:eastAsia="Times New Roman" w:hAnsi="Arial" w:cs="Arial"/>
                <w:snapToGrid w:val="0"/>
                <w:lang w:val="fr-FR" w:eastAsia="en-AU"/>
              </w:rPr>
              <w:t>Alimentation et croissance en eau douce, et reproduction en milieu marin.</w:t>
            </w:r>
          </w:p>
        </w:tc>
      </w:tr>
      <w:tr w:rsidR="00923B2C" w:rsidRPr="00994604" w14:paraId="7F418E14" w14:textId="77777777" w:rsidTr="00AF6D7F">
        <w:tc>
          <w:tcPr>
            <w:tcW w:w="1077" w:type="pct"/>
          </w:tcPr>
          <w:p w14:paraId="632F688E"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Civelle</w:t>
            </w:r>
          </w:p>
        </w:tc>
        <w:tc>
          <w:tcPr>
            <w:tcW w:w="3923" w:type="pct"/>
          </w:tcPr>
          <w:p w14:paraId="2CCAE861"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Jeune anguille, au cours de sa première année faisant suite à son recrutement depuis l’océan. Le stade civelle est parfois considéré comme excluant le stade anguille de verre, mais ce n’est pas le cas pour tout le monde. Pour éviter toute confusion, les civelles pigmentées de la cohorte d’âge 0+ sont incluses dans le terme « civelle ».</w:t>
            </w:r>
          </w:p>
        </w:tc>
      </w:tr>
      <w:tr w:rsidR="00923B2C" w:rsidRPr="00994604" w14:paraId="153ED465" w14:textId="77777777" w:rsidTr="00AF6D7F">
        <w:tc>
          <w:tcPr>
            <w:tcW w:w="1077" w:type="pct"/>
          </w:tcPr>
          <w:p w14:paraId="10F481FD"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Échappée</w:t>
            </w:r>
          </w:p>
        </w:tc>
        <w:tc>
          <w:tcPr>
            <w:tcW w:w="3923" w:type="pct"/>
          </w:tcPr>
          <w:p w14:paraId="0F2B8FF8"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La quantité d’anguilles qui quitte (s’échappe d’) une masse d’eau, après avoir pris en compte toutes les pertes naturelles et anthropiques. Le terme est le plus souvent utilisé en référence à l’anguille argentée – échappée de l’anguille argentée.</w:t>
            </w:r>
          </w:p>
        </w:tc>
      </w:tr>
      <w:tr w:rsidR="00923B2C" w:rsidRPr="00994604" w14:paraId="3BE358CB" w14:textId="77777777" w:rsidTr="00AF6D7F">
        <w:tc>
          <w:tcPr>
            <w:tcW w:w="1077" w:type="pct"/>
          </w:tcPr>
          <w:p w14:paraId="2666DC1E"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Anguille de verre</w:t>
            </w:r>
          </w:p>
        </w:tc>
        <w:tc>
          <w:tcPr>
            <w:tcW w:w="3923" w:type="pct"/>
          </w:tcPr>
          <w:p w14:paraId="531731EE"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Jeune anguille non pigmentée, recrutée de la mer vers les eaux continentales. Le Groupe de travail sur l’anguille considère que le terme « anguille de verre » inclut toutes les recrues de la cohorte d’âge 0+, y compris certaines anguilles pigmentées.</w:t>
            </w:r>
          </w:p>
        </w:tc>
      </w:tr>
      <w:tr w:rsidR="00923B2C" w:rsidRPr="00994604" w14:paraId="01684E63" w14:textId="77777777" w:rsidTr="00AF6D7F">
        <w:tc>
          <w:tcPr>
            <w:tcW w:w="1077" w:type="pct"/>
          </w:tcPr>
          <w:p w14:paraId="1BD23BB7"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Leptocéphale</w:t>
            </w:r>
          </w:p>
        </w:tc>
        <w:tc>
          <w:tcPr>
            <w:tcW w:w="3923" w:type="pct"/>
          </w:tcPr>
          <w:p w14:paraId="6B499865"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 xml:space="preserve">Stade larvaire marin, plat et transparent, de l’anguille, en migration depuis la frayère vers les eaux continentales, entre le stade </w:t>
            </w:r>
            <w:r w:rsidRPr="00AF6D7F">
              <w:rPr>
                <w:rFonts w:ascii="Arial" w:hAnsi="Arial" w:cs="Arial"/>
                <w:color w:val="000000" w:themeColor="text1"/>
                <w:lang w:val="fr-FR"/>
              </w:rPr>
              <w:t xml:space="preserve">pré-leptocéphale </w:t>
            </w:r>
            <w:r w:rsidRPr="00AF6D7F">
              <w:rPr>
                <w:rFonts w:ascii="Arial" w:hAnsi="Arial" w:cs="Arial"/>
                <w:lang w:val="fr-FR"/>
              </w:rPr>
              <w:t>et la métamorphose en anguille de verre.</w:t>
            </w:r>
          </w:p>
        </w:tc>
      </w:tr>
      <w:tr w:rsidR="00923B2C" w:rsidRPr="00994604" w14:paraId="6430A3B6" w14:textId="77777777" w:rsidTr="00AF6D7F">
        <w:tc>
          <w:tcPr>
            <w:tcW w:w="1077" w:type="pct"/>
          </w:tcPr>
          <w:p w14:paraId="1993CA77"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Stade de vie</w:t>
            </w:r>
          </w:p>
        </w:tc>
        <w:tc>
          <w:tcPr>
            <w:tcW w:w="3923" w:type="pct"/>
          </w:tcPr>
          <w:p w14:paraId="55CAE7EF"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Stade défini dans le cycle de vie de l’anguille, qu’il s’agisse d’une leptocéphale, d’une anguille de verre, d’une anguille jaune ou d’une anguille argentée.</w:t>
            </w:r>
          </w:p>
        </w:tc>
      </w:tr>
      <w:tr w:rsidR="00923B2C" w:rsidRPr="00994604" w14:paraId="74B2EAE2" w14:textId="77777777" w:rsidTr="00AF6D7F">
        <w:tc>
          <w:tcPr>
            <w:tcW w:w="1077" w:type="pct"/>
          </w:tcPr>
          <w:p w14:paraId="39056438"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Avis de commerce non préjudiciable (ACNP)</w:t>
            </w:r>
          </w:p>
        </w:tc>
        <w:tc>
          <w:tcPr>
            <w:tcW w:w="3923" w:type="pct"/>
          </w:tcPr>
          <w:p w14:paraId="1EE28FCA"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Dans le cadre de la Convention sur le commerce international des espèces de faune et de flore sauvages menacées d'extinction (CITES), l’autorité scientifique compétente a conclu, sur la base d’une évaluation scientifique, que l’exportation de spécimens d’une espèce particulière n’aura pas d’impact négatif sur la survie de cette espèce à l’état sauvage.</w:t>
            </w:r>
          </w:p>
        </w:tc>
      </w:tr>
      <w:tr w:rsidR="00923B2C" w:rsidRPr="00994604" w14:paraId="71668421" w14:textId="77777777" w:rsidTr="00AF6D7F">
        <w:tc>
          <w:tcPr>
            <w:tcW w:w="1077" w:type="pct"/>
          </w:tcPr>
          <w:p w14:paraId="0EE9CA47" w14:textId="77777777" w:rsidR="00923B2C" w:rsidRPr="00AF6D7F" w:rsidRDefault="009C7B40">
            <w:pPr>
              <w:spacing w:before="30" w:after="30" w:line="240" w:lineRule="auto"/>
              <w:rPr>
                <w:rFonts w:ascii="Arial" w:hAnsi="Arial" w:cs="Arial"/>
              </w:rPr>
            </w:pPr>
            <w:r w:rsidRPr="00AF6D7F">
              <w:rPr>
                <w:rFonts w:ascii="Arial" w:hAnsi="Arial" w:cs="Arial"/>
              </w:rPr>
              <w:t>Production</w:t>
            </w:r>
          </w:p>
        </w:tc>
        <w:tc>
          <w:tcPr>
            <w:tcW w:w="3923" w:type="pct"/>
          </w:tcPr>
          <w:p w14:paraId="3A01C81B"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 xml:space="preserve">La quantité de poissons produite par un plan d’eau. </w:t>
            </w:r>
          </w:p>
        </w:tc>
      </w:tr>
      <w:tr w:rsidR="00923B2C" w:rsidRPr="00994604" w14:paraId="10D0C5F7" w14:textId="77777777" w:rsidTr="00AF6D7F">
        <w:tc>
          <w:tcPr>
            <w:tcW w:w="1077" w:type="pct"/>
          </w:tcPr>
          <w:p w14:paraId="04E7DB68"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District hydrographique</w:t>
            </w:r>
          </w:p>
        </w:tc>
        <w:tc>
          <w:tcPr>
            <w:tcW w:w="3923" w:type="pct"/>
          </w:tcPr>
          <w:p w14:paraId="4DD8CA2C"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La zone terrestre et maritime, composée d’un ou de plusieurs bassins hydrographiques voisins avec leurs eaux de surface et souterraines associées, ainsi que les eaux de transition et les eaux côtières, qui est identifiée en vertu du paragraphe 1 de l’article 3 de la Directive-cadre sur l’eau comme l’unité principale pour la gestion des bassins hydrographiques. Ce terme est utilisé en lien avec la Directive-cadre sur l’eau de l'Union européenne.</w:t>
            </w:r>
          </w:p>
        </w:tc>
      </w:tr>
      <w:tr w:rsidR="00923B2C" w:rsidRPr="00994604" w14:paraId="68814135" w14:textId="77777777" w:rsidTr="00AF6D7F">
        <w:tc>
          <w:tcPr>
            <w:tcW w:w="1077" w:type="pct"/>
          </w:tcPr>
          <w:p w14:paraId="34474F40"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Repeuplement</w:t>
            </w:r>
          </w:p>
        </w:tc>
        <w:tc>
          <w:tcPr>
            <w:tcW w:w="3923" w:type="pct"/>
          </w:tcPr>
          <w:p w14:paraId="2EB81EC5"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La pratique consistant à ajouter des poissons [anguilles] à un plan d’eau à partir d’une autre source, afin de compléter les populations existantes ou de créer une population là où il n’y en a pas.</w:t>
            </w:r>
          </w:p>
        </w:tc>
      </w:tr>
      <w:tr w:rsidR="00923B2C" w:rsidRPr="00994604" w14:paraId="3AF34B47" w14:textId="77777777" w:rsidTr="00AF6D7F">
        <w:tc>
          <w:tcPr>
            <w:tcW w:w="1077" w:type="pct"/>
          </w:tcPr>
          <w:p w14:paraId="41AF7FB2"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Anguille argentée</w:t>
            </w:r>
          </w:p>
        </w:tc>
        <w:tc>
          <w:tcPr>
            <w:tcW w:w="3923" w:type="pct"/>
          </w:tcPr>
          <w:p w14:paraId="04C2A9A8"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 xml:space="preserve">Phase migratoire faisant suite à la phase de l’anguille jaune. Les anguilles à ce stade se caractérisent par un dos assombri, un ventre argenté avec une ligne latérale noire nettement contrastée, et des yeux agrandis. L’anguille argentée effectue une migration vers l’aval en direction de la mer, puis vers l’ouest. Cette phase se produit </w:t>
            </w:r>
            <w:r w:rsidRPr="00AF6D7F">
              <w:rPr>
                <w:rFonts w:ascii="Arial" w:hAnsi="Arial" w:cs="Arial"/>
                <w:lang w:val="fr-FR"/>
              </w:rPr>
              <w:lastRenderedPageBreak/>
              <w:t>principalement au cours de la seconde moitié de l’année civile, bien que certaines soient observées tout au long de l’hiver et après le printemps.</w:t>
            </w:r>
          </w:p>
        </w:tc>
      </w:tr>
      <w:tr w:rsidR="00923B2C" w:rsidRPr="00994604" w14:paraId="6B5546C0" w14:textId="77777777" w:rsidTr="00AF6D7F">
        <w:tc>
          <w:tcPr>
            <w:tcW w:w="1077" w:type="pct"/>
          </w:tcPr>
          <w:p w14:paraId="229BB3F1"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lastRenderedPageBreak/>
              <w:t>Piégeage et transport</w:t>
            </w:r>
          </w:p>
        </w:tc>
        <w:tc>
          <w:tcPr>
            <w:tcW w:w="3923" w:type="pct"/>
          </w:tcPr>
          <w:p w14:paraId="4A52F386"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Capture des anguilles argentées en migration descendante en vue de leur translocation en aval des turbines hydroélectriques.</w:t>
            </w:r>
          </w:p>
        </w:tc>
      </w:tr>
      <w:tr w:rsidR="00923B2C" w:rsidRPr="00994604" w14:paraId="4FD63DD5" w14:textId="77777777" w:rsidTr="00AF6D7F">
        <w:tc>
          <w:tcPr>
            <w:tcW w:w="1077" w:type="pct"/>
          </w:tcPr>
          <w:p w14:paraId="4188233E" w14:textId="77777777" w:rsidR="00923B2C" w:rsidRPr="00AF6D7F" w:rsidRDefault="009C7B40">
            <w:pPr>
              <w:spacing w:before="30" w:after="30" w:line="240" w:lineRule="auto"/>
              <w:rPr>
                <w:rFonts w:ascii="Arial" w:hAnsi="Arial" w:cs="Arial"/>
                <w:lang w:val="fr-FR"/>
              </w:rPr>
            </w:pPr>
            <w:r w:rsidRPr="00AF6D7F">
              <w:rPr>
                <w:rFonts w:ascii="Arial" w:hAnsi="Arial" w:cs="Arial"/>
                <w:lang w:val="fr-FR"/>
              </w:rPr>
              <w:t>Anguille jaune</w:t>
            </w:r>
          </w:p>
        </w:tc>
        <w:tc>
          <w:tcPr>
            <w:tcW w:w="3923" w:type="pct"/>
          </w:tcPr>
          <w:p w14:paraId="1EBCE628" w14:textId="77777777" w:rsidR="00923B2C" w:rsidRPr="00AF6D7F" w:rsidRDefault="009C7B40" w:rsidP="00AF6D7F">
            <w:pPr>
              <w:spacing w:before="30" w:after="30" w:line="240" w:lineRule="auto"/>
              <w:jc w:val="both"/>
              <w:rPr>
                <w:rFonts w:ascii="Arial" w:hAnsi="Arial" w:cs="Arial"/>
                <w:lang w:val="fr-FR"/>
              </w:rPr>
            </w:pPr>
            <w:r w:rsidRPr="00AF6D7F">
              <w:rPr>
                <w:rFonts w:ascii="Arial" w:hAnsi="Arial" w:cs="Arial"/>
                <w:lang w:val="fr-FR"/>
              </w:rPr>
              <w:t>Stade du cycle de vie se déroulant en milieu d’eau douce continental. Souvent définie comme une phase sédentaire, cette période inclut néanmoins des migrations au sein et entre les rivières, ainsi qu’à destination et en provenance des eaux côtières, et comprend donc les jeunes anguilles pigmentées (« civelles » et « lacets de botte »).</w:t>
            </w:r>
          </w:p>
        </w:tc>
      </w:tr>
    </w:tbl>
    <w:p w14:paraId="690F0226" w14:textId="77777777" w:rsidR="00923B2C" w:rsidRDefault="009C7B40">
      <w:pPr>
        <w:spacing w:after="0" w:line="240" w:lineRule="auto"/>
        <w:rPr>
          <w:rFonts w:ascii="Arial" w:eastAsia="Times New Roman" w:hAnsi="Arial" w:cs="Arial"/>
          <w:b/>
          <w:bCs/>
          <w:snapToGrid w:val="0"/>
          <w:sz w:val="24"/>
          <w:szCs w:val="24"/>
          <w:lang w:val="fr-FR" w:eastAsia="en-AU"/>
        </w:rPr>
      </w:pPr>
      <w:r>
        <w:rPr>
          <w:rFonts w:ascii="Arial" w:eastAsia="Times New Roman" w:hAnsi="Arial" w:cs="Arial"/>
          <w:b/>
          <w:bCs/>
          <w:snapToGrid w:val="0"/>
          <w:sz w:val="24"/>
          <w:szCs w:val="24"/>
          <w:lang w:val="fr-FR" w:eastAsia="en-AU"/>
        </w:rPr>
        <w:br w:type="page"/>
      </w:r>
    </w:p>
    <w:p w14:paraId="7FD2499D" w14:textId="6DA677D8" w:rsidR="00923B2C" w:rsidRDefault="009C7B40">
      <w:pPr>
        <w:pStyle w:val="Heading1"/>
        <w:ind w:left="567" w:hanging="567"/>
        <w:rPr>
          <w:sz w:val="22"/>
          <w:szCs w:val="22"/>
        </w:rPr>
      </w:pPr>
      <w:bookmarkStart w:id="5" w:name="_Toc212501807"/>
      <w:r>
        <w:rPr>
          <w:sz w:val="22"/>
          <w:szCs w:val="22"/>
        </w:rPr>
        <w:lastRenderedPageBreak/>
        <w:t>1. INTRODUCTION</w:t>
      </w:r>
      <w:bookmarkEnd w:id="5"/>
    </w:p>
    <w:p w14:paraId="415EF5C2" w14:textId="77777777" w:rsidR="00923B2C" w:rsidRPr="00865A36" w:rsidRDefault="00923B2C">
      <w:pPr>
        <w:spacing w:after="0" w:line="240" w:lineRule="auto"/>
        <w:jc w:val="both"/>
        <w:rPr>
          <w:rFonts w:ascii="Arial" w:hAnsi="Arial" w:cs="Arial"/>
          <w:sz w:val="18"/>
          <w:szCs w:val="18"/>
          <w:lang w:val="fr-FR"/>
        </w:rPr>
      </w:pPr>
    </w:p>
    <w:p w14:paraId="7306F8B4" w14:textId="77777777" w:rsidR="00923B2C" w:rsidRDefault="009C7B40">
      <w:pPr>
        <w:pStyle w:val="ListParagraph"/>
        <w:numPr>
          <w:ilvl w:val="0"/>
          <w:numId w:val="4"/>
        </w:numPr>
        <w:ind w:left="567" w:hanging="567"/>
        <w:jc w:val="both"/>
        <w:rPr>
          <w:rFonts w:ascii="Arial" w:hAnsi="Arial" w:cs="Arial"/>
          <w:sz w:val="22"/>
          <w:szCs w:val="18"/>
          <w:lang w:val="fr-FR"/>
        </w:rPr>
      </w:pPr>
      <w:r>
        <w:rPr>
          <w:rFonts w:ascii="Arial" w:hAnsi="Arial" w:cs="Arial"/>
          <w:sz w:val="22"/>
          <w:szCs w:val="18"/>
          <w:lang w:val="fr-FR" w:eastAsia="en-AU"/>
        </w:rPr>
        <w:t>L’anguille européenne (</w:t>
      </w:r>
      <w:r>
        <w:rPr>
          <w:rFonts w:ascii="Arial" w:hAnsi="Arial" w:cs="Arial"/>
          <w:i/>
          <w:iCs/>
          <w:sz w:val="22"/>
          <w:szCs w:val="18"/>
          <w:lang w:val="fr-FR" w:eastAsia="en-AU"/>
        </w:rPr>
        <w:t xml:space="preserve">Anguilla </w:t>
      </w:r>
      <w:proofErr w:type="spellStart"/>
      <w:r>
        <w:rPr>
          <w:rFonts w:ascii="Arial" w:hAnsi="Arial" w:cs="Arial"/>
          <w:i/>
          <w:iCs/>
          <w:sz w:val="22"/>
          <w:szCs w:val="18"/>
          <w:lang w:val="fr-FR" w:eastAsia="en-AU"/>
        </w:rPr>
        <w:t>anguilla</w:t>
      </w:r>
      <w:proofErr w:type="spellEnd"/>
      <w:r>
        <w:rPr>
          <w:rFonts w:ascii="Arial" w:hAnsi="Arial" w:cs="Arial"/>
          <w:sz w:val="22"/>
          <w:szCs w:val="18"/>
          <w:lang w:val="fr-FR" w:eastAsia="en-AU"/>
        </w:rPr>
        <w:t>) a été inscrite à l’Annexe II de la Convention sur la conservation des espèces migratrices appartenant à la faune sauvage (CMS) lors de la 11</w:t>
      </w:r>
      <w:r>
        <w:rPr>
          <w:rFonts w:ascii="Arial" w:hAnsi="Arial" w:cs="Arial"/>
          <w:sz w:val="22"/>
          <w:szCs w:val="18"/>
          <w:vertAlign w:val="superscript"/>
          <w:lang w:val="fr-FR" w:eastAsia="en-AU"/>
        </w:rPr>
        <w:t>e</w:t>
      </w:r>
      <w:r>
        <w:rPr>
          <w:rFonts w:ascii="Arial" w:hAnsi="Arial" w:cs="Arial"/>
          <w:sz w:val="22"/>
          <w:szCs w:val="18"/>
          <w:lang w:val="fr-FR" w:eastAsia="en-AU"/>
        </w:rPr>
        <w:t xml:space="preserve"> session de la Conférence des Parties à la Convention (CMS COP11, 2014), suite à une proposition du Gouvernement de Monaco, reconnaissant que la coopération internationale serait très bénéfique à l’espèce. La 1</w:t>
      </w:r>
      <w:r>
        <w:rPr>
          <w:rFonts w:ascii="Arial" w:hAnsi="Arial" w:cs="Arial"/>
          <w:sz w:val="22"/>
          <w:szCs w:val="18"/>
          <w:vertAlign w:val="superscript"/>
          <w:lang w:val="fr-FR" w:eastAsia="en-AU"/>
        </w:rPr>
        <w:t>re</w:t>
      </w:r>
      <w:r>
        <w:rPr>
          <w:rFonts w:ascii="Arial" w:hAnsi="Arial" w:cs="Arial"/>
          <w:sz w:val="22"/>
          <w:szCs w:val="18"/>
          <w:lang w:val="fr-FR" w:eastAsia="en-AU"/>
        </w:rPr>
        <w:t xml:space="preserve"> réunion des États de l’aire de répartition de l’anguille européenne s’est tenue en 2016 et a porté sur l’examen des avantages que le cadre de la CMS pourrait procurer à l’espèce. Les Parties ont approuvé une action concertée pour l’espèce lors de la COP12 de la CMS en 2017 (</w:t>
      </w:r>
      <w:hyperlink r:id="rId14" w:history="1">
        <w:r>
          <w:rPr>
            <w:rStyle w:val="Hyperlink"/>
            <w:rFonts w:ascii="Arial" w:hAnsi="Arial" w:cs="Arial"/>
            <w:sz w:val="22"/>
            <w:szCs w:val="18"/>
            <w:lang w:val="fr-FR" w:eastAsia="en-AU"/>
          </w:rPr>
          <w:t>UNEP/CMS/Action concertée 12.1</w:t>
        </w:r>
      </w:hyperlink>
      <w:r>
        <w:rPr>
          <w:rFonts w:ascii="Arial" w:hAnsi="Arial" w:cs="Arial"/>
          <w:sz w:val="22"/>
          <w:szCs w:val="18"/>
          <w:lang w:val="fr-FR" w:eastAsia="en-AU"/>
        </w:rPr>
        <w:t xml:space="preserve">). </w:t>
      </w:r>
      <w:r>
        <w:rPr>
          <w:rFonts w:ascii="Arial" w:hAnsi="Arial" w:cs="Arial"/>
          <w:sz w:val="22"/>
          <w:szCs w:val="18"/>
          <w:lang w:val="fr-FR"/>
        </w:rPr>
        <w:t>Une 2</w:t>
      </w:r>
      <w:r>
        <w:rPr>
          <w:rFonts w:ascii="Arial" w:hAnsi="Arial" w:cs="Arial"/>
          <w:sz w:val="22"/>
          <w:szCs w:val="18"/>
          <w:vertAlign w:val="superscript"/>
          <w:lang w:val="fr-FR"/>
        </w:rPr>
        <w:t>e</w:t>
      </w:r>
      <w:r>
        <w:rPr>
          <w:rFonts w:ascii="Arial" w:hAnsi="Arial" w:cs="Arial"/>
          <w:sz w:val="22"/>
          <w:szCs w:val="18"/>
          <w:lang w:val="fr-FR"/>
        </w:rPr>
        <w:t xml:space="preserve"> réunion, puis une 3</w:t>
      </w:r>
      <w:r>
        <w:rPr>
          <w:rFonts w:ascii="Arial" w:hAnsi="Arial" w:cs="Arial"/>
          <w:sz w:val="22"/>
          <w:szCs w:val="18"/>
          <w:vertAlign w:val="superscript"/>
          <w:lang w:val="fr-FR"/>
        </w:rPr>
        <w:t>e</w:t>
      </w:r>
      <w:r>
        <w:rPr>
          <w:rFonts w:ascii="Arial" w:hAnsi="Arial" w:cs="Arial"/>
          <w:sz w:val="22"/>
          <w:szCs w:val="18"/>
          <w:lang w:val="fr-FR"/>
        </w:rPr>
        <w:t xml:space="preserve"> des États de l’aire de répartition ont eu lieu à Malmö, en Suède, respectivement en mai 2018 et en juin 2019, au cours desquelles il a été souligné la nécessité d’une coopération internationale en vue de corriger les nombreuses lacunes et relever les défis de la conservation et de la gestion de l’</w:t>
      </w:r>
      <w:r>
        <w:rPr>
          <w:rFonts w:ascii="Arial" w:hAnsi="Arial" w:cs="Arial"/>
          <w:color w:val="000000" w:themeColor="text1"/>
          <w:sz w:val="22"/>
          <w:szCs w:val="18"/>
          <w:lang w:val="fr-FR"/>
        </w:rPr>
        <w:t>anguille européenne</w:t>
      </w:r>
      <w:r>
        <w:rPr>
          <w:rFonts w:ascii="Arial" w:hAnsi="Arial" w:cs="Arial"/>
          <w:sz w:val="22"/>
          <w:szCs w:val="18"/>
          <w:lang w:val="fr-FR"/>
        </w:rPr>
        <w:t>. La possibilité d’un instrument dédié dans le cadre de la CMS a été discutée, mais il a été convenu qu’un plan d’action par espèce constituerait le cadre le plus utile et le plus immédiat pour faire avancer les mesures coordonnées de conservation de cette espèce. Cette observation a été formulée lors de la COP13 (2020). La 4</w:t>
      </w:r>
      <w:r>
        <w:rPr>
          <w:rFonts w:ascii="Arial" w:hAnsi="Arial" w:cs="Arial"/>
          <w:sz w:val="22"/>
          <w:szCs w:val="18"/>
          <w:vertAlign w:val="superscript"/>
          <w:lang w:val="fr-FR"/>
        </w:rPr>
        <w:t>e</w:t>
      </w:r>
      <w:r>
        <w:rPr>
          <w:rFonts w:ascii="Arial" w:hAnsi="Arial" w:cs="Arial"/>
          <w:sz w:val="22"/>
          <w:szCs w:val="18"/>
          <w:lang w:val="fr-FR"/>
        </w:rPr>
        <w:t xml:space="preserve"> réunion des États de l’aire de répartition s’est tenue à Malmö, en Suède, les 14 et 15 octobre 2025, où le projet de plan d’action a été parachevé en vue de sa présentation à la COP15 de la CMS en 2026. Avec la coopération de la Commission de la mer des Sargasses et sur la base des conclusions des réunions des États de l’aire de répartition, la CMS a élaboré le présent Plan d’action par espèce pour l’anguille européenne.</w:t>
      </w:r>
    </w:p>
    <w:p w14:paraId="6D7FFA70" w14:textId="77777777" w:rsidR="00923B2C" w:rsidRPr="00865A36" w:rsidRDefault="00923B2C">
      <w:pPr>
        <w:pStyle w:val="ListParagraph"/>
        <w:ind w:left="360"/>
        <w:jc w:val="both"/>
        <w:rPr>
          <w:rFonts w:ascii="Arial" w:hAnsi="Arial" w:cs="Arial"/>
          <w:sz w:val="18"/>
          <w:szCs w:val="18"/>
          <w:lang w:val="fr-FR"/>
        </w:rPr>
      </w:pPr>
    </w:p>
    <w:p w14:paraId="61B78E00" w14:textId="2650946E" w:rsidR="00923B2C" w:rsidRDefault="009C7B40">
      <w:pPr>
        <w:pStyle w:val="Heading1"/>
        <w:ind w:left="567" w:hanging="567"/>
        <w:rPr>
          <w:sz w:val="22"/>
          <w:szCs w:val="22"/>
          <w:lang w:val="fr-FR"/>
        </w:rPr>
      </w:pPr>
      <w:bookmarkStart w:id="6" w:name="_Toc212501808"/>
      <w:r>
        <w:rPr>
          <w:sz w:val="22"/>
          <w:szCs w:val="22"/>
          <w:lang w:val="fr-FR"/>
        </w:rPr>
        <w:t>2. ÉVALUATION BIOLOGIQUE</w:t>
      </w:r>
      <w:bookmarkEnd w:id="6"/>
    </w:p>
    <w:p w14:paraId="59CF84D1" w14:textId="77777777" w:rsidR="00923B2C" w:rsidRPr="00865A36" w:rsidRDefault="00923B2C">
      <w:pPr>
        <w:spacing w:after="0" w:line="240" w:lineRule="auto"/>
        <w:jc w:val="both"/>
        <w:rPr>
          <w:rFonts w:ascii="Arial" w:hAnsi="Arial" w:cs="Arial"/>
          <w:sz w:val="18"/>
          <w:szCs w:val="18"/>
          <w:lang w:val="fr-FR"/>
        </w:rPr>
      </w:pPr>
    </w:p>
    <w:p w14:paraId="09273892" w14:textId="48A71C72" w:rsidR="00923B2C" w:rsidRDefault="009C7B40">
      <w:pPr>
        <w:pStyle w:val="Heading2"/>
        <w:ind w:left="567" w:hanging="567"/>
        <w:rPr>
          <w:sz w:val="22"/>
          <w:szCs w:val="22"/>
        </w:rPr>
      </w:pPr>
      <w:bookmarkStart w:id="7" w:name="_Toc212501809"/>
      <w:r>
        <w:rPr>
          <w:sz w:val="22"/>
          <w:szCs w:val="22"/>
        </w:rPr>
        <w:t>2.1 Taxon</w:t>
      </w:r>
      <w:bookmarkEnd w:id="7"/>
    </w:p>
    <w:p w14:paraId="40B1E912" w14:textId="77777777" w:rsidR="00923B2C" w:rsidRDefault="00923B2C">
      <w:pPr>
        <w:pStyle w:val="ListParagraph"/>
        <w:ind w:left="0"/>
        <w:jc w:val="both"/>
        <w:rPr>
          <w:rFonts w:ascii="Arial" w:hAnsi="Arial" w:cs="Arial"/>
          <w:sz w:val="22"/>
          <w:szCs w:val="18"/>
          <w:lang w:val="fr-FR"/>
        </w:rPr>
      </w:pPr>
    </w:p>
    <w:p w14:paraId="04471B94" w14:textId="77777777" w:rsidR="00923B2C" w:rsidRDefault="009C7B40">
      <w:pPr>
        <w:pStyle w:val="ListParagraph"/>
        <w:numPr>
          <w:ilvl w:val="0"/>
          <w:numId w:val="4"/>
        </w:numPr>
        <w:ind w:left="567" w:hanging="567"/>
        <w:jc w:val="both"/>
        <w:rPr>
          <w:rFonts w:ascii="Arial" w:hAnsi="Arial" w:cs="Arial"/>
          <w:sz w:val="22"/>
          <w:szCs w:val="22"/>
          <w:lang w:val="fr-FR"/>
        </w:rPr>
      </w:pPr>
      <w:r>
        <w:rPr>
          <w:rFonts w:ascii="Arial" w:hAnsi="Arial" w:cs="Arial"/>
          <w:sz w:val="22"/>
          <w:szCs w:val="22"/>
          <w:lang w:val="fr-FR"/>
        </w:rPr>
        <w:t xml:space="preserve">La famille des </w:t>
      </w:r>
      <w:proofErr w:type="spellStart"/>
      <w:r>
        <w:rPr>
          <w:rFonts w:ascii="Arial" w:hAnsi="Arial" w:cs="Arial"/>
          <w:sz w:val="22"/>
          <w:szCs w:val="22"/>
          <w:lang w:val="fr-FR"/>
        </w:rPr>
        <w:t>Anguillidae</w:t>
      </w:r>
      <w:proofErr w:type="spellEnd"/>
      <w:r>
        <w:rPr>
          <w:rFonts w:ascii="Arial" w:hAnsi="Arial" w:cs="Arial"/>
          <w:sz w:val="22"/>
          <w:szCs w:val="22"/>
          <w:lang w:val="fr-FR"/>
        </w:rPr>
        <w:t xml:space="preserve"> comprend 16 espèces</w:t>
      </w:r>
      <w:r>
        <w:rPr>
          <w:rStyle w:val="FootnoteReference"/>
          <w:rFonts w:ascii="Arial" w:hAnsi="Arial" w:cs="Arial"/>
          <w:sz w:val="22"/>
          <w:szCs w:val="22"/>
          <w:vertAlign w:val="superscript"/>
          <w:lang w:val="fr-FR"/>
        </w:rPr>
        <w:footnoteReference w:id="2"/>
      </w:r>
      <w:r>
        <w:rPr>
          <w:rFonts w:ascii="Arial" w:hAnsi="Arial" w:cs="Arial"/>
          <w:sz w:val="22"/>
          <w:szCs w:val="22"/>
          <w:lang w:val="fr-FR"/>
        </w:rPr>
        <w:t xml:space="preserve"> – l’anguille européenne (</w:t>
      </w:r>
      <w:r>
        <w:rPr>
          <w:rFonts w:ascii="Arial" w:hAnsi="Arial" w:cs="Arial"/>
          <w:i/>
          <w:iCs/>
          <w:sz w:val="22"/>
          <w:szCs w:val="22"/>
          <w:lang w:val="fr-FR"/>
        </w:rPr>
        <w:t xml:space="preserve">A. </w:t>
      </w:r>
      <w:proofErr w:type="spellStart"/>
      <w:r>
        <w:rPr>
          <w:rFonts w:ascii="Arial" w:hAnsi="Arial" w:cs="Arial"/>
          <w:i/>
          <w:iCs/>
          <w:sz w:val="22"/>
          <w:szCs w:val="22"/>
          <w:lang w:val="fr-FR"/>
        </w:rPr>
        <w:t>anguilla</w:t>
      </w:r>
      <w:proofErr w:type="spellEnd"/>
      <w:r>
        <w:rPr>
          <w:rFonts w:ascii="Arial" w:hAnsi="Arial" w:cs="Arial"/>
          <w:sz w:val="22"/>
          <w:szCs w:val="22"/>
          <w:lang w:val="fr-FR"/>
        </w:rPr>
        <w:t>) et l’anguille américaine (</w:t>
      </w:r>
      <w:r>
        <w:rPr>
          <w:rFonts w:ascii="Arial" w:hAnsi="Arial" w:cs="Arial"/>
          <w:i/>
          <w:iCs/>
          <w:sz w:val="22"/>
          <w:szCs w:val="22"/>
          <w:lang w:val="fr-FR"/>
        </w:rPr>
        <w:t xml:space="preserve">A. </w:t>
      </w:r>
      <w:proofErr w:type="spellStart"/>
      <w:r>
        <w:rPr>
          <w:rFonts w:ascii="Arial" w:hAnsi="Arial" w:cs="Arial"/>
          <w:i/>
          <w:iCs/>
          <w:sz w:val="22"/>
          <w:szCs w:val="22"/>
          <w:lang w:val="fr-FR"/>
        </w:rPr>
        <w:t>rostrata</w:t>
      </w:r>
      <w:proofErr w:type="spellEnd"/>
      <w:r>
        <w:rPr>
          <w:rFonts w:ascii="Arial" w:hAnsi="Arial" w:cs="Arial"/>
          <w:sz w:val="22"/>
          <w:szCs w:val="22"/>
          <w:lang w:val="fr-FR"/>
        </w:rPr>
        <w:t>) sont les deux seules espèces présentes dans la région atlantique. Des hybrides ont été trouvés sous forme de larves dans la mer des Sargasses (</w:t>
      </w:r>
      <w:proofErr w:type="spellStart"/>
      <w:r>
        <w:rPr>
          <w:rFonts w:ascii="Arial" w:hAnsi="Arial" w:cs="Arial"/>
          <w:sz w:val="22"/>
          <w:szCs w:val="22"/>
          <w:lang w:val="fr-FR"/>
        </w:rPr>
        <w:t>Pujolar</w:t>
      </w:r>
      <w:proofErr w:type="spellEnd"/>
      <w:r>
        <w:rPr>
          <w:rFonts w:ascii="Arial" w:hAnsi="Arial" w:cs="Arial"/>
          <w:sz w:val="22"/>
          <w:szCs w:val="22"/>
          <w:lang w:val="fr-FR"/>
        </w:rPr>
        <w:t xml:space="preserve"> et al., 2014) et sous forme d’anguilles jaunes en Islande, où l’on trouve également des anguilles pures </w:t>
      </w:r>
      <w:r>
        <w:rPr>
          <w:rFonts w:ascii="Arial" w:hAnsi="Arial" w:cs="Arial"/>
          <w:i/>
          <w:iCs/>
          <w:sz w:val="22"/>
          <w:szCs w:val="22"/>
          <w:lang w:val="fr-FR"/>
        </w:rPr>
        <w:t xml:space="preserve">A. </w:t>
      </w:r>
      <w:proofErr w:type="spellStart"/>
      <w:r>
        <w:rPr>
          <w:rFonts w:ascii="Arial" w:hAnsi="Arial" w:cs="Arial"/>
          <w:i/>
          <w:iCs/>
          <w:sz w:val="22"/>
          <w:szCs w:val="22"/>
          <w:lang w:val="fr-FR"/>
        </w:rPr>
        <w:t>rostrata</w:t>
      </w:r>
      <w:proofErr w:type="spellEnd"/>
      <w:r>
        <w:rPr>
          <w:rFonts w:ascii="Arial" w:hAnsi="Arial" w:cs="Arial"/>
          <w:sz w:val="22"/>
          <w:szCs w:val="22"/>
          <w:lang w:val="fr-FR"/>
        </w:rPr>
        <w:t xml:space="preserve"> et </w:t>
      </w:r>
      <w:r>
        <w:rPr>
          <w:rFonts w:ascii="Arial" w:hAnsi="Arial" w:cs="Arial"/>
          <w:i/>
          <w:iCs/>
          <w:sz w:val="22"/>
          <w:szCs w:val="22"/>
          <w:lang w:val="fr-FR"/>
        </w:rPr>
        <w:t xml:space="preserve">A. </w:t>
      </w:r>
      <w:proofErr w:type="spellStart"/>
      <w:r>
        <w:rPr>
          <w:rFonts w:ascii="Arial" w:hAnsi="Arial" w:cs="Arial"/>
          <w:i/>
          <w:iCs/>
          <w:sz w:val="22"/>
          <w:szCs w:val="22"/>
          <w:lang w:val="fr-FR"/>
        </w:rPr>
        <w:t>anguilla</w:t>
      </w:r>
      <w:proofErr w:type="spellEnd"/>
      <w:r>
        <w:rPr>
          <w:rFonts w:ascii="Arial" w:hAnsi="Arial" w:cs="Arial"/>
          <w:sz w:val="22"/>
          <w:szCs w:val="22"/>
          <w:lang w:val="fr-FR"/>
        </w:rPr>
        <w:t xml:space="preserve"> (Albert et al., 2006). L’anguille européenne est la seule anguille anguillidé inscrite aux Annexes de la CMS et fait l’objet de ce plan d’action par espèce.</w:t>
      </w:r>
    </w:p>
    <w:p w14:paraId="36F9AD8B" w14:textId="77777777" w:rsidR="00923B2C" w:rsidRPr="00865A36" w:rsidRDefault="00923B2C">
      <w:pPr>
        <w:pStyle w:val="ListParagraph"/>
        <w:ind w:left="567" w:hanging="567"/>
        <w:jc w:val="both"/>
        <w:rPr>
          <w:rFonts w:ascii="Arial" w:hAnsi="Arial" w:cs="Arial"/>
          <w:sz w:val="18"/>
          <w:szCs w:val="18"/>
          <w:lang w:val="fr-FR"/>
        </w:rPr>
      </w:pPr>
    </w:p>
    <w:p w14:paraId="238390DA" w14:textId="77777777" w:rsidR="00923B2C" w:rsidRDefault="009C7B40">
      <w:pPr>
        <w:pStyle w:val="ListParagraph"/>
        <w:numPr>
          <w:ilvl w:val="0"/>
          <w:numId w:val="4"/>
        </w:numPr>
        <w:ind w:left="567" w:hanging="567"/>
        <w:jc w:val="both"/>
        <w:rPr>
          <w:rFonts w:ascii="Arial" w:hAnsi="Arial" w:cs="Arial"/>
          <w:sz w:val="22"/>
          <w:szCs w:val="22"/>
          <w:lang w:val="fr-FR"/>
        </w:rPr>
      </w:pPr>
      <w:r>
        <w:rPr>
          <w:rFonts w:ascii="Arial" w:hAnsi="Arial" w:cs="Arial"/>
          <w:sz w:val="22"/>
          <w:szCs w:val="22"/>
          <w:lang w:val="fr-FR"/>
        </w:rPr>
        <w:t>Le tableau 1 présente la taxonomie scientifique de l’anguille européenne, notamment sa classe, son ordre, sa famille, son genre et son espèce, ainsi que les noms communs en anglais, en français et en espagnol.</w:t>
      </w:r>
    </w:p>
    <w:p w14:paraId="02523BF6" w14:textId="77777777" w:rsidR="00A86F62" w:rsidRDefault="00A86F62" w:rsidP="00A86F62">
      <w:pPr>
        <w:pStyle w:val="ListParagraph"/>
        <w:ind w:left="567"/>
        <w:jc w:val="both"/>
        <w:rPr>
          <w:rFonts w:ascii="Arial" w:hAnsi="Arial" w:cs="Arial"/>
          <w:sz w:val="22"/>
          <w:szCs w:val="22"/>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6192"/>
      </w:tblGrid>
      <w:tr w:rsidR="00923B2C" w:rsidRPr="00CF4B33" w14:paraId="79B43DC5" w14:textId="77777777" w:rsidTr="00CF4B33">
        <w:trPr>
          <w:jc w:val="center"/>
        </w:trPr>
        <w:tc>
          <w:tcPr>
            <w:tcW w:w="1698" w:type="dxa"/>
          </w:tcPr>
          <w:p w14:paraId="2F1CD583" w14:textId="77777777" w:rsidR="00923B2C" w:rsidRPr="00CF4B33" w:rsidRDefault="009C7B40">
            <w:pPr>
              <w:spacing w:after="0" w:line="240" w:lineRule="auto"/>
              <w:rPr>
                <w:rFonts w:ascii="Arial" w:hAnsi="Arial" w:cs="Arial"/>
                <w:b/>
                <w:bCs/>
                <w:sz w:val="20"/>
                <w:szCs w:val="20"/>
                <w:lang w:val="fr-FR"/>
              </w:rPr>
            </w:pPr>
            <w:r w:rsidRPr="00CF4B33">
              <w:rPr>
                <w:rFonts w:ascii="Arial" w:hAnsi="Arial" w:cs="Arial"/>
                <w:sz w:val="20"/>
                <w:szCs w:val="20"/>
                <w:u w:val="single"/>
                <w:lang w:val="fr-FR"/>
              </w:rPr>
              <w:t>1.1 Classe</w:t>
            </w:r>
            <w:r w:rsidRPr="00CF4B33">
              <w:rPr>
                <w:rFonts w:ascii="Arial" w:hAnsi="Arial" w:cs="Arial"/>
                <w:sz w:val="20"/>
                <w:szCs w:val="20"/>
                <w:lang w:val="fr-FR"/>
              </w:rPr>
              <w:t xml:space="preserve"> :</w:t>
            </w:r>
          </w:p>
        </w:tc>
        <w:tc>
          <w:tcPr>
            <w:tcW w:w="6192" w:type="dxa"/>
          </w:tcPr>
          <w:p w14:paraId="0037DA09" w14:textId="77777777" w:rsidR="00923B2C" w:rsidRPr="00CF4B33" w:rsidRDefault="009C7B40">
            <w:pPr>
              <w:spacing w:after="0" w:line="240" w:lineRule="auto"/>
              <w:rPr>
                <w:rFonts w:ascii="Arial" w:hAnsi="Arial" w:cs="Arial"/>
                <w:i/>
                <w:iCs/>
                <w:sz w:val="20"/>
                <w:szCs w:val="20"/>
                <w:lang w:val="fr-FR"/>
              </w:rPr>
            </w:pPr>
            <w:r w:rsidRPr="00CF4B33">
              <w:rPr>
                <w:rFonts w:ascii="Arial" w:hAnsi="Arial" w:cs="Arial"/>
                <w:sz w:val="20"/>
                <w:szCs w:val="20"/>
              </w:rPr>
              <w:t>Actinopterygii</w:t>
            </w:r>
          </w:p>
        </w:tc>
      </w:tr>
      <w:tr w:rsidR="00923B2C" w:rsidRPr="00CF4B33" w14:paraId="0A6F61BD" w14:textId="77777777" w:rsidTr="00CF4B33">
        <w:trPr>
          <w:jc w:val="center"/>
        </w:trPr>
        <w:tc>
          <w:tcPr>
            <w:tcW w:w="1698" w:type="dxa"/>
          </w:tcPr>
          <w:p w14:paraId="12B298BF" w14:textId="77777777" w:rsidR="00923B2C" w:rsidRPr="00CF4B33" w:rsidRDefault="009C7B40">
            <w:pPr>
              <w:spacing w:after="0" w:line="240" w:lineRule="auto"/>
              <w:rPr>
                <w:rFonts w:ascii="Arial" w:hAnsi="Arial" w:cs="Arial"/>
                <w:b/>
                <w:bCs/>
                <w:sz w:val="20"/>
                <w:szCs w:val="20"/>
                <w:lang w:val="fr-FR"/>
              </w:rPr>
            </w:pPr>
            <w:r w:rsidRPr="00CF4B33">
              <w:rPr>
                <w:rFonts w:ascii="Arial" w:hAnsi="Arial" w:cs="Arial"/>
                <w:sz w:val="20"/>
                <w:szCs w:val="20"/>
                <w:u w:val="single"/>
                <w:lang w:val="fr-FR"/>
              </w:rPr>
              <w:t>1.2 Ordre</w:t>
            </w:r>
            <w:r w:rsidRPr="00CF4B33">
              <w:rPr>
                <w:rFonts w:ascii="Arial" w:hAnsi="Arial" w:cs="Arial"/>
                <w:sz w:val="20"/>
                <w:szCs w:val="20"/>
                <w:lang w:val="fr-FR"/>
              </w:rPr>
              <w:t xml:space="preserve"> :</w:t>
            </w:r>
          </w:p>
        </w:tc>
        <w:tc>
          <w:tcPr>
            <w:tcW w:w="6192" w:type="dxa"/>
          </w:tcPr>
          <w:p w14:paraId="689A81B8" w14:textId="77777777" w:rsidR="00923B2C" w:rsidRPr="00CF4B33" w:rsidRDefault="009C7B40">
            <w:pPr>
              <w:spacing w:after="0" w:line="240" w:lineRule="auto"/>
              <w:rPr>
                <w:rFonts w:ascii="Arial" w:hAnsi="Arial" w:cs="Arial"/>
                <w:i/>
                <w:iCs/>
                <w:sz w:val="20"/>
                <w:szCs w:val="20"/>
              </w:rPr>
            </w:pPr>
            <w:r w:rsidRPr="00CF4B33">
              <w:rPr>
                <w:rFonts w:ascii="Arial" w:hAnsi="Arial" w:cs="Arial"/>
                <w:sz w:val="20"/>
                <w:szCs w:val="20"/>
              </w:rPr>
              <w:t>Anguilliformes</w:t>
            </w:r>
          </w:p>
        </w:tc>
      </w:tr>
      <w:tr w:rsidR="00923B2C" w:rsidRPr="00CF4B33" w14:paraId="0DD7F542" w14:textId="77777777" w:rsidTr="00CF4B33">
        <w:trPr>
          <w:jc w:val="center"/>
        </w:trPr>
        <w:tc>
          <w:tcPr>
            <w:tcW w:w="1698" w:type="dxa"/>
          </w:tcPr>
          <w:p w14:paraId="6E0546BB" w14:textId="77777777" w:rsidR="00923B2C" w:rsidRPr="00CF4B33" w:rsidRDefault="009C7B40">
            <w:pPr>
              <w:spacing w:after="0" w:line="240" w:lineRule="auto"/>
              <w:rPr>
                <w:rFonts w:ascii="Arial" w:hAnsi="Arial" w:cs="Arial"/>
                <w:b/>
                <w:bCs/>
                <w:sz w:val="20"/>
                <w:szCs w:val="20"/>
                <w:lang w:val="fr-FR"/>
              </w:rPr>
            </w:pPr>
            <w:r w:rsidRPr="00CF4B33">
              <w:rPr>
                <w:rFonts w:ascii="Arial" w:hAnsi="Arial" w:cs="Arial"/>
                <w:sz w:val="20"/>
                <w:szCs w:val="20"/>
                <w:u w:val="single"/>
                <w:lang w:val="fr-FR"/>
              </w:rPr>
              <w:t>1.3 Famille</w:t>
            </w:r>
            <w:r w:rsidRPr="00CF4B33">
              <w:rPr>
                <w:rFonts w:ascii="Arial" w:hAnsi="Arial" w:cs="Arial"/>
                <w:sz w:val="20"/>
                <w:szCs w:val="20"/>
                <w:lang w:val="fr-FR"/>
              </w:rPr>
              <w:t xml:space="preserve"> :</w:t>
            </w:r>
          </w:p>
        </w:tc>
        <w:tc>
          <w:tcPr>
            <w:tcW w:w="6192" w:type="dxa"/>
          </w:tcPr>
          <w:p w14:paraId="5B77612D" w14:textId="77777777" w:rsidR="00923B2C" w:rsidRPr="00CF4B33" w:rsidRDefault="009C7B40">
            <w:pPr>
              <w:spacing w:after="0" w:line="240" w:lineRule="auto"/>
              <w:rPr>
                <w:rFonts w:ascii="Arial" w:hAnsi="Arial" w:cs="Arial"/>
                <w:sz w:val="20"/>
                <w:szCs w:val="20"/>
              </w:rPr>
            </w:pPr>
            <w:proofErr w:type="spellStart"/>
            <w:r w:rsidRPr="00CF4B33">
              <w:rPr>
                <w:rFonts w:ascii="Arial" w:hAnsi="Arial" w:cs="Arial"/>
                <w:sz w:val="20"/>
                <w:szCs w:val="20"/>
              </w:rPr>
              <w:t>Anguillidae</w:t>
            </w:r>
            <w:proofErr w:type="spellEnd"/>
          </w:p>
        </w:tc>
      </w:tr>
      <w:tr w:rsidR="00923B2C" w:rsidRPr="00CF4B33" w14:paraId="3417FC53" w14:textId="77777777" w:rsidTr="00CF4B33">
        <w:trPr>
          <w:jc w:val="center"/>
        </w:trPr>
        <w:tc>
          <w:tcPr>
            <w:tcW w:w="1698" w:type="dxa"/>
          </w:tcPr>
          <w:p w14:paraId="30E8ACC2" w14:textId="77777777" w:rsidR="00923B2C" w:rsidRPr="00CF4B33" w:rsidRDefault="009C7B40">
            <w:pPr>
              <w:spacing w:after="0" w:line="240" w:lineRule="auto"/>
              <w:rPr>
                <w:rFonts w:ascii="Arial" w:hAnsi="Arial" w:cs="Arial"/>
                <w:b/>
                <w:bCs/>
                <w:sz w:val="20"/>
                <w:szCs w:val="20"/>
                <w:lang w:val="fr-FR"/>
              </w:rPr>
            </w:pPr>
            <w:r w:rsidRPr="00CF4B33">
              <w:rPr>
                <w:rFonts w:ascii="Arial" w:hAnsi="Arial" w:cs="Arial"/>
                <w:sz w:val="20"/>
                <w:szCs w:val="20"/>
                <w:u w:val="single"/>
                <w:lang w:val="fr-FR"/>
              </w:rPr>
              <w:t>1.4 Genre</w:t>
            </w:r>
            <w:r w:rsidRPr="00CF4B33">
              <w:rPr>
                <w:rFonts w:ascii="Arial" w:hAnsi="Arial" w:cs="Arial"/>
                <w:sz w:val="20"/>
                <w:szCs w:val="20"/>
                <w:lang w:val="fr-FR"/>
              </w:rPr>
              <w:t xml:space="preserve"> :</w:t>
            </w:r>
          </w:p>
        </w:tc>
        <w:tc>
          <w:tcPr>
            <w:tcW w:w="6192" w:type="dxa"/>
          </w:tcPr>
          <w:p w14:paraId="693868C3" w14:textId="77777777" w:rsidR="00923B2C" w:rsidRPr="00CF4B33" w:rsidRDefault="009C7B40">
            <w:pPr>
              <w:spacing w:after="0" w:line="240" w:lineRule="auto"/>
              <w:rPr>
                <w:rFonts w:ascii="Arial" w:hAnsi="Arial" w:cs="Arial"/>
                <w:sz w:val="20"/>
                <w:szCs w:val="20"/>
              </w:rPr>
            </w:pPr>
            <w:r w:rsidRPr="00CF4B33">
              <w:rPr>
                <w:rFonts w:ascii="Arial" w:hAnsi="Arial" w:cs="Arial"/>
                <w:sz w:val="20"/>
                <w:szCs w:val="20"/>
              </w:rPr>
              <w:t>Anguilla (Schrank, 1798)</w:t>
            </w:r>
          </w:p>
        </w:tc>
      </w:tr>
      <w:tr w:rsidR="00923B2C" w:rsidRPr="00CF4B33" w14:paraId="2BBF1C0B" w14:textId="77777777" w:rsidTr="00CF4B33">
        <w:trPr>
          <w:jc w:val="center"/>
        </w:trPr>
        <w:tc>
          <w:tcPr>
            <w:tcW w:w="1698" w:type="dxa"/>
          </w:tcPr>
          <w:p w14:paraId="1737BCD1" w14:textId="77777777" w:rsidR="00923B2C" w:rsidRPr="00CF4B33" w:rsidRDefault="009C7B40">
            <w:pPr>
              <w:spacing w:after="0" w:line="240" w:lineRule="auto"/>
              <w:rPr>
                <w:rFonts w:ascii="Arial" w:hAnsi="Arial" w:cs="Arial"/>
                <w:b/>
                <w:bCs/>
                <w:sz w:val="20"/>
                <w:szCs w:val="20"/>
                <w:lang w:val="fr-FR"/>
              </w:rPr>
            </w:pPr>
            <w:r w:rsidRPr="00CF4B33">
              <w:rPr>
                <w:rFonts w:ascii="Arial" w:hAnsi="Arial" w:cs="Arial"/>
                <w:sz w:val="20"/>
                <w:szCs w:val="20"/>
                <w:u w:val="single"/>
                <w:lang w:val="fr-FR"/>
              </w:rPr>
              <w:t>1.5 Espèce</w:t>
            </w:r>
            <w:r w:rsidRPr="00CF4B33">
              <w:rPr>
                <w:rFonts w:ascii="Arial" w:hAnsi="Arial" w:cs="Arial"/>
                <w:sz w:val="20"/>
                <w:szCs w:val="20"/>
                <w:lang w:val="fr-FR"/>
              </w:rPr>
              <w:t xml:space="preserve"> :</w:t>
            </w:r>
          </w:p>
        </w:tc>
        <w:tc>
          <w:tcPr>
            <w:tcW w:w="6192" w:type="dxa"/>
          </w:tcPr>
          <w:p w14:paraId="50536E66" w14:textId="77777777" w:rsidR="00923B2C" w:rsidRPr="00CF4B33" w:rsidRDefault="009C7B40">
            <w:pPr>
              <w:spacing w:after="0" w:line="240" w:lineRule="auto"/>
              <w:rPr>
                <w:rFonts w:ascii="Arial" w:hAnsi="Arial" w:cs="Arial"/>
                <w:sz w:val="20"/>
                <w:szCs w:val="20"/>
              </w:rPr>
            </w:pPr>
            <w:r w:rsidRPr="00CF4B33">
              <w:rPr>
                <w:rFonts w:ascii="Arial" w:hAnsi="Arial" w:cs="Arial"/>
                <w:i/>
                <w:iCs/>
                <w:sz w:val="20"/>
                <w:szCs w:val="20"/>
              </w:rPr>
              <w:t xml:space="preserve">Anguilla </w:t>
            </w:r>
            <w:proofErr w:type="spellStart"/>
            <w:r w:rsidRPr="00CF4B33">
              <w:rPr>
                <w:rFonts w:ascii="Arial" w:hAnsi="Arial" w:cs="Arial"/>
                <w:i/>
                <w:iCs/>
                <w:sz w:val="20"/>
                <w:szCs w:val="20"/>
              </w:rPr>
              <w:t>anguilla</w:t>
            </w:r>
            <w:proofErr w:type="spellEnd"/>
            <w:r w:rsidRPr="00CF4B33">
              <w:rPr>
                <w:rFonts w:ascii="Arial" w:hAnsi="Arial" w:cs="Arial"/>
                <w:sz w:val="20"/>
                <w:szCs w:val="20"/>
              </w:rPr>
              <w:t xml:space="preserve"> (Linnaeus, 1758)</w:t>
            </w:r>
          </w:p>
        </w:tc>
      </w:tr>
      <w:tr w:rsidR="00923B2C" w:rsidRPr="0003602D" w14:paraId="52170D18" w14:textId="77777777" w:rsidTr="00CF4B33">
        <w:trPr>
          <w:jc w:val="center"/>
        </w:trPr>
        <w:tc>
          <w:tcPr>
            <w:tcW w:w="1698" w:type="dxa"/>
          </w:tcPr>
          <w:p w14:paraId="67A88915" w14:textId="20D5396E" w:rsidR="00923B2C" w:rsidRPr="00CF4B33" w:rsidRDefault="009C7B40">
            <w:pPr>
              <w:spacing w:after="0" w:line="240" w:lineRule="auto"/>
              <w:rPr>
                <w:rFonts w:ascii="Arial" w:hAnsi="Arial" w:cs="Arial"/>
                <w:sz w:val="20"/>
                <w:szCs w:val="20"/>
                <w:lang w:val="fr-FR"/>
              </w:rPr>
            </w:pPr>
            <w:r w:rsidRPr="00CF4B33">
              <w:rPr>
                <w:rFonts w:ascii="Arial" w:hAnsi="Arial" w:cs="Arial"/>
                <w:sz w:val="20"/>
                <w:szCs w:val="20"/>
                <w:u w:val="single"/>
                <w:lang w:val="fr-FR"/>
              </w:rPr>
              <w:t>1.6 Noms communs</w:t>
            </w:r>
            <w:r w:rsidRPr="00CF4B33">
              <w:rPr>
                <w:rFonts w:ascii="Arial" w:hAnsi="Arial" w:cs="Arial"/>
                <w:sz w:val="20"/>
                <w:szCs w:val="20"/>
                <w:lang w:val="fr-FR"/>
              </w:rPr>
              <w:t xml:space="preserve"> : </w:t>
            </w:r>
          </w:p>
        </w:tc>
        <w:tc>
          <w:tcPr>
            <w:tcW w:w="6192" w:type="dxa"/>
          </w:tcPr>
          <w:p w14:paraId="479FC897" w14:textId="77777777" w:rsidR="00923B2C" w:rsidRPr="00CF4B33" w:rsidRDefault="009C7B40">
            <w:pPr>
              <w:spacing w:after="0" w:line="240" w:lineRule="auto"/>
              <w:jc w:val="both"/>
              <w:rPr>
                <w:rFonts w:ascii="Arial" w:hAnsi="Arial" w:cs="Arial"/>
                <w:sz w:val="20"/>
                <w:szCs w:val="20"/>
              </w:rPr>
            </w:pPr>
            <w:r w:rsidRPr="00CF4B33">
              <w:rPr>
                <w:rFonts w:ascii="Arial" w:hAnsi="Arial" w:cs="Arial"/>
                <w:b/>
                <w:bCs/>
                <w:sz w:val="20"/>
                <w:szCs w:val="20"/>
              </w:rPr>
              <w:t>Anglais</w:t>
            </w:r>
            <w:r w:rsidRPr="00CF4B33">
              <w:rPr>
                <w:rFonts w:ascii="Arial" w:hAnsi="Arial" w:cs="Arial"/>
                <w:sz w:val="20"/>
                <w:szCs w:val="20"/>
              </w:rPr>
              <w:t xml:space="preserve"> : European eel ; Common eel ; River eel ; Weed eel</w:t>
            </w:r>
          </w:p>
          <w:p w14:paraId="57DF1A27" w14:textId="77777777" w:rsidR="00923B2C" w:rsidRPr="00CF4B33" w:rsidRDefault="009C7B40">
            <w:pPr>
              <w:spacing w:after="0" w:line="240" w:lineRule="auto"/>
              <w:jc w:val="both"/>
              <w:rPr>
                <w:rFonts w:ascii="Arial" w:hAnsi="Arial" w:cs="Arial"/>
                <w:sz w:val="20"/>
                <w:szCs w:val="20"/>
                <w:lang w:val="fr-FR"/>
              </w:rPr>
            </w:pPr>
            <w:r w:rsidRPr="00CF4B33">
              <w:rPr>
                <w:rFonts w:ascii="Arial" w:hAnsi="Arial" w:cs="Arial"/>
                <w:b/>
                <w:bCs/>
                <w:sz w:val="20"/>
                <w:szCs w:val="20"/>
                <w:lang w:val="fr-FR"/>
              </w:rPr>
              <w:t>Français :</w:t>
            </w:r>
            <w:r w:rsidRPr="00CF4B33">
              <w:rPr>
                <w:rFonts w:ascii="Arial" w:hAnsi="Arial" w:cs="Arial"/>
                <w:sz w:val="20"/>
                <w:szCs w:val="20"/>
                <w:lang w:val="fr-FR"/>
              </w:rPr>
              <w:t xml:space="preserve"> Angèle ; Anguille d'Europe ; Anguille européenne</w:t>
            </w:r>
          </w:p>
          <w:p w14:paraId="24FB2715" w14:textId="77777777" w:rsidR="00923B2C" w:rsidRPr="00CF4B33" w:rsidRDefault="009C7B40">
            <w:pPr>
              <w:spacing w:after="0" w:line="240" w:lineRule="auto"/>
              <w:jc w:val="both"/>
              <w:rPr>
                <w:rFonts w:ascii="Arial" w:hAnsi="Arial" w:cs="Arial"/>
                <w:sz w:val="20"/>
                <w:szCs w:val="20"/>
                <w:lang w:val="it-IT"/>
              </w:rPr>
            </w:pPr>
            <w:proofErr w:type="spellStart"/>
            <w:r w:rsidRPr="00CF4B33">
              <w:rPr>
                <w:rFonts w:ascii="Arial" w:hAnsi="Arial" w:cs="Arial"/>
                <w:b/>
                <w:bCs/>
                <w:sz w:val="20"/>
                <w:szCs w:val="20"/>
                <w:lang w:val="it-IT"/>
              </w:rPr>
              <w:t>Espagnol</w:t>
            </w:r>
            <w:proofErr w:type="spellEnd"/>
            <w:r w:rsidRPr="00CF4B33">
              <w:rPr>
                <w:rFonts w:ascii="Arial" w:hAnsi="Arial" w:cs="Arial"/>
                <w:b/>
                <w:bCs/>
                <w:sz w:val="20"/>
                <w:szCs w:val="20"/>
                <w:lang w:val="it-IT"/>
              </w:rPr>
              <w:t xml:space="preserve"> :</w:t>
            </w:r>
            <w:r w:rsidRPr="00CF4B33">
              <w:rPr>
                <w:rFonts w:ascii="Arial" w:hAnsi="Arial" w:cs="Arial"/>
                <w:sz w:val="20"/>
                <w:szCs w:val="20"/>
                <w:lang w:val="it-IT"/>
              </w:rPr>
              <w:t xml:space="preserve"> </w:t>
            </w:r>
            <w:proofErr w:type="spellStart"/>
            <w:r w:rsidRPr="00CF4B33">
              <w:rPr>
                <w:rFonts w:ascii="Arial" w:hAnsi="Arial" w:cs="Arial"/>
                <w:sz w:val="20"/>
                <w:szCs w:val="20"/>
                <w:lang w:val="it-IT"/>
              </w:rPr>
              <w:t>Anguila</w:t>
            </w:r>
            <w:proofErr w:type="spellEnd"/>
            <w:r w:rsidRPr="00CF4B33">
              <w:rPr>
                <w:rFonts w:ascii="Arial" w:hAnsi="Arial" w:cs="Arial"/>
                <w:sz w:val="20"/>
                <w:szCs w:val="20"/>
                <w:lang w:val="it-IT"/>
              </w:rPr>
              <w:t xml:space="preserve"> ; </w:t>
            </w:r>
            <w:proofErr w:type="spellStart"/>
            <w:r w:rsidRPr="00CF4B33">
              <w:rPr>
                <w:rFonts w:ascii="Arial" w:hAnsi="Arial" w:cs="Arial"/>
                <w:sz w:val="20"/>
                <w:szCs w:val="20"/>
                <w:lang w:val="it-IT"/>
              </w:rPr>
              <w:t>Anguila</w:t>
            </w:r>
            <w:proofErr w:type="spellEnd"/>
            <w:r w:rsidRPr="00CF4B33">
              <w:rPr>
                <w:rFonts w:ascii="Arial" w:hAnsi="Arial" w:cs="Arial"/>
                <w:sz w:val="20"/>
                <w:szCs w:val="20"/>
                <w:lang w:val="it-IT"/>
              </w:rPr>
              <w:t xml:space="preserve"> europea ; Anguilla</w:t>
            </w:r>
          </w:p>
        </w:tc>
      </w:tr>
    </w:tbl>
    <w:p w14:paraId="1C0A7A06" w14:textId="27D2FA13" w:rsidR="00923B2C" w:rsidRDefault="00CF4B33" w:rsidP="00CF4B33">
      <w:pPr>
        <w:widowControl w:val="0"/>
        <w:spacing w:before="80" w:after="0" w:line="240" w:lineRule="auto"/>
        <w:jc w:val="both"/>
        <w:rPr>
          <w:rFonts w:ascii="Arial" w:eastAsia="Times New Roman" w:hAnsi="Arial" w:cs="Arial"/>
          <w:snapToGrid w:val="0"/>
          <w:sz w:val="20"/>
          <w:szCs w:val="20"/>
          <w:lang w:val="fr-FR" w:eastAsia="en-AU"/>
        </w:rPr>
      </w:pPr>
      <w:r>
        <w:rPr>
          <w:rFonts w:ascii="Arial" w:eastAsia="Times New Roman" w:hAnsi="Arial" w:cs="Arial"/>
          <w:b/>
          <w:bCs/>
          <w:snapToGrid w:val="0"/>
          <w:sz w:val="20"/>
          <w:szCs w:val="20"/>
          <w:lang w:val="fr-FR" w:eastAsia="en-AU"/>
        </w:rPr>
        <w:t xml:space="preserve">Tableau 1 : </w:t>
      </w:r>
      <w:r>
        <w:rPr>
          <w:rFonts w:ascii="Arial" w:eastAsia="Times New Roman" w:hAnsi="Arial" w:cs="Arial"/>
          <w:snapToGrid w:val="0"/>
          <w:sz w:val="20"/>
          <w:szCs w:val="20"/>
          <w:lang w:val="fr-FR" w:eastAsia="en-AU"/>
        </w:rPr>
        <w:t>Classification taxonomique de l’anguille européenne (</w:t>
      </w:r>
      <w:r>
        <w:rPr>
          <w:rFonts w:ascii="Arial" w:eastAsia="Times New Roman" w:hAnsi="Arial" w:cs="Arial"/>
          <w:i/>
          <w:iCs/>
          <w:snapToGrid w:val="0"/>
          <w:sz w:val="20"/>
          <w:szCs w:val="20"/>
          <w:lang w:val="fr-FR" w:eastAsia="en-AU"/>
        </w:rPr>
        <w:t xml:space="preserve">A. </w:t>
      </w:r>
      <w:proofErr w:type="spellStart"/>
      <w:r>
        <w:rPr>
          <w:rFonts w:ascii="Arial" w:eastAsia="Times New Roman" w:hAnsi="Arial" w:cs="Arial"/>
          <w:i/>
          <w:iCs/>
          <w:snapToGrid w:val="0"/>
          <w:sz w:val="20"/>
          <w:szCs w:val="20"/>
          <w:lang w:val="fr-FR" w:eastAsia="en-AU"/>
        </w:rPr>
        <w:t>anguilla</w:t>
      </w:r>
      <w:proofErr w:type="spellEnd"/>
      <w:r>
        <w:rPr>
          <w:rFonts w:ascii="Arial" w:eastAsia="Times New Roman" w:hAnsi="Arial" w:cs="Arial"/>
          <w:snapToGrid w:val="0"/>
          <w:sz w:val="20"/>
          <w:szCs w:val="20"/>
          <w:lang w:val="fr-FR" w:eastAsia="en-AU"/>
        </w:rPr>
        <w:t>) et noms communs dans plusieurs langues</w:t>
      </w:r>
    </w:p>
    <w:p w14:paraId="58F7F2C6" w14:textId="77777777" w:rsidR="00923B2C" w:rsidRDefault="009C7B40" w:rsidP="00A86F62">
      <w:pPr>
        <w:pStyle w:val="ListParagraph"/>
        <w:numPr>
          <w:ilvl w:val="0"/>
          <w:numId w:val="4"/>
        </w:numPr>
        <w:ind w:left="567" w:hanging="567"/>
        <w:jc w:val="both"/>
        <w:rPr>
          <w:rFonts w:ascii="Arial" w:hAnsi="Arial" w:cs="Arial"/>
          <w:sz w:val="22"/>
          <w:szCs w:val="22"/>
          <w:lang w:val="fr-FR" w:eastAsia="en-AU"/>
        </w:rPr>
      </w:pPr>
      <w:r>
        <w:rPr>
          <w:rFonts w:ascii="Arial" w:hAnsi="Arial" w:cs="Arial"/>
          <w:sz w:val="22"/>
          <w:szCs w:val="22"/>
          <w:lang w:val="fr-FR" w:eastAsia="en-AU"/>
        </w:rPr>
        <w:lastRenderedPageBreak/>
        <w:t xml:space="preserve">Le cycle de vie de l’anguille européenne est mieux décrit comme « facultativement catadrome ». </w:t>
      </w:r>
      <w:r>
        <w:rPr>
          <w:rFonts w:ascii="Arial" w:hAnsi="Arial" w:cs="Arial"/>
          <w:color w:val="000000" w:themeColor="text1"/>
          <w:sz w:val="22"/>
          <w:szCs w:val="22"/>
          <w:lang w:val="fr-FR"/>
        </w:rPr>
        <w:t xml:space="preserve">Contrairement à la véritable </w:t>
      </w:r>
      <w:proofErr w:type="spellStart"/>
      <w:r>
        <w:rPr>
          <w:rFonts w:ascii="Arial" w:hAnsi="Arial" w:cs="Arial"/>
          <w:color w:val="000000" w:themeColor="text1"/>
          <w:sz w:val="22"/>
          <w:szCs w:val="22"/>
          <w:lang w:val="fr-FR"/>
        </w:rPr>
        <w:t>catadromie</w:t>
      </w:r>
      <w:proofErr w:type="spellEnd"/>
      <w:r>
        <w:rPr>
          <w:rFonts w:ascii="Arial" w:hAnsi="Arial" w:cs="Arial"/>
          <w:color w:val="000000" w:themeColor="text1"/>
          <w:sz w:val="22"/>
          <w:szCs w:val="22"/>
          <w:lang w:val="fr-FR"/>
        </w:rPr>
        <w:t xml:space="preserve">, où les poissons doivent se nourrir et grandir en eau douce avant de migrer vers la mer pour se reproduire, le stade de croissance de l’anguille européenne est souvent décrit comme </w:t>
      </w:r>
      <w:r>
        <w:rPr>
          <w:rFonts w:ascii="Arial" w:hAnsi="Arial" w:cs="Arial"/>
          <w:sz w:val="22"/>
          <w:szCs w:val="22"/>
          <w:lang w:val="fr-FR" w:eastAsia="en-AU"/>
        </w:rPr>
        <w:t xml:space="preserve">« continental », car on la trouve dans les eaux douces, saumâtres et côtières. L’espèce passe la majeure partie de sa vie dans les eaux continentales. La reproduction et le frai de l’anguille européenne ont lieu dans l’environnement marin et sont considérés comme essentiels à un cycle de vie complet. Si le cycle de vie continental de l’anguille est relativement bien compris, sa phase marine reste encore largement méconnue. L’anguille passe par </w:t>
      </w:r>
      <w:r>
        <w:rPr>
          <w:rFonts w:ascii="Arial" w:hAnsi="Arial" w:cs="Arial"/>
          <w:sz w:val="22"/>
          <w:szCs w:val="22"/>
          <w:lang w:val="fr-FR"/>
        </w:rPr>
        <w:t xml:space="preserve">plusieurs stades de vie (figure 1), chacun ayant sa propre terminologie et son propre langage régional : leptocéphale, civelle, anguille jaune et anguille argentée. </w:t>
      </w:r>
    </w:p>
    <w:p w14:paraId="3B29716B" w14:textId="77777777" w:rsidR="00923B2C" w:rsidRDefault="00923B2C" w:rsidP="00A86F62">
      <w:pPr>
        <w:widowControl w:val="0"/>
        <w:spacing w:after="0" w:line="240" w:lineRule="auto"/>
        <w:jc w:val="both"/>
        <w:rPr>
          <w:rFonts w:ascii="Arial" w:eastAsia="Times New Roman" w:hAnsi="Arial" w:cs="Arial"/>
          <w:snapToGrid w:val="0"/>
          <w:lang w:val="fr-FR" w:eastAsia="en-AU"/>
        </w:rPr>
      </w:pPr>
    </w:p>
    <w:p w14:paraId="3FF0E765" w14:textId="77777777" w:rsidR="00923B2C" w:rsidRDefault="009C7B40">
      <w:pPr>
        <w:widowControl w:val="0"/>
        <w:spacing w:after="0" w:line="240" w:lineRule="auto"/>
        <w:jc w:val="center"/>
        <w:rPr>
          <w:rFonts w:ascii="Arial" w:eastAsia="Times New Roman" w:hAnsi="Arial" w:cs="Arial"/>
          <w:snapToGrid w:val="0"/>
          <w:lang w:val="fr-FR" w:eastAsia="en-AU"/>
        </w:rPr>
      </w:pPr>
      <w:r>
        <w:rPr>
          <w:rFonts w:ascii="Arial" w:eastAsia="Times New Roman" w:hAnsi="Arial" w:cs="Arial"/>
          <w:noProof/>
          <w:snapToGrid w:val="0"/>
          <w:lang w:val="fr-FR" w:eastAsia="fr-FR"/>
        </w:rPr>
        <w:drawing>
          <wp:inline distT="0" distB="0" distL="0" distR="0" wp14:anchorId="6B079BC6" wp14:editId="1DEFD84B">
            <wp:extent cx="3781425" cy="28575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857500"/>
                    </a:xfrm>
                    <a:prstGeom prst="rect">
                      <a:avLst/>
                    </a:prstGeom>
                    <a:noFill/>
                    <a:ln>
                      <a:noFill/>
                    </a:ln>
                  </pic:spPr>
                </pic:pic>
              </a:graphicData>
            </a:graphic>
          </wp:inline>
        </w:drawing>
      </w:r>
    </w:p>
    <w:p w14:paraId="17E9D926" w14:textId="77777777" w:rsidR="00923B2C" w:rsidRDefault="00923B2C">
      <w:pPr>
        <w:widowControl w:val="0"/>
        <w:spacing w:after="0" w:line="240" w:lineRule="auto"/>
        <w:jc w:val="both"/>
        <w:rPr>
          <w:rFonts w:ascii="Arial" w:eastAsia="Times New Roman" w:hAnsi="Arial" w:cs="Arial"/>
          <w:snapToGrid w:val="0"/>
          <w:lang w:val="fr-FR" w:eastAsia="en-AU"/>
        </w:rPr>
      </w:pPr>
    </w:p>
    <w:p w14:paraId="013C36EA" w14:textId="77777777" w:rsidR="00923B2C" w:rsidRDefault="009C7B40">
      <w:pPr>
        <w:widowControl w:val="0"/>
        <w:spacing w:after="0" w:line="240" w:lineRule="auto"/>
        <w:jc w:val="both"/>
        <w:rPr>
          <w:rFonts w:ascii="Arial" w:eastAsia="Times New Roman" w:hAnsi="Arial" w:cs="Arial"/>
          <w:snapToGrid w:val="0"/>
          <w:sz w:val="20"/>
          <w:szCs w:val="20"/>
          <w:lang w:val="fr-FR" w:eastAsia="en-AU"/>
        </w:rPr>
      </w:pPr>
      <w:r>
        <w:rPr>
          <w:rFonts w:ascii="Arial" w:eastAsia="Times New Roman" w:hAnsi="Arial" w:cs="Arial"/>
          <w:b/>
          <w:bCs/>
          <w:snapToGrid w:val="0"/>
          <w:sz w:val="20"/>
          <w:szCs w:val="20"/>
          <w:lang w:val="fr-FR" w:eastAsia="en-AU"/>
        </w:rPr>
        <w:t>Figure 1</w:t>
      </w:r>
      <w:r>
        <w:rPr>
          <w:rFonts w:ascii="Arial" w:eastAsia="Times New Roman" w:hAnsi="Arial" w:cs="Arial"/>
          <w:snapToGrid w:val="0"/>
          <w:sz w:val="20"/>
          <w:szCs w:val="20"/>
          <w:lang w:val="fr-FR" w:eastAsia="en-AU"/>
        </w:rPr>
        <w:t xml:space="preserve"> : Schéma du cycle de vie des anguilles anguillidés (Henkel et al., 2012).</w:t>
      </w:r>
    </w:p>
    <w:p w14:paraId="7E1353A5" w14:textId="77777777" w:rsidR="00923B2C" w:rsidRDefault="00923B2C">
      <w:pPr>
        <w:widowControl w:val="0"/>
        <w:spacing w:after="0" w:line="240" w:lineRule="auto"/>
        <w:jc w:val="both"/>
        <w:rPr>
          <w:rFonts w:ascii="Arial" w:eastAsia="Times New Roman" w:hAnsi="Arial" w:cs="Arial"/>
          <w:snapToGrid w:val="0"/>
          <w:lang w:val="fr-FR" w:eastAsia="en-AU"/>
        </w:rPr>
      </w:pPr>
    </w:p>
    <w:p w14:paraId="467CDA54" w14:textId="77777777" w:rsidR="00923B2C" w:rsidRDefault="009C7B40">
      <w:pPr>
        <w:pStyle w:val="ListParagraph"/>
        <w:numPr>
          <w:ilvl w:val="0"/>
          <w:numId w:val="4"/>
        </w:numPr>
        <w:ind w:left="567" w:hanging="567"/>
        <w:jc w:val="both"/>
        <w:rPr>
          <w:rFonts w:ascii="Arial" w:hAnsi="Arial" w:cs="Arial"/>
          <w:sz w:val="22"/>
          <w:szCs w:val="18"/>
          <w:lang w:val="fr-FR" w:eastAsia="en-AU"/>
        </w:rPr>
      </w:pPr>
      <w:r>
        <w:rPr>
          <w:rFonts w:ascii="Arial" w:hAnsi="Arial" w:cs="Arial"/>
          <w:sz w:val="22"/>
          <w:szCs w:val="18"/>
          <w:lang w:val="fr-FR" w:eastAsia="en-AU"/>
        </w:rPr>
        <w:t>Après l’éclosion, la larve marine au stade leptocéphale prend une forme de feuille, très différente de la forme allongée généralement associée aux anguillidés. Au cours de la migration, les leptocéphales grandissent et s’allongent pour devenir des anguilles de verre transparentes à leur arrivée sur le plateau continental. Au fur et à mesure que les anguilles de verre grandissent et se pigmentent – que ce soit en eau douce ou en eau salée – elles deviennent des civelles, puis des anguilles jaunes ; ces dernières sont morphologiquement similaires et se distinguent principalement par leur taille. Le dernier stade est celui de l’anguille argentée migratrice marine, qui se caractérise par un dos assombri, une teinte argentée sur le ventre et de grands yeux. On trouvera une description plus détaillée du cycle de vie dans le dossier scientifique justifiant l’inscription de l’espèce à l’Annexe II de la CMS.</w:t>
      </w:r>
      <w:r>
        <w:rPr>
          <w:rStyle w:val="FootnoteReference"/>
          <w:rFonts w:ascii="Arial" w:hAnsi="Arial" w:cs="Arial"/>
          <w:sz w:val="22"/>
          <w:szCs w:val="18"/>
          <w:vertAlign w:val="superscript"/>
          <w:lang w:val="fr-FR" w:eastAsia="en-AU"/>
        </w:rPr>
        <w:footnoteReference w:id="3"/>
      </w:r>
    </w:p>
    <w:p w14:paraId="5F7A7F31" w14:textId="77777777" w:rsidR="00A86F62" w:rsidRDefault="00A86F62">
      <w:pPr>
        <w:pStyle w:val="Heading2"/>
        <w:ind w:left="567" w:hanging="567"/>
        <w:rPr>
          <w:sz w:val="22"/>
          <w:szCs w:val="22"/>
          <w:lang w:val="fr-FR"/>
        </w:rPr>
      </w:pPr>
      <w:bookmarkStart w:id="8" w:name="_Toc212501810"/>
    </w:p>
    <w:p w14:paraId="6267ABF5" w14:textId="04B2EEA9" w:rsidR="00923B2C" w:rsidRDefault="009C7B40">
      <w:pPr>
        <w:pStyle w:val="Heading2"/>
        <w:ind w:left="567" w:hanging="567"/>
        <w:rPr>
          <w:sz w:val="22"/>
          <w:szCs w:val="22"/>
          <w:lang w:val="fr-FR"/>
        </w:rPr>
      </w:pPr>
      <w:r>
        <w:rPr>
          <w:sz w:val="22"/>
          <w:szCs w:val="22"/>
          <w:lang w:val="fr-FR"/>
        </w:rPr>
        <w:t>2.2 Répartition</w:t>
      </w:r>
      <w:bookmarkEnd w:id="8"/>
    </w:p>
    <w:p w14:paraId="3E3CBA09" w14:textId="77777777" w:rsidR="00923B2C" w:rsidRDefault="00923B2C">
      <w:pPr>
        <w:widowControl w:val="0"/>
        <w:autoSpaceDE w:val="0"/>
        <w:autoSpaceDN w:val="0"/>
        <w:adjustRightInd w:val="0"/>
        <w:spacing w:after="0" w:line="240" w:lineRule="auto"/>
        <w:ind w:left="567" w:hanging="567"/>
        <w:jc w:val="both"/>
        <w:rPr>
          <w:rFonts w:ascii="Arial" w:eastAsia="Times New Roman" w:hAnsi="Arial" w:cs="Arial"/>
          <w:snapToGrid w:val="0"/>
          <w:color w:val="000000"/>
          <w:lang w:val="fr-FR" w:eastAsia="en-AU"/>
        </w:rPr>
      </w:pPr>
    </w:p>
    <w:p w14:paraId="3AB9B18E" w14:textId="77777777" w:rsidR="00923B2C" w:rsidRDefault="009C7B40">
      <w:pPr>
        <w:pStyle w:val="ListParagraph"/>
        <w:numPr>
          <w:ilvl w:val="0"/>
          <w:numId w:val="4"/>
        </w:numPr>
        <w:autoSpaceDE w:val="0"/>
        <w:autoSpaceDN w:val="0"/>
        <w:adjustRightInd w:val="0"/>
        <w:ind w:left="567" w:hanging="567"/>
        <w:jc w:val="both"/>
        <w:rPr>
          <w:rFonts w:ascii="Arial" w:hAnsi="Arial" w:cs="Arial"/>
          <w:color w:val="000000"/>
          <w:sz w:val="22"/>
          <w:szCs w:val="18"/>
          <w:lang w:val="fr-FR" w:eastAsia="en-AU"/>
        </w:rPr>
      </w:pPr>
      <w:r>
        <w:rPr>
          <w:rFonts w:ascii="Arial" w:hAnsi="Arial" w:cs="Arial"/>
          <w:color w:val="000000"/>
          <w:sz w:val="22"/>
          <w:szCs w:val="18"/>
          <w:lang w:val="fr-FR" w:eastAsia="en-AU"/>
        </w:rPr>
        <w:t xml:space="preserve">En raison de la nature du cycle de vie de cette espèce, la répartition se réfère principalement au stade de croissance continental – l’anguille jaune – qui est connue </w:t>
      </w:r>
      <w:r>
        <w:rPr>
          <w:rFonts w:ascii="Arial" w:hAnsi="Arial" w:cs="Arial"/>
          <w:color w:val="000000"/>
          <w:sz w:val="22"/>
          <w:szCs w:val="18"/>
          <w:lang w:val="fr-FR" w:eastAsia="en-AU"/>
        </w:rPr>
        <w:lastRenderedPageBreak/>
        <w:t>pour être présente dans les eaux douces, les estuaires et les eaux côtières des États de l’aire de répartition (</w:t>
      </w:r>
      <w:proofErr w:type="spellStart"/>
      <w:r>
        <w:rPr>
          <w:rFonts w:ascii="Arial" w:hAnsi="Arial" w:cs="Arial"/>
          <w:color w:val="000000"/>
          <w:sz w:val="22"/>
          <w:szCs w:val="18"/>
          <w:lang w:val="fr-FR" w:eastAsia="en-AU"/>
        </w:rPr>
        <w:t>Moriarty</w:t>
      </w:r>
      <w:proofErr w:type="spellEnd"/>
      <w:r>
        <w:rPr>
          <w:rFonts w:ascii="Arial" w:hAnsi="Arial" w:cs="Arial"/>
          <w:color w:val="000000"/>
          <w:sz w:val="22"/>
          <w:szCs w:val="18"/>
          <w:lang w:val="fr-FR" w:eastAsia="en-AU"/>
        </w:rPr>
        <w:t xml:space="preserve"> et Dekker, 1997 ; CIEM, 2009). En réalité, la migration de frai des adultes et la migration ultérieure des larves se déroulent en haute mer, tant dans des zones relevant de la juridiction nationale qu’au-delà. On sait que l’anguille européenne se reproduit dans la mer des Sargasses, dans le centre-ouest de l’Atlantique, avant que les œufs n’éclosent et que les larves leptocéphales ne migrent, au gré des courants océaniques, de l’autre côté de l’Atlantique pour entamer la phase continentale de leur cycle de vie (Schmidt, 1922 ; </w:t>
      </w:r>
      <w:proofErr w:type="spellStart"/>
      <w:r>
        <w:rPr>
          <w:rFonts w:ascii="Arial" w:hAnsi="Arial" w:cs="Arial"/>
          <w:color w:val="000000"/>
          <w:sz w:val="22"/>
          <w:szCs w:val="18"/>
          <w:lang w:val="fr-FR" w:eastAsia="en-AU"/>
        </w:rPr>
        <w:t>Aarestrup</w:t>
      </w:r>
      <w:proofErr w:type="spellEnd"/>
      <w:r>
        <w:rPr>
          <w:rFonts w:ascii="Arial" w:hAnsi="Arial" w:cs="Arial"/>
          <w:color w:val="000000"/>
          <w:sz w:val="22"/>
          <w:szCs w:val="18"/>
          <w:lang w:val="fr-FR" w:eastAsia="en-AU"/>
        </w:rPr>
        <w:t xml:space="preserve"> et al., 2009 ; Wright et al., 2022). Des recherches ont montré que la migration de frai pourrait ne pas être aussi synchronisée qu’on le pensait auparavant et que les cohortes d’échappées pourraient se mélanger en fonction de la distance par rapport à la mer des Sargasses (</w:t>
      </w:r>
      <w:proofErr w:type="spellStart"/>
      <w:r>
        <w:rPr>
          <w:rFonts w:ascii="Arial" w:hAnsi="Arial" w:cs="Arial"/>
          <w:color w:val="000000"/>
          <w:sz w:val="22"/>
          <w:szCs w:val="18"/>
          <w:lang w:val="fr-FR" w:eastAsia="en-AU"/>
        </w:rPr>
        <w:t>Righton</w:t>
      </w:r>
      <w:proofErr w:type="spellEnd"/>
      <w:r>
        <w:rPr>
          <w:rFonts w:ascii="Arial" w:hAnsi="Arial" w:cs="Arial"/>
          <w:color w:val="000000"/>
          <w:sz w:val="22"/>
          <w:szCs w:val="18"/>
          <w:lang w:val="fr-FR" w:eastAsia="en-AU"/>
        </w:rPr>
        <w:t xml:space="preserve"> et al., 2016).</w:t>
      </w:r>
    </w:p>
    <w:p w14:paraId="00DD569A" w14:textId="77777777" w:rsidR="00923B2C" w:rsidRDefault="00923B2C">
      <w:pPr>
        <w:widowControl w:val="0"/>
        <w:autoSpaceDE w:val="0"/>
        <w:autoSpaceDN w:val="0"/>
        <w:adjustRightInd w:val="0"/>
        <w:spacing w:after="0" w:line="240" w:lineRule="auto"/>
        <w:jc w:val="both"/>
        <w:rPr>
          <w:rFonts w:ascii="Arial" w:eastAsia="Times New Roman" w:hAnsi="Arial" w:cs="Arial"/>
          <w:snapToGrid w:val="0"/>
          <w:color w:val="000000"/>
          <w:lang w:val="fr-FR" w:eastAsia="en-AU"/>
        </w:rPr>
      </w:pPr>
    </w:p>
    <w:p w14:paraId="46500665" w14:textId="77777777" w:rsidR="00923B2C" w:rsidRDefault="009C7B40">
      <w:pPr>
        <w:pStyle w:val="ListParagraph"/>
        <w:numPr>
          <w:ilvl w:val="0"/>
          <w:numId w:val="4"/>
        </w:numPr>
        <w:autoSpaceDE w:val="0"/>
        <w:autoSpaceDN w:val="0"/>
        <w:adjustRightInd w:val="0"/>
        <w:ind w:left="567" w:hanging="567"/>
        <w:jc w:val="both"/>
        <w:rPr>
          <w:rFonts w:ascii="Arial" w:hAnsi="Arial" w:cs="Arial"/>
          <w:color w:val="000000"/>
          <w:sz w:val="22"/>
          <w:szCs w:val="18"/>
          <w:lang w:val="fr-FR" w:eastAsia="en-AU"/>
        </w:rPr>
      </w:pPr>
      <w:r>
        <w:rPr>
          <w:rFonts w:ascii="Arial" w:hAnsi="Arial" w:cs="Arial"/>
          <w:color w:val="000000"/>
          <w:sz w:val="22"/>
          <w:szCs w:val="18"/>
          <w:lang w:val="fr-FR" w:eastAsia="en-AU"/>
        </w:rPr>
        <w:t xml:space="preserve">Le nom commun de </w:t>
      </w:r>
      <w:r>
        <w:rPr>
          <w:rFonts w:ascii="Arial" w:hAnsi="Arial" w:cs="Arial"/>
          <w:i/>
          <w:iCs/>
          <w:color w:val="000000"/>
          <w:sz w:val="22"/>
          <w:szCs w:val="18"/>
          <w:lang w:val="fr-FR" w:eastAsia="en-AU"/>
        </w:rPr>
        <w:t xml:space="preserve">A. </w:t>
      </w:r>
      <w:proofErr w:type="spellStart"/>
      <w:r>
        <w:rPr>
          <w:rFonts w:ascii="Arial" w:hAnsi="Arial" w:cs="Arial"/>
          <w:i/>
          <w:iCs/>
          <w:color w:val="000000"/>
          <w:sz w:val="22"/>
          <w:szCs w:val="18"/>
          <w:lang w:val="fr-FR" w:eastAsia="en-AU"/>
        </w:rPr>
        <w:t>anguilla</w:t>
      </w:r>
      <w:proofErr w:type="spellEnd"/>
      <w:r>
        <w:rPr>
          <w:rFonts w:ascii="Arial" w:hAnsi="Arial" w:cs="Arial"/>
          <w:color w:val="000000"/>
          <w:sz w:val="22"/>
          <w:szCs w:val="18"/>
          <w:lang w:val="fr-FR" w:eastAsia="en-AU"/>
        </w:rPr>
        <w:t xml:space="preserve"> – l’anguille européenne – indique la répartition majoritaire de l’espèce. Cependant, son aire de répartition complète est décrite comme allant de l’Islande au Cap Nord en Norvège, vers le sud le long de la côte européenne, de la Méditerranée et de la côte nord-africaine (Figure 2) (Schmidt, 1922 ; Dekker, 2003). On la trouve parfois dans la mer Blanche et la mer de Barents, dans la rivière </w:t>
      </w:r>
      <w:proofErr w:type="spellStart"/>
      <w:r>
        <w:rPr>
          <w:rFonts w:ascii="Arial" w:hAnsi="Arial" w:cs="Arial"/>
          <w:color w:val="000000"/>
          <w:sz w:val="22"/>
          <w:szCs w:val="18"/>
          <w:lang w:val="fr-FR" w:eastAsia="en-AU"/>
        </w:rPr>
        <w:t>Pechora</w:t>
      </w:r>
      <w:proofErr w:type="spellEnd"/>
      <w:r>
        <w:rPr>
          <w:rFonts w:ascii="Arial" w:hAnsi="Arial" w:cs="Arial"/>
          <w:color w:val="000000"/>
          <w:sz w:val="22"/>
          <w:szCs w:val="18"/>
          <w:lang w:val="fr-FR" w:eastAsia="en-AU"/>
        </w:rPr>
        <w:t xml:space="preserve"> au nord-ouest de la Russie, ainsi que dans la mer Noire. Historiquement, son aire de répartition était probablement plus vaste (</w:t>
      </w:r>
      <w:proofErr w:type="spellStart"/>
      <w:r>
        <w:rPr>
          <w:rFonts w:ascii="Arial" w:hAnsi="Arial" w:cs="Arial"/>
          <w:color w:val="000000"/>
          <w:sz w:val="22"/>
          <w:szCs w:val="18"/>
          <w:lang w:val="fr-FR" w:eastAsia="en-AU"/>
        </w:rPr>
        <w:t>Bevacqua</w:t>
      </w:r>
      <w:proofErr w:type="spellEnd"/>
      <w:r>
        <w:rPr>
          <w:rFonts w:ascii="Arial" w:hAnsi="Arial" w:cs="Arial"/>
          <w:color w:val="000000"/>
          <w:sz w:val="22"/>
          <w:szCs w:val="18"/>
          <w:lang w:val="fr-FR" w:eastAsia="en-AU"/>
        </w:rPr>
        <w:t xml:space="preserve"> et al., 2015 ; </w:t>
      </w:r>
      <w:proofErr w:type="spellStart"/>
      <w:r>
        <w:rPr>
          <w:rFonts w:ascii="Arial" w:hAnsi="Arial" w:cs="Arial"/>
          <w:color w:val="000000"/>
          <w:sz w:val="22"/>
          <w:szCs w:val="18"/>
          <w:lang w:val="fr-FR" w:eastAsia="en-AU"/>
        </w:rPr>
        <w:t>Kettle</w:t>
      </w:r>
      <w:proofErr w:type="spellEnd"/>
      <w:r>
        <w:rPr>
          <w:rFonts w:ascii="Arial" w:hAnsi="Arial" w:cs="Arial"/>
          <w:color w:val="000000"/>
          <w:sz w:val="22"/>
          <w:szCs w:val="18"/>
          <w:lang w:val="fr-FR" w:eastAsia="en-AU"/>
        </w:rPr>
        <w:t xml:space="preserve"> et al., 2011).</w:t>
      </w:r>
    </w:p>
    <w:p w14:paraId="0712303B" w14:textId="77777777" w:rsidR="00923B2C" w:rsidRDefault="00923B2C">
      <w:pPr>
        <w:widowControl w:val="0"/>
        <w:autoSpaceDE w:val="0"/>
        <w:autoSpaceDN w:val="0"/>
        <w:adjustRightInd w:val="0"/>
        <w:spacing w:after="0" w:line="240" w:lineRule="auto"/>
        <w:ind w:left="567" w:hanging="567"/>
        <w:jc w:val="both"/>
        <w:rPr>
          <w:rFonts w:ascii="Arial" w:eastAsia="Times New Roman" w:hAnsi="Arial" w:cs="Arial"/>
          <w:snapToGrid w:val="0"/>
          <w:color w:val="000000"/>
          <w:lang w:val="fr-FR" w:eastAsia="en-AU"/>
        </w:rPr>
      </w:pPr>
    </w:p>
    <w:p w14:paraId="6E95958E" w14:textId="576B3BE3" w:rsidR="00923B2C" w:rsidRPr="00A86F62" w:rsidRDefault="009C7B40" w:rsidP="00A86F62">
      <w:pPr>
        <w:pStyle w:val="ListParagraph"/>
        <w:numPr>
          <w:ilvl w:val="0"/>
          <w:numId w:val="4"/>
        </w:numPr>
        <w:autoSpaceDE w:val="0"/>
        <w:autoSpaceDN w:val="0"/>
        <w:adjustRightInd w:val="0"/>
        <w:ind w:left="567" w:hanging="567"/>
        <w:jc w:val="both"/>
        <w:rPr>
          <w:lang w:val="fr-FR"/>
        </w:rPr>
      </w:pPr>
      <w:r>
        <w:rPr>
          <w:rFonts w:ascii="Arial" w:hAnsi="Arial" w:cs="Arial"/>
          <w:color w:val="000000"/>
          <w:sz w:val="22"/>
          <w:szCs w:val="18"/>
          <w:lang w:val="fr-FR" w:eastAsia="en-AU"/>
        </w:rPr>
        <w:t>L’anguille européenne a été « introduite » en Asie de l’Est, soit par évasion, soit par libération depuis des élevages. Cependant, en raison du lieu de reproduction spécifique et de la migration associée des anguilles argentées de cette espèce, on pense qu’elles n’ont pas réussi à peupler la région au cours des générations suivantes.</w:t>
      </w:r>
      <w:r>
        <w:rPr>
          <w:rFonts w:ascii="Arial" w:hAnsi="Arial" w:cs="Arial"/>
          <w:lang w:val="fr-FR"/>
        </w:rPr>
        <w:t xml:space="preserve"> </w:t>
      </w:r>
    </w:p>
    <w:p w14:paraId="7B9768EF" w14:textId="77777777" w:rsidR="00923B2C" w:rsidRDefault="009C7B40">
      <w:pPr>
        <w:widowControl w:val="0"/>
        <w:autoSpaceDE w:val="0"/>
        <w:autoSpaceDN w:val="0"/>
        <w:adjustRightInd w:val="0"/>
        <w:spacing w:after="0" w:line="240" w:lineRule="auto"/>
        <w:jc w:val="center"/>
        <w:rPr>
          <w:rFonts w:ascii="Arial" w:hAnsi="Arial" w:cs="Arial"/>
          <w:b/>
          <w:bCs/>
          <w:lang w:val="fr-FR"/>
        </w:rPr>
      </w:pPr>
      <w:r>
        <w:rPr>
          <w:rFonts w:ascii="Arial" w:hAnsi="Arial" w:cs="Arial"/>
          <w:b/>
          <w:bCs/>
          <w:noProof/>
          <w:lang w:val="fr-FR" w:eastAsia="fr-FR"/>
        </w:rPr>
        <w:drawing>
          <wp:inline distT="0" distB="0" distL="0" distR="0" wp14:anchorId="15497550" wp14:editId="3E263D27">
            <wp:extent cx="5661596" cy="3279749"/>
            <wp:effectExtent l="0" t="0" r="3175" b="0"/>
            <wp:docPr id="2125912595" name="Picture 17" descr="A map of europe with orang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2595" name="Picture 17" descr="A map of europe with orange spots&#10;&#10;AI-generated content may be incorrect."/>
                    <pic:cNvPicPr/>
                  </pic:nvPicPr>
                  <pic:blipFill rotWithShape="1">
                    <a:blip r:embed="rId16" cstate="print">
                      <a:extLst>
                        <a:ext uri="{28A0092B-C50C-407E-A947-70E740481C1C}">
                          <a14:useLocalDpi xmlns:a14="http://schemas.microsoft.com/office/drawing/2010/main" val="0"/>
                        </a:ext>
                      </a:extLst>
                    </a:blip>
                    <a:srcRect b="1900"/>
                    <a:stretch>
                      <a:fillRect/>
                    </a:stretch>
                  </pic:blipFill>
                  <pic:spPr bwMode="auto">
                    <a:xfrm>
                      <a:off x="0" y="0"/>
                      <a:ext cx="5690996" cy="3296780"/>
                    </a:xfrm>
                    <a:prstGeom prst="rect">
                      <a:avLst/>
                    </a:prstGeom>
                    <a:ln>
                      <a:noFill/>
                    </a:ln>
                    <a:extLst>
                      <a:ext uri="{53640926-AAD7-44D8-BBD7-CCE9431645EC}">
                        <a14:shadowObscured xmlns:a14="http://schemas.microsoft.com/office/drawing/2010/main"/>
                      </a:ext>
                    </a:extLst>
                  </pic:spPr>
                </pic:pic>
              </a:graphicData>
            </a:graphic>
          </wp:inline>
        </w:drawing>
      </w:r>
    </w:p>
    <w:p w14:paraId="7AA19EDE" w14:textId="77777777" w:rsidR="00923B2C" w:rsidRDefault="00923B2C">
      <w:pPr>
        <w:widowControl w:val="0"/>
        <w:autoSpaceDE w:val="0"/>
        <w:autoSpaceDN w:val="0"/>
        <w:adjustRightInd w:val="0"/>
        <w:spacing w:after="0" w:line="240" w:lineRule="auto"/>
        <w:jc w:val="center"/>
        <w:rPr>
          <w:rFonts w:ascii="Arial" w:hAnsi="Arial" w:cs="Arial"/>
          <w:b/>
          <w:bCs/>
          <w:lang w:val="fr-FR"/>
        </w:rPr>
      </w:pPr>
    </w:p>
    <w:p w14:paraId="2558A934" w14:textId="77777777" w:rsidR="00923B2C" w:rsidRDefault="009C7B40">
      <w:pPr>
        <w:widowControl w:val="0"/>
        <w:autoSpaceDE w:val="0"/>
        <w:autoSpaceDN w:val="0"/>
        <w:adjustRightInd w:val="0"/>
        <w:spacing w:after="0" w:line="240" w:lineRule="auto"/>
        <w:jc w:val="both"/>
        <w:rPr>
          <w:rFonts w:ascii="Arial" w:eastAsia="Times New Roman" w:hAnsi="Arial" w:cs="Arial"/>
          <w:snapToGrid w:val="0"/>
          <w:color w:val="000000"/>
          <w:sz w:val="20"/>
          <w:szCs w:val="20"/>
          <w:lang w:val="fr-FR" w:eastAsia="en-AU"/>
        </w:rPr>
      </w:pPr>
      <w:r>
        <w:rPr>
          <w:rFonts w:ascii="Arial" w:hAnsi="Arial" w:cs="Arial"/>
          <w:b/>
          <w:bCs/>
          <w:sz w:val="20"/>
          <w:szCs w:val="20"/>
          <w:lang w:val="fr-FR"/>
        </w:rPr>
        <w:t xml:space="preserve">Figure 2 : </w:t>
      </w:r>
      <w:r>
        <w:rPr>
          <w:rFonts w:ascii="Arial" w:hAnsi="Arial" w:cs="Arial"/>
          <w:sz w:val="20"/>
          <w:szCs w:val="20"/>
          <w:lang w:val="fr-FR"/>
        </w:rPr>
        <w:t xml:space="preserve">Répartition de </w:t>
      </w:r>
      <w:r>
        <w:rPr>
          <w:rFonts w:ascii="Arial" w:hAnsi="Arial" w:cs="Arial"/>
          <w:i/>
          <w:sz w:val="20"/>
          <w:szCs w:val="20"/>
          <w:lang w:val="fr-FR"/>
        </w:rPr>
        <w:t xml:space="preserve">A. </w:t>
      </w:r>
      <w:proofErr w:type="spellStart"/>
      <w:r>
        <w:rPr>
          <w:rFonts w:ascii="Arial" w:hAnsi="Arial" w:cs="Arial"/>
          <w:i/>
          <w:sz w:val="20"/>
          <w:szCs w:val="20"/>
          <w:lang w:val="fr-FR"/>
        </w:rPr>
        <w:t>anguilla</w:t>
      </w:r>
      <w:proofErr w:type="spellEnd"/>
      <w:r>
        <w:rPr>
          <w:rFonts w:ascii="Arial" w:hAnsi="Arial" w:cs="Arial"/>
          <w:i/>
          <w:sz w:val="20"/>
          <w:szCs w:val="20"/>
          <w:lang w:val="fr-FR"/>
        </w:rPr>
        <w:t xml:space="preserve"> </w:t>
      </w:r>
      <w:r>
        <w:rPr>
          <w:rFonts w:ascii="Arial" w:hAnsi="Arial" w:cs="Arial"/>
          <w:sz w:val="20"/>
          <w:szCs w:val="20"/>
          <w:lang w:val="fr-FR"/>
        </w:rPr>
        <w:t>(couvrant également les zones de repeuplement)</w:t>
      </w:r>
      <w:r>
        <w:rPr>
          <w:rFonts w:ascii="Arial" w:hAnsi="Arial" w:cs="Arial"/>
          <w:i/>
          <w:sz w:val="20"/>
          <w:szCs w:val="20"/>
          <w:lang w:val="fr-FR"/>
        </w:rPr>
        <w:t xml:space="preserve"> – </w:t>
      </w:r>
      <w:r>
        <w:rPr>
          <w:rFonts w:ascii="Arial" w:hAnsi="Arial" w:cs="Arial"/>
          <w:iCs/>
          <w:sz w:val="20"/>
          <w:szCs w:val="20"/>
          <w:lang w:val="fr-FR"/>
        </w:rPr>
        <w:t xml:space="preserve">les points représentent l’occurrence des larves de leptocéphales capturées lors des études scientifiques </w:t>
      </w:r>
      <w:r>
        <w:rPr>
          <w:rFonts w:ascii="Arial" w:eastAsia="Times New Roman" w:hAnsi="Arial" w:cs="Arial"/>
          <w:snapToGrid w:val="0"/>
          <w:color w:val="000000"/>
          <w:sz w:val="20"/>
          <w:szCs w:val="20"/>
          <w:lang w:val="fr-FR" w:eastAsia="en-AU"/>
        </w:rPr>
        <w:t>(adapté du CIEM, 2023 ; en utilisant les données de Briand et al., 2025)</w:t>
      </w:r>
      <w:r>
        <w:rPr>
          <w:rFonts w:ascii="Arial" w:hAnsi="Arial" w:cs="Arial"/>
          <w:sz w:val="20"/>
          <w:szCs w:val="20"/>
          <w:lang w:val="fr-FR"/>
        </w:rPr>
        <w:t>.</w:t>
      </w:r>
      <w:r>
        <w:rPr>
          <w:rStyle w:val="FootnoteReference"/>
          <w:rFonts w:ascii="Arial" w:hAnsi="Arial" w:cs="Arial"/>
          <w:sz w:val="20"/>
          <w:szCs w:val="20"/>
          <w:vertAlign w:val="superscript"/>
          <w:lang w:val="fr-FR"/>
        </w:rPr>
        <w:footnoteReference w:id="4"/>
      </w:r>
    </w:p>
    <w:p w14:paraId="556001C9" w14:textId="77777777" w:rsidR="00923B2C" w:rsidRDefault="00923B2C">
      <w:pPr>
        <w:widowControl w:val="0"/>
        <w:autoSpaceDE w:val="0"/>
        <w:autoSpaceDN w:val="0"/>
        <w:adjustRightInd w:val="0"/>
        <w:spacing w:after="0" w:line="240" w:lineRule="auto"/>
        <w:jc w:val="both"/>
        <w:rPr>
          <w:rFonts w:ascii="Arial" w:eastAsia="Times New Roman" w:hAnsi="Arial" w:cs="Arial"/>
          <w:snapToGrid w:val="0"/>
          <w:color w:val="000000"/>
          <w:lang w:val="fr-FR" w:eastAsia="en-AU"/>
        </w:rPr>
      </w:pPr>
    </w:p>
    <w:p w14:paraId="5F316A50" w14:textId="77777777" w:rsidR="00923B2C" w:rsidRDefault="009C7B40">
      <w:pPr>
        <w:pStyle w:val="Heading2"/>
        <w:ind w:left="567" w:hanging="567"/>
        <w:rPr>
          <w:sz w:val="22"/>
          <w:szCs w:val="22"/>
          <w:lang w:val="fr-FR"/>
        </w:rPr>
      </w:pPr>
      <w:bookmarkStart w:id="9" w:name="_Toc212501811"/>
      <w:r>
        <w:rPr>
          <w:sz w:val="22"/>
          <w:szCs w:val="22"/>
          <w:lang w:val="fr-FR" w:eastAsia="en-AU"/>
        </w:rPr>
        <w:lastRenderedPageBreak/>
        <w:t xml:space="preserve">2.3 </w:t>
      </w:r>
      <w:r>
        <w:rPr>
          <w:sz w:val="22"/>
          <w:szCs w:val="22"/>
          <w:lang w:val="fr-FR" w:eastAsia="en-AU"/>
        </w:rPr>
        <w:tab/>
        <w:t>Productivité et tendance de la population</w:t>
      </w:r>
      <w:bookmarkEnd w:id="9"/>
    </w:p>
    <w:p w14:paraId="05C8674B" w14:textId="77777777" w:rsidR="00923B2C" w:rsidRDefault="00923B2C">
      <w:pPr>
        <w:widowControl w:val="0"/>
        <w:autoSpaceDE w:val="0"/>
        <w:autoSpaceDN w:val="0"/>
        <w:adjustRightInd w:val="0"/>
        <w:spacing w:after="0" w:line="240" w:lineRule="auto"/>
        <w:jc w:val="both"/>
        <w:rPr>
          <w:rFonts w:ascii="Arial" w:eastAsia="Times New Roman" w:hAnsi="Arial" w:cs="Arial"/>
          <w:snapToGrid w:val="0"/>
          <w:color w:val="000000"/>
          <w:lang w:val="fr-FR" w:eastAsia="en-AU"/>
        </w:rPr>
      </w:pPr>
    </w:p>
    <w:p w14:paraId="742F4EC2" w14:textId="77777777" w:rsidR="00923B2C" w:rsidRDefault="009C7B40">
      <w:pPr>
        <w:pStyle w:val="ListParagraph"/>
        <w:numPr>
          <w:ilvl w:val="0"/>
          <w:numId w:val="4"/>
        </w:numPr>
        <w:autoSpaceDE w:val="0"/>
        <w:autoSpaceDN w:val="0"/>
        <w:adjustRightInd w:val="0"/>
        <w:ind w:left="567" w:hanging="567"/>
        <w:jc w:val="both"/>
        <w:rPr>
          <w:rFonts w:ascii="Arial" w:hAnsi="Arial" w:cs="Arial"/>
          <w:color w:val="000000"/>
          <w:sz w:val="22"/>
          <w:szCs w:val="18"/>
          <w:lang w:val="fr-FR" w:eastAsia="en-AU"/>
        </w:rPr>
      </w:pPr>
      <w:r>
        <w:rPr>
          <w:rFonts w:ascii="Arial" w:hAnsi="Arial" w:cs="Arial"/>
          <w:color w:val="000000"/>
          <w:sz w:val="22"/>
          <w:szCs w:val="18"/>
          <w:lang w:val="fr-FR" w:eastAsia="en-AU"/>
        </w:rPr>
        <w:t>La longitude et la latitude, le sexe et la qualité de l’habitat peuvent avoir un effet sur la durée de génération chez l’anguille européenne. En outre, on estime que les anguilles argentées effectuent une migration larvaire de deux ans et une migration de frai d’un an (</w:t>
      </w:r>
      <w:proofErr w:type="spellStart"/>
      <w:r>
        <w:rPr>
          <w:rFonts w:ascii="Arial" w:hAnsi="Arial" w:cs="Arial"/>
          <w:color w:val="000000"/>
          <w:sz w:val="22"/>
          <w:szCs w:val="18"/>
          <w:lang w:val="fr-FR" w:eastAsia="en-AU"/>
        </w:rPr>
        <w:t>Righton</w:t>
      </w:r>
      <w:proofErr w:type="spellEnd"/>
      <w:r>
        <w:rPr>
          <w:rFonts w:ascii="Arial" w:hAnsi="Arial" w:cs="Arial"/>
          <w:color w:val="000000"/>
          <w:sz w:val="22"/>
          <w:szCs w:val="18"/>
          <w:lang w:val="fr-FR" w:eastAsia="en-AU"/>
        </w:rPr>
        <w:t xml:space="preserve"> et al., 2016). Actuellement, la durée moyenne d’une génération est estimée à 12 ans (Pike, </w:t>
      </w:r>
      <w:proofErr w:type="spellStart"/>
      <w:r>
        <w:rPr>
          <w:rFonts w:ascii="Arial" w:hAnsi="Arial" w:cs="Arial"/>
          <w:color w:val="000000"/>
          <w:sz w:val="22"/>
          <w:szCs w:val="18"/>
          <w:lang w:val="fr-FR" w:eastAsia="en-AU"/>
        </w:rPr>
        <w:t>Crook</w:t>
      </w:r>
      <w:proofErr w:type="spellEnd"/>
      <w:r>
        <w:rPr>
          <w:rFonts w:ascii="Arial" w:hAnsi="Arial" w:cs="Arial"/>
          <w:color w:val="000000"/>
          <w:sz w:val="22"/>
          <w:szCs w:val="18"/>
          <w:lang w:val="fr-FR" w:eastAsia="en-AU"/>
        </w:rPr>
        <w:t xml:space="preserve"> et </w:t>
      </w:r>
      <w:proofErr w:type="spellStart"/>
      <w:r>
        <w:rPr>
          <w:rFonts w:ascii="Arial" w:hAnsi="Arial" w:cs="Arial"/>
          <w:color w:val="000000"/>
          <w:sz w:val="22"/>
          <w:szCs w:val="18"/>
          <w:lang w:val="fr-FR" w:eastAsia="en-AU"/>
        </w:rPr>
        <w:t>Gollock</w:t>
      </w:r>
      <w:proofErr w:type="spellEnd"/>
      <w:r>
        <w:rPr>
          <w:rFonts w:ascii="Arial" w:hAnsi="Arial" w:cs="Arial"/>
          <w:color w:val="000000"/>
          <w:sz w:val="22"/>
          <w:szCs w:val="18"/>
          <w:lang w:val="fr-FR" w:eastAsia="en-AU"/>
        </w:rPr>
        <w:t>, 2020).</w:t>
      </w:r>
    </w:p>
    <w:p w14:paraId="55ED5040" w14:textId="77777777" w:rsidR="00923B2C" w:rsidRDefault="00923B2C">
      <w:pPr>
        <w:pStyle w:val="ListParagraph"/>
        <w:autoSpaceDE w:val="0"/>
        <w:autoSpaceDN w:val="0"/>
        <w:adjustRightInd w:val="0"/>
        <w:ind w:left="567" w:hanging="567"/>
        <w:jc w:val="both"/>
        <w:rPr>
          <w:rFonts w:ascii="Arial" w:hAnsi="Arial" w:cs="Arial"/>
          <w:color w:val="000000"/>
          <w:sz w:val="22"/>
          <w:szCs w:val="18"/>
          <w:lang w:val="fr-FR" w:eastAsia="en-AU"/>
        </w:rPr>
      </w:pPr>
    </w:p>
    <w:p w14:paraId="0C2C971F" w14:textId="77777777" w:rsidR="00923B2C" w:rsidRDefault="009C7B40">
      <w:pPr>
        <w:pStyle w:val="ListParagraph"/>
        <w:numPr>
          <w:ilvl w:val="0"/>
          <w:numId w:val="4"/>
        </w:numPr>
        <w:autoSpaceDE w:val="0"/>
        <w:autoSpaceDN w:val="0"/>
        <w:adjustRightInd w:val="0"/>
        <w:ind w:left="567" w:hanging="567"/>
        <w:jc w:val="both"/>
        <w:rPr>
          <w:rFonts w:ascii="Arial" w:hAnsi="Arial" w:cs="Arial"/>
          <w:color w:val="000000"/>
          <w:sz w:val="22"/>
          <w:szCs w:val="18"/>
          <w:lang w:val="fr-FR" w:eastAsia="en-AU"/>
        </w:rPr>
      </w:pPr>
      <w:r>
        <w:rPr>
          <w:rFonts w:ascii="Arial" w:hAnsi="Arial" w:cs="Arial"/>
          <w:color w:val="000000"/>
          <w:sz w:val="22"/>
          <w:szCs w:val="18"/>
          <w:lang w:val="fr-FR" w:eastAsia="en-AU"/>
        </w:rPr>
        <w:t xml:space="preserve">L’évaluation de l’état de la population de l’anguille européenne est un défi. La relation entre le stock et le recrutement n’est pas bien comprise ; il peut s’écouler des dizaines d’années entre le recrutement et l’échappée ultérieure des anguilles argentées. De plus, comme ces dernières sont panmictiques, l’échappée d’une zone ne se traduit pas directement par un retour du recrutement larvaire dans la même localité (CIEM, 2024a). Ainsi, l’évaluation de la population nécessite un examen conjoint des stades de vie suivants : le recrutement des juvéniles, les anguilles jaunes continentales et les anguilles argentées en phase d’échappement (Jacoby et al., 2015). La quantité et la qualité des données sont très variables – il y a généralement plus de données concernant les stades de vie juvéniles et la partie nord de l’aire de répartition de l’espèce (CIEM, 2024b). Il convient de noter que la productivité/fécondité des adultes reproducteurs est très mal comprise en raison du site de reproduction pélagique. </w:t>
      </w:r>
    </w:p>
    <w:p w14:paraId="25AE3B02" w14:textId="77777777" w:rsidR="00923B2C" w:rsidRDefault="00923B2C">
      <w:pPr>
        <w:pStyle w:val="ListParagraph"/>
        <w:autoSpaceDE w:val="0"/>
        <w:autoSpaceDN w:val="0"/>
        <w:adjustRightInd w:val="0"/>
        <w:ind w:left="360"/>
        <w:jc w:val="both"/>
        <w:rPr>
          <w:rFonts w:ascii="Arial" w:hAnsi="Arial" w:cs="Arial"/>
          <w:color w:val="000000"/>
          <w:sz w:val="22"/>
          <w:szCs w:val="18"/>
          <w:lang w:val="fr-FR" w:eastAsia="en-AU"/>
        </w:rPr>
      </w:pPr>
    </w:p>
    <w:p w14:paraId="281A7ECA" w14:textId="77777777" w:rsidR="00923B2C" w:rsidRDefault="009C7B40">
      <w:pPr>
        <w:pStyle w:val="ListParagraph"/>
        <w:numPr>
          <w:ilvl w:val="0"/>
          <w:numId w:val="4"/>
        </w:numPr>
        <w:autoSpaceDE w:val="0"/>
        <w:autoSpaceDN w:val="0"/>
        <w:adjustRightInd w:val="0"/>
        <w:spacing w:after="80"/>
        <w:ind w:left="567" w:hanging="567"/>
        <w:jc w:val="both"/>
        <w:rPr>
          <w:rFonts w:ascii="Arial" w:hAnsi="Arial" w:cs="Arial"/>
          <w:color w:val="000000"/>
          <w:sz w:val="22"/>
          <w:szCs w:val="18"/>
          <w:lang w:val="fr-FR" w:eastAsia="en-AU"/>
        </w:rPr>
      </w:pPr>
      <w:r>
        <w:rPr>
          <w:rFonts w:ascii="Arial" w:hAnsi="Arial" w:cs="Arial"/>
          <w:color w:val="000000"/>
          <w:sz w:val="22"/>
          <w:szCs w:val="18"/>
          <w:lang w:val="fr-FR" w:eastAsia="en-AU"/>
        </w:rPr>
        <w:t xml:space="preserve">Actuellement, les données disponibles indiquent que le statut de l’anguille européenne est très préoccupant (CIEM, 2024a). Le recrutement a reculé de façon spectaculaire dans les années 80 et a atteint un niveau historiquement bas par rapport à la donnée de référence en 2011 – il reste très bas au moment de la rédaction de ce document (CIEM, 2024a). L’évaluation la plus récente de ces ensembles de données combinées, utilisant les catégories et critères de la Liste rouge de l’Union internationale pour la conservation de la nature (UICN), a abouti à une inscription sur la liste des espèces en danger critique d’extinction (Pike, </w:t>
      </w:r>
      <w:proofErr w:type="spellStart"/>
      <w:r>
        <w:rPr>
          <w:rFonts w:ascii="Arial" w:hAnsi="Arial" w:cs="Arial"/>
          <w:color w:val="000000"/>
          <w:sz w:val="22"/>
          <w:szCs w:val="18"/>
          <w:lang w:val="fr-FR" w:eastAsia="en-AU"/>
        </w:rPr>
        <w:t>Crook</w:t>
      </w:r>
      <w:proofErr w:type="spellEnd"/>
      <w:r>
        <w:rPr>
          <w:rFonts w:ascii="Arial" w:hAnsi="Arial" w:cs="Arial"/>
          <w:color w:val="000000"/>
          <w:sz w:val="22"/>
          <w:szCs w:val="18"/>
          <w:lang w:val="fr-FR" w:eastAsia="en-AU"/>
        </w:rPr>
        <w:t xml:space="preserve"> et </w:t>
      </w:r>
      <w:proofErr w:type="spellStart"/>
      <w:r>
        <w:rPr>
          <w:rFonts w:ascii="Arial" w:hAnsi="Arial" w:cs="Arial"/>
          <w:color w:val="000000"/>
          <w:sz w:val="22"/>
          <w:szCs w:val="18"/>
          <w:lang w:val="fr-FR" w:eastAsia="en-AU"/>
        </w:rPr>
        <w:t>Gollock</w:t>
      </w:r>
      <w:proofErr w:type="spellEnd"/>
      <w:r>
        <w:rPr>
          <w:rFonts w:ascii="Arial" w:hAnsi="Arial" w:cs="Arial"/>
          <w:color w:val="000000"/>
          <w:sz w:val="22"/>
          <w:szCs w:val="18"/>
          <w:lang w:val="fr-FR" w:eastAsia="en-AU"/>
        </w:rPr>
        <w:t xml:space="preserve">, 2020). Les indicateurs clés pour informer cette inscription sont les indices de stocks communs établis par la </w:t>
      </w:r>
      <w:r>
        <w:rPr>
          <w:rFonts w:ascii="Arial" w:hAnsi="Arial" w:cs="Arial"/>
          <w:sz w:val="22"/>
          <w:szCs w:val="18"/>
          <w:lang w:val="fr-FR"/>
        </w:rPr>
        <w:t xml:space="preserve">Commission européenne consultative pour les pêches et l’aquaculture dans les eaux intérieures (CECPAI), le </w:t>
      </w:r>
      <w:r>
        <w:rPr>
          <w:rFonts w:ascii="Arial" w:hAnsi="Arial" w:cs="Arial"/>
          <w:color w:val="000000"/>
          <w:sz w:val="22"/>
          <w:szCs w:val="18"/>
          <w:lang w:val="fr-FR" w:eastAsia="en-AU"/>
        </w:rPr>
        <w:t>Comité international pour l’exploration de la mer (CIEM) et le Groupe de travail sur l’anguille (WGEEL) de la Commission générale des pêches pour la Méditerranée (CGPM) (CIEM, 2024b). L’avis le plus récent du Comité international pour l'exploration de la mer (CIEM) concernant l’anguille européenne (CIEM, 2024a) est le suivant :</w:t>
      </w:r>
    </w:p>
    <w:p w14:paraId="1B7ED4AA" w14:textId="77777777" w:rsidR="00923B2C" w:rsidRDefault="009C7B40">
      <w:pPr>
        <w:widowControl w:val="0"/>
        <w:spacing w:after="80" w:line="240" w:lineRule="auto"/>
        <w:ind w:left="851" w:right="567"/>
        <w:jc w:val="both"/>
        <w:rPr>
          <w:rFonts w:ascii="Arial" w:eastAsia="Times New Roman" w:hAnsi="Arial" w:cs="Arial"/>
          <w:i/>
          <w:iCs/>
          <w:snapToGrid w:val="0"/>
          <w:color w:val="000000"/>
          <w:lang w:val="fr-FR" w:eastAsia="en-AU"/>
        </w:rPr>
      </w:pPr>
      <w:r>
        <w:rPr>
          <w:rFonts w:ascii="Arial" w:eastAsia="Times New Roman" w:hAnsi="Arial" w:cs="Arial"/>
          <w:i/>
          <w:iCs/>
          <w:snapToGrid w:val="0"/>
          <w:color w:val="000000"/>
          <w:lang w:val="fr-FR" w:eastAsia="en-AU"/>
        </w:rPr>
        <w:t>Le CIEM estime qu’en appliquant l’approche de précaution, les captures devraient être nulles dans tous les habitats en 2025. Cette approche s’applique aux captures récréatives et commerciales, y compris les captures d’anguilles de verre aux fins du repeuplement et l’aquaculture.</w:t>
      </w:r>
    </w:p>
    <w:p w14:paraId="6BB149F5" w14:textId="77777777" w:rsidR="00923B2C" w:rsidRDefault="009C7B40">
      <w:pPr>
        <w:widowControl w:val="0"/>
        <w:spacing w:after="80" w:line="240" w:lineRule="auto"/>
        <w:ind w:left="851" w:right="567"/>
        <w:jc w:val="both"/>
        <w:rPr>
          <w:rFonts w:ascii="Arial" w:eastAsia="Times New Roman" w:hAnsi="Arial" w:cs="Arial"/>
          <w:i/>
          <w:iCs/>
          <w:snapToGrid w:val="0"/>
          <w:color w:val="000000"/>
          <w:lang w:val="fr-FR" w:eastAsia="en-AU"/>
        </w:rPr>
      </w:pPr>
      <w:r>
        <w:rPr>
          <w:rFonts w:ascii="Arial" w:eastAsia="Times New Roman" w:hAnsi="Arial" w:cs="Arial"/>
          <w:i/>
          <w:iCs/>
          <w:snapToGrid w:val="0"/>
          <w:color w:val="000000"/>
          <w:lang w:val="fr-FR" w:eastAsia="en-AU"/>
        </w:rPr>
        <w:t>Sur la base d’une gestion fondée sur les écosystèmes, le CIEM estime que :</w:t>
      </w:r>
    </w:p>
    <w:p w14:paraId="0B6F31CB" w14:textId="77777777" w:rsidR="00923B2C" w:rsidRDefault="009C7B40">
      <w:pPr>
        <w:pStyle w:val="ListParagraph"/>
        <w:numPr>
          <w:ilvl w:val="0"/>
          <w:numId w:val="5"/>
        </w:numPr>
        <w:spacing w:after="80"/>
        <w:ind w:left="924" w:right="567" w:hanging="357"/>
        <w:jc w:val="both"/>
        <w:rPr>
          <w:rFonts w:ascii="Arial" w:hAnsi="Arial" w:cs="Arial"/>
          <w:i/>
          <w:iCs/>
          <w:color w:val="000000"/>
          <w:sz w:val="22"/>
          <w:szCs w:val="18"/>
          <w:lang w:val="fr-FR" w:eastAsia="en-AU"/>
        </w:rPr>
      </w:pPr>
      <w:r>
        <w:rPr>
          <w:rFonts w:ascii="Arial" w:hAnsi="Arial" w:cs="Arial"/>
          <w:i/>
          <w:iCs/>
          <w:color w:val="000000"/>
          <w:sz w:val="22"/>
          <w:szCs w:val="18"/>
          <w:lang w:val="fr-FR" w:eastAsia="en-AU"/>
        </w:rPr>
        <w:t>Toutes les mortalités anthropiques non liées à la pêche doivent être réduites à zéro.</w:t>
      </w:r>
    </w:p>
    <w:p w14:paraId="43D600E7" w14:textId="77777777" w:rsidR="00923B2C" w:rsidRDefault="009C7B40">
      <w:pPr>
        <w:pStyle w:val="ListParagraph"/>
        <w:numPr>
          <w:ilvl w:val="0"/>
          <w:numId w:val="5"/>
        </w:numPr>
        <w:ind w:left="924" w:right="567" w:hanging="357"/>
        <w:jc w:val="both"/>
        <w:rPr>
          <w:rFonts w:ascii="Arial" w:hAnsi="Arial" w:cs="Arial"/>
          <w:i/>
          <w:iCs/>
          <w:color w:val="000000"/>
          <w:sz w:val="22"/>
          <w:szCs w:val="18"/>
          <w:lang w:val="fr-FR" w:eastAsia="en-AU"/>
        </w:rPr>
      </w:pPr>
      <w:r>
        <w:rPr>
          <w:rFonts w:ascii="Arial" w:hAnsi="Arial" w:cs="Arial"/>
          <w:i/>
          <w:iCs/>
          <w:color w:val="000000"/>
          <w:sz w:val="22"/>
          <w:szCs w:val="18"/>
          <w:lang w:val="fr-FR" w:eastAsia="en-AU"/>
        </w:rPr>
        <w:t>La quantité et la qualité des habitats de l’anguille doivent être restaurées, ce qui inclut la restauration de la connectivité ainsi que des propriétés physiques, chimiques et biologiques des habitats.</w:t>
      </w:r>
    </w:p>
    <w:p w14:paraId="03ED74B0" w14:textId="77777777" w:rsidR="00923B2C" w:rsidRDefault="00923B2C">
      <w:pPr>
        <w:spacing w:after="0" w:line="240" w:lineRule="auto"/>
        <w:jc w:val="both"/>
        <w:rPr>
          <w:rFonts w:ascii="Arial" w:hAnsi="Arial" w:cs="Arial"/>
          <w:snapToGrid w:val="0"/>
          <w:lang w:val="fr-FR"/>
        </w:rPr>
      </w:pPr>
    </w:p>
    <w:p w14:paraId="47A24473"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 xml:space="preserve">La prédation représente également une menace pour </w:t>
      </w:r>
      <w:r>
        <w:rPr>
          <w:rStyle w:val="Emphasis"/>
          <w:rFonts w:ascii="Arial" w:hAnsi="Arial" w:cs="Arial"/>
          <w:sz w:val="22"/>
          <w:szCs w:val="22"/>
          <w:lang w:val="fr-FR"/>
        </w:rPr>
        <w:t xml:space="preserve">A. </w:t>
      </w:r>
      <w:proofErr w:type="spellStart"/>
      <w:r>
        <w:rPr>
          <w:rStyle w:val="Emphasis"/>
          <w:rFonts w:ascii="Arial" w:hAnsi="Arial" w:cs="Arial"/>
          <w:sz w:val="22"/>
          <w:szCs w:val="22"/>
          <w:lang w:val="fr-FR"/>
        </w:rPr>
        <w:t>anguilla</w:t>
      </w:r>
      <w:proofErr w:type="spellEnd"/>
      <w:r>
        <w:rPr>
          <w:rFonts w:ascii="Arial" w:hAnsi="Arial" w:cs="Arial"/>
          <w:sz w:val="22"/>
          <w:szCs w:val="22"/>
          <w:lang w:val="fr-FR"/>
        </w:rPr>
        <w:t xml:space="preserve">. Bien qu’il s’agisse dans certains cas d’un phénomène naturel, il est utile de comprendre l’impact de la prédation sur l’état général de la population, en particulier dans l’habitat marin, afin d’éclairer les mesures de gestion. Les cormorans et d’autres espèces ont fait l’objet de recherches récentes – la consommation d’anguilles par ces oiseaux est estimée être d’une quantité similaire à celle des débarquements de la pêche, tant dans la mer </w:t>
      </w:r>
      <w:r>
        <w:rPr>
          <w:rFonts w:ascii="Arial" w:hAnsi="Arial" w:cs="Arial"/>
          <w:sz w:val="22"/>
          <w:szCs w:val="22"/>
          <w:lang w:val="fr-FR"/>
        </w:rPr>
        <w:lastRenderedPageBreak/>
        <w:t xml:space="preserve">Baltique (Hansson </w:t>
      </w:r>
      <w:r>
        <w:rPr>
          <w:rStyle w:val="Emphasis"/>
          <w:rFonts w:ascii="Arial" w:hAnsi="Arial" w:cs="Arial"/>
          <w:i w:val="0"/>
          <w:iCs w:val="0"/>
          <w:sz w:val="22"/>
          <w:szCs w:val="22"/>
          <w:lang w:val="fr-FR"/>
        </w:rPr>
        <w:t>et al</w:t>
      </w:r>
      <w:r>
        <w:rPr>
          <w:rFonts w:ascii="Arial" w:hAnsi="Arial" w:cs="Arial"/>
          <w:sz w:val="22"/>
          <w:szCs w:val="22"/>
          <w:lang w:val="fr-FR"/>
        </w:rPr>
        <w:t>., 2017) que dans certains lacs de Suède (</w:t>
      </w:r>
      <w:proofErr w:type="spellStart"/>
      <w:r>
        <w:rPr>
          <w:rFonts w:ascii="Arial" w:hAnsi="Arial" w:cs="Arial"/>
          <w:sz w:val="22"/>
          <w:szCs w:val="22"/>
          <w:lang w:val="fr-FR"/>
        </w:rPr>
        <w:t>Ovegård</w:t>
      </w:r>
      <w:proofErr w:type="spellEnd"/>
      <w:r>
        <w:rPr>
          <w:rFonts w:ascii="Arial" w:hAnsi="Arial" w:cs="Arial"/>
          <w:sz w:val="22"/>
          <w:szCs w:val="22"/>
          <w:lang w:val="fr-FR"/>
        </w:rPr>
        <w:t>, 2017). Les résultats de la littérature scientifique ne sont cependant pas concordants, et une autre étude sur le régime alimentaire des cormorans n’a pas mis en évidence d’anguille (</w:t>
      </w:r>
      <w:proofErr w:type="spellStart"/>
      <w:r>
        <w:rPr>
          <w:rFonts w:ascii="Arial" w:hAnsi="Arial" w:cs="Arial"/>
          <w:sz w:val="22"/>
          <w:szCs w:val="22"/>
          <w:lang w:val="fr-FR"/>
        </w:rPr>
        <w:t>Engström</w:t>
      </w:r>
      <w:proofErr w:type="spellEnd"/>
      <w:r>
        <w:rPr>
          <w:rFonts w:ascii="Arial" w:hAnsi="Arial" w:cs="Arial"/>
          <w:sz w:val="22"/>
          <w:szCs w:val="22"/>
          <w:lang w:val="fr-FR"/>
        </w:rPr>
        <w:t>, 2001). Des études de marquage océanique ont révélé que jusqu'à 50 % des anguilles sont consommées par des prédateurs au sommet de la chaîne alimentaire (</w:t>
      </w:r>
      <w:proofErr w:type="spellStart"/>
      <w:r>
        <w:rPr>
          <w:rFonts w:ascii="Arial" w:hAnsi="Arial" w:cs="Arial"/>
          <w:sz w:val="22"/>
          <w:szCs w:val="22"/>
          <w:lang w:val="fr-FR"/>
        </w:rPr>
        <w:t>Righton</w:t>
      </w:r>
      <w:proofErr w:type="spellEnd"/>
      <w:r>
        <w:rPr>
          <w:rFonts w:ascii="Arial" w:hAnsi="Arial" w:cs="Arial"/>
          <w:sz w:val="22"/>
          <w:szCs w:val="22"/>
          <w:lang w:val="fr-FR"/>
        </w:rPr>
        <w:t xml:space="preserve"> et al., 2016). L’échappement des anguilles argentées étant la mesure la plus proche que nous ayons d’un stock reproducteur, connaître la mortalité marine est extrêmement utile pour évaluer le succès des mesures de gestion continentale. </w:t>
      </w:r>
    </w:p>
    <w:p w14:paraId="3728D8AE" w14:textId="77777777" w:rsidR="00923B2C" w:rsidRDefault="00923B2C">
      <w:pPr>
        <w:widowControl w:val="0"/>
        <w:autoSpaceDE w:val="0"/>
        <w:autoSpaceDN w:val="0"/>
        <w:adjustRightInd w:val="0"/>
        <w:spacing w:after="0" w:line="240" w:lineRule="auto"/>
        <w:jc w:val="both"/>
        <w:rPr>
          <w:rFonts w:ascii="Arial" w:hAnsi="Arial" w:cs="Arial"/>
          <w:b/>
          <w:bCs/>
          <w:snapToGrid w:val="0"/>
          <w:sz w:val="24"/>
          <w:szCs w:val="24"/>
          <w:lang w:val="fr-FR"/>
        </w:rPr>
      </w:pPr>
    </w:p>
    <w:p w14:paraId="350D4A14" w14:textId="77777777" w:rsidR="00923B2C" w:rsidRDefault="009C7B40">
      <w:pPr>
        <w:pStyle w:val="Heading1"/>
        <w:ind w:left="567" w:hanging="567"/>
        <w:rPr>
          <w:sz w:val="22"/>
          <w:szCs w:val="22"/>
          <w:lang w:val="fr-FR"/>
        </w:rPr>
      </w:pPr>
      <w:bookmarkStart w:id="10" w:name="_Toc212501812"/>
      <w:r>
        <w:rPr>
          <w:sz w:val="22"/>
          <w:szCs w:val="22"/>
          <w:lang w:val="fr-FR"/>
        </w:rPr>
        <w:t>3. MENACES</w:t>
      </w:r>
      <w:r>
        <w:rPr>
          <w:sz w:val="22"/>
          <w:szCs w:val="22"/>
          <w:lang w:val="fr-FR"/>
        </w:rPr>
        <w:tab/>
      </w:r>
      <w:bookmarkEnd w:id="10"/>
    </w:p>
    <w:p w14:paraId="59DFA3F3" w14:textId="77777777" w:rsidR="00923B2C" w:rsidRDefault="00923B2C">
      <w:pPr>
        <w:widowControl w:val="0"/>
        <w:autoSpaceDE w:val="0"/>
        <w:autoSpaceDN w:val="0"/>
        <w:adjustRightInd w:val="0"/>
        <w:spacing w:after="0" w:line="240" w:lineRule="auto"/>
        <w:jc w:val="both"/>
        <w:rPr>
          <w:rFonts w:ascii="Arial" w:hAnsi="Arial" w:cs="Arial"/>
          <w:b/>
          <w:bCs/>
          <w:i/>
          <w:iCs/>
          <w:snapToGrid w:val="0"/>
          <w:sz w:val="24"/>
          <w:szCs w:val="24"/>
          <w:lang w:val="fr-FR"/>
        </w:rPr>
      </w:pPr>
    </w:p>
    <w:p w14:paraId="73A19470"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color w:val="000000"/>
          <w:sz w:val="22"/>
          <w:szCs w:val="22"/>
          <w:lang w:val="fr-FR"/>
        </w:rPr>
        <w:t xml:space="preserve">Il existe un large éventail de facteurs de causalité proposés pour ces déclins, qui peuvent affecter tous les stades de la vie (CIEM, 2024b). Cependant, </w:t>
      </w:r>
      <w:r>
        <w:rPr>
          <w:rFonts w:ascii="Arial" w:hAnsi="Arial" w:cs="Arial"/>
          <w:sz w:val="22"/>
          <w:szCs w:val="22"/>
          <w:lang w:val="fr-FR"/>
        </w:rPr>
        <w:t xml:space="preserve">l’ampleur d’une menace prise isolément, de même que les effets cumulatifs qu’elle peut exercer en interaction avec d’autres facteurs, demeurent mal compris (Jacoby et al., 2015). </w:t>
      </w:r>
      <w:r>
        <w:rPr>
          <w:rFonts w:ascii="Arial" w:hAnsi="Arial" w:cs="Arial"/>
          <w:bCs/>
          <w:iCs/>
          <w:snapToGrid w:val="0"/>
          <w:sz w:val="22"/>
          <w:szCs w:val="22"/>
          <w:lang w:val="fr-FR"/>
        </w:rPr>
        <w:t>Par conséquent, il est nécessaire de prendre en considération l’approche de précaution</w:t>
      </w:r>
      <w:r>
        <w:rPr>
          <w:rFonts w:ascii="Arial" w:hAnsi="Arial" w:cs="Arial"/>
          <w:sz w:val="22"/>
          <w:szCs w:val="22"/>
          <w:lang w:val="fr-FR"/>
        </w:rPr>
        <w:t xml:space="preserve"> lors de l’élaboration et de la mise en œuvre des mesures de conservation.</w:t>
      </w:r>
    </w:p>
    <w:p w14:paraId="18C893DC" w14:textId="77777777" w:rsidR="00923B2C" w:rsidRDefault="00923B2C">
      <w:pPr>
        <w:pStyle w:val="NormalWeb"/>
        <w:spacing w:before="0" w:beforeAutospacing="0" w:after="0" w:afterAutospacing="0"/>
        <w:ind w:left="567" w:hanging="567"/>
        <w:jc w:val="both"/>
        <w:rPr>
          <w:rFonts w:ascii="Arial" w:hAnsi="Arial" w:cs="Arial"/>
          <w:sz w:val="22"/>
          <w:szCs w:val="22"/>
          <w:lang w:val="fr-FR"/>
        </w:rPr>
      </w:pPr>
    </w:p>
    <w:p w14:paraId="61DD2C79" w14:textId="77777777" w:rsidR="00923B2C" w:rsidRPr="00A86F62"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napToGrid w:val="0"/>
          <w:sz w:val="22"/>
          <w:szCs w:val="22"/>
          <w:lang w:val="fr-FR"/>
        </w:rPr>
        <w:t xml:space="preserve">Nous présentons ci-dessous de très brefs résumés des principales menaces qui ont été proposées comme facteurs de déclin de l’abondance de l’anguille européenne, car il existe une littérature abondante qui les examine de manière plus approfondie (par exemple, </w:t>
      </w:r>
      <w:proofErr w:type="spellStart"/>
      <w:r>
        <w:rPr>
          <w:rFonts w:ascii="Arial" w:hAnsi="Arial" w:cs="Arial"/>
          <w:snapToGrid w:val="0"/>
          <w:sz w:val="22"/>
          <w:szCs w:val="22"/>
          <w:lang w:val="fr-FR"/>
        </w:rPr>
        <w:t>Righton</w:t>
      </w:r>
      <w:proofErr w:type="spellEnd"/>
      <w:r>
        <w:rPr>
          <w:rFonts w:ascii="Arial" w:hAnsi="Arial" w:cs="Arial"/>
          <w:snapToGrid w:val="0"/>
          <w:sz w:val="22"/>
          <w:szCs w:val="22"/>
          <w:lang w:val="fr-FR"/>
        </w:rPr>
        <w:t xml:space="preserve"> et al., 2021). L’</w:t>
      </w:r>
      <w:r>
        <w:rPr>
          <w:rFonts w:ascii="Arial" w:hAnsi="Arial" w:cs="Arial"/>
          <w:sz w:val="22"/>
          <w:szCs w:val="22"/>
          <w:lang w:val="fr-FR"/>
        </w:rPr>
        <w:t>Annexe du stock du CIEM</w:t>
      </w:r>
      <w:r>
        <w:rPr>
          <w:rFonts w:ascii="Arial" w:hAnsi="Arial" w:cs="Arial"/>
          <w:snapToGrid w:val="0"/>
          <w:sz w:val="22"/>
          <w:szCs w:val="22"/>
          <w:lang w:val="fr-FR"/>
        </w:rPr>
        <w:t xml:space="preserve"> pour l’anguille européenne fournit également un document de contexte très utile sur l’espèce (CIEM, 2023).</w:t>
      </w:r>
    </w:p>
    <w:p w14:paraId="1B190D94" w14:textId="77777777" w:rsidR="00A86F62" w:rsidRDefault="00A86F62" w:rsidP="00A86F62">
      <w:pPr>
        <w:pStyle w:val="NormalWeb"/>
        <w:spacing w:before="0" w:beforeAutospacing="0" w:after="0" w:afterAutospacing="0"/>
        <w:ind w:left="567"/>
        <w:jc w:val="both"/>
        <w:rPr>
          <w:rFonts w:ascii="Arial" w:hAnsi="Arial" w:cs="Arial"/>
          <w:sz w:val="22"/>
          <w:szCs w:val="22"/>
          <w:lang w:val="fr-FR"/>
        </w:rPr>
      </w:pPr>
    </w:p>
    <w:p w14:paraId="7CFFF7B8" w14:textId="77777777" w:rsidR="00923B2C" w:rsidRDefault="009C7B40">
      <w:pPr>
        <w:pStyle w:val="Heading2"/>
        <w:ind w:left="567" w:hanging="567"/>
        <w:rPr>
          <w:sz w:val="22"/>
          <w:szCs w:val="22"/>
          <w:lang w:val="fr-FR"/>
        </w:rPr>
      </w:pPr>
      <w:bookmarkStart w:id="11" w:name="_Toc212501813"/>
      <w:r>
        <w:rPr>
          <w:sz w:val="22"/>
          <w:szCs w:val="22"/>
          <w:lang w:val="fr-FR"/>
        </w:rPr>
        <w:t xml:space="preserve">3.1 </w:t>
      </w:r>
      <w:r>
        <w:rPr>
          <w:sz w:val="22"/>
          <w:szCs w:val="22"/>
          <w:lang w:val="fr-FR"/>
        </w:rPr>
        <w:tab/>
        <w:t>Obstacles à la migration</w:t>
      </w:r>
      <w:bookmarkEnd w:id="11"/>
    </w:p>
    <w:p w14:paraId="02CF3EEA" w14:textId="77777777" w:rsidR="00923B2C" w:rsidRDefault="00923B2C">
      <w:pPr>
        <w:pStyle w:val="NormalWeb"/>
        <w:spacing w:before="0" w:beforeAutospacing="0" w:after="0" w:afterAutospacing="0"/>
        <w:rPr>
          <w:rFonts w:ascii="Arial" w:hAnsi="Arial" w:cs="Arial"/>
          <w:lang w:val="fr-FR"/>
        </w:rPr>
      </w:pPr>
    </w:p>
    <w:p w14:paraId="63AD4E3A"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Les obstacles à la migration en amont et en aval dans les eaux continentales posent des problèmes à l’anguille européenne. Par exemple, en ce qui concerne les juvéniles qui peuplent les eaux continentales pendant leur migration en amont, l’habitat accessible a été réduit de 80 % par rapport au XIX</w:t>
      </w:r>
      <w:r>
        <w:rPr>
          <w:rFonts w:ascii="Arial" w:hAnsi="Arial" w:cs="Arial"/>
          <w:sz w:val="22"/>
          <w:szCs w:val="22"/>
          <w:vertAlign w:val="superscript"/>
          <w:lang w:val="fr-FR"/>
        </w:rPr>
        <w:t>e</w:t>
      </w:r>
      <w:r>
        <w:rPr>
          <w:rFonts w:ascii="Arial" w:hAnsi="Arial" w:cs="Arial"/>
          <w:sz w:val="22"/>
          <w:szCs w:val="22"/>
          <w:lang w:val="fr-FR"/>
        </w:rPr>
        <w:t xml:space="preserve"> siècle, en raison de la construction de barrages dans la péninsule Ibérique (</w:t>
      </w:r>
      <w:proofErr w:type="spellStart"/>
      <w:r>
        <w:rPr>
          <w:rFonts w:ascii="Arial" w:hAnsi="Arial" w:cs="Arial"/>
          <w:sz w:val="22"/>
          <w:szCs w:val="22"/>
          <w:lang w:val="fr-FR"/>
        </w:rPr>
        <w:t>Clavero</w:t>
      </w:r>
      <w:proofErr w:type="spellEnd"/>
      <w:r>
        <w:rPr>
          <w:rFonts w:ascii="Arial" w:hAnsi="Arial" w:cs="Arial"/>
          <w:sz w:val="22"/>
          <w:szCs w:val="22"/>
          <w:lang w:val="fr-FR"/>
        </w:rPr>
        <w:t xml:space="preserve"> et </w:t>
      </w:r>
      <w:proofErr w:type="spellStart"/>
      <w:r>
        <w:rPr>
          <w:rFonts w:ascii="Arial" w:hAnsi="Arial" w:cs="Arial"/>
          <w:sz w:val="22"/>
          <w:szCs w:val="22"/>
          <w:lang w:val="fr-FR"/>
        </w:rPr>
        <w:t>Hermoso</w:t>
      </w:r>
      <w:proofErr w:type="spellEnd"/>
      <w:r>
        <w:rPr>
          <w:rFonts w:ascii="Arial" w:hAnsi="Arial" w:cs="Arial"/>
          <w:sz w:val="22"/>
          <w:szCs w:val="22"/>
          <w:lang w:val="fr-FR"/>
        </w:rPr>
        <w:t>, 2015). On estime à un peu plus d’un million le nombre de barrières dans les rivières européennes, susceptibles d’avoir une incidence à la fois sur la migration en amont des juvéniles et sur la migration en aval des anguilles argentées. Un aperçu exhaustif des informations disponibles sur les barrières en Europe peut être consulté dans l’</w:t>
      </w:r>
      <w:hyperlink r:id="rId17" w:history="1">
        <w:r>
          <w:rPr>
            <w:rStyle w:val="Hyperlink"/>
            <w:rFonts w:ascii="Arial" w:hAnsi="Arial" w:cs="Arial"/>
            <w:sz w:val="22"/>
            <w:szCs w:val="22"/>
            <w:lang w:val="fr-FR"/>
          </w:rPr>
          <w:t xml:space="preserve">Amber </w:t>
        </w:r>
        <w:proofErr w:type="spellStart"/>
        <w:r>
          <w:rPr>
            <w:rStyle w:val="Hyperlink"/>
            <w:rFonts w:ascii="Arial" w:hAnsi="Arial" w:cs="Arial"/>
            <w:sz w:val="22"/>
            <w:szCs w:val="22"/>
            <w:lang w:val="fr-FR"/>
          </w:rPr>
          <w:t>Barrier</w:t>
        </w:r>
        <w:proofErr w:type="spellEnd"/>
        <w:r>
          <w:rPr>
            <w:rStyle w:val="Hyperlink"/>
            <w:rFonts w:ascii="Arial" w:hAnsi="Arial" w:cs="Arial"/>
            <w:sz w:val="22"/>
            <w:szCs w:val="22"/>
            <w:lang w:val="fr-FR"/>
          </w:rPr>
          <w:t xml:space="preserve"> Atlas</w:t>
        </w:r>
      </w:hyperlink>
      <w:r>
        <w:rPr>
          <w:rFonts w:ascii="Arial" w:hAnsi="Arial" w:cs="Arial"/>
          <w:sz w:val="22"/>
          <w:szCs w:val="22"/>
          <w:lang w:val="fr-FR"/>
        </w:rPr>
        <w:t xml:space="preserve">. La réduction de la disponibilité de l’habitat peut accroître la concurrence interspécifique et intraspécifique, et également réduire la condition physique des anguilles en cours de maturation en raison d’une diminution de la disponibilité de la nourriture et du dépôt de lipides. En plus de réduire l’habitat disponible, les installations hydroélectriques et les stations de pompage peuvent provoquer des blessures mortelles ou </w:t>
      </w:r>
      <w:proofErr w:type="spellStart"/>
      <w:r>
        <w:rPr>
          <w:rFonts w:ascii="Arial" w:hAnsi="Arial" w:cs="Arial"/>
          <w:sz w:val="22"/>
          <w:szCs w:val="22"/>
          <w:lang w:val="fr-FR"/>
        </w:rPr>
        <w:t>sublétales</w:t>
      </w:r>
      <w:proofErr w:type="spellEnd"/>
      <w:r>
        <w:rPr>
          <w:rFonts w:ascii="Arial" w:hAnsi="Arial" w:cs="Arial"/>
          <w:sz w:val="22"/>
          <w:szCs w:val="22"/>
          <w:lang w:val="fr-FR"/>
        </w:rPr>
        <w:t xml:space="preserve"> chez les anguilles argentées qui migrent vers l’aval pour entamer leur migration de frai. Dans certains pays, on considère que cela constitue la principale cause de mortalité anthropique (CIEM, 2019).</w:t>
      </w:r>
    </w:p>
    <w:p w14:paraId="0A9F0242" w14:textId="77777777" w:rsidR="00923B2C" w:rsidRDefault="00923B2C">
      <w:pPr>
        <w:spacing w:after="0" w:line="240" w:lineRule="auto"/>
        <w:jc w:val="both"/>
        <w:rPr>
          <w:rFonts w:ascii="Arial" w:hAnsi="Arial" w:cs="Arial"/>
          <w:snapToGrid w:val="0"/>
          <w:sz w:val="16"/>
          <w:szCs w:val="16"/>
          <w:lang w:val="fr-FR"/>
        </w:rPr>
      </w:pPr>
    </w:p>
    <w:p w14:paraId="112659C6" w14:textId="77777777" w:rsidR="00923B2C" w:rsidRDefault="009C7B40">
      <w:pPr>
        <w:pStyle w:val="Heading2"/>
        <w:ind w:left="567" w:hanging="567"/>
        <w:rPr>
          <w:sz w:val="22"/>
          <w:szCs w:val="22"/>
          <w:lang w:val="fr-FR"/>
        </w:rPr>
      </w:pPr>
      <w:bookmarkStart w:id="12" w:name="_Toc212501814"/>
      <w:r>
        <w:rPr>
          <w:sz w:val="22"/>
          <w:szCs w:val="22"/>
          <w:lang w:val="fr-FR"/>
        </w:rPr>
        <w:t xml:space="preserve">3.2 </w:t>
      </w:r>
      <w:r>
        <w:rPr>
          <w:sz w:val="22"/>
          <w:szCs w:val="22"/>
          <w:lang w:val="fr-FR"/>
        </w:rPr>
        <w:tab/>
        <w:t>Changement climatique</w:t>
      </w:r>
      <w:bookmarkEnd w:id="12"/>
    </w:p>
    <w:p w14:paraId="074EB276" w14:textId="77777777" w:rsidR="00923B2C" w:rsidRDefault="00923B2C">
      <w:pPr>
        <w:spacing w:after="0" w:line="240" w:lineRule="auto"/>
        <w:jc w:val="both"/>
        <w:rPr>
          <w:rFonts w:ascii="Arial" w:hAnsi="Arial" w:cs="Arial"/>
          <w:snapToGrid w:val="0"/>
          <w:sz w:val="24"/>
          <w:szCs w:val="24"/>
          <w:lang w:val="fr-FR"/>
        </w:rPr>
      </w:pPr>
    </w:p>
    <w:p w14:paraId="71210ED0" w14:textId="0A87582D"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 xml:space="preserve">On a émis l’hypothèse que le changement climatique joue un rôle dans les fluctuations de l’abondance de </w:t>
      </w:r>
      <w:r>
        <w:rPr>
          <w:rStyle w:val="Emphasis"/>
          <w:rFonts w:ascii="Arial" w:hAnsi="Arial" w:cs="Arial"/>
          <w:sz w:val="22"/>
          <w:szCs w:val="22"/>
          <w:lang w:val="fr-FR"/>
        </w:rPr>
        <w:t xml:space="preserve">A. </w:t>
      </w:r>
      <w:proofErr w:type="spellStart"/>
      <w:r>
        <w:rPr>
          <w:rStyle w:val="Emphasis"/>
          <w:rFonts w:ascii="Arial" w:hAnsi="Arial" w:cs="Arial"/>
          <w:sz w:val="22"/>
          <w:szCs w:val="22"/>
          <w:lang w:val="fr-FR"/>
        </w:rPr>
        <w:t>anguilla</w:t>
      </w:r>
      <w:proofErr w:type="spellEnd"/>
      <w:r>
        <w:rPr>
          <w:rFonts w:ascii="Arial" w:hAnsi="Arial" w:cs="Arial"/>
          <w:sz w:val="22"/>
          <w:szCs w:val="22"/>
          <w:lang w:val="fr-FR"/>
        </w:rPr>
        <w:t xml:space="preserve">, notamment dans le transport des larves et le recrutement des civelles. Ceci est dû à son impact sur la zone de reproduction (mer des Sargasses) et sur les conditions océaniques changeantes qui peuvent influencer le recrutement des civelles dans les environnements proches du rivage et en eau douce (par exemple, Miller </w:t>
      </w:r>
      <w:r>
        <w:rPr>
          <w:rStyle w:val="Emphasis"/>
          <w:rFonts w:ascii="Arial" w:hAnsi="Arial" w:cs="Arial"/>
          <w:i w:val="0"/>
          <w:iCs w:val="0"/>
          <w:sz w:val="22"/>
          <w:szCs w:val="22"/>
          <w:lang w:val="fr-FR"/>
        </w:rPr>
        <w:t>et al</w:t>
      </w:r>
      <w:r>
        <w:rPr>
          <w:rFonts w:ascii="Arial" w:hAnsi="Arial" w:cs="Arial"/>
          <w:sz w:val="22"/>
          <w:szCs w:val="22"/>
          <w:lang w:val="fr-FR"/>
        </w:rPr>
        <w:t xml:space="preserve">., 2009 ; </w:t>
      </w:r>
      <w:proofErr w:type="spellStart"/>
      <w:r>
        <w:rPr>
          <w:rFonts w:ascii="Arial" w:hAnsi="Arial" w:cs="Arial"/>
          <w:sz w:val="22"/>
          <w:szCs w:val="22"/>
          <w:lang w:val="fr-FR"/>
        </w:rPr>
        <w:t>Durif</w:t>
      </w:r>
      <w:proofErr w:type="spellEnd"/>
      <w:r>
        <w:rPr>
          <w:rFonts w:ascii="Arial" w:hAnsi="Arial" w:cs="Arial"/>
          <w:sz w:val="22"/>
          <w:szCs w:val="22"/>
          <w:lang w:val="fr-FR"/>
        </w:rPr>
        <w:t xml:space="preserve"> et </w:t>
      </w:r>
      <w:r>
        <w:rPr>
          <w:rStyle w:val="Emphasis"/>
          <w:rFonts w:ascii="Arial" w:hAnsi="Arial" w:cs="Arial"/>
          <w:i w:val="0"/>
          <w:iCs w:val="0"/>
          <w:sz w:val="22"/>
          <w:szCs w:val="22"/>
          <w:lang w:val="fr-FR"/>
        </w:rPr>
        <w:t>al</w:t>
      </w:r>
      <w:r>
        <w:rPr>
          <w:rFonts w:ascii="Arial" w:hAnsi="Arial" w:cs="Arial"/>
          <w:sz w:val="22"/>
          <w:szCs w:val="22"/>
          <w:lang w:val="fr-FR"/>
        </w:rPr>
        <w:t xml:space="preserve">., 2011 ; Henderson </w:t>
      </w:r>
      <w:r>
        <w:rPr>
          <w:rStyle w:val="Emphasis"/>
          <w:rFonts w:ascii="Arial" w:hAnsi="Arial" w:cs="Arial"/>
          <w:i w:val="0"/>
          <w:iCs w:val="0"/>
          <w:sz w:val="22"/>
          <w:szCs w:val="22"/>
          <w:lang w:val="fr-FR"/>
        </w:rPr>
        <w:t>et al</w:t>
      </w:r>
      <w:r>
        <w:rPr>
          <w:rFonts w:ascii="Arial" w:hAnsi="Arial" w:cs="Arial"/>
          <w:sz w:val="22"/>
          <w:szCs w:val="22"/>
          <w:lang w:val="fr-FR"/>
        </w:rPr>
        <w:t xml:space="preserve">., 2012 ; Baltazar-Soares </w:t>
      </w:r>
      <w:r>
        <w:rPr>
          <w:rStyle w:val="Emphasis"/>
          <w:rFonts w:ascii="Arial" w:hAnsi="Arial" w:cs="Arial"/>
          <w:i w:val="0"/>
          <w:iCs w:val="0"/>
          <w:sz w:val="22"/>
          <w:szCs w:val="22"/>
          <w:lang w:val="fr-FR"/>
        </w:rPr>
        <w:t>et al</w:t>
      </w:r>
      <w:r>
        <w:rPr>
          <w:rFonts w:ascii="Arial" w:hAnsi="Arial" w:cs="Arial"/>
          <w:sz w:val="22"/>
          <w:szCs w:val="22"/>
          <w:lang w:val="fr-FR"/>
        </w:rPr>
        <w:t xml:space="preserve">., 2014 ; </w:t>
      </w:r>
      <w:proofErr w:type="spellStart"/>
      <w:r>
        <w:rPr>
          <w:rFonts w:ascii="Arial" w:hAnsi="Arial" w:cs="Arial"/>
          <w:sz w:val="22"/>
          <w:szCs w:val="22"/>
          <w:lang w:val="fr-FR"/>
        </w:rPr>
        <w:t>Pacariz</w:t>
      </w:r>
      <w:proofErr w:type="spellEnd"/>
      <w:r>
        <w:rPr>
          <w:rFonts w:ascii="Arial" w:hAnsi="Arial" w:cs="Arial"/>
          <w:sz w:val="22"/>
          <w:szCs w:val="22"/>
          <w:lang w:val="fr-FR"/>
        </w:rPr>
        <w:t xml:space="preserve"> </w:t>
      </w:r>
      <w:r>
        <w:rPr>
          <w:rStyle w:val="Emphasis"/>
          <w:rFonts w:ascii="Arial" w:hAnsi="Arial" w:cs="Arial"/>
          <w:i w:val="0"/>
          <w:iCs w:val="0"/>
          <w:sz w:val="22"/>
          <w:szCs w:val="22"/>
          <w:lang w:val="fr-FR"/>
        </w:rPr>
        <w:t>et al</w:t>
      </w:r>
      <w:r>
        <w:rPr>
          <w:rFonts w:ascii="Arial" w:hAnsi="Arial" w:cs="Arial"/>
          <w:sz w:val="22"/>
          <w:szCs w:val="22"/>
          <w:lang w:val="fr-FR"/>
        </w:rPr>
        <w:t xml:space="preserve">., 2014 ; Miller et </w:t>
      </w:r>
      <w:proofErr w:type="spellStart"/>
      <w:r>
        <w:rPr>
          <w:rFonts w:ascii="Arial" w:hAnsi="Arial" w:cs="Arial"/>
          <w:sz w:val="22"/>
          <w:szCs w:val="22"/>
          <w:lang w:val="fr-FR"/>
        </w:rPr>
        <w:t>Tsukamoto</w:t>
      </w:r>
      <w:proofErr w:type="spellEnd"/>
      <w:r>
        <w:rPr>
          <w:rFonts w:ascii="Arial" w:hAnsi="Arial" w:cs="Arial"/>
          <w:sz w:val="22"/>
          <w:szCs w:val="22"/>
          <w:lang w:val="fr-FR"/>
        </w:rPr>
        <w:t xml:space="preserve">, 2016). </w:t>
      </w:r>
      <w:r>
        <w:rPr>
          <w:rFonts w:ascii="Arial" w:hAnsi="Arial" w:cs="Arial"/>
          <w:sz w:val="22"/>
          <w:szCs w:val="22"/>
          <w:lang w:val="fr-FR"/>
        </w:rPr>
        <w:lastRenderedPageBreak/>
        <w:t>Cependant, ces études peuvent être contradictoires et notre compréhension des processus océaniques et de leurs effets sur les anguilles juvéniles reste limitée.</w:t>
      </w:r>
    </w:p>
    <w:p w14:paraId="1C423960" w14:textId="77777777" w:rsidR="00923B2C" w:rsidRDefault="00923B2C">
      <w:pPr>
        <w:pStyle w:val="NormalWeb"/>
        <w:spacing w:before="0" w:beforeAutospacing="0" w:after="0" w:afterAutospacing="0"/>
        <w:ind w:left="567" w:hanging="567"/>
        <w:jc w:val="both"/>
        <w:rPr>
          <w:rFonts w:ascii="Arial" w:hAnsi="Arial" w:cs="Arial"/>
          <w:sz w:val="22"/>
          <w:szCs w:val="22"/>
          <w:lang w:val="fr-FR"/>
        </w:rPr>
      </w:pPr>
    </w:p>
    <w:p w14:paraId="339FDC6F"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Ces dernières années, des périodes anormalement chaudes et sèches survenues dans l’ensemble des États de l’aire de répartition de l’anguille européenne ont entraîné une augmentation des températures de l’eau, une diminution des niveaux d’oxygène dissous et une perte d’habitat due à la sécheresse dans les systèmes d’eau douce et de transition (</w:t>
      </w:r>
      <w:proofErr w:type="spellStart"/>
      <w:r>
        <w:rPr>
          <w:rFonts w:ascii="Arial" w:hAnsi="Arial" w:cs="Arial"/>
          <w:sz w:val="22"/>
          <w:szCs w:val="22"/>
          <w:lang w:val="fr-FR"/>
        </w:rPr>
        <w:t>Kettle</w:t>
      </w:r>
      <w:proofErr w:type="spellEnd"/>
      <w:r>
        <w:rPr>
          <w:rFonts w:ascii="Arial" w:hAnsi="Arial" w:cs="Arial"/>
          <w:sz w:val="22"/>
          <w:szCs w:val="22"/>
          <w:lang w:val="fr-FR"/>
        </w:rPr>
        <w:t xml:space="preserve"> et al., 2011 ; Comité international pour l’exploration de la mer (CIEM), 2018). Les phénomènes météorologiques extrêmes sont une composante importante du changement climatique. L’influence des journées de froid extrême sur les captures d’anguilles souligne l’impact potentiel du changement climatique sur les schémas de dispersion de l’anguille européenne (</w:t>
      </w:r>
      <w:proofErr w:type="spellStart"/>
      <w:r>
        <w:rPr>
          <w:rFonts w:ascii="Arial" w:hAnsi="Arial" w:cs="Arial"/>
          <w:sz w:val="22"/>
          <w:szCs w:val="22"/>
          <w:lang w:val="fr-FR"/>
        </w:rPr>
        <w:t>Mestav</w:t>
      </w:r>
      <w:proofErr w:type="spellEnd"/>
      <w:r>
        <w:rPr>
          <w:rFonts w:ascii="Arial" w:hAnsi="Arial" w:cs="Arial"/>
          <w:sz w:val="22"/>
          <w:szCs w:val="22"/>
          <w:lang w:val="fr-FR"/>
        </w:rPr>
        <w:t xml:space="preserve"> et al., 2024).</w:t>
      </w:r>
    </w:p>
    <w:p w14:paraId="16D86FE2" w14:textId="77777777" w:rsidR="00923B2C" w:rsidRDefault="00923B2C">
      <w:pPr>
        <w:widowControl w:val="0"/>
        <w:autoSpaceDE w:val="0"/>
        <w:autoSpaceDN w:val="0"/>
        <w:adjustRightInd w:val="0"/>
        <w:spacing w:after="0" w:line="240" w:lineRule="auto"/>
        <w:jc w:val="both"/>
        <w:rPr>
          <w:rFonts w:ascii="Arial" w:hAnsi="Arial" w:cs="Arial"/>
          <w:b/>
          <w:bCs/>
          <w:i/>
          <w:iCs/>
          <w:snapToGrid w:val="0"/>
          <w:sz w:val="24"/>
          <w:szCs w:val="24"/>
          <w:lang w:val="fr-FR"/>
        </w:rPr>
      </w:pPr>
    </w:p>
    <w:p w14:paraId="0848F79D" w14:textId="054E6063" w:rsidR="00923B2C" w:rsidRDefault="009C7B40">
      <w:pPr>
        <w:pStyle w:val="Heading2"/>
        <w:ind w:left="567" w:hanging="567"/>
        <w:rPr>
          <w:sz w:val="22"/>
          <w:szCs w:val="22"/>
          <w:lang w:val="fr-FR"/>
        </w:rPr>
      </w:pPr>
      <w:bookmarkStart w:id="13" w:name="_Toc212501815"/>
      <w:r>
        <w:rPr>
          <w:sz w:val="22"/>
          <w:szCs w:val="22"/>
          <w:lang w:val="fr-FR"/>
        </w:rPr>
        <w:t>3.3 Perte d’habitat</w:t>
      </w:r>
      <w:bookmarkEnd w:id="13"/>
    </w:p>
    <w:p w14:paraId="724FF296" w14:textId="77777777" w:rsidR="00923B2C" w:rsidRDefault="00923B2C">
      <w:pPr>
        <w:widowControl w:val="0"/>
        <w:autoSpaceDE w:val="0"/>
        <w:autoSpaceDN w:val="0"/>
        <w:adjustRightInd w:val="0"/>
        <w:spacing w:after="0" w:line="240" w:lineRule="auto"/>
        <w:jc w:val="both"/>
        <w:rPr>
          <w:rFonts w:ascii="Arial" w:hAnsi="Arial" w:cs="Arial"/>
          <w:b/>
          <w:bCs/>
          <w:i/>
          <w:iCs/>
          <w:snapToGrid w:val="0"/>
          <w:sz w:val="24"/>
          <w:szCs w:val="24"/>
          <w:lang w:val="fr-FR"/>
        </w:rPr>
      </w:pPr>
    </w:p>
    <w:p w14:paraId="001A594F"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La perte d’habitat, en particulier dans les systèmes d’eau douce, est intrinsèquement liée aux obstacles à la migration et au changement climatique. Cependant, la dégradation et la perte de l’habitat disponible sont également exacerbées par le développement urbain et rural, la lutte contre les inondations, la gestion des niveaux d’eau et l’extraction des eaux de surface et souterraines à des fins domestiques et commerciales (</w:t>
      </w:r>
      <w:proofErr w:type="spellStart"/>
      <w:r>
        <w:rPr>
          <w:rFonts w:ascii="Arial" w:hAnsi="Arial" w:cs="Arial"/>
          <w:sz w:val="22"/>
          <w:szCs w:val="22"/>
          <w:lang w:val="fr-FR"/>
        </w:rPr>
        <w:t>Drouineau</w:t>
      </w:r>
      <w:proofErr w:type="spellEnd"/>
      <w:r>
        <w:rPr>
          <w:rFonts w:ascii="Arial" w:hAnsi="Arial" w:cs="Arial"/>
          <w:sz w:val="22"/>
          <w:szCs w:val="22"/>
          <w:lang w:val="fr-FR"/>
        </w:rPr>
        <w:t xml:space="preserve"> et al., 2018 ; Comité international pour l’exploration de la mer (CIEM), 2020b). Par exemple, il a été souligné que l’envasement des marais réduisait l’infiltration des grandes anguilles vers cet habitat de croissance essentiel (Lafaille et al., 2004). Il a également été démontré que les petites anguilles préféraient davantage de couvert végétal/aquatique à l’intérieur du canal, et ce type de végétation est généralement moins abondant dans les rivières modifiées (Domingos et al., 2006).</w:t>
      </w:r>
    </w:p>
    <w:p w14:paraId="0DE0E612" w14:textId="77777777" w:rsidR="00923B2C" w:rsidRDefault="00923B2C">
      <w:pPr>
        <w:pStyle w:val="NormalWeb"/>
        <w:spacing w:before="0" w:beforeAutospacing="0" w:after="0" w:afterAutospacing="0"/>
        <w:ind w:left="567" w:hanging="567"/>
        <w:jc w:val="both"/>
        <w:rPr>
          <w:rFonts w:ascii="Arial" w:hAnsi="Arial" w:cs="Arial"/>
          <w:sz w:val="22"/>
          <w:szCs w:val="22"/>
          <w:lang w:val="fr-FR"/>
        </w:rPr>
      </w:pPr>
    </w:p>
    <w:p w14:paraId="07E70720"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 xml:space="preserve">En outre, on a émis l’hypothèse que le déclin de l’habitat de bonne qualité et des ressources associées pourrait être à l’origine d’un déclin de l’état corporel des anguilles argentées qui s’échappent dans certaines parties de l’aire de répartition. Cette situation peut avoir des effets sur le succès de la migration ou du frai, étant donné que cette espèce dépend des réserves de graisse pour le succès de la reproduction (van </w:t>
      </w:r>
      <w:proofErr w:type="spellStart"/>
      <w:r>
        <w:rPr>
          <w:rFonts w:ascii="Arial" w:hAnsi="Arial" w:cs="Arial"/>
          <w:sz w:val="22"/>
          <w:szCs w:val="22"/>
          <w:lang w:val="fr-FR"/>
        </w:rPr>
        <w:t>Ginneken</w:t>
      </w:r>
      <w:proofErr w:type="spellEnd"/>
      <w:r>
        <w:rPr>
          <w:rFonts w:ascii="Arial" w:hAnsi="Arial" w:cs="Arial"/>
          <w:sz w:val="22"/>
          <w:szCs w:val="22"/>
          <w:lang w:val="fr-FR"/>
        </w:rPr>
        <w:t xml:space="preserve"> et van den </w:t>
      </w:r>
      <w:proofErr w:type="spellStart"/>
      <w:r>
        <w:rPr>
          <w:rFonts w:ascii="Arial" w:hAnsi="Arial" w:cs="Arial"/>
          <w:sz w:val="22"/>
          <w:szCs w:val="22"/>
          <w:lang w:val="fr-FR"/>
        </w:rPr>
        <w:t>Thillart</w:t>
      </w:r>
      <w:proofErr w:type="spellEnd"/>
      <w:r>
        <w:rPr>
          <w:rFonts w:ascii="Arial" w:hAnsi="Arial" w:cs="Arial"/>
          <w:sz w:val="22"/>
          <w:szCs w:val="22"/>
          <w:lang w:val="fr-FR"/>
        </w:rPr>
        <w:t>, 2000).</w:t>
      </w:r>
    </w:p>
    <w:p w14:paraId="45091C84" w14:textId="77777777" w:rsidR="00923B2C" w:rsidRDefault="00923B2C">
      <w:pPr>
        <w:pStyle w:val="NormalWeb"/>
        <w:spacing w:before="0" w:beforeAutospacing="0" w:after="0" w:afterAutospacing="0"/>
        <w:ind w:left="567" w:hanging="567"/>
        <w:rPr>
          <w:rFonts w:ascii="Arial" w:hAnsi="Arial" w:cs="Arial"/>
          <w:sz w:val="22"/>
          <w:szCs w:val="22"/>
          <w:lang w:val="fr-FR"/>
        </w:rPr>
      </w:pPr>
    </w:p>
    <w:p w14:paraId="0997C157" w14:textId="2AD4659F" w:rsidR="00923B2C" w:rsidRDefault="009C7B40">
      <w:pPr>
        <w:pStyle w:val="Heading2"/>
        <w:ind w:left="567" w:hanging="567"/>
        <w:rPr>
          <w:sz w:val="22"/>
          <w:szCs w:val="22"/>
          <w:lang w:val="fr-FR"/>
        </w:rPr>
      </w:pPr>
      <w:bookmarkStart w:id="14" w:name="_Toc212501816"/>
      <w:r>
        <w:rPr>
          <w:sz w:val="22"/>
          <w:szCs w:val="22"/>
          <w:lang w:val="fr-FR"/>
        </w:rPr>
        <w:t>3.4 Exploitation et commerce non durables</w:t>
      </w:r>
      <w:bookmarkEnd w:id="14"/>
    </w:p>
    <w:p w14:paraId="1DE0D3F1" w14:textId="77777777" w:rsidR="00923B2C" w:rsidRDefault="00923B2C">
      <w:pPr>
        <w:widowControl w:val="0"/>
        <w:autoSpaceDE w:val="0"/>
        <w:autoSpaceDN w:val="0"/>
        <w:adjustRightInd w:val="0"/>
        <w:spacing w:after="0" w:line="240" w:lineRule="auto"/>
        <w:jc w:val="both"/>
        <w:rPr>
          <w:rFonts w:ascii="Arial" w:hAnsi="Arial" w:cs="Arial"/>
          <w:b/>
          <w:bCs/>
          <w:i/>
          <w:iCs/>
          <w:snapToGrid w:val="0"/>
          <w:lang w:val="fr-FR"/>
        </w:rPr>
      </w:pPr>
    </w:p>
    <w:p w14:paraId="552F73E8"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Les anguilles européennes sont très recherchées sur les marchés nationaux et internationaux, tant pour la consommation directe que pour le repeuplement en aquaculture. Ainsi, tous les stades de vie continentaux des anguilles sont exploités dans l’aire de répartition de l’anguille européenne (</w:t>
      </w:r>
      <w:proofErr w:type="spellStart"/>
      <w:r>
        <w:rPr>
          <w:rFonts w:ascii="Arial" w:hAnsi="Arial" w:cs="Arial"/>
          <w:sz w:val="22"/>
          <w:szCs w:val="22"/>
          <w:lang w:val="fr-FR"/>
        </w:rPr>
        <w:t>Musing</w:t>
      </w:r>
      <w:proofErr w:type="spellEnd"/>
      <w:r>
        <w:rPr>
          <w:rFonts w:ascii="Arial" w:hAnsi="Arial" w:cs="Arial"/>
          <w:sz w:val="22"/>
          <w:szCs w:val="22"/>
          <w:lang w:val="fr-FR"/>
        </w:rPr>
        <w:t xml:space="preserve"> et al., 2018 ; CITES, 2022). En 2007, l’anguille européenne a été inscrite à l’Annexe II de la Convention sur le commerce international des espèces de faune et de flore sauvages menacées d’extinction (CITES) afin de réglementer le commerce international en tant que vecteur d’une exploitation non durable. La liste est entrée en vigueur en 2009 et, en 2010, le Groupe d’examen scientifique (GES) de l’UE a déclaré qu’il n’était pas possible d’émettre un avis de commerce non préjudiciable pour l’importation de </w:t>
      </w:r>
      <w:r>
        <w:rPr>
          <w:rFonts w:ascii="Arial" w:hAnsi="Arial" w:cs="Arial"/>
          <w:i/>
          <w:iCs/>
          <w:sz w:val="22"/>
          <w:szCs w:val="22"/>
          <w:lang w:val="fr-FR"/>
        </w:rPr>
        <w:t xml:space="preserve">A. </w:t>
      </w:r>
      <w:proofErr w:type="spellStart"/>
      <w:r>
        <w:rPr>
          <w:rFonts w:ascii="Arial" w:hAnsi="Arial" w:cs="Arial"/>
          <w:i/>
          <w:iCs/>
          <w:sz w:val="22"/>
          <w:szCs w:val="22"/>
          <w:lang w:val="fr-FR"/>
        </w:rPr>
        <w:t>anguilla</w:t>
      </w:r>
      <w:proofErr w:type="spellEnd"/>
      <w:r>
        <w:rPr>
          <w:rFonts w:ascii="Arial" w:hAnsi="Arial" w:cs="Arial"/>
          <w:sz w:val="22"/>
          <w:szCs w:val="22"/>
          <w:lang w:val="fr-FR"/>
        </w:rPr>
        <w:t xml:space="preserve"> et a formulé un avis négatif pour tous les États de l’aire de répartition, lequel a été formalisé dans le règlement de suspension en 2024. Ainsi, depuis décembre 2023, les importations dans l’UE et en Irlande du Nord sont interdites par la loi. En outre, le GES a mis en place une politique d’exportation zéro en 2010, qui a depuis lors été renouvelée chaque année et qui est toujours en vigueur actuellement. Cela ne prend pas en considération les pêcheries nationales/intra-UE, que ce soit pour la consommation ou le repeuplement, comme le montrent les données de débarquement </w:t>
      </w:r>
      <w:r>
        <w:rPr>
          <w:rFonts w:ascii="Arial" w:hAnsi="Arial" w:cs="Arial"/>
          <w:sz w:val="22"/>
          <w:szCs w:val="22"/>
          <w:lang w:val="fr-FR"/>
        </w:rPr>
        <w:lastRenderedPageBreak/>
        <w:t xml:space="preserve">d’anguilles de verre, d’anguilles jaunes et d’anguilles argentées rapportées par les États membres de l’UE. </w:t>
      </w:r>
    </w:p>
    <w:p w14:paraId="187E5D55" w14:textId="77777777" w:rsidR="00923B2C" w:rsidRDefault="00923B2C">
      <w:pPr>
        <w:pStyle w:val="NormalWeb"/>
        <w:spacing w:before="0" w:beforeAutospacing="0" w:after="0" w:afterAutospacing="0"/>
        <w:ind w:left="567" w:hanging="567"/>
        <w:jc w:val="both"/>
        <w:rPr>
          <w:rFonts w:ascii="Arial" w:hAnsi="Arial" w:cs="Arial"/>
          <w:sz w:val="22"/>
          <w:szCs w:val="22"/>
          <w:lang w:val="fr-FR"/>
        </w:rPr>
      </w:pPr>
    </w:p>
    <w:p w14:paraId="42CF3562"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 xml:space="preserve">Depuis 2010, le commerce légal de l’anguille européenne, tel que rapporté par la CITES, inclut principalement les exportations de l’Égypte, du Maroc, de la Tunisie et de la </w:t>
      </w:r>
      <w:r>
        <w:rPr>
          <w:rFonts w:ascii="Arial" w:hAnsi="Arial" w:cs="Arial"/>
          <w:color w:val="000000" w:themeColor="text1"/>
          <w:sz w:val="22"/>
          <w:szCs w:val="22"/>
          <w:lang w:val="fr-FR"/>
        </w:rPr>
        <w:t>Türkiye</w:t>
      </w:r>
      <w:r>
        <w:rPr>
          <w:rFonts w:ascii="Arial" w:hAnsi="Arial" w:cs="Arial"/>
          <w:color w:val="EE0000"/>
          <w:sz w:val="22"/>
          <w:szCs w:val="22"/>
          <w:lang w:val="fr-FR"/>
        </w:rPr>
        <w:t xml:space="preserve"> </w:t>
      </w:r>
      <w:r>
        <w:rPr>
          <w:rFonts w:ascii="Arial" w:hAnsi="Arial" w:cs="Arial"/>
          <w:sz w:val="22"/>
          <w:szCs w:val="22"/>
          <w:lang w:val="fr-FR"/>
        </w:rPr>
        <w:t xml:space="preserve">et, à ce jour, des quotas d’exportation existent pour l’Algérie, le Maroc, la Tunisie et la Türkiye (Pike </w:t>
      </w:r>
      <w:r>
        <w:rPr>
          <w:rFonts w:ascii="Arial" w:hAnsi="Arial" w:cs="Arial"/>
          <w:iCs/>
          <w:sz w:val="22"/>
          <w:szCs w:val="22"/>
          <w:lang w:val="fr-FR"/>
        </w:rPr>
        <w:t>et al.</w:t>
      </w:r>
      <w:r>
        <w:rPr>
          <w:rFonts w:ascii="Arial" w:hAnsi="Arial" w:cs="Arial"/>
          <w:sz w:val="22"/>
          <w:szCs w:val="22"/>
          <w:lang w:val="fr-FR"/>
        </w:rPr>
        <w:t xml:space="preserve">, 2020 ; base de données commerciale de la CITES). Le </w:t>
      </w:r>
      <w:r>
        <w:rPr>
          <w:rFonts w:ascii="Arial" w:eastAsia="Arial" w:hAnsi="Arial" w:cs="Arial"/>
          <w:sz w:val="22"/>
          <w:szCs w:val="22"/>
          <w:lang w:val="fr-FR"/>
        </w:rPr>
        <w:t>Royaume-Uni de Grande-Bretagne et d’Irlande du Nord a publié un avis général de commerce non préjudiciable pour l’exportation de l’anguille européenne (</w:t>
      </w:r>
      <w:r>
        <w:rPr>
          <w:rFonts w:ascii="Arial" w:eastAsia="Arial" w:hAnsi="Arial" w:cs="Arial"/>
          <w:i/>
          <w:sz w:val="22"/>
          <w:szCs w:val="22"/>
          <w:lang w:val="fr-FR"/>
        </w:rPr>
        <w:t xml:space="preserve">Anguilla </w:t>
      </w:r>
      <w:proofErr w:type="spellStart"/>
      <w:r>
        <w:rPr>
          <w:rFonts w:ascii="Arial" w:eastAsia="Arial" w:hAnsi="Arial" w:cs="Arial"/>
          <w:i/>
          <w:sz w:val="22"/>
          <w:szCs w:val="22"/>
          <w:lang w:val="fr-FR"/>
        </w:rPr>
        <w:t>anguilla</w:t>
      </w:r>
      <w:proofErr w:type="spellEnd"/>
      <w:r>
        <w:rPr>
          <w:rFonts w:ascii="Arial" w:eastAsia="Arial" w:hAnsi="Arial" w:cs="Arial"/>
          <w:sz w:val="22"/>
          <w:szCs w:val="22"/>
          <w:lang w:val="fr-FR"/>
        </w:rPr>
        <w:t xml:space="preserve">) (Fleming et al., 2023). </w:t>
      </w:r>
      <w:r>
        <w:rPr>
          <w:rFonts w:ascii="Arial" w:hAnsi="Arial" w:cs="Arial"/>
          <w:sz w:val="22"/>
          <w:szCs w:val="22"/>
          <w:lang w:val="fr-FR"/>
        </w:rPr>
        <w:t>Il s’agit du seul avis de commerce non préjudiciable publié concernant les pêcheries d’anguilles européennes.</w:t>
      </w:r>
    </w:p>
    <w:p w14:paraId="223FD096" w14:textId="77777777" w:rsidR="00923B2C" w:rsidRDefault="00923B2C">
      <w:pPr>
        <w:pStyle w:val="NormalWeb"/>
        <w:spacing w:before="0" w:beforeAutospacing="0" w:after="0" w:afterAutospacing="0"/>
        <w:ind w:left="567" w:hanging="567"/>
        <w:jc w:val="both"/>
        <w:rPr>
          <w:rFonts w:ascii="Arial" w:hAnsi="Arial" w:cs="Arial"/>
          <w:sz w:val="22"/>
          <w:szCs w:val="22"/>
          <w:lang w:val="fr-FR"/>
        </w:rPr>
      </w:pPr>
    </w:p>
    <w:p w14:paraId="0531D81F"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Malgré ces mesures, on pense que la pêche et le commerce illégaux se produisent dans toute l’aire de répartition de l’espèce (</w:t>
      </w:r>
      <w:proofErr w:type="spellStart"/>
      <w:r>
        <w:rPr>
          <w:rFonts w:ascii="Arial" w:hAnsi="Arial" w:cs="Arial"/>
          <w:sz w:val="22"/>
          <w:szCs w:val="22"/>
          <w:lang w:val="fr-FR"/>
        </w:rPr>
        <w:t>Musing</w:t>
      </w:r>
      <w:proofErr w:type="spellEnd"/>
      <w:r>
        <w:rPr>
          <w:rFonts w:ascii="Arial" w:hAnsi="Arial" w:cs="Arial"/>
          <w:sz w:val="22"/>
          <w:szCs w:val="22"/>
          <w:lang w:val="fr-FR"/>
        </w:rPr>
        <w:t xml:space="preserve"> et al., 2018). Les défis liés à la mise en œuvre et à la traçabilité persistent, en particulier en raison des difficultés à identifier les différentes espèces d’anguilles anguillidés à tous les stades de leur vie et pour tous les types de spécimens, y compris les parties et les produits dérivés. Ces défis sont exacerbés lorsque les mesures de commerce, de traçabilité et de gestion sont insuffisantes pour soutenir un suivi et une conformité efficaces. Depuis 2022, le CIEM a recommandé que, lorsque l’approche de précaution est appliquée, il n’y ait aucune capture dans tous les habitats de l’anguille européenne. Cette approche s’applique aux captures récréatives et commerciales, y compris les captures d’anguilles de verre aux fins du repeuplement et l’aquaculture.</w:t>
      </w:r>
    </w:p>
    <w:p w14:paraId="643CD7A1" w14:textId="77777777" w:rsidR="00923B2C" w:rsidRDefault="00923B2C">
      <w:pPr>
        <w:spacing w:after="0" w:line="240" w:lineRule="auto"/>
        <w:jc w:val="both"/>
        <w:rPr>
          <w:rFonts w:ascii="Arial" w:hAnsi="Arial" w:cs="Arial"/>
          <w:snapToGrid w:val="0"/>
          <w:lang w:val="fr-FR"/>
        </w:rPr>
      </w:pPr>
    </w:p>
    <w:p w14:paraId="0D292870" w14:textId="77777777" w:rsidR="00923B2C" w:rsidRDefault="009C7B40">
      <w:pPr>
        <w:pStyle w:val="Heading2"/>
        <w:ind w:left="567" w:hanging="567"/>
        <w:rPr>
          <w:sz w:val="22"/>
          <w:szCs w:val="22"/>
        </w:rPr>
      </w:pPr>
      <w:bookmarkStart w:id="15" w:name="_Toc212501817"/>
      <w:r>
        <w:rPr>
          <w:sz w:val="22"/>
          <w:szCs w:val="22"/>
        </w:rPr>
        <w:t xml:space="preserve">3.5 </w:t>
      </w:r>
      <w:r>
        <w:rPr>
          <w:sz w:val="22"/>
          <w:szCs w:val="22"/>
        </w:rPr>
        <w:tab/>
        <w:t>Pollution</w:t>
      </w:r>
      <w:bookmarkEnd w:id="15"/>
      <w:r>
        <w:rPr>
          <w:sz w:val="22"/>
          <w:szCs w:val="22"/>
        </w:rPr>
        <w:t xml:space="preserve"> </w:t>
      </w:r>
    </w:p>
    <w:p w14:paraId="7F010835" w14:textId="77777777" w:rsidR="00923B2C" w:rsidRDefault="00923B2C">
      <w:pPr>
        <w:spacing w:after="0" w:line="240" w:lineRule="auto"/>
        <w:jc w:val="both"/>
        <w:rPr>
          <w:rFonts w:ascii="Arial" w:hAnsi="Arial" w:cs="Arial"/>
          <w:snapToGrid w:val="0"/>
          <w:sz w:val="16"/>
          <w:szCs w:val="16"/>
          <w:lang w:val="fr-FR"/>
        </w:rPr>
      </w:pPr>
    </w:p>
    <w:p w14:paraId="65A4C9F2"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Les polluants chimiques peuvent endommager les tissus et perturber les processus physiologiques de l’anguille européenne (</w:t>
      </w:r>
      <w:proofErr w:type="spellStart"/>
      <w:r>
        <w:rPr>
          <w:rFonts w:ascii="Arial" w:hAnsi="Arial" w:cs="Arial"/>
          <w:sz w:val="22"/>
          <w:szCs w:val="22"/>
          <w:lang w:val="fr-FR"/>
        </w:rPr>
        <w:t>Geeraerts</w:t>
      </w:r>
      <w:proofErr w:type="spellEnd"/>
      <w:r>
        <w:rPr>
          <w:rFonts w:ascii="Arial" w:hAnsi="Arial" w:cs="Arial"/>
          <w:sz w:val="22"/>
          <w:szCs w:val="22"/>
          <w:lang w:val="fr-FR"/>
        </w:rPr>
        <w:t xml:space="preserve"> et </w:t>
      </w:r>
      <w:proofErr w:type="spellStart"/>
      <w:r>
        <w:rPr>
          <w:rFonts w:ascii="Arial" w:hAnsi="Arial" w:cs="Arial"/>
          <w:sz w:val="22"/>
          <w:szCs w:val="22"/>
          <w:lang w:val="fr-FR"/>
        </w:rPr>
        <w:t>Belpaire</w:t>
      </w:r>
      <w:proofErr w:type="spellEnd"/>
      <w:r>
        <w:rPr>
          <w:rFonts w:ascii="Arial" w:hAnsi="Arial" w:cs="Arial"/>
          <w:sz w:val="22"/>
          <w:szCs w:val="22"/>
          <w:lang w:val="fr-FR"/>
        </w:rPr>
        <w:t xml:space="preserve">, 2010 ; </w:t>
      </w:r>
      <w:proofErr w:type="spellStart"/>
      <w:r>
        <w:rPr>
          <w:rFonts w:ascii="Arial" w:hAnsi="Arial" w:cs="Arial"/>
          <w:sz w:val="22"/>
          <w:szCs w:val="22"/>
          <w:lang w:val="fr-FR"/>
        </w:rPr>
        <w:t>Belpaire</w:t>
      </w:r>
      <w:proofErr w:type="spellEnd"/>
      <w:r>
        <w:rPr>
          <w:rFonts w:ascii="Arial" w:hAnsi="Arial" w:cs="Arial"/>
          <w:sz w:val="22"/>
          <w:szCs w:val="22"/>
          <w:lang w:val="fr-FR"/>
        </w:rPr>
        <w:t xml:space="preserve"> </w:t>
      </w:r>
      <w:r>
        <w:rPr>
          <w:rStyle w:val="Emphasis"/>
          <w:rFonts w:ascii="Arial" w:hAnsi="Arial" w:cs="Arial"/>
          <w:i w:val="0"/>
          <w:iCs w:val="0"/>
          <w:sz w:val="22"/>
          <w:szCs w:val="22"/>
          <w:lang w:val="fr-FR"/>
        </w:rPr>
        <w:t>et al</w:t>
      </w:r>
      <w:r>
        <w:rPr>
          <w:rFonts w:ascii="Arial" w:hAnsi="Arial" w:cs="Arial"/>
          <w:i/>
          <w:sz w:val="22"/>
          <w:szCs w:val="22"/>
          <w:lang w:val="fr-FR"/>
        </w:rPr>
        <w:t>.</w:t>
      </w:r>
      <w:r>
        <w:rPr>
          <w:rFonts w:ascii="Arial" w:hAnsi="Arial" w:cs="Arial"/>
          <w:sz w:val="22"/>
          <w:szCs w:val="22"/>
          <w:lang w:val="fr-FR"/>
        </w:rPr>
        <w:t xml:space="preserve">, 2016, 2019 ; De Meyer </w:t>
      </w:r>
      <w:r>
        <w:rPr>
          <w:rStyle w:val="Emphasis"/>
          <w:rFonts w:ascii="Arial" w:hAnsi="Arial" w:cs="Arial"/>
          <w:i w:val="0"/>
          <w:iCs w:val="0"/>
          <w:sz w:val="22"/>
          <w:szCs w:val="22"/>
          <w:lang w:val="fr-FR"/>
        </w:rPr>
        <w:t>et al</w:t>
      </w:r>
      <w:r>
        <w:rPr>
          <w:rFonts w:ascii="Arial" w:hAnsi="Arial" w:cs="Arial"/>
          <w:i/>
          <w:sz w:val="22"/>
          <w:szCs w:val="22"/>
          <w:lang w:val="fr-FR"/>
        </w:rPr>
        <w:t>.</w:t>
      </w:r>
      <w:r>
        <w:rPr>
          <w:rFonts w:ascii="Arial" w:hAnsi="Arial" w:cs="Arial"/>
          <w:sz w:val="22"/>
          <w:szCs w:val="22"/>
          <w:lang w:val="fr-FR"/>
        </w:rPr>
        <w:t>, 2018). On pense également qu’ils pourraient avoir un impact sur la capacité des anguilles à migrer ou à se reproduire en perturbant le métabolisme normal des lipides (</w:t>
      </w:r>
      <w:proofErr w:type="spellStart"/>
      <w:r>
        <w:rPr>
          <w:rFonts w:ascii="Arial" w:hAnsi="Arial" w:cs="Arial"/>
          <w:sz w:val="22"/>
          <w:szCs w:val="22"/>
          <w:lang w:val="fr-FR"/>
        </w:rPr>
        <w:t>Belpaire</w:t>
      </w:r>
      <w:proofErr w:type="spellEnd"/>
      <w:r>
        <w:rPr>
          <w:rFonts w:ascii="Arial" w:hAnsi="Arial" w:cs="Arial"/>
          <w:sz w:val="22"/>
          <w:szCs w:val="22"/>
          <w:lang w:val="fr-FR"/>
        </w:rPr>
        <w:t xml:space="preserve"> </w:t>
      </w:r>
      <w:r>
        <w:rPr>
          <w:rFonts w:ascii="Arial" w:hAnsi="Arial" w:cs="Arial"/>
          <w:iCs/>
          <w:sz w:val="22"/>
          <w:szCs w:val="22"/>
          <w:lang w:val="fr-FR"/>
        </w:rPr>
        <w:t>et al.,</w:t>
      </w:r>
      <w:r>
        <w:rPr>
          <w:rFonts w:ascii="Arial" w:hAnsi="Arial" w:cs="Arial"/>
          <w:i/>
          <w:sz w:val="22"/>
          <w:szCs w:val="22"/>
          <w:lang w:val="fr-FR"/>
        </w:rPr>
        <w:t xml:space="preserve"> </w:t>
      </w:r>
      <w:r>
        <w:rPr>
          <w:rFonts w:ascii="Arial" w:hAnsi="Arial" w:cs="Arial"/>
          <w:sz w:val="22"/>
          <w:szCs w:val="22"/>
          <w:lang w:val="fr-FR"/>
        </w:rPr>
        <w:t>2019). Outre les polluants chimiques, il a été démontré que la lumière et le son affectent le comportement des anguilles (Walker et al</w:t>
      </w:r>
      <w:r>
        <w:rPr>
          <w:rFonts w:ascii="Arial" w:hAnsi="Arial" w:cs="Arial"/>
          <w:i/>
          <w:iCs/>
          <w:sz w:val="22"/>
          <w:szCs w:val="22"/>
          <w:lang w:val="fr-FR"/>
        </w:rPr>
        <w:t>.,</w:t>
      </w:r>
      <w:r>
        <w:rPr>
          <w:rFonts w:ascii="Arial" w:hAnsi="Arial" w:cs="Arial"/>
          <w:sz w:val="22"/>
          <w:szCs w:val="22"/>
          <w:lang w:val="fr-FR"/>
        </w:rPr>
        <w:t xml:space="preserve"> 2014 ; Simpson et al</w:t>
      </w:r>
      <w:r>
        <w:rPr>
          <w:rFonts w:ascii="Arial" w:hAnsi="Arial" w:cs="Arial"/>
          <w:i/>
          <w:iCs/>
          <w:sz w:val="22"/>
          <w:szCs w:val="22"/>
          <w:lang w:val="fr-FR"/>
        </w:rPr>
        <w:t>.,</w:t>
      </w:r>
      <w:r>
        <w:rPr>
          <w:rFonts w:ascii="Arial" w:hAnsi="Arial" w:cs="Arial"/>
          <w:sz w:val="22"/>
          <w:szCs w:val="22"/>
          <w:lang w:val="fr-FR"/>
        </w:rPr>
        <w:t xml:space="preserve"> 2015).</w:t>
      </w:r>
    </w:p>
    <w:p w14:paraId="7DE429F1" w14:textId="77777777" w:rsidR="00923B2C" w:rsidRDefault="00923B2C">
      <w:pPr>
        <w:pStyle w:val="NormalWeb"/>
        <w:spacing w:before="0" w:beforeAutospacing="0" w:after="0" w:afterAutospacing="0"/>
        <w:jc w:val="both"/>
        <w:rPr>
          <w:rFonts w:ascii="Arial" w:hAnsi="Arial" w:cs="Arial"/>
          <w:sz w:val="22"/>
          <w:szCs w:val="22"/>
          <w:lang w:val="fr-FR"/>
        </w:rPr>
      </w:pPr>
    </w:p>
    <w:p w14:paraId="352A0B5F" w14:textId="77777777" w:rsidR="00923B2C" w:rsidRDefault="009C7B40">
      <w:pPr>
        <w:pStyle w:val="Heading2"/>
        <w:ind w:left="567" w:hanging="567"/>
        <w:rPr>
          <w:sz w:val="22"/>
          <w:szCs w:val="22"/>
          <w:lang w:val="fr-FR"/>
        </w:rPr>
      </w:pPr>
      <w:bookmarkStart w:id="16" w:name="_Toc212501818"/>
      <w:r>
        <w:rPr>
          <w:sz w:val="22"/>
          <w:szCs w:val="22"/>
          <w:lang w:val="fr-FR"/>
        </w:rPr>
        <w:t xml:space="preserve">3.6 </w:t>
      </w:r>
      <w:r>
        <w:rPr>
          <w:sz w:val="22"/>
          <w:szCs w:val="22"/>
          <w:lang w:val="fr-FR"/>
        </w:rPr>
        <w:tab/>
        <w:t>Espèces envahissantes</w:t>
      </w:r>
      <w:bookmarkEnd w:id="16"/>
    </w:p>
    <w:p w14:paraId="29030910" w14:textId="77777777" w:rsidR="00923B2C" w:rsidRDefault="00923B2C">
      <w:pPr>
        <w:pStyle w:val="NormalWeb"/>
        <w:spacing w:before="0" w:beforeAutospacing="0" w:after="0" w:afterAutospacing="0"/>
        <w:rPr>
          <w:rFonts w:ascii="Arial" w:hAnsi="Arial" w:cs="Arial"/>
          <w:i/>
          <w:iCs/>
          <w:snapToGrid w:val="0"/>
          <w:lang w:val="fr-FR"/>
        </w:rPr>
      </w:pPr>
    </w:p>
    <w:p w14:paraId="747F8493"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Une relation négative entre l’abondance du poisson-chat envahissant et l’établissement de l’anguille européenne en eau douce est attribuée à la prédation et à la compétition interspécifique (</w:t>
      </w:r>
      <w:proofErr w:type="spellStart"/>
      <w:r>
        <w:rPr>
          <w:rFonts w:ascii="Arial" w:hAnsi="Arial" w:cs="Arial"/>
          <w:sz w:val="22"/>
          <w:szCs w:val="22"/>
          <w:lang w:val="fr-FR"/>
        </w:rPr>
        <w:t>Bevacqua</w:t>
      </w:r>
      <w:proofErr w:type="spellEnd"/>
      <w:r>
        <w:rPr>
          <w:rFonts w:ascii="Arial" w:hAnsi="Arial" w:cs="Arial"/>
          <w:sz w:val="22"/>
          <w:szCs w:val="22"/>
          <w:lang w:val="fr-FR"/>
        </w:rPr>
        <w:t xml:space="preserve"> et al., 2011).</w:t>
      </w:r>
    </w:p>
    <w:p w14:paraId="3ABFF322" w14:textId="77777777" w:rsidR="00A86F62" w:rsidRDefault="00A86F62">
      <w:pPr>
        <w:pStyle w:val="Heading2"/>
        <w:ind w:left="567" w:hanging="567"/>
        <w:rPr>
          <w:sz w:val="22"/>
          <w:szCs w:val="22"/>
          <w:lang w:val="fr-FR"/>
        </w:rPr>
      </w:pPr>
      <w:bookmarkStart w:id="17" w:name="_Toc212501819"/>
    </w:p>
    <w:p w14:paraId="4035952E" w14:textId="2AA29878" w:rsidR="00923B2C" w:rsidRDefault="009C7B40">
      <w:pPr>
        <w:pStyle w:val="Heading2"/>
        <w:ind w:left="567" w:hanging="567"/>
        <w:rPr>
          <w:sz w:val="22"/>
          <w:szCs w:val="22"/>
          <w:lang w:val="fr-FR"/>
        </w:rPr>
      </w:pPr>
      <w:r>
        <w:rPr>
          <w:sz w:val="22"/>
          <w:szCs w:val="22"/>
          <w:lang w:val="fr-FR"/>
        </w:rPr>
        <w:t xml:space="preserve">3.7 </w:t>
      </w:r>
      <w:r>
        <w:rPr>
          <w:sz w:val="22"/>
          <w:szCs w:val="22"/>
          <w:lang w:val="fr-FR"/>
        </w:rPr>
        <w:tab/>
        <w:t>Parasites et maladies</w:t>
      </w:r>
      <w:bookmarkEnd w:id="17"/>
    </w:p>
    <w:p w14:paraId="62A8DA87" w14:textId="77777777" w:rsidR="00923B2C" w:rsidRDefault="00923B2C">
      <w:pPr>
        <w:spacing w:after="0" w:line="240" w:lineRule="auto"/>
        <w:jc w:val="both"/>
        <w:rPr>
          <w:rFonts w:ascii="Arial" w:hAnsi="Arial" w:cs="Arial"/>
          <w:snapToGrid w:val="0"/>
          <w:lang w:val="fr-FR"/>
        </w:rPr>
      </w:pPr>
    </w:p>
    <w:p w14:paraId="02D45E90"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Le nématode (</w:t>
      </w:r>
      <w:proofErr w:type="spellStart"/>
      <w:r>
        <w:rPr>
          <w:rStyle w:val="Emphasis"/>
          <w:rFonts w:ascii="Arial" w:hAnsi="Arial" w:cs="Arial"/>
          <w:sz w:val="22"/>
          <w:szCs w:val="22"/>
          <w:lang w:val="fr-FR"/>
        </w:rPr>
        <w:t>Anguillicola</w:t>
      </w:r>
      <w:proofErr w:type="spellEnd"/>
      <w:r>
        <w:rPr>
          <w:rStyle w:val="Emphasis"/>
          <w:rFonts w:ascii="Arial" w:hAnsi="Arial" w:cs="Arial"/>
          <w:sz w:val="22"/>
          <w:szCs w:val="22"/>
          <w:lang w:val="fr-FR"/>
        </w:rPr>
        <w:t xml:space="preserve"> </w:t>
      </w:r>
      <w:proofErr w:type="spellStart"/>
      <w:r>
        <w:rPr>
          <w:rStyle w:val="Emphasis"/>
          <w:rFonts w:ascii="Arial" w:hAnsi="Arial" w:cs="Arial"/>
          <w:sz w:val="22"/>
          <w:szCs w:val="22"/>
          <w:lang w:val="fr-FR"/>
        </w:rPr>
        <w:t>crassus</w:t>
      </w:r>
      <w:proofErr w:type="spellEnd"/>
      <w:r>
        <w:rPr>
          <w:rFonts w:ascii="Arial" w:hAnsi="Arial" w:cs="Arial"/>
          <w:sz w:val="22"/>
          <w:szCs w:val="22"/>
          <w:lang w:val="fr-FR"/>
        </w:rPr>
        <w:t>) introduit est considéré comme ayant un impact sur la santé de l’anguille européenne. On enregistre notamment un effet négatif sur la physiologie du stade argenté (</w:t>
      </w:r>
      <w:proofErr w:type="spellStart"/>
      <w:r>
        <w:rPr>
          <w:rFonts w:ascii="Arial" w:hAnsi="Arial" w:cs="Arial"/>
          <w:sz w:val="22"/>
          <w:szCs w:val="22"/>
          <w:lang w:val="fr-FR"/>
        </w:rPr>
        <w:t>Fazio</w:t>
      </w:r>
      <w:proofErr w:type="spellEnd"/>
      <w:r>
        <w:rPr>
          <w:rFonts w:ascii="Arial" w:hAnsi="Arial" w:cs="Arial"/>
          <w:sz w:val="22"/>
          <w:szCs w:val="22"/>
          <w:lang w:val="fr-FR"/>
        </w:rPr>
        <w:t xml:space="preserve"> </w:t>
      </w:r>
      <w:r>
        <w:rPr>
          <w:rStyle w:val="Emphasis"/>
          <w:rFonts w:ascii="Arial" w:hAnsi="Arial" w:cs="Arial"/>
          <w:i w:val="0"/>
          <w:iCs w:val="0"/>
          <w:sz w:val="22"/>
          <w:szCs w:val="22"/>
          <w:lang w:val="fr-FR"/>
        </w:rPr>
        <w:t>et al</w:t>
      </w:r>
      <w:r>
        <w:rPr>
          <w:rFonts w:ascii="Arial" w:hAnsi="Arial" w:cs="Arial"/>
          <w:sz w:val="22"/>
          <w:szCs w:val="22"/>
          <w:lang w:val="fr-FR"/>
        </w:rPr>
        <w:t>., 2012) ; des dommages à la vessie natatoire qui altèrent les performances de nage (</w:t>
      </w:r>
      <w:proofErr w:type="spellStart"/>
      <w:r>
        <w:rPr>
          <w:rFonts w:ascii="Arial" w:hAnsi="Arial" w:cs="Arial"/>
          <w:sz w:val="22"/>
          <w:szCs w:val="22"/>
          <w:lang w:val="fr-FR"/>
        </w:rPr>
        <w:t>Palstra</w:t>
      </w:r>
      <w:proofErr w:type="spellEnd"/>
      <w:r>
        <w:rPr>
          <w:rFonts w:ascii="Arial" w:hAnsi="Arial" w:cs="Arial"/>
          <w:sz w:val="22"/>
          <w:szCs w:val="22"/>
          <w:lang w:val="fr-FR"/>
        </w:rPr>
        <w:t xml:space="preserve"> </w:t>
      </w:r>
      <w:r>
        <w:rPr>
          <w:rStyle w:val="Emphasis"/>
          <w:rFonts w:ascii="Arial" w:hAnsi="Arial" w:cs="Arial"/>
          <w:i w:val="0"/>
          <w:iCs w:val="0"/>
          <w:sz w:val="22"/>
          <w:szCs w:val="22"/>
          <w:lang w:val="fr-FR"/>
        </w:rPr>
        <w:t>et al</w:t>
      </w:r>
      <w:r>
        <w:rPr>
          <w:rFonts w:ascii="Arial" w:hAnsi="Arial" w:cs="Arial"/>
          <w:sz w:val="22"/>
          <w:szCs w:val="22"/>
          <w:lang w:val="fr-FR"/>
        </w:rPr>
        <w:t>., 2007) ; une sensibilité accrue à l’hypoxie (</w:t>
      </w:r>
      <w:proofErr w:type="spellStart"/>
      <w:r>
        <w:rPr>
          <w:rFonts w:ascii="Arial" w:hAnsi="Arial" w:cs="Arial"/>
          <w:sz w:val="22"/>
          <w:szCs w:val="22"/>
          <w:lang w:val="fr-FR"/>
        </w:rPr>
        <w:t>Gollock</w:t>
      </w:r>
      <w:proofErr w:type="spellEnd"/>
      <w:r>
        <w:rPr>
          <w:rFonts w:ascii="Arial" w:hAnsi="Arial" w:cs="Arial"/>
          <w:sz w:val="22"/>
          <w:szCs w:val="22"/>
          <w:lang w:val="fr-FR"/>
        </w:rPr>
        <w:t xml:space="preserve"> et al., 2005), ainsi qu’une capacité réduite à supporter une forte pression pendant leur migration de reproduction (</w:t>
      </w:r>
      <w:proofErr w:type="spellStart"/>
      <w:r>
        <w:rPr>
          <w:rFonts w:ascii="Arial" w:hAnsi="Arial" w:cs="Arial"/>
          <w:sz w:val="22"/>
          <w:szCs w:val="22"/>
          <w:lang w:val="fr-FR"/>
        </w:rPr>
        <w:t>Vettier</w:t>
      </w:r>
      <w:proofErr w:type="spellEnd"/>
      <w:r>
        <w:rPr>
          <w:rFonts w:ascii="Arial" w:hAnsi="Arial" w:cs="Arial"/>
          <w:sz w:val="22"/>
          <w:szCs w:val="22"/>
          <w:lang w:val="fr-FR"/>
        </w:rPr>
        <w:t xml:space="preserve"> </w:t>
      </w:r>
      <w:r>
        <w:rPr>
          <w:rStyle w:val="Emphasis"/>
          <w:rFonts w:ascii="Arial" w:hAnsi="Arial" w:cs="Arial"/>
          <w:i w:val="0"/>
          <w:iCs w:val="0"/>
          <w:sz w:val="22"/>
          <w:szCs w:val="22"/>
          <w:lang w:val="fr-FR"/>
        </w:rPr>
        <w:t>et al</w:t>
      </w:r>
      <w:r>
        <w:rPr>
          <w:rFonts w:ascii="Arial" w:hAnsi="Arial" w:cs="Arial"/>
          <w:sz w:val="22"/>
          <w:szCs w:val="22"/>
          <w:lang w:val="fr-FR"/>
        </w:rPr>
        <w:t xml:space="preserve">., 2003 ; </w:t>
      </w:r>
      <w:proofErr w:type="spellStart"/>
      <w:r>
        <w:rPr>
          <w:rFonts w:ascii="Arial" w:hAnsi="Arial" w:cs="Arial"/>
          <w:sz w:val="22"/>
          <w:szCs w:val="22"/>
          <w:lang w:val="fr-FR"/>
        </w:rPr>
        <w:t>Sjöberg</w:t>
      </w:r>
      <w:proofErr w:type="spellEnd"/>
      <w:r>
        <w:rPr>
          <w:rFonts w:ascii="Arial" w:hAnsi="Arial" w:cs="Arial"/>
          <w:sz w:val="22"/>
          <w:szCs w:val="22"/>
          <w:lang w:val="fr-FR"/>
        </w:rPr>
        <w:t xml:space="preserve"> </w:t>
      </w:r>
      <w:r>
        <w:rPr>
          <w:rStyle w:val="Emphasis"/>
          <w:rFonts w:ascii="Arial" w:hAnsi="Arial" w:cs="Arial"/>
          <w:i w:val="0"/>
          <w:iCs w:val="0"/>
          <w:sz w:val="22"/>
          <w:szCs w:val="22"/>
          <w:lang w:val="fr-FR"/>
        </w:rPr>
        <w:t>et al</w:t>
      </w:r>
      <w:r>
        <w:rPr>
          <w:rFonts w:ascii="Arial" w:hAnsi="Arial" w:cs="Arial"/>
          <w:sz w:val="22"/>
          <w:szCs w:val="22"/>
          <w:lang w:val="fr-FR"/>
        </w:rPr>
        <w:t xml:space="preserve">., 2009). Une étude récente, dans laquelle de faibles intensités d’infection par </w:t>
      </w:r>
      <w:r>
        <w:rPr>
          <w:rFonts w:ascii="Arial" w:hAnsi="Arial" w:cs="Arial"/>
          <w:i/>
          <w:iCs/>
          <w:sz w:val="22"/>
          <w:szCs w:val="22"/>
          <w:lang w:val="fr-FR"/>
        </w:rPr>
        <w:t xml:space="preserve">A. </w:t>
      </w:r>
      <w:proofErr w:type="spellStart"/>
      <w:r>
        <w:rPr>
          <w:rFonts w:ascii="Arial" w:hAnsi="Arial" w:cs="Arial"/>
          <w:i/>
          <w:iCs/>
          <w:sz w:val="22"/>
          <w:szCs w:val="22"/>
          <w:lang w:val="fr-FR"/>
        </w:rPr>
        <w:t>crassus</w:t>
      </w:r>
      <w:proofErr w:type="spellEnd"/>
      <w:r>
        <w:rPr>
          <w:rFonts w:ascii="Arial" w:hAnsi="Arial" w:cs="Arial"/>
          <w:sz w:val="22"/>
          <w:szCs w:val="22"/>
          <w:lang w:val="fr-FR"/>
        </w:rPr>
        <w:t xml:space="preserve"> ont été observées, a indiqué qu’il n’y avait pas d’impacts négatifs majeurs sur les indicateurs de santé examinés (</w:t>
      </w:r>
      <w:proofErr w:type="spellStart"/>
      <w:r>
        <w:rPr>
          <w:rFonts w:ascii="Arial" w:hAnsi="Arial" w:cs="Arial"/>
          <w:sz w:val="22"/>
          <w:szCs w:val="22"/>
          <w:lang w:val="fr-FR"/>
        </w:rPr>
        <w:t>Myrenås</w:t>
      </w:r>
      <w:proofErr w:type="spellEnd"/>
      <w:r>
        <w:rPr>
          <w:rFonts w:ascii="Arial" w:hAnsi="Arial" w:cs="Arial"/>
          <w:sz w:val="22"/>
          <w:szCs w:val="22"/>
          <w:lang w:val="fr-FR"/>
        </w:rPr>
        <w:t xml:space="preserve"> et al., 2023).</w:t>
      </w:r>
    </w:p>
    <w:p w14:paraId="283C74E9" w14:textId="77777777" w:rsidR="00923B2C" w:rsidRDefault="00923B2C">
      <w:pPr>
        <w:pStyle w:val="NormalWeb"/>
        <w:spacing w:before="0" w:beforeAutospacing="0" w:after="0" w:afterAutospacing="0"/>
        <w:ind w:left="360"/>
        <w:jc w:val="both"/>
        <w:rPr>
          <w:rFonts w:ascii="Arial" w:hAnsi="Arial" w:cs="Arial"/>
          <w:sz w:val="22"/>
          <w:szCs w:val="22"/>
          <w:lang w:val="fr-FR"/>
        </w:rPr>
      </w:pPr>
    </w:p>
    <w:p w14:paraId="325DC3C6" w14:textId="77777777" w:rsidR="00923B2C" w:rsidRDefault="009C7B40">
      <w:pPr>
        <w:pStyle w:val="NormalWeb"/>
        <w:numPr>
          <w:ilvl w:val="0"/>
          <w:numId w:val="4"/>
        </w:numPr>
        <w:spacing w:before="0" w:beforeAutospacing="0" w:after="0" w:afterAutospacing="0"/>
        <w:ind w:left="567" w:hanging="567"/>
        <w:jc w:val="both"/>
        <w:rPr>
          <w:rFonts w:ascii="Arial" w:hAnsi="Arial" w:cs="Arial"/>
          <w:sz w:val="22"/>
          <w:szCs w:val="22"/>
          <w:lang w:val="fr-FR"/>
        </w:rPr>
      </w:pPr>
      <w:r>
        <w:rPr>
          <w:rFonts w:ascii="Arial" w:hAnsi="Arial" w:cs="Arial"/>
          <w:sz w:val="22"/>
          <w:szCs w:val="22"/>
          <w:lang w:val="fr-FR"/>
        </w:rPr>
        <w:t>Plusieurs agents pathogènes viraux ont été identifiés comme potentiellement menaçants pour l’anguille européenne</w:t>
      </w:r>
      <w:r>
        <w:rPr>
          <w:rFonts w:ascii="Arial" w:hAnsi="Arial" w:cs="Arial"/>
          <w:sz w:val="22"/>
          <w:szCs w:val="22"/>
          <w:lang w:val="fr-FR" w:eastAsia="en-GB"/>
        </w:rPr>
        <w:t xml:space="preserve"> : le virus de l’anguille européenne (EVE), le virus de l’anguille européenne X (EVEX) et l’</w:t>
      </w:r>
      <w:proofErr w:type="spellStart"/>
      <w:r>
        <w:rPr>
          <w:rFonts w:ascii="Arial" w:hAnsi="Arial" w:cs="Arial"/>
          <w:sz w:val="22"/>
          <w:szCs w:val="22"/>
          <w:lang w:val="fr-FR" w:eastAsia="en-GB"/>
        </w:rPr>
        <w:t>herpèsvirus</w:t>
      </w:r>
      <w:proofErr w:type="spellEnd"/>
      <w:r>
        <w:rPr>
          <w:rFonts w:ascii="Arial" w:hAnsi="Arial" w:cs="Arial"/>
          <w:sz w:val="22"/>
          <w:szCs w:val="22"/>
          <w:lang w:val="fr-FR" w:eastAsia="en-GB"/>
        </w:rPr>
        <w:t xml:space="preserve"> anguillidé</w:t>
      </w:r>
      <w:r>
        <w:rPr>
          <w:rFonts w:ascii="Cambria Math" w:hAnsi="Cambria Math" w:cs="Cambria Math"/>
          <w:sz w:val="22"/>
          <w:szCs w:val="22"/>
          <w:lang w:val="fr-FR" w:eastAsia="en-GB"/>
        </w:rPr>
        <w:t>‐</w:t>
      </w:r>
      <w:r>
        <w:rPr>
          <w:rFonts w:ascii="Arial" w:hAnsi="Arial" w:cs="Arial"/>
          <w:sz w:val="22"/>
          <w:szCs w:val="22"/>
          <w:lang w:val="fr-FR" w:eastAsia="en-GB"/>
        </w:rPr>
        <w:t xml:space="preserve">1 (HVA). En </w:t>
      </w:r>
      <w:r>
        <w:rPr>
          <w:rFonts w:ascii="Arial" w:hAnsi="Arial" w:cs="Arial"/>
          <w:sz w:val="22"/>
          <w:szCs w:val="22"/>
          <w:lang w:val="fr-FR" w:eastAsia="en-GB"/>
        </w:rPr>
        <w:lastRenderedPageBreak/>
        <w:t xml:space="preserve">général, ils se manifestent par une maladie hémorragique non spécifique avec des taux de mortalité élevés (Van </w:t>
      </w:r>
      <w:proofErr w:type="spellStart"/>
      <w:r>
        <w:rPr>
          <w:rFonts w:ascii="Arial" w:hAnsi="Arial" w:cs="Arial"/>
          <w:sz w:val="22"/>
          <w:szCs w:val="22"/>
          <w:lang w:val="fr-FR" w:eastAsia="en-GB"/>
        </w:rPr>
        <w:t>Beurden</w:t>
      </w:r>
      <w:proofErr w:type="spellEnd"/>
      <w:r>
        <w:rPr>
          <w:rFonts w:ascii="Arial" w:hAnsi="Arial" w:cs="Arial"/>
          <w:sz w:val="22"/>
          <w:szCs w:val="22"/>
          <w:lang w:val="fr-FR" w:eastAsia="en-GB"/>
        </w:rPr>
        <w:t xml:space="preserve"> et al., 2012 ; </w:t>
      </w:r>
      <w:proofErr w:type="spellStart"/>
      <w:r>
        <w:rPr>
          <w:rFonts w:ascii="Arial" w:hAnsi="Arial" w:cs="Arial"/>
          <w:sz w:val="22"/>
          <w:szCs w:val="22"/>
          <w:lang w:val="fr-FR" w:eastAsia="en-GB"/>
        </w:rPr>
        <w:t>McConville</w:t>
      </w:r>
      <w:proofErr w:type="spellEnd"/>
      <w:r>
        <w:rPr>
          <w:rFonts w:ascii="Arial" w:hAnsi="Arial" w:cs="Arial"/>
          <w:sz w:val="22"/>
          <w:szCs w:val="22"/>
          <w:lang w:val="fr-FR" w:eastAsia="en-GB"/>
        </w:rPr>
        <w:t xml:space="preserve"> et al., 2018).</w:t>
      </w:r>
      <w:bookmarkStart w:id="18" w:name="_Toc333482068"/>
    </w:p>
    <w:p w14:paraId="522C4517" w14:textId="77777777" w:rsidR="00923B2C" w:rsidRDefault="00923B2C">
      <w:pPr>
        <w:pStyle w:val="NormalWeb"/>
        <w:spacing w:before="0" w:beforeAutospacing="0" w:after="0" w:afterAutospacing="0"/>
        <w:jc w:val="both"/>
        <w:rPr>
          <w:rFonts w:ascii="Arial" w:hAnsi="Arial" w:cs="Arial"/>
          <w:sz w:val="22"/>
          <w:szCs w:val="22"/>
          <w:lang w:val="fr-FR" w:eastAsia="en-GB"/>
        </w:rPr>
      </w:pPr>
    </w:p>
    <w:p w14:paraId="07636C1C" w14:textId="77777777" w:rsidR="00923B2C" w:rsidRDefault="009C7B40">
      <w:pPr>
        <w:pStyle w:val="Heading2"/>
        <w:ind w:left="567" w:hanging="567"/>
        <w:rPr>
          <w:sz w:val="22"/>
          <w:szCs w:val="22"/>
          <w:lang w:val="fr-FR"/>
        </w:rPr>
      </w:pPr>
      <w:bookmarkStart w:id="19" w:name="_Toc212501820"/>
      <w:r>
        <w:rPr>
          <w:sz w:val="22"/>
          <w:szCs w:val="22"/>
          <w:lang w:val="fr-FR"/>
        </w:rPr>
        <w:t xml:space="preserve">3.8 </w:t>
      </w:r>
      <w:r>
        <w:rPr>
          <w:sz w:val="22"/>
          <w:szCs w:val="22"/>
          <w:lang w:val="fr-FR"/>
        </w:rPr>
        <w:tab/>
        <w:t>Hiérarchisation des menaces</w:t>
      </w:r>
      <w:bookmarkEnd w:id="18"/>
      <w:bookmarkEnd w:id="19"/>
    </w:p>
    <w:p w14:paraId="0C371F1B" w14:textId="77777777" w:rsidR="00923B2C" w:rsidRDefault="00923B2C">
      <w:pPr>
        <w:widowControl w:val="0"/>
        <w:spacing w:after="0" w:line="240" w:lineRule="auto"/>
        <w:jc w:val="both"/>
        <w:rPr>
          <w:rFonts w:ascii="Arial" w:hAnsi="Arial" w:cs="Arial"/>
          <w:snapToGrid w:val="0"/>
          <w:lang w:val="fr-FR"/>
        </w:rPr>
      </w:pPr>
    </w:p>
    <w:p w14:paraId="39B0F360" w14:textId="77777777" w:rsidR="00923B2C" w:rsidRDefault="009C7B40">
      <w:pPr>
        <w:pStyle w:val="ListParagraph"/>
        <w:numPr>
          <w:ilvl w:val="0"/>
          <w:numId w:val="4"/>
        </w:numPr>
        <w:ind w:left="567" w:hanging="567"/>
        <w:jc w:val="both"/>
        <w:rPr>
          <w:rFonts w:ascii="Arial" w:hAnsi="Arial" w:cs="Arial"/>
          <w:sz w:val="22"/>
          <w:szCs w:val="22"/>
          <w:lang w:val="fr-FR"/>
        </w:rPr>
      </w:pPr>
      <w:r>
        <w:rPr>
          <w:rFonts w:ascii="Arial" w:hAnsi="Arial" w:cs="Arial"/>
          <w:sz w:val="22"/>
          <w:szCs w:val="22"/>
          <w:lang w:val="fr-FR"/>
        </w:rPr>
        <w:t>Comme indiqué plus haut, l’importance d’une menace donnée et les effets cumulatifs qu’elle peut avoir avec d’autres ne sont pas bien compris. Ainsi, la réalisation d’un exercice de hiérarchisation des menaces au niveau de la population présenterait des difficultés considérables. Toutefois, il a été démontré que les menaces varient dans l’aire de répartition de l’espèce et qu’elles auront un impact sur les populations continentales à des degrés différents, en fonction du système hydrographique et de la gestion associée mise en œuvre par chaque État.</w:t>
      </w:r>
    </w:p>
    <w:p w14:paraId="547575ED" w14:textId="77777777" w:rsidR="00923B2C" w:rsidRDefault="00923B2C">
      <w:pPr>
        <w:pStyle w:val="ListParagraph"/>
        <w:ind w:left="567" w:hanging="567"/>
        <w:jc w:val="both"/>
        <w:rPr>
          <w:rFonts w:ascii="Arial" w:hAnsi="Arial" w:cs="Arial"/>
          <w:sz w:val="22"/>
          <w:szCs w:val="22"/>
          <w:lang w:val="fr-FR"/>
        </w:rPr>
      </w:pPr>
    </w:p>
    <w:p w14:paraId="3939ECF3" w14:textId="77777777" w:rsidR="00923B2C" w:rsidRDefault="009C7B40">
      <w:pPr>
        <w:pStyle w:val="ListParagraph"/>
        <w:numPr>
          <w:ilvl w:val="0"/>
          <w:numId w:val="4"/>
        </w:numPr>
        <w:ind w:left="567" w:hanging="567"/>
        <w:jc w:val="both"/>
        <w:rPr>
          <w:rFonts w:ascii="Arial" w:hAnsi="Arial" w:cs="Arial"/>
          <w:sz w:val="22"/>
          <w:szCs w:val="22"/>
          <w:lang w:val="fr-FR"/>
        </w:rPr>
      </w:pPr>
      <w:r>
        <w:rPr>
          <w:rFonts w:ascii="Arial" w:hAnsi="Arial" w:cs="Arial"/>
          <w:sz w:val="22"/>
          <w:szCs w:val="22"/>
          <w:lang w:val="fr-FR"/>
        </w:rPr>
        <w:t>Ainsi, les menaces décrites ci-dessus doivent être évaluées par chaque État de l’aire de répartition à l’aide d’une matrice prédéfinie</w:t>
      </w:r>
      <w:r>
        <w:rPr>
          <w:rStyle w:val="FootnoteReference"/>
          <w:rFonts w:ascii="Arial" w:hAnsi="Arial" w:cs="Arial"/>
          <w:sz w:val="22"/>
          <w:szCs w:val="22"/>
          <w:vertAlign w:val="superscript"/>
          <w:lang w:val="fr-FR"/>
        </w:rPr>
        <w:footnoteReference w:id="5"/>
      </w:r>
      <w:r>
        <w:rPr>
          <w:rFonts w:ascii="Arial" w:hAnsi="Arial" w:cs="Arial"/>
          <w:sz w:val="22"/>
          <w:szCs w:val="22"/>
          <w:lang w:val="fr-FR"/>
        </w:rPr>
        <w:t xml:space="preserve"> (voir Annexe 1) afin de déterminer leur impact relatif sur l’anguille européenne – à un ou plusieurs stades de vie – pour éclairer la mise en œuvre du Plan d’action par espèce dans le contexte d’autres mesures de gestion. La matrice envisage la probabilité d’occurrence d’une menace pertinente pour l’anguille européenne, ainsi que les conséquences de cette menace ou de cet impact, en constatant des mesures d’atténuation existantes. Lorsque des mesures d’atténuation/de gestion existent et sont mises en œuvre, la menace devrait être évaluée en supposant que ces mesures continuent d’être appliquées de manière appropriée. Sur la base de ces facteurs, la priorité des actions peut être déterminée par les représentants compétents de l’État de l’aire de répartition, en s’appuyant sur des publications scientifiques évaluées par des pairs et sur l’avis d’experts.</w:t>
      </w:r>
    </w:p>
    <w:p w14:paraId="7E43F6AC" w14:textId="77777777" w:rsidR="00923B2C" w:rsidRDefault="00923B2C">
      <w:pPr>
        <w:pStyle w:val="ListParagraph"/>
        <w:ind w:left="567" w:hanging="567"/>
        <w:jc w:val="both"/>
        <w:rPr>
          <w:rFonts w:ascii="Arial" w:hAnsi="Arial" w:cs="Arial"/>
          <w:sz w:val="22"/>
          <w:szCs w:val="22"/>
          <w:lang w:val="fr-FR"/>
        </w:rPr>
      </w:pPr>
    </w:p>
    <w:p w14:paraId="105B20DE" w14:textId="77777777" w:rsidR="00923B2C" w:rsidRDefault="009C7B40">
      <w:pPr>
        <w:pStyle w:val="ListParagraph"/>
        <w:numPr>
          <w:ilvl w:val="0"/>
          <w:numId w:val="4"/>
        </w:numPr>
        <w:ind w:left="567" w:hanging="567"/>
        <w:jc w:val="both"/>
        <w:rPr>
          <w:rFonts w:ascii="Arial" w:hAnsi="Arial" w:cs="Arial"/>
          <w:sz w:val="22"/>
          <w:szCs w:val="22"/>
          <w:lang w:val="fr-FR"/>
        </w:rPr>
      </w:pPr>
      <w:r>
        <w:rPr>
          <w:rFonts w:ascii="Arial" w:hAnsi="Arial" w:cs="Arial"/>
          <w:sz w:val="22"/>
          <w:szCs w:val="22"/>
          <w:lang w:val="fr-FR"/>
        </w:rPr>
        <w:t>Si les États de l’aire de répartition doivent effectuer ces évaluations individuellement, il est essentiel de coordonner leur action avec celle des autres Parties concernées lorsqu'il s’agit de cours d’eau transfrontaliers.</w:t>
      </w:r>
    </w:p>
    <w:p w14:paraId="4EC332A3" w14:textId="77777777" w:rsidR="00923B2C" w:rsidRDefault="00923B2C">
      <w:pPr>
        <w:spacing w:after="0" w:line="240" w:lineRule="auto"/>
        <w:jc w:val="both"/>
        <w:rPr>
          <w:rFonts w:ascii="Arial" w:hAnsi="Arial" w:cs="Arial"/>
          <w:lang w:val="fr-FR"/>
        </w:rPr>
      </w:pPr>
    </w:p>
    <w:p w14:paraId="42752A91" w14:textId="77777777" w:rsidR="00923B2C" w:rsidRDefault="009C7B40">
      <w:pPr>
        <w:pStyle w:val="Heading1"/>
        <w:ind w:left="567" w:hanging="567"/>
        <w:rPr>
          <w:sz w:val="22"/>
          <w:szCs w:val="22"/>
          <w:lang w:val="fr-FR"/>
        </w:rPr>
      </w:pPr>
      <w:bookmarkStart w:id="20" w:name="_Toc212501821"/>
      <w:r>
        <w:rPr>
          <w:sz w:val="22"/>
          <w:szCs w:val="22"/>
          <w:lang w:val="fr-FR"/>
        </w:rPr>
        <w:t xml:space="preserve">4. </w:t>
      </w:r>
      <w:bookmarkStart w:id="21" w:name="_Hlk36466067"/>
      <w:r>
        <w:rPr>
          <w:sz w:val="22"/>
          <w:szCs w:val="22"/>
          <w:lang w:val="fr-FR"/>
        </w:rPr>
        <w:tab/>
        <w:t>CADRE D’ACTION</w:t>
      </w:r>
      <w:bookmarkEnd w:id="20"/>
    </w:p>
    <w:p w14:paraId="23EED7B7" w14:textId="77777777" w:rsidR="00923B2C" w:rsidRDefault="00923B2C">
      <w:pPr>
        <w:widowControl w:val="0"/>
        <w:tabs>
          <w:tab w:val="left" w:pos="1266"/>
        </w:tabs>
        <w:spacing w:after="0" w:line="240" w:lineRule="auto"/>
        <w:rPr>
          <w:rFonts w:ascii="Arial" w:eastAsia="Times New Roman" w:hAnsi="Arial" w:cs="Arial"/>
          <w:snapToGrid w:val="0"/>
          <w:lang w:val="fr-FR"/>
        </w:rPr>
      </w:pPr>
    </w:p>
    <w:p w14:paraId="1CD6558F" w14:textId="77777777" w:rsidR="00923B2C" w:rsidRDefault="009C7B40">
      <w:pPr>
        <w:pStyle w:val="Heading2"/>
        <w:ind w:left="567" w:hanging="567"/>
        <w:rPr>
          <w:sz w:val="22"/>
          <w:szCs w:val="22"/>
          <w:lang w:val="fr-FR"/>
        </w:rPr>
      </w:pPr>
      <w:bookmarkStart w:id="22" w:name="_Toc212501822"/>
      <w:r>
        <w:rPr>
          <w:sz w:val="22"/>
          <w:szCs w:val="22"/>
          <w:lang w:val="fr-FR"/>
        </w:rPr>
        <w:t xml:space="preserve">4.1 </w:t>
      </w:r>
      <w:r>
        <w:rPr>
          <w:sz w:val="22"/>
          <w:szCs w:val="22"/>
          <w:lang w:val="fr-FR"/>
        </w:rPr>
        <w:tab/>
        <w:t>Objectif</w:t>
      </w:r>
      <w:bookmarkEnd w:id="22"/>
    </w:p>
    <w:p w14:paraId="659D0CC3" w14:textId="77777777" w:rsidR="00923B2C" w:rsidRDefault="00923B2C">
      <w:pPr>
        <w:widowControl w:val="0"/>
        <w:autoSpaceDE w:val="0"/>
        <w:autoSpaceDN w:val="0"/>
        <w:adjustRightInd w:val="0"/>
        <w:spacing w:after="0" w:line="240" w:lineRule="auto"/>
        <w:rPr>
          <w:rFonts w:ascii="Arial" w:hAnsi="Arial" w:cs="Arial"/>
          <w:snapToGrid w:val="0"/>
          <w:lang w:val="fr-FR"/>
        </w:rPr>
      </w:pPr>
    </w:p>
    <w:p w14:paraId="54FF8F6C"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18"/>
          <w:lang w:val="fr-FR"/>
        </w:rPr>
      </w:pPr>
      <w:r>
        <w:rPr>
          <w:rFonts w:ascii="Arial" w:hAnsi="Arial" w:cs="Arial"/>
          <w:sz w:val="22"/>
          <w:szCs w:val="18"/>
          <w:lang w:val="fr-FR"/>
        </w:rPr>
        <w:t>R</w:t>
      </w:r>
      <w:bookmarkEnd w:id="21"/>
      <w:r>
        <w:rPr>
          <w:rFonts w:ascii="Arial" w:hAnsi="Arial" w:cs="Arial"/>
          <w:sz w:val="22"/>
          <w:szCs w:val="18"/>
          <w:lang w:val="fr-FR"/>
        </w:rPr>
        <w:t>enforcer la conservation et la gestion de l’anguille européenne dans toute son aire de répartition en révisant, coordonnant, harmonisant et mettant en œuvre des actions afin de s'assurer que l’espèce reste dans des limites biologiques sûres.</w:t>
      </w:r>
    </w:p>
    <w:p w14:paraId="6B2E025D" w14:textId="77777777" w:rsidR="00923B2C" w:rsidRDefault="00923B2C">
      <w:pPr>
        <w:pStyle w:val="ListParagraph"/>
        <w:autoSpaceDE w:val="0"/>
        <w:autoSpaceDN w:val="0"/>
        <w:adjustRightInd w:val="0"/>
        <w:ind w:left="567" w:hanging="567"/>
        <w:jc w:val="both"/>
        <w:rPr>
          <w:lang w:val="fr-FR"/>
        </w:rPr>
      </w:pPr>
    </w:p>
    <w:p w14:paraId="5F1DABB6" w14:textId="77777777" w:rsidR="00923B2C" w:rsidRDefault="009C7B40">
      <w:pPr>
        <w:pStyle w:val="Heading2"/>
        <w:ind w:left="567" w:hanging="567"/>
        <w:rPr>
          <w:sz w:val="22"/>
          <w:szCs w:val="22"/>
          <w:lang w:val="fr-FR"/>
        </w:rPr>
      </w:pPr>
      <w:bookmarkStart w:id="23" w:name="_Toc212501823"/>
      <w:r>
        <w:rPr>
          <w:sz w:val="22"/>
          <w:szCs w:val="22"/>
          <w:lang w:val="fr-FR"/>
        </w:rPr>
        <w:t xml:space="preserve">4.2 </w:t>
      </w:r>
      <w:r>
        <w:rPr>
          <w:sz w:val="22"/>
          <w:szCs w:val="22"/>
          <w:lang w:val="fr-FR"/>
        </w:rPr>
        <w:tab/>
        <w:t>Objectifs, actions et résultats</w:t>
      </w:r>
      <w:bookmarkEnd w:id="23"/>
    </w:p>
    <w:p w14:paraId="10513DC3" w14:textId="77777777" w:rsidR="00923B2C" w:rsidRDefault="00923B2C">
      <w:pPr>
        <w:widowControl w:val="0"/>
        <w:autoSpaceDE w:val="0"/>
        <w:autoSpaceDN w:val="0"/>
        <w:adjustRightInd w:val="0"/>
        <w:spacing w:after="0" w:line="240" w:lineRule="auto"/>
        <w:ind w:left="567" w:hanging="567"/>
        <w:rPr>
          <w:rFonts w:ascii="Arial" w:hAnsi="Arial" w:cs="Arial"/>
          <w:snapToGrid w:val="0"/>
          <w:lang w:val="fr-FR"/>
        </w:rPr>
      </w:pPr>
    </w:p>
    <w:p w14:paraId="17BB10BF"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22"/>
          <w:lang w:val="fr-FR"/>
        </w:rPr>
      </w:pPr>
      <w:r>
        <w:rPr>
          <w:rFonts w:ascii="Arial" w:hAnsi="Arial" w:cs="Arial"/>
          <w:sz w:val="22"/>
          <w:szCs w:val="22"/>
          <w:lang w:val="fr-FR"/>
        </w:rPr>
        <w:t xml:space="preserve">Les menaces qui pèsent sur l’espèce et qui ont été décrites précédemment ont été bien caractérisées, mais les effets cumulatifs sont mal connus. Les efforts coordonnés pour aborder ces questions restent encore limités (CIEM, 2025). Il est nécessaire d’accroître la coordination et l’harmonisation dans l’ensemble de l’aire de répartition de l’espèce en ce qui concerne la mise en œuvre des mesures et l’amélioration du suivi de l’efficacité des interventions. En outre, le suivi de l’efficacité doit inclure des indicateurs permettant d’évaluer les changements sur des échelles temporelles appropriées (CIEM, 2021). </w:t>
      </w:r>
    </w:p>
    <w:p w14:paraId="7E7E3DFC" w14:textId="77777777" w:rsidR="00923B2C" w:rsidRDefault="00923B2C">
      <w:pPr>
        <w:pStyle w:val="ListParagraph"/>
        <w:autoSpaceDE w:val="0"/>
        <w:autoSpaceDN w:val="0"/>
        <w:adjustRightInd w:val="0"/>
        <w:ind w:left="567" w:hanging="567"/>
        <w:jc w:val="both"/>
        <w:rPr>
          <w:rFonts w:ascii="Arial" w:hAnsi="Arial" w:cs="Arial"/>
          <w:sz w:val="22"/>
          <w:szCs w:val="22"/>
          <w:lang w:val="fr-FR"/>
        </w:rPr>
      </w:pPr>
    </w:p>
    <w:p w14:paraId="4C1CDB24"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22"/>
          <w:lang w:val="fr-FR"/>
        </w:rPr>
      </w:pPr>
      <w:r>
        <w:rPr>
          <w:rFonts w:ascii="Arial" w:hAnsi="Arial" w:cs="Arial"/>
          <w:sz w:val="22"/>
          <w:szCs w:val="22"/>
          <w:lang w:val="fr-FR"/>
        </w:rPr>
        <w:t xml:space="preserve">Il existe actuellement plusieurs cadres internationaux et mécanismes nationaux connexes qui ont pour objectif de contribuer à la reconstitution de l’anguille. Cependant, ces objectifs et actions peuvent manquer d’harmonisation, rendant les </w:t>
      </w:r>
      <w:r>
        <w:rPr>
          <w:rFonts w:ascii="Arial" w:hAnsi="Arial" w:cs="Arial"/>
          <w:sz w:val="22"/>
          <w:szCs w:val="22"/>
          <w:lang w:val="fr-FR"/>
        </w:rPr>
        <w:lastRenderedPageBreak/>
        <w:t xml:space="preserve">résultats difficiles à évaluer de manière collective. À ce titre, le Plan d’action par espèce a le potentiel de servir de cadre général afin de couvrir l’ensemble de l’aire de répartition géographique de l’espèce, en reconnaissant les différents stades auxquels se trouvent les États de l’aire de répartition dans l’élaboration de mesures de gestion. Le Plan d’action par espèce peut être un mécanisme pour corriger les lacunes qui ont été identifiées dans la conservation et la gestion de l’anguille européenne et pour améliorer la mise en œuvre des objectifs et des mesures existants. </w:t>
      </w:r>
    </w:p>
    <w:p w14:paraId="0A0FD1D1" w14:textId="77777777" w:rsidR="00923B2C" w:rsidRDefault="00923B2C">
      <w:pPr>
        <w:pStyle w:val="ListParagraph"/>
        <w:autoSpaceDE w:val="0"/>
        <w:autoSpaceDN w:val="0"/>
        <w:adjustRightInd w:val="0"/>
        <w:ind w:left="567" w:hanging="567"/>
        <w:jc w:val="both"/>
        <w:rPr>
          <w:rFonts w:ascii="Arial" w:hAnsi="Arial" w:cs="Arial"/>
          <w:sz w:val="22"/>
          <w:szCs w:val="22"/>
          <w:lang w:val="fr-FR"/>
        </w:rPr>
      </w:pPr>
    </w:p>
    <w:p w14:paraId="1BF0FB52"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22"/>
          <w:lang w:val="fr-FR"/>
        </w:rPr>
      </w:pPr>
      <w:r>
        <w:rPr>
          <w:rFonts w:ascii="Arial" w:hAnsi="Arial" w:cs="Arial"/>
          <w:sz w:val="22"/>
          <w:szCs w:val="22"/>
          <w:lang w:val="fr-FR"/>
        </w:rPr>
        <w:t>Ainsi, les objectifs, les actions et les résultats ont été élaborés en réponse aux précédentes réunions des États de l’aire de répartition, aux contributions à plusieurs versions du Plan d’action par espèce et à la prise en considération d’autres cadres pertinents qui traitent de la gestion et de la conservation de l’anguille européenne.</w:t>
      </w:r>
    </w:p>
    <w:p w14:paraId="06E63BB4" w14:textId="77777777" w:rsidR="00923B2C" w:rsidRDefault="00923B2C">
      <w:pPr>
        <w:pStyle w:val="ListParagraph"/>
        <w:autoSpaceDE w:val="0"/>
        <w:autoSpaceDN w:val="0"/>
        <w:adjustRightInd w:val="0"/>
        <w:ind w:left="567" w:hanging="567"/>
        <w:jc w:val="both"/>
        <w:rPr>
          <w:rFonts w:ascii="Arial" w:hAnsi="Arial" w:cs="Arial"/>
          <w:sz w:val="22"/>
          <w:szCs w:val="22"/>
          <w:lang w:val="fr-FR"/>
        </w:rPr>
      </w:pPr>
    </w:p>
    <w:p w14:paraId="498D23BC" w14:textId="77777777" w:rsidR="00923B2C" w:rsidRDefault="009C7B40">
      <w:pPr>
        <w:pStyle w:val="ListParagraph"/>
        <w:numPr>
          <w:ilvl w:val="0"/>
          <w:numId w:val="4"/>
        </w:numPr>
        <w:autoSpaceDE w:val="0"/>
        <w:autoSpaceDN w:val="0"/>
        <w:adjustRightInd w:val="0"/>
        <w:spacing w:after="80"/>
        <w:ind w:left="567" w:hanging="567"/>
        <w:jc w:val="both"/>
        <w:rPr>
          <w:rFonts w:ascii="Arial" w:hAnsi="Arial" w:cs="Arial"/>
          <w:sz w:val="22"/>
          <w:szCs w:val="22"/>
          <w:lang w:val="fr-FR"/>
        </w:rPr>
      </w:pPr>
      <w:r>
        <w:rPr>
          <w:rFonts w:ascii="Arial" w:hAnsi="Arial" w:cs="Arial"/>
          <w:sz w:val="22"/>
          <w:szCs w:val="22"/>
          <w:lang w:val="fr-FR"/>
        </w:rPr>
        <w:t>Les objectifs portent sur les grands thèmes suivants :</w:t>
      </w:r>
    </w:p>
    <w:p w14:paraId="46A0B7BE" w14:textId="77777777" w:rsidR="00923B2C" w:rsidRDefault="009C7B40">
      <w:pPr>
        <w:pStyle w:val="ListParagraph"/>
        <w:numPr>
          <w:ilvl w:val="0"/>
          <w:numId w:val="3"/>
        </w:numPr>
        <w:autoSpaceDE w:val="0"/>
        <w:autoSpaceDN w:val="0"/>
        <w:adjustRightInd w:val="0"/>
        <w:spacing w:after="80"/>
        <w:ind w:left="993" w:hanging="426"/>
        <w:jc w:val="both"/>
        <w:rPr>
          <w:rFonts w:ascii="Arial" w:hAnsi="Arial" w:cs="Arial"/>
          <w:sz w:val="22"/>
          <w:szCs w:val="22"/>
          <w:lang w:val="fr-FR"/>
        </w:rPr>
      </w:pPr>
      <w:r>
        <w:rPr>
          <w:rFonts w:ascii="Arial" w:hAnsi="Arial" w:cs="Arial"/>
          <w:sz w:val="22"/>
          <w:szCs w:val="22"/>
          <w:lang w:val="fr-FR"/>
        </w:rPr>
        <w:t>Atténuation des menaces anthropiques identifiées pour l’anguille européenne</w:t>
      </w:r>
    </w:p>
    <w:p w14:paraId="1EB5C2B3" w14:textId="77777777" w:rsidR="00923B2C" w:rsidRDefault="009C7B40">
      <w:pPr>
        <w:pStyle w:val="ListParagraph"/>
        <w:numPr>
          <w:ilvl w:val="0"/>
          <w:numId w:val="3"/>
        </w:numPr>
        <w:autoSpaceDE w:val="0"/>
        <w:autoSpaceDN w:val="0"/>
        <w:adjustRightInd w:val="0"/>
        <w:spacing w:after="80"/>
        <w:ind w:left="993" w:hanging="426"/>
        <w:jc w:val="both"/>
        <w:rPr>
          <w:rFonts w:ascii="Arial" w:hAnsi="Arial" w:cs="Arial"/>
          <w:sz w:val="22"/>
          <w:szCs w:val="22"/>
          <w:lang w:val="fr-FR"/>
        </w:rPr>
      </w:pPr>
      <w:r>
        <w:rPr>
          <w:rFonts w:ascii="Arial" w:hAnsi="Arial" w:cs="Arial"/>
          <w:sz w:val="22"/>
          <w:szCs w:val="22"/>
          <w:lang w:val="fr-FR"/>
        </w:rPr>
        <w:t>Suivi de l’efficacité des interventions</w:t>
      </w:r>
    </w:p>
    <w:p w14:paraId="3DFB1C3A" w14:textId="77777777" w:rsidR="00923B2C" w:rsidRDefault="009C7B40">
      <w:pPr>
        <w:pStyle w:val="ListParagraph"/>
        <w:numPr>
          <w:ilvl w:val="0"/>
          <w:numId w:val="3"/>
        </w:numPr>
        <w:autoSpaceDE w:val="0"/>
        <w:autoSpaceDN w:val="0"/>
        <w:adjustRightInd w:val="0"/>
        <w:ind w:left="993" w:hanging="426"/>
        <w:jc w:val="both"/>
        <w:rPr>
          <w:rFonts w:ascii="Arial" w:eastAsia="Calibri" w:hAnsi="Arial" w:cs="Arial"/>
          <w:snapToGrid/>
          <w:sz w:val="22"/>
          <w:szCs w:val="22"/>
          <w:lang w:val="fr-FR"/>
        </w:rPr>
      </w:pPr>
      <w:r>
        <w:rPr>
          <w:rFonts w:ascii="Arial" w:hAnsi="Arial" w:cs="Arial"/>
          <w:sz w:val="22"/>
          <w:szCs w:val="22"/>
          <w:lang w:val="fr-FR"/>
        </w:rPr>
        <w:t>Renforcement de la collaboration et de la coordination entre les États de l’aire de répartition</w:t>
      </w:r>
    </w:p>
    <w:p w14:paraId="6576B6AF" w14:textId="77777777" w:rsidR="00923B2C" w:rsidRDefault="00923B2C">
      <w:pPr>
        <w:widowControl w:val="0"/>
        <w:autoSpaceDE w:val="0"/>
        <w:autoSpaceDN w:val="0"/>
        <w:adjustRightInd w:val="0"/>
        <w:spacing w:after="0" w:line="240" w:lineRule="auto"/>
        <w:rPr>
          <w:rFonts w:ascii="Arial" w:hAnsi="Arial" w:cs="Arial"/>
          <w:snapToGrid w:val="0"/>
          <w:lang w:val="fr-FR"/>
        </w:rPr>
      </w:pPr>
    </w:p>
    <w:p w14:paraId="164B3AB5" w14:textId="77777777" w:rsidR="00923B2C" w:rsidRDefault="009C7B40">
      <w:pPr>
        <w:widowControl w:val="0"/>
        <w:autoSpaceDE w:val="0"/>
        <w:autoSpaceDN w:val="0"/>
        <w:adjustRightInd w:val="0"/>
        <w:spacing w:after="0" w:line="240" w:lineRule="auto"/>
        <w:jc w:val="both"/>
        <w:rPr>
          <w:rFonts w:ascii="Arial" w:hAnsi="Arial" w:cs="Arial"/>
          <w:snapToGrid w:val="0"/>
          <w:lang w:val="fr-FR"/>
        </w:rPr>
      </w:pPr>
      <w:r>
        <w:rPr>
          <w:rFonts w:ascii="Arial" w:hAnsi="Arial" w:cs="Arial"/>
          <w:snapToGrid w:val="0"/>
          <w:lang w:val="fr-FR"/>
        </w:rPr>
        <w:t xml:space="preserve">Les objectifs ainsi que les actions et résultats correspondants sont présentés dans la section 4.8. </w:t>
      </w:r>
    </w:p>
    <w:p w14:paraId="5F17F124" w14:textId="77777777" w:rsidR="00923B2C" w:rsidRDefault="00923B2C">
      <w:pPr>
        <w:widowControl w:val="0"/>
        <w:autoSpaceDE w:val="0"/>
        <w:autoSpaceDN w:val="0"/>
        <w:adjustRightInd w:val="0"/>
        <w:spacing w:after="0" w:line="240" w:lineRule="auto"/>
        <w:rPr>
          <w:rFonts w:ascii="Arial" w:hAnsi="Arial" w:cs="Arial"/>
          <w:b/>
          <w:bCs/>
          <w:i/>
          <w:iCs/>
          <w:snapToGrid w:val="0"/>
          <w:lang w:val="fr-FR"/>
        </w:rPr>
      </w:pPr>
    </w:p>
    <w:p w14:paraId="348AE58B" w14:textId="77777777" w:rsidR="00923B2C" w:rsidRDefault="009C7B40">
      <w:pPr>
        <w:pStyle w:val="Heading2"/>
        <w:ind w:left="567" w:hanging="567"/>
        <w:rPr>
          <w:sz w:val="22"/>
          <w:szCs w:val="22"/>
          <w:lang w:val="fr-FR"/>
        </w:rPr>
      </w:pPr>
      <w:bookmarkStart w:id="24" w:name="_Toc212501824"/>
      <w:r>
        <w:rPr>
          <w:sz w:val="22"/>
          <w:szCs w:val="22"/>
          <w:lang w:val="fr-FR"/>
        </w:rPr>
        <w:t xml:space="preserve">4.3 </w:t>
      </w:r>
      <w:r>
        <w:rPr>
          <w:sz w:val="22"/>
          <w:szCs w:val="22"/>
          <w:lang w:val="fr-FR"/>
        </w:rPr>
        <w:tab/>
        <w:t>Études scientifiques et collecte de données</w:t>
      </w:r>
      <w:bookmarkEnd w:id="24"/>
    </w:p>
    <w:p w14:paraId="4F94DBD0" w14:textId="77777777" w:rsidR="00923B2C" w:rsidRDefault="00923B2C">
      <w:pPr>
        <w:pStyle w:val="NoSpacing"/>
        <w:jc w:val="both"/>
        <w:rPr>
          <w:rFonts w:ascii="Arial" w:hAnsi="Arial" w:cs="Arial"/>
          <w:lang w:val="fr-FR"/>
        </w:rPr>
      </w:pPr>
    </w:p>
    <w:p w14:paraId="1CC19DFF"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18"/>
          <w:lang w:val="fr-FR"/>
        </w:rPr>
      </w:pPr>
      <w:r>
        <w:rPr>
          <w:rFonts w:ascii="Arial" w:hAnsi="Arial" w:cs="Arial"/>
          <w:sz w:val="22"/>
          <w:szCs w:val="18"/>
          <w:lang w:val="fr-FR"/>
        </w:rPr>
        <w:t xml:space="preserve">Afin de soutenir l’action concertée, il apparaît essentiel que les programmes nationaux, lorsqu’ils existent, renforcent l’apport de données scientifiques et améliorent la coordination entre les différentes parties prenantes. Lorsque ces programmes nationaux font défaut, ils doivent être mis en place. Ces initiatives devraient permettre d’améliorer les connaissances sur l’état de la population d’anguilles européennes et sur l’impact des menaces décrites ci-dessus. </w:t>
      </w:r>
    </w:p>
    <w:p w14:paraId="4AD6F489" w14:textId="77777777" w:rsidR="00923B2C" w:rsidRDefault="00923B2C">
      <w:pPr>
        <w:pStyle w:val="ListParagraph"/>
        <w:autoSpaceDE w:val="0"/>
        <w:autoSpaceDN w:val="0"/>
        <w:adjustRightInd w:val="0"/>
        <w:ind w:left="567" w:hanging="567"/>
        <w:jc w:val="both"/>
        <w:rPr>
          <w:rFonts w:ascii="Arial" w:hAnsi="Arial" w:cs="Arial"/>
          <w:sz w:val="22"/>
          <w:szCs w:val="18"/>
          <w:lang w:val="fr-FR"/>
        </w:rPr>
      </w:pPr>
    </w:p>
    <w:p w14:paraId="33700EC0"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18"/>
          <w:lang w:val="fr-FR"/>
        </w:rPr>
      </w:pPr>
      <w:r>
        <w:rPr>
          <w:rFonts w:ascii="Arial" w:hAnsi="Arial" w:cs="Arial"/>
          <w:sz w:val="22"/>
          <w:szCs w:val="18"/>
          <w:lang w:val="fr-FR"/>
        </w:rPr>
        <w:t>Il est également tout à fait rationnel que les résultats des études scientifiques soient partagés et développés en collaboration avec les autres Parties et les États de l’aire de répartition. En particulier, la génomique des populations, le marquage et les études de suivi peuvent offrir des informations essentielles sur la connectivité au sein des stocks panmictiques de l’espèce ainsi que sur la dynamique de sa migration de frai. Ces mesures seraient conformes à la Convention (article II, section 3 a)).</w:t>
      </w:r>
    </w:p>
    <w:p w14:paraId="6CF2B390" w14:textId="77777777" w:rsidR="00923B2C" w:rsidRDefault="00923B2C">
      <w:pPr>
        <w:pStyle w:val="ListParagraph"/>
        <w:autoSpaceDE w:val="0"/>
        <w:autoSpaceDN w:val="0"/>
        <w:adjustRightInd w:val="0"/>
        <w:ind w:left="567" w:hanging="567"/>
        <w:jc w:val="both"/>
        <w:rPr>
          <w:rFonts w:ascii="Arial" w:hAnsi="Arial" w:cs="Arial"/>
          <w:sz w:val="22"/>
          <w:szCs w:val="18"/>
          <w:lang w:val="fr-FR"/>
        </w:rPr>
      </w:pPr>
    </w:p>
    <w:p w14:paraId="35DF9705" w14:textId="77777777" w:rsidR="00923B2C" w:rsidRDefault="009C7B40">
      <w:pPr>
        <w:pStyle w:val="Heading2"/>
        <w:ind w:left="567" w:hanging="567"/>
        <w:rPr>
          <w:sz w:val="22"/>
          <w:szCs w:val="22"/>
          <w:lang w:val="fr-FR"/>
        </w:rPr>
      </w:pPr>
      <w:bookmarkStart w:id="25" w:name="_Toc212501825"/>
      <w:r>
        <w:rPr>
          <w:sz w:val="22"/>
          <w:szCs w:val="22"/>
          <w:lang w:val="fr-FR"/>
        </w:rPr>
        <w:t xml:space="preserve">4.4 </w:t>
      </w:r>
      <w:r>
        <w:rPr>
          <w:sz w:val="22"/>
          <w:szCs w:val="22"/>
          <w:lang w:val="fr-FR"/>
        </w:rPr>
        <w:tab/>
        <w:t>Assurer des ressources suffisantes pour la conservation continue</w:t>
      </w:r>
      <w:bookmarkEnd w:id="25"/>
    </w:p>
    <w:p w14:paraId="5DB17075" w14:textId="77777777" w:rsidR="00923B2C" w:rsidRDefault="00923B2C">
      <w:pPr>
        <w:pStyle w:val="NoSpacing"/>
        <w:jc w:val="both"/>
        <w:rPr>
          <w:rFonts w:ascii="Arial" w:hAnsi="Arial" w:cs="Arial"/>
          <w:lang w:val="fr-FR" w:eastAsia="en-GB"/>
        </w:rPr>
      </w:pPr>
    </w:p>
    <w:p w14:paraId="7B3429F1"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22"/>
          <w:lang w:val="fr-FR" w:eastAsia="en-GB"/>
        </w:rPr>
      </w:pPr>
      <w:r>
        <w:rPr>
          <w:rFonts w:ascii="Arial" w:hAnsi="Arial" w:cs="Arial"/>
          <w:sz w:val="22"/>
          <w:szCs w:val="22"/>
          <w:lang w:val="fr-FR" w:eastAsia="en-GB"/>
        </w:rPr>
        <w:t>Pour atteindre les objectifs de ce plan d'action, des ressources suffisantes doivent être garanties afin de mettre en œuvre les actions nécessaires à l'échelle nationale et régionale. Les Parties pourraient envisager de créer des groupes de travail nationaux composés d’experts et de parties prenantes locaux afin de soutenir leur mise en œuvre aux niveaux national et régional.</w:t>
      </w:r>
    </w:p>
    <w:p w14:paraId="1B3A02E8" w14:textId="77777777" w:rsidR="00923B2C" w:rsidRDefault="00923B2C">
      <w:pPr>
        <w:spacing w:after="0" w:line="240" w:lineRule="auto"/>
        <w:rPr>
          <w:rFonts w:ascii="Arial" w:eastAsia="Times New Roman" w:hAnsi="Arial" w:cs="Arial"/>
          <w:color w:val="000000"/>
          <w:sz w:val="17"/>
          <w:szCs w:val="17"/>
          <w:lang w:val="fr-FR" w:eastAsia="en-GB"/>
        </w:rPr>
      </w:pPr>
    </w:p>
    <w:p w14:paraId="1B8E379B" w14:textId="77777777" w:rsidR="00923B2C" w:rsidRDefault="009C7B40">
      <w:pPr>
        <w:pStyle w:val="Heading2"/>
        <w:ind w:left="567" w:hanging="567"/>
        <w:rPr>
          <w:sz w:val="22"/>
          <w:szCs w:val="22"/>
          <w:lang w:val="fr-FR"/>
        </w:rPr>
      </w:pPr>
      <w:bookmarkStart w:id="26" w:name="_Toc212501826"/>
      <w:r>
        <w:rPr>
          <w:sz w:val="22"/>
          <w:szCs w:val="22"/>
          <w:lang w:val="fr-FR"/>
        </w:rPr>
        <w:t xml:space="preserve">4.5 </w:t>
      </w:r>
      <w:r>
        <w:rPr>
          <w:sz w:val="22"/>
          <w:szCs w:val="22"/>
          <w:lang w:val="fr-FR"/>
        </w:rPr>
        <w:tab/>
        <w:t>Cadre des objectifs</w:t>
      </w:r>
      <w:bookmarkEnd w:id="26"/>
    </w:p>
    <w:p w14:paraId="39F7E710" w14:textId="77777777" w:rsidR="00923B2C" w:rsidRDefault="00923B2C">
      <w:pPr>
        <w:widowControl w:val="0"/>
        <w:autoSpaceDE w:val="0"/>
        <w:autoSpaceDN w:val="0"/>
        <w:adjustRightInd w:val="0"/>
        <w:spacing w:after="0" w:line="240" w:lineRule="auto"/>
        <w:rPr>
          <w:rFonts w:ascii="Arial" w:hAnsi="Arial" w:cs="Arial"/>
          <w:b/>
          <w:bCs/>
          <w:i/>
          <w:iCs/>
          <w:snapToGrid w:val="0"/>
          <w:lang w:val="fr-FR"/>
        </w:rPr>
      </w:pPr>
    </w:p>
    <w:p w14:paraId="76681BAA"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18"/>
          <w:lang w:val="fr-FR"/>
        </w:rPr>
      </w:pPr>
      <w:r>
        <w:rPr>
          <w:rFonts w:ascii="Arial" w:hAnsi="Arial" w:cs="Arial"/>
          <w:sz w:val="22"/>
          <w:szCs w:val="18"/>
          <w:lang w:val="fr-FR"/>
        </w:rPr>
        <w:t>Chaque objectif est assorti d’un résultat escompté qui sera atteint grâce à des actions, chacune d’entre elles indiquant le niveau de priorité, le calendrier et les responsables de la mise en œuvre, en tenant compte des effets cumulatifs.</w:t>
      </w:r>
    </w:p>
    <w:p w14:paraId="12FA3435" w14:textId="16774719" w:rsidR="00515C73" w:rsidRDefault="00515C73" w:rsidP="00515C73">
      <w:pPr>
        <w:widowControl w:val="0"/>
        <w:autoSpaceDE w:val="0"/>
        <w:autoSpaceDN w:val="0"/>
        <w:adjustRightInd w:val="0"/>
        <w:spacing w:after="0" w:line="240" w:lineRule="auto"/>
        <w:rPr>
          <w:rFonts w:ascii="Arial" w:hAnsi="Arial" w:cs="Arial"/>
          <w:b/>
          <w:bCs/>
          <w:i/>
          <w:iCs/>
          <w:snapToGrid w:val="0"/>
          <w:lang w:val="fr-FR"/>
        </w:rPr>
      </w:pPr>
      <w:r>
        <w:rPr>
          <w:rFonts w:ascii="Arial" w:hAnsi="Arial" w:cs="Arial"/>
          <w:b/>
          <w:bCs/>
          <w:i/>
          <w:iCs/>
          <w:snapToGrid w:val="0"/>
          <w:lang w:val="fr-FR"/>
        </w:rPr>
        <w:br w:type="page"/>
      </w:r>
    </w:p>
    <w:p w14:paraId="23B19B04" w14:textId="77777777" w:rsidR="00923B2C" w:rsidRDefault="009C7B40">
      <w:pPr>
        <w:widowControl w:val="0"/>
        <w:autoSpaceDE w:val="0"/>
        <w:autoSpaceDN w:val="0"/>
        <w:adjustRightInd w:val="0"/>
        <w:spacing w:after="40" w:line="240" w:lineRule="auto"/>
        <w:rPr>
          <w:rFonts w:ascii="Arial" w:hAnsi="Arial" w:cs="Arial"/>
          <w:snapToGrid w:val="0"/>
          <w:lang w:val="fr-FR"/>
        </w:rPr>
      </w:pPr>
      <w:r>
        <w:rPr>
          <w:rFonts w:ascii="Arial" w:hAnsi="Arial" w:cs="Arial"/>
          <w:b/>
          <w:snapToGrid w:val="0"/>
          <w:lang w:val="fr-FR"/>
        </w:rPr>
        <w:lastRenderedPageBreak/>
        <w:t>Les actions</w:t>
      </w:r>
      <w:r>
        <w:rPr>
          <w:rFonts w:ascii="Arial" w:hAnsi="Arial" w:cs="Arial"/>
          <w:snapToGrid w:val="0"/>
          <w:lang w:val="fr-FR"/>
        </w:rPr>
        <w:t xml:space="preserve"> doivent être classées par ordre de priorité à l’échelle de l’État de l’aire de répartition, selon les catégories suivantes :</w:t>
      </w:r>
    </w:p>
    <w:p w14:paraId="6F94A00C" w14:textId="77777777" w:rsidR="00923B2C" w:rsidRDefault="009C7B40">
      <w:pPr>
        <w:widowControl w:val="0"/>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Essentielle</w:t>
      </w:r>
      <w:r>
        <w:rPr>
          <w:rStyle w:val="FootnoteReference"/>
          <w:rFonts w:ascii="Arial" w:hAnsi="Arial" w:cs="Arial"/>
          <w:snapToGrid w:val="0"/>
          <w:vertAlign w:val="superscript"/>
          <w:lang w:val="fr-FR"/>
        </w:rPr>
        <w:footnoteReference w:id="6"/>
      </w:r>
      <w:r>
        <w:rPr>
          <w:rFonts w:ascii="Arial" w:hAnsi="Arial" w:cs="Arial"/>
          <w:snapToGrid w:val="0"/>
          <w:vertAlign w:val="superscript"/>
          <w:lang w:val="fr-FR"/>
        </w:rPr>
        <w:t xml:space="preserve"> </w:t>
      </w:r>
    </w:p>
    <w:p w14:paraId="33CCE405" w14:textId="77777777" w:rsidR="00923B2C" w:rsidRDefault="009C7B40">
      <w:pPr>
        <w:widowControl w:val="0"/>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Élevée</w:t>
      </w:r>
    </w:p>
    <w:p w14:paraId="565470CD" w14:textId="77777777" w:rsidR="00923B2C" w:rsidRDefault="009C7B40">
      <w:pPr>
        <w:widowControl w:val="0"/>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Moyenne</w:t>
      </w:r>
    </w:p>
    <w:p w14:paraId="00785247" w14:textId="77777777" w:rsidR="00923B2C" w:rsidRDefault="009C7B40">
      <w:pPr>
        <w:widowControl w:val="0"/>
        <w:autoSpaceDE w:val="0"/>
        <w:autoSpaceDN w:val="0"/>
        <w:adjustRightInd w:val="0"/>
        <w:spacing w:after="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Faible</w:t>
      </w:r>
    </w:p>
    <w:p w14:paraId="22F90D31" w14:textId="77777777" w:rsidR="00923B2C" w:rsidRDefault="00923B2C">
      <w:pPr>
        <w:widowControl w:val="0"/>
        <w:autoSpaceDE w:val="0"/>
        <w:autoSpaceDN w:val="0"/>
        <w:adjustRightInd w:val="0"/>
        <w:spacing w:after="0" w:line="240" w:lineRule="auto"/>
        <w:rPr>
          <w:rFonts w:ascii="Arial" w:hAnsi="Arial" w:cs="Arial"/>
          <w:snapToGrid w:val="0"/>
          <w:lang w:val="fr-FR"/>
        </w:rPr>
      </w:pPr>
    </w:p>
    <w:p w14:paraId="477BC866" w14:textId="77777777" w:rsidR="00923B2C" w:rsidRDefault="009C7B40">
      <w:pPr>
        <w:widowControl w:val="0"/>
        <w:autoSpaceDE w:val="0"/>
        <w:autoSpaceDN w:val="0"/>
        <w:adjustRightInd w:val="0"/>
        <w:spacing w:after="40" w:line="240" w:lineRule="auto"/>
        <w:rPr>
          <w:rFonts w:ascii="Arial" w:hAnsi="Arial" w:cs="Arial"/>
          <w:snapToGrid w:val="0"/>
          <w:lang w:val="fr-FR"/>
        </w:rPr>
      </w:pPr>
      <w:r>
        <w:rPr>
          <w:rFonts w:ascii="Arial" w:hAnsi="Arial" w:cs="Arial"/>
          <w:b/>
          <w:snapToGrid w:val="0"/>
          <w:lang w:val="fr-FR"/>
        </w:rPr>
        <w:t>Un délai</w:t>
      </w:r>
      <w:r>
        <w:rPr>
          <w:rFonts w:ascii="Arial" w:hAnsi="Arial" w:cs="Arial"/>
          <w:snapToGrid w:val="0"/>
          <w:lang w:val="fr-FR"/>
        </w:rPr>
        <w:t xml:space="preserve"> a également été associé à chaque action selon l’échelle suivante :</w:t>
      </w:r>
    </w:p>
    <w:p w14:paraId="72C3CDDA" w14:textId="77777777" w:rsidR="00923B2C" w:rsidRDefault="009C7B40">
      <w:pPr>
        <w:widowControl w:val="0"/>
        <w:tabs>
          <w:tab w:val="left" w:pos="709"/>
          <w:tab w:val="left" w:pos="2127"/>
        </w:tabs>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 xml:space="preserve">Immédiat : </w:t>
      </w:r>
      <w:r>
        <w:rPr>
          <w:rFonts w:ascii="Arial" w:hAnsi="Arial" w:cs="Arial"/>
          <w:snapToGrid w:val="0"/>
          <w:lang w:val="fr-FR"/>
        </w:rPr>
        <w:tab/>
        <w:t>action achevée au cours de l’année prochaine</w:t>
      </w:r>
    </w:p>
    <w:p w14:paraId="5CBD0FCA" w14:textId="77777777" w:rsidR="00923B2C" w:rsidRDefault="009C7B40">
      <w:pPr>
        <w:widowControl w:val="0"/>
        <w:tabs>
          <w:tab w:val="left" w:pos="709"/>
          <w:tab w:val="left" w:pos="2127"/>
        </w:tabs>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 xml:space="preserve">Court : </w:t>
      </w:r>
      <w:r>
        <w:rPr>
          <w:rFonts w:ascii="Arial" w:hAnsi="Arial" w:cs="Arial"/>
          <w:snapToGrid w:val="0"/>
          <w:lang w:val="fr-FR"/>
        </w:rPr>
        <w:tab/>
        <w:t>action achevée dans les 3 prochaines années</w:t>
      </w:r>
    </w:p>
    <w:p w14:paraId="5C13B24A" w14:textId="77777777" w:rsidR="00923B2C" w:rsidRDefault="009C7B40">
      <w:pPr>
        <w:widowControl w:val="0"/>
        <w:tabs>
          <w:tab w:val="left" w:pos="709"/>
          <w:tab w:val="left" w:pos="2127"/>
        </w:tabs>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 xml:space="preserve">Moyen : </w:t>
      </w:r>
      <w:r>
        <w:rPr>
          <w:rFonts w:ascii="Arial" w:hAnsi="Arial" w:cs="Arial"/>
          <w:snapToGrid w:val="0"/>
          <w:lang w:val="fr-FR"/>
        </w:rPr>
        <w:tab/>
        <w:t>action achevée dans les 5 prochaines années</w:t>
      </w:r>
    </w:p>
    <w:p w14:paraId="7AABAF06" w14:textId="77777777" w:rsidR="00923B2C" w:rsidRDefault="009C7B40">
      <w:pPr>
        <w:widowControl w:val="0"/>
        <w:tabs>
          <w:tab w:val="left" w:pos="709"/>
          <w:tab w:val="left" w:pos="2127"/>
        </w:tabs>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 xml:space="preserve">Long : </w:t>
      </w:r>
      <w:r>
        <w:rPr>
          <w:rFonts w:ascii="Arial" w:hAnsi="Arial" w:cs="Arial"/>
          <w:snapToGrid w:val="0"/>
          <w:lang w:val="fr-FR"/>
        </w:rPr>
        <w:tab/>
        <w:t>action achevée dans les 10 prochaines années</w:t>
      </w:r>
    </w:p>
    <w:p w14:paraId="276679D5" w14:textId="77777777" w:rsidR="00923B2C" w:rsidRDefault="009C7B40">
      <w:pPr>
        <w:widowControl w:val="0"/>
        <w:tabs>
          <w:tab w:val="left" w:pos="709"/>
          <w:tab w:val="left" w:pos="2127"/>
        </w:tabs>
        <w:autoSpaceDE w:val="0"/>
        <w:autoSpaceDN w:val="0"/>
        <w:adjustRightInd w:val="0"/>
        <w:spacing w:after="40" w:line="240" w:lineRule="auto"/>
        <w:rPr>
          <w:rFonts w:ascii="Arial" w:hAnsi="Arial" w:cs="Arial"/>
          <w:snapToGrid w:val="0"/>
          <w:lang w:val="fr-FR"/>
        </w:rPr>
      </w:pPr>
      <w:r>
        <w:rPr>
          <w:rFonts w:ascii="Arial" w:hAnsi="Arial" w:cs="Arial"/>
          <w:snapToGrid w:val="0"/>
          <w:lang w:val="fr-FR"/>
        </w:rPr>
        <w:t xml:space="preserve"> – </w:t>
      </w:r>
      <w:r>
        <w:rPr>
          <w:rFonts w:ascii="Arial" w:hAnsi="Arial" w:cs="Arial"/>
          <w:snapToGrid w:val="0"/>
          <w:lang w:val="fr-FR"/>
        </w:rPr>
        <w:tab/>
        <w:t xml:space="preserve">En cours : </w:t>
      </w:r>
      <w:r>
        <w:rPr>
          <w:rFonts w:ascii="Arial" w:hAnsi="Arial" w:cs="Arial"/>
          <w:snapToGrid w:val="0"/>
          <w:lang w:val="fr-FR"/>
        </w:rPr>
        <w:tab/>
        <w:t>action dont la mise en œuvre a débuté et doit se poursuivre</w:t>
      </w:r>
    </w:p>
    <w:p w14:paraId="215CB593" w14:textId="77777777" w:rsidR="00923B2C" w:rsidRDefault="009C7B40">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lang w:val="fr-FR"/>
        </w:rPr>
      </w:pPr>
      <w:r>
        <w:rPr>
          <w:rFonts w:ascii="Arial" w:hAnsi="Arial" w:cs="Arial"/>
          <w:snapToGrid w:val="0"/>
          <w:lang w:val="fr-FR"/>
        </w:rPr>
        <w:t xml:space="preserve"> – </w:t>
      </w:r>
      <w:r>
        <w:rPr>
          <w:rFonts w:ascii="Arial" w:hAnsi="Arial" w:cs="Arial"/>
          <w:snapToGrid w:val="0"/>
          <w:lang w:val="fr-FR"/>
        </w:rPr>
        <w:tab/>
        <w:t xml:space="preserve">Achevé : </w:t>
      </w:r>
      <w:r>
        <w:rPr>
          <w:rFonts w:ascii="Arial" w:hAnsi="Arial" w:cs="Arial"/>
          <w:snapToGrid w:val="0"/>
          <w:lang w:val="fr-FR"/>
        </w:rPr>
        <w:tab/>
        <w:t>action achevée lors de l’élaboration du Plan d’action</w:t>
      </w:r>
    </w:p>
    <w:p w14:paraId="7CAE9008" w14:textId="77777777" w:rsidR="00923B2C" w:rsidRDefault="00923B2C">
      <w:pPr>
        <w:widowControl w:val="0"/>
        <w:tabs>
          <w:tab w:val="left" w:pos="709"/>
          <w:tab w:val="left" w:pos="2127"/>
        </w:tabs>
        <w:autoSpaceDE w:val="0"/>
        <w:autoSpaceDN w:val="0"/>
        <w:adjustRightInd w:val="0"/>
        <w:spacing w:after="0" w:line="240" w:lineRule="auto"/>
        <w:jc w:val="both"/>
        <w:rPr>
          <w:rFonts w:ascii="Arial" w:eastAsia="Times New Roman" w:hAnsi="Arial" w:cs="Arial"/>
          <w:b/>
          <w:bCs/>
          <w:snapToGrid w:val="0"/>
          <w:lang w:val="fr-FR"/>
        </w:rPr>
      </w:pPr>
    </w:p>
    <w:p w14:paraId="4FD8759F"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22"/>
          <w:lang w:val="fr-FR"/>
        </w:rPr>
      </w:pPr>
      <w:r>
        <w:rPr>
          <w:rFonts w:ascii="Arial" w:hAnsi="Arial" w:cs="Arial"/>
          <w:sz w:val="22"/>
          <w:szCs w:val="22"/>
          <w:lang w:val="fr-FR"/>
        </w:rPr>
        <w:t xml:space="preserve">Dans les situations où des actions efficaces équivalentes sont déjà en place dans les cadres existants, il n’est pas nécessaire de s’attendre à ce que de nouveaux mécanismes soient élaborés. Dans la mesure du possible, le renforcement des cadres existants et leur mise en œuvre seront encouragés. </w:t>
      </w:r>
    </w:p>
    <w:p w14:paraId="3E253233" w14:textId="77777777" w:rsidR="00923B2C" w:rsidRDefault="00923B2C">
      <w:pPr>
        <w:widowControl w:val="0"/>
        <w:tabs>
          <w:tab w:val="left" w:pos="709"/>
          <w:tab w:val="left" w:pos="2127"/>
        </w:tabs>
        <w:autoSpaceDE w:val="0"/>
        <w:autoSpaceDN w:val="0"/>
        <w:adjustRightInd w:val="0"/>
        <w:spacing w:after="0" w:line="240" w:lineRule="auto"/>
        <w:ind w:left="567" w:hanging="567"/>
        <w:rPr>
          <w:rFonts w:ascii="Arial" w:eastAsia="Times New Roman" w:hAnsi="Arial" w:cs="Arial"/>
          <w:b/>
          <w:bCs/>
          <w:snapToGrid w:val="0"/>
          <w:lang w:val="fr-FR"/>
        </w:rPr>
      </w:pPr>
    </w:p>
    <w:p w14:paraId="34039569" w14:textId="77777777" w:rsidR="00923B2C" w:rsidRDefault="009C7B40">
      <w:pPr>
        <w:pStyle w:val="ListParagraph"/>
        <w:numPr>
          <w:ilvl w:val="0"/>
          <w:numId w:val="4"/>
        </w:numPr>
        <w:autoSpaceDE w:val="0"/>
        <w:autoSpaceDN w:val="0"/>
        <w:adjustRightInd w:val="0"/>
        <w:ind w:left="567" w:hanging="567"/>
        <w:jc w:val="both"/>
        <w:rPr>
          <w:rFonts w:ascii="Arial" w:hAnsi="Arial" w:cs="Arial"/>
          <w:sz w:val="22"/>
          <w:szCs w:val="22"/>
          <w:lang w:val="fr-FR"/>
        </w:rPr>
      </w:pPr>
      <w:r>
        <w:rPr>
          <w:rFonts w:ascii="Arial" w:hAnsi="Arial" w:cs="Arial"/>
          <w:sz w:val="22"/>
          <w:szCs w:val="22"/>
          <w:lang w:val="fr-FR"/>
        </w:rPr>
        <w:t>Tous les États de l’aire de répartition sont censés entreprendre les Actions 1.1 à 1.9.</w:t>
      </w:r>
    </w:p>
    <w:p w14:paraId="0887B08B" w14:textId="77777777" w:rsidR="00923B2C" w:rsidRDefault="00923B2C">
      <w:pPr>
        <w:pStyle w:val="Heading2"/>
        <w:rPr>
          <w:lang w:val="fr-FR"/>
        </w:rPr>
      </w:pPr>
    </w:p>
    <w:p w14:paraId="588C7E57" w14:textId="77777777" w:rsidR="00923B2C" w:rsidRDefault="009C7B40">
      <w:pPr>
        <w:pStyle w:val="Heading2"/>
        <w:ind w:left="567" w:hanging="567"/>
        <w:rPr>
          <w:sz w:val="22"/>
          <w:szCs w:val="22"/>
          <w:lang w:val="fr-FR"/>
        </w:rPr>
      </w:pPr>
      <w:bookmarkStart w:id="27" w:name="_Toc212501827"/>
      <w:r>
        <w:rPr>
          <w:sz w:val="22"/>
          <w:szCs w:val="22"/>
          <w:lang w:val="fr-FR"/>
        </w:rPr>
        <w:t xml:space="preserve">4.6 </w:t>
      </w:r>
      <w:r>
        <w:rPr>
          <w:sz w:val="22"/>
          <w:szCs w:val="22"/>
          <w:lang w:val="fr-FR"/>
        </w:rPr>
        <w:tab/>
        <w:t>Mise en œuvre nationale</w:t>
      </w:r>
      <w:bookmarkEnd w:id="27"/>
      <w:r>
        <w:rPr>
          <w:sz w:val="22"/>
          <w:szCs w:val="22"/>
          <w:lang w:val="fr-FR"/>
        </w:rPr>
        <w:t xml:space="preserve"> </w:t>
      </w:r>
    </w:p>
    <w:p w14:paraId="20D7B223" w14:textId="77777777" w:rsidR="00923B2C" w:rsidRDefault="00923B2C">
      <w:pPr>
        <w:widowControl w:val="0"/>
        <w:tabs>
          <w:tab w:val="left" w:pos="709"/>
          <w:tab w:val="left" w:pos="2127"/>
        </w:tabs>
        <w:autoSpaceDE w:val="0"/>
        <w:autoSpaceDN w:val="0"/>
        <w:adjustRightInd w:val="0"/>
        <w:spacing w:after="0" w:line="240" w:lineRule="auto"/>
        <w:rPr>
          <w:rFonts w:ascii="Arial" w:hAnsi="Arial" w:cs="Arial"/>
          <w:snapToGrid w:val="0"/>
          <w:highlight w:val="yellow"/>
          <w:lang w:val="fr-FR"/>
        </w:rPr>
      </w:pPr>
    </w:p>
    <w:p w14:paraId="0DD9BD16" w14:textId="77777777" w:rsidR="00923B2C" w:rsidRDefault="009C7B40">
      <w:pPr>
        <w:pStyle w:val="ListParagraph"/>
        <w:numPr>
          <w:ilvl w:val="0"/>
          <w:numId w:val="4"/>
        </w:numPr>
        <w:autoSpaceDE w:val="0"/>
        <w:autoSpaceDN w:val="0"/>
        <w:adjustRightInd w:val="0"/>
        <w:ind w:left="567" w:hanging="567"/>
        <w:jc w:val="both"/>
        <w:rPr>
          <w:rFonts w:ascii="Arial" w:hAnsi="Arial" w:cs="Arial"/>
          <w:b/>
          <w:sz w:val="22"/>
          <w:szCs w:val="22"/>
          <w:lang w:val="fr-FR"/>
        </w:rPr>
      </w:pPr>
      <w:r>
        <w:rPr>
          <w:rFonts w:ascii="Arial" w:hAnsi="Arial" w:cs="Arial"/>
          <w:sz w:val="22"/>
          <w:szCs w:val="22"/>
          <w:lang w:val="fr-FR"/>
        </w:rPr>
        <w:t xml:space="preserve">Le Plan d’action constitue un guide destiné à tous les États de l’aire de répartition ainsi qu’aux autres parties prenantes, et il concerne l’espèce tout au long de son cycle de vie. Tous les aspects ne s’appliquent pas à tous les pays, par exemple dans les cas où des lois sont déjà en vigueur ou des plans en place. </w:t>
      </w:r>
      <w:r>
        <w:rPr>
          <w:rFonts w:ascii="Arial" w:eastAsia="Arial" w:hAnsi="Arial" w:cs="Arial"/>
          <w:sz w:val="22"/>
          <w:szCs w:val="22"/>
          <w:lang w:val="fr-FR"/>
        </w:rPr>
        <w:t xml:space="preserve">Les capacités et les cadres réglementaires varient d’un État de l’aire de répartition à l’autre, et il convient d’en tenir compte dans la mise en œuvre du Plan d’action par espèce. </w:t>
      </w:r>
      <w:r>
        <w:rPr>
          <w:rFonts w:ascii="Arial" w:hAnsi="Arial" w:cs="Arial"/>
          <w:sz w:val="22"/>
          <w:szCs w:val="22"/>
          <w:lang w:val="fr-FR"/>
        </w:rPr>
        <w:t xml:space="preserve">Par ailleurs, certains pouvoirs publics pourraient avoir besoin d’un renforcement des capacités supplémentaire pour pouvoir entreprendre certains aspects du plan. Les pouvoirs publics qui approuvent ce Plan d’action par espèce s’engagent à revoir leur mise en œuvre nationale et à élaborer leurs propres plans de travail pour organiser la mise en œuvre nationale, guidés par le Plan d’action par espèce et les priorités convenues, le cas échéant, en ce qui concerne les mesures de gestion nationales existantes. </w:t>
      </w:r>
    </w:p>
    <w:p w14:paraId="7537BCB2" w14:textId="77777777" w:rsidR="00923B2C" w:rsidRDefault="00923B2C">
      <w:pPr>
        <w:widowControl w:val="0"/>
        <w:tabs>
          <w:tab w:val="left" w:pos="709"/>
          <w:tab w:val="left" w:pos="2127"/>
        </w:tabs>
        <w:autoSpaceDE w:val="0"/>
        <w:autoSpaceDN w:val="0"/>
        <w:adjustRightInd w:val="0"/>
        <w:spacing w:after="0" w:line="240" w:lineRule="auto"/>
        <w:jc w:val="both"/>
        <w:rPr>
          <w:rFonts w:ascii="Arial" w:hAnsi="Arial" w:cs="Arial"/>
          <w:b/>
          <w:bCs/>
          <w:i/>
          <w:iCs/>
          <w:snapToGrid w:val="0"/>
          <w:lang w:val="fr-FR"/>
        </w:rPr>
      </w:pPr>
    </w:p>
    <w:p w14:paraId="764EF258" w14:textId="77777777" w:rsidR="00923B2C" w:rsidRDefault="009C7B40">
      <w:pPr>
        <w:pStyle w:val="Heading2"/>
        <w:ind w:left="567" w:hanging="567"/>
        <w:rPr>
          <w:sz w:val="22"/>
          <w:szCs w:val="22"/>
          <w:lang w:val="fr-FR"/>
        </w:rPr>
      </w:pPr>
      <w:bookmarkStart w:id="28" w:name="_Toc212501828"/>
      <w:r>
        <w:rPr>
          <w:sz w:val="22"/>
          <w:szCs w:val="22"/>
          <w:lang w:val="fr-FR"/>
        </w:rPr>
        <w:t xml:space="preserve">4.7 </w:t>
      </w:r>
      <w:r>
        <w:rPr>
          <w:sz w:val="22"/>
          <w:szCs w:val="22"/>
          <w:lang w:val="fr-FR"/>
        </w:rPr>
        <w:tab/>
        <w:t>Ressources disponibles, lignes directrices et outils</w:t>
      </w:r>
      <w:bookmarkEnd w:id="28"/>
    </w:p>
    <w:p w14:paraId="4DB41992" w14:textId="77777777" w:rsidR="00923B2C" w:rsidRDefault="00923B2C">
      <w:pPr>
        <w:widowControl w:val="0"/>
        <w:tabs>
          <w:tab w:val="left" w:pos="709"/>
          <w:tab w:val="left" w:pos="2127"/>
        </w:tabs>
        <w:autoSpaceDE w:val="0"/>
        <w:autoSpaceDN w:val="0"/>
        <w:adjustRightInd w:val="0"/>
        <w:spacing w:after="0" w:line="240" w:lineRule="auto"/>
        <w:jc w:val="both"/>
        <w:rPr>
          <w:rFonts w:ascii="Arial" w:hAnsi="Arial" w:cs="Arial"/>
          <w:b/>
          <w:bCs/>
          <w:snapToGrid w:val="0"/>
          <w:sz w:val="20"/>
          <w:szCs w:val="20"/>
          <w:lang w:val="fr-FR"/>
        </w:rPr>
      </w:pPr>
    </w:p>
    <w:p w14:paraId="1145DCC5" w14:textId="77777777" w:rsidR="00923B2C" w:rsidRDefault="009C7B40">
      <w:pPr>
        <w:pStyle w:val="ListParagraph"/>
        <w:numPr>
          <w:ilvl w:val="0"/>
          <w:numId w:val="4"/>
        </w:numPr>
        <w:autoSpaceDE w:val="0"/>
        <w:autoSpaceDN w:val="0"/>
        <w:adjustRightInd w:val="0"/>
        <w:jc w:val="both"/>
        <w:rPr>
          <w:rFonts w:ascii="Arial" w:hAnsi="Arial" w:cs="Arial"/>
          <w:sz w:val="22"/>
          <w:szCs w:val="18"/>
          <w:lang w:val="fr-FR"/>
        </w:rPr>
      </w:pPr>
      <w:r>
        <w:rPr>
          <w:rFonts w:ascii="Arial" w:hAnsi="Arial" w:cs="Arial"/>
          <w:sz w:val="22"/>
          <w:szCs w:val="18"/>
          <w:lang w:val="fr-FR"/>
        </w:rPr>
        <w:t>Pour rationaliser les efforts dans l’ensemble de l’aire de répartition, les Parties et les partenaires de mise en œuvre doivent s’efforcer d’utiliser et de partager les ressources disponibles, les orientations et les outils déjà élaborés par des organismes tels que la CITES, le CIEM et la CGPM.</w:t>
      </w:r>
    </w:p>
    <w:p w14:paraId="4033262B" w14:textId="77777777" w:rsidR="00923B2C" w:rsidRDefault="00923B2C">
      <w:pPr>
        <w:widowControl w:val="0"/>
        <w:spacing w:after="0" w:line="240" w:lineRule="auto"/>
        <w:rPr>
          <w:rFonts w:ascii="Arial" w:eastAsia="Times New Roman" w:hAnsi="Arial" w:cs="Arial"/>
          <w:snapToGrid w:val="0"/>
          <w:lang w:val="fr-FR"/>
        </w:rPr>
        <w:sectPr w:rsidR="00923B2C">
          <w:headerReference w:type="even" r:id="rId18"/>
          <w:headerReference w:type="default" r:id="rId19"/>
          <w:footerReference w:type="even" r:id="rId20"/>
          <w:footerReference w:type="default" r:id="rId21"/>
          <w:headerReference w:type="first" r:id="rId22"/>
          <w:footerReference w:type="first" r:id="rId23"/>
          <w:endnotePr>
            <w:numFmt w:val="decimal"/>
          </w:endnotePr>
          <w:pgSz w:w="11905" w:h="16837" w:code="9"/>
          <w:pgMar w:top="1440" w:right="1440" w:bottom="1440" w:left="1440" w:header="510" w:footer="510" w:gutter="0"/>
          <w:cols w:space="720"/>
          <w:noEndnote/>
          <w:titlePg/>
          <w:docGrid w:linePitch="299"/>
        </w:sectPr>
      </w:pPr>
    </w:p>
    <w:p w14:paraId="054C06BB" w14:textId="77777777" w:rsidR="00923B2C" w:rsidRDefault="009C7B40">
      <w:pPr>
        <w:pStyle w:val="Heading2"/>
        <w:rPr>
          <w:sz w:val="22"/>
          <w:szCs w:val="22"/>
          <w:lang w:val="fr-FR"/>
        </w:rPr>
      </w:pPr>
      <w:bookmarkStart w:id="31" w:name="_Toc212501829"/>
      <w:r>
        <w:rPr>
          <w:sz w:val="22"/>
          <w:szCs w:val="22"/>
          <w:lang w:val="fr-FR"/>
        </w:rPr>
        <w:lastRenderedPageBreak/>
        <w:t>4.8 Activités</w:t>
      </w:r>
      <w:bookmarkEnd w:id="31"/>
      <w:r>
        <w:rPr>
          <w:sz w:val="22"/>
          <w:szCs w:val="22"/>
          <w:lang w:val="fr-FR"/>
        </w:rPr>
        <w:t xml:space="preserve"> </w:t>
      </w:r>
    </w:p>
    <w:p w14:paraId="50AAF5DF" w14:textId="77777777" w:rsidR="00923B2C" w:rsidRDefault="00923B2C">
      <w:pPr>
        <w:spacing w:after="0" w:line="240" w:lineRule="auto"/>
        <w:rPr>
          <w:rFonts w:ascii="Arial" w:hAnsi="Arial" w:cs="Arial"/>
          <w:lang w:val="fr-FR"/>
        </w:rPr>
      </w:pPr>
    </w:p>
    <w:p w14:paraId="49A73FDB" w14:textId="77777777" w:rsidR="00923B2C" w:rsidRDefault="009C7B40">
      <w:pPr>
        <w:pStyle w:val="ListParagraph"/>
        <w:numPr>
          <w:ilvl w:val="0"/>
          <w:numId w:val="4"/>
        </w:numPr>
        <w:ind w:left="567" w:right="65" w:hanging="567"/>
        <w:rPr>
          <w:rFonts w:ascii="Arial" w:hAnsi="Arial" w:cs="Arial"/>
          <w:sz w:val="22"/>
          <w:szCs w:val="18"/>
          <w:lang w:val="fr-FR"/>
        </w:rPr>
      </w:pPr>
      <w:r>
        <w:rPr>
          <w:rFonts w:ascii="Arial" w:hAnsi="Arial" w:cs="Arial"/>
          <w:sz w:val="22"/>
          <w:szCs w:val="18"/>
          <w:lang w:val="fr-FR"/>
        </w:rPr>
        <w:t>Ce sous-chapitre présente une analyse détaillée des activités proposées pour la reconstitution et la gestion de l’anguille européenne. Il associe chaque action majeure aux parties prenantes responsables, aux résultats attendus et au calendrier prévu, offrant ainsi une feuille de route claire pour la mise en œuvre.</w:t>
      </w:r>
    </w:p>
    <w:p w14:paraId="154181C9" w14:textId="77777777" w:rsidR="00896441" w:rsidRDefault="00896441" w:rsidP="00896441">
      <w:pPr>
        <w:pStyle w:val="ListParagraph"/>
        <w:ind w:left="567" w:right="65"/>
        <w:rPr>
          <w:rFonts w:ascii="Arial" w:hAnsi="Arial" w:cs="Arial"/>
          <w:sz w:val="22"/>
          <w:szCs w:val="18"/>
          <w:lang w:val="fr-FR"/>
        </w:rPr>
      </w:pPr>
    </w:p>
    <w:p w14:paraId="30499837" w14:textId="3417709F" w:rsidR="00923B2C" w:rsidRDefault="00896441" w:rsidP="008964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Cs w:val="18"/>
          <w:lang w:val="fr-FR"/>
        </w:rPr>
      </w:pPr>
      <w:r>
        <w:rPr>
          <w:rFonts w:ascii="Arial" w:eastAsia="Times New Roman" w:hAnsi="Arial" w:cs="Arial"/>
          <w:b/>
          <w:i/>
          <w:snapToGrid w:val="0"/>
          <w:sz w:val="20"/>
          <w:szCs w:val="20"/>
          <w:lang w:val="fr-FR"/>
        </w:rPr>
        <w:t>Objectif 1 : La coordination et la mise en œuvre de la conservation et de la gestion de l’anguille européenne dans l’ensemble de l’aire de répartition de l’espèce est renforcée.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5451"/>
        <w:gridCol w:w="1315"/>
        <w:gridCol w:w="1448"/>
        <w:gridCol w:w="3861"/>
      </w:tblGrid>
      <w:tr w:rsidR="00923B2C" w:rsidRPr="00994604" w14:paraId="2F72FA17" w14:textId="77777777" w:rsidTr="00896441">
        <w:trPr>
          <w:tblHeader/>
        </w:trPr>
        <w:tc>
          <w:tcPr>
            <w:tcW w:w="740"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14FBBE28"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Résultat</w:t>
            </w:r>
          </w:p>
        </w:tc>
        <w:tc>
          <w:tcPr>
            <w:tcW w:w="1923"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18BACF50"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464"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51AFEE2D"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511"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65512470"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362" w:type="pct"/>
            <w:tcBorders>
              <w:top w:val="single" w:sz="4" w:space="0" w:color="auto"/>
              <w:left w:val="single" w:sz="4" w:space="0" w:color="auto"/>
              <w:bottom w:val="single" w:sz="4" w:space="0" w:color="auto"/>
              <w:right w:val="single" w:sz="4" w:space="0" w:color="auto"/>
            </w:tcBorders>
            <w:shd w:val="clear" w:color="auto" w:fill="E8E8E8" w:themeFill="background2"/>
          </w:tcPr>
          <w:p w14:paraId="74EFD2B2"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14:paraId="20B2C8AE" w14:textId="77777777">
        <w:trPr>
          <w:trHeight w:val="772"/>
        </w:trPr>
        <w:tc>
          <w:tcPr>
            <w:tcW w:w="740" w:type="pct"/>
            <w:vMerge w:val="restart"/>
            <w:tcBorders>
              <w:top w:val="single" w:sz="4" w:space="0" w:color="auto"/>
              <w:left w:val="single" w:sz="4" w:space="0" w:color="auto"/>
              <w:right w:val="single" w:sz="4" w:space="0" w:color="auto"/>
            </w:tcBorders>
            <w:hideMark/>
          </w:tcPr>
          <w:p w14:paraId="68F10EE8"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Tous les États de l’aire de répartition de l’anguille européenne collaborent à la conservation de l’espèce dans le cadre du Plan d’action par espèce de la CMS et d’autres mécanismes applicables.</w:t>
            </w:r>
          </w:p>
        </w:tc>
        <w:tc>
          <w:tcPr>
            <w:tcW w:w="1923" w:type="pct"/>
            <w:tcBorders>
              <w:top w:val="single" w:sz="4" w:space="0" w:color="auto"/>
              <w:left w:val="single" w:sz="4" w:space="0" w:color="auto"/>
              <w:bottom w:val="single" w:sz="4" w:space="0" w:color="auto"/>
              <w:right w:val="single" w:sz="4" w:space="0" w:color="auto"/>
            </w:tcBorders>
          </w:tcPr>
          <w:p w14:paraId="02D5D039" w14:textId="77777777" w:rsidR="00923B2C" w:rsidRDefault="009C7B40">
            <w:pPr>
              <w:widowControl w:val="0"/>
              <w:spacing w:after="0" w:line="240" w:lineRule="auto"/>
              <w:rPr>
                <w:rFonts w:ascii="Arial" w:eastAsia="Times New Roman" w:hAnsi="Arial" w:cs="Arial"/>
                <w:i/>
                <w:iCs/>
                <w:snapToGrid w:val="0"/>
                <w:sz w:val="20"/>
                <w:szCs w:val="20"/>
                <w:lang w:val="fr-FR"/>
              </w:rPr>
            </w:pPr>
            <w:r>
              <w:rPr>
                <w:rFonts w:ascii="Arial" w:hAnsi="Arial" w:cs="Arial"/>
                <w:color w:val="000000"/>
                <w:sz w:val="20"/>
                <w:szCs w:val="20"/>
                <w:lang w:val="fr-FR"/>
              </w:rPr>
              <w:t>1.1 Identifier et inclure les États de l’aire de répartition qui ne sont pas actuellement engagés dans le Plan d’action par espèce de la CMS et d’autres cadres régionaux pertinents pour garantir leur efficacité.</w:t>
            </w:r>
          </w:p>
        </w:tc>
        <w:tc>
          <w:tcPr>
            <w:tcW w:w="464" w:type="pct"/>
            <w:tcBorders>
              <w:top w:val="single" w:sz="4" w:space="0" w:color="auto"/>
              <w:left w:val="single" w:sz="4" w:space="0" w:color="auto"/>
              <w:bottom w:val="single" w:sz="4" w:space="0" w:color="auto"/>
              <w:right w:val="single" w:sz="4" w:space="0" w:color="auto"/>
            </w:tcBorders>
          </w:tcPr>
          <w:p w14:paraId="5FA1CA6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5CDFF937"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Immédiat</w:t>
            </w:r>
          </w:p>
        </w:tc>
        <w:tc>
          <w:tcPr>
            <w:tcW w:w="1362" w:type="pct"/>
            <w:tcBorders>
              <w:top w:val="single" w:sz="4" w:space="0" w:color="auto"/>
              <w:left w:val="single" w:sz="4" w:space="0" w:color="auto"/>
              <w:bottom w:val="single" w:sz="4" w:space="0" w:color="auto"/>
              <w:right w:val="single" w:sz="4" w:space="0" w:color="auto"/>
            </w:tcBorders>
          </w:tcPr>
          <w:p w14:paraId="17688B40"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Secrétariat </w:t>
            </w:r>
          </w:p>
        </w:tc>
      </w:tr>
      <w:tr w:rsidR="00923B2C" w:rsidRPr="00994604" w14:paraId="6BB2391E" w14:textId="77777777">
        <w:trPr>
          <w:trHeight w:val="341"/>
        </w:trPr>
        <w:tc>
          <w:tcPr>
            <w:tcW w:w="740" w:type="pct"/>
            <w:vMerge/>
            <w:vAlign w:val="center"/>
          </w:tcPr>
          <w:p w14:paraId="05C9780E"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1D0F7772" w14:textId="77777777" w:rsidR="00923B2C" w:rsidRDefault="009C7B40">
            <w:pPr>
              <w:widowControl w:val="0"/>
              <w:spacing w:after="0" w:line="240" w:lineRule="auto"/>
              <w:rPr>
                <w:rFonts w:ascii="Arial" w:eastAsia="Arial" w:hAnsi="Arial" w:cs="Arial"/>
                <w:snapToGrid w:val="0"/>
                <w:sz w:val="20"/>
                <w:szCs w:val="20"/>
                <w:lang w:val="fr-FR"/>
              </w:rPr>
            </w:pPr>
            <w:r>
              <w:rPr>
                <w:rFonts w:ascii="Arial" w:eastAsia="Arial" w:hAnsi="Arial" w:cs="Arial"/>
                <w:sz w:val="20"/>
                <w:szCs w:val="20"/>
                <w:lang w:val="fr-FR"/>
              </w:rPr>
              <w:t>1.2 Apporter un soutien aux États de l’aire de répartition dont la capacité à mettre en œuvre le Plan d’action par espèce est limitée.</w:t>
            </w:r>
          </w:p>
        </w:tc>
        <w:tc>
          <w:tcPr>
            <w:tcW w:w="464" w:type="pct"/>
            <w:tcBorders>
              <w:top w:val="single" w:sz="4" w:space="0" w:color="auto"/>
              <w:left w:val="single" w:sz="4" w:space="0" w:color="auto"/>
              <w:bottom w:val="single" w:sz="4" w:space="0" w:color="auto"/>
              <w:right w:val="single" w:sz="4" w:space="0" w:color="auto"/>
            </w:tcBorders>
          </w:tcPr>
          <w:p w14:paraId="75661964"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68E90E6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4FD9A59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72245BBC" w14:textId="77777777">
        <w:trPr>
          <w:trHeight w:val="557"/>
        </w:trPr>
        <w:tc>
          <w:tcPr>
            <w:tcW w:w="740" w:type="pct"/>
            <w:vMerge/>
            <w:vAlign w:val="center"/>
            <w:hideMark/>
          </w:tcPr>
          <w:p w14:paraId="2F4614A2"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2E925183" w14:textId="77777777" w:rsidR="00923B2C" w:rsidRDefault="009C7B40">
            <w:pPr>
              <w:widowControl w:val="0"/>
              <w:spacing w:after="0" w:line="240" w:lineRule="auto"/>
              <w:rPr>
                <w:rFonts w:ascii="Arial" w:hAnsi="Arial" w:cs="Arial"/>
                <w:color w:val="000000"/>
                <w:sz w:val="20"/>
                <w:szCs w:val="20"/>
                <w:lang w:val="fr-FR"/>
              </w:rPr>
            </w:pPr>
            <w:r>
              <w:rPr>
                <w:rFonts w:ascii="Arial" w:eastAsia="Times New Roman" w:hAnsi="Arial" w:cs="Arial"/>
                <w:snapToGrid w:val="0"/>
                <w:sz w:val="20"/>
                <w:szCs w:val="20"/>
                <w:lang w:val="fr-FR"/>
              </w:rPr>
              <w:t>1.2 Élaborer et utiliser la matrice des menaces (Annexe 1) au niveau national afin de hiérarchiser la mise en œuvre des actions pertinentes pour la population d’anguilles.</w:t>
            </w:r>
          </w:p>
        </w:tc>
        <w:tc>
          <w:tcPr>
            <w:tcW w:w="464" w:type="pct"/>
            <w:tcBorders>
              <w:top w:val="single" w:sz="4" w:space="0" w:color="auto"/>
              <w:left w:val="single" w:sz="4" w:space="0" w:color="auto"/>
              <w:bottom w:val="single" w:sz="4" w:space="0" w:color="auto"/>
              <w:right w:val="single" w:sz="4" w:space="0" w:color="auto"/>
            </w:tcBorders>
          </w:tcPr>
          <w:p w14:paraId="3E4DCD15"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49C164D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1B464727"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États de l’aire de répartition </w:t>
            </w:r>
          </w:p>
        </w:tc>
      </w:tr>
      <w:tr w:rsidR="00923B2C" w:rsidRPr="00994604" w14:paraId="07D8E191" w14:textId="77777777">
        <w:trPr>
          <w:trHeight w:val="801"/>
        </w:trPr>
        <w:tc>
          <w:tcPr>
            <w:tcW w:w="740" w:type="pct"/>
            <w:vMerge/>
            <w:vAlign w:val="center"/>
          </w:tcPr>
          <w:p w14:paraId="77E040D1"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71238623"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1.3 Harmoniser la collecte et l’analyse des données </w:t>
            </w:r>
            <w:r>
              <w:rPr>
                <w:rFonts w:ascii="Arial" w:hAnsi="Arial" w:cs="Arial"/>
                <w:color w:val="000000"/>
                <w:sz w:val="20"/>
                <w:szCs w:val="20"/>
                <w:lang w:val="fr-FR"/>
              </w:rPr>
              <w:t>dans l’ensemble de l’aire de répartition de l’espèce afin de permettre la comparaison et l’utilisation d'indicateurs appropriés dans le cadre des mécanismes existants ou en coopération avec des groupes d’experts, dans la mesure du possible.</w:t>
            </w:r>
          </w:p>
        </w:tc>
        <w:tc>
          <w:tcPr>
            <w:tcW w:w="464" w:type="pct"/>
            <w:tcBorders>
              <w:top w:val="single" w:sz="4" w:space="0" w:color="auto"/>
              <w:left w:val="single" w:sz="4" w:space="0" w:color="auto"/>
              <w:bottom w:val="single" w:sz="4" w:space="0" w:color="auto"/>
              <w:right w:val="single" w:sz="4" w:space="0" w:color="auto"/>
            </w:tcBorders>
          </w:tcPr>
          <w:p w14:paraId="7ADDE26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2D44573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 (rapport tous les trois ans)</w:t>
            </w:r>
          </w:p>
        </w:tc>
        <w:tc>
          <w:tcPr>
            <w:tcW w:w="1362" w:type="pct"/>
            <w:tcBorders>
              <w:top w:val="single" w:sz="4" w:space="0" w:color="auto"/>
              <w:left w:val="single" w:sz="4" w:space="0" w:color="auto"/>
              <w:bottom w:val="single" w:sz="4" w:space="0" w:color="auto"/>
              <w:right w:val="single" w:sz="4" w:space="0" w:color="auto"/>
            </w:tcBorders>
          </w:tcPr>
          <w:p w14:paraId="31D307A4"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69B84B95" w14:textId="77777777">
        <w:trPr>
          <w:trHeight w:val="801"/>
        </w:trPr>
        <w:tc>
          <w:tcPr>
            <w:tcW w:w="740" w:type="pct"/>
            <w:vMerge/>
            <w:vAlign w:val="center"/>
            <w:hideMark/>
          </w:tcPr>
          <w:p w14:paraId="265239FD"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3B876F3C"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1.4 Renforcer les relations internationales lorsqu’une collaboration transfrontalière est nécessaire pour la gestion et la conservation des anguilles – par exemple, la collecte de données à l’échelle du bassin hydrographique.</w:t>
            </w:r>
          </w:p>
        </w:tc>
        <w:tc>
          <w:tcPr>
            <w:tcW w:w="464" w:type="pct"/>
            <w:tcBorders>
              <w:top w:val="single" w:sz="4" w:space="0" w:color="auto"/>
              <w:left w:val="single" w:sz="4" w:space="0" w:color="auto"/>
              <w:bottom w:val="single" w:sz="4" w:space="0" w:color="auto"/>
              <w:right w:val="single" w:sz="4" w:space="0" w:color="auto"/>
            </w:tcBorders>
          </w:tcPr>
          <w:p w14:paraId="55C31FD8"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39A99383"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398CCD9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États de l’aire de répartition </w:t>
            </w:r>
          </w:p>
        </w:tc>
      </w:tr>
      <w:tr w:rsidR="00923B2C" w:rsidRPr="00994604" w14:paraId="5E58E9CE" w14:textId="77777777">
        <w:trPr>
          <w:trHeight w:val="535"/>
        </w:trPr>
        <w:tc>
          <w:tcPr>
            <w:tcW w:w="740" w:type="pct"/>
            <w:vMerge/>
            <w:vAlign w:val="center"/>
            <w:hideMark/>
          </w:tcPr>
          <w:p w14:paraId="5E388DA3"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3A9E7F61" w14:textId="77777777" w:rsidR="00923B2C" w:rsidRDefault="009C7B40">
            <w:pPr>
              <w:widowControl w:val="0"/>
              <w:spacing w:after="0" w:line="240" w:lineRule="auto"/>
              <w:rPr>
                <w:rFonts w:ascii="Arial" w:eastAsia="Arial" w:hAnsi="Arial" w:cs="Arial"/>
                <w:snapToGrid w:val="0"/>
                <w:sz w:val="20"/>
                <w:szCs w:val="20"/>
                <w:lang w:val="fr-FR"/>
              </w:rPr>
            </w:pPr>
            <w:r>
              <w:rPr>
                <w:rFonts w:ascii="Arial" w:eastAsia="Times New Roman" w:hAnsi="Arial" w:cs="Arial"/>
                <w:snapToGrid w:val="0"/>
                <w:sz w:val="20"/>
                <w:szCs w:val="20"/>
                <w:lang w:val="fr-FR"/>
              </w:rPr>
              <w:t xml:space="preserve">1.5 Prendre toutes les dispositions utiles pour que </w:t>
            </w:r>
            <w:r>
              <w:rPr>
                <w:rFonts w:ascii="Arial" w:eastAsia="Arial" w:hAnsi="Arial" w:cs="Arial"/>
                <w:sz w:val="20"/>
                <w:szCs w:val="20"/>
                <w:lang w:val="fr-FR"/>
              </w:rPr>
              <w:t>les mesures de gestion cadrent avec les conseils scientifiques correspondants.</w:t>
            </w:r>
          </w:p>
        </w:tc>
        <w:tc>
          <w:tcPr>
            <w:tcW w:w="464" w:type="pct"/>
            <w:tcBorders>
              <w:top w:val="single" w:sz="4" w:space="0" w:color="auto"/>
              <w:left w:val="single" w:sz="4" w:space="0" w:color="auto"/>
              <w:bottom w:val="single" w:sz="4" w:space="0" w:color="auto"/>
              <w:right w:val="single" w:sz="4" w:space="0" w:color="auto"/>
            </w:tcBorders>
          </w:tcPr>
          <w:p w14:paraId="6D898BEB"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50C9B4D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652BDA0C" w14:textId="77777777" w:rsidR="00923B2C" w:rsidRDefault="009C7B40">
            <w:pPr>
              <w:rPr>
                <w:rFonts w:ascii="Arial" w:eastAsia="Times New Roman" w:hAnsi="Arial" w:cs="Arial"/>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04B4F987" w14:textId="77777777">
        <w:trPr>
          <w:trHeight w:val="535"/>
        </w:trPr>
        <w:tc>
          <w:tcPr>
            <w:tcW w:w="740" w:type="pct"/>
            <w:vMerge/>
            <w:vAlign w:val="center"/>
          </w:tcPr>
          <w:p w14:paraId="140E6FD0"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08E4283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1.6 Établir un cycle régulier de réunions afin de suivre l’état d’avancement du Plan d’action par espèce.</w:t>
            </w:r>
          </w:p>
        </w:tc>
        <w:tc>
          <w:tcPr>
            <w:tcW w:w="464" w:type="pct"/>
            <w:tcBorders>
              <w:top w:val="single" w:sz="4" w:space="0" w:color="auto"/>
              <w:left w:val="single" w:sz="4" w:space="0" w:color="auto"/>
              <w:bottom w:val="single" w:sz="4" w:space="0" w:color="auto"/>
              <w:right w:val="single" w:sz="4" w:space="0" w:color="auto"/>
            </w:tcBorders>
          </w:tcPr>
          <w:p w14:paraId="33E7EC3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635F090C"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Immédiat</w:t>
            </w:r>
          </w:p>
        </w:tc>
        <w:tc>
          <w:tcPr>
            <w:tcW w:w="1362" w:type="pct"/>
            <w:tcBorders>
              <w:top w:val="single" w:sz="4" w:space="0" w:color="auto"/>
              <w:left w:val="single" w:sz="4" w:space="0" w:color="auto"/>
              <w:bottom w:val="single" w:sz="4" w:space="0" w:color="auto"/>
              <w:right w:val="single" w:sz="4" w:space="0" w:color="auto"/>
            </w:tcBorders>
          </w:tcPr>
          <w:p w14:paraId="4FEAFB3B"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États de l’aire de répartition </w:t>
            </w:r>
          </w:p>
        </w:tc>
      </w:tr>
      <w:tr w:rsidR="00923B2C" w:rsidRPr="00994604" w14:paraId="58AB2D06" w14:textId="77777777">
        <w:trPr>
          <w:trHeight w:val="535"/>
        </w:trPr>
        <w:tc>
          <w:tcPr>
            <w:tcW w:w="740" w:type="pct"/>
            <w:vMerge/>
            <w:vAlign w:val="center"/>
          </w:tcPr>
          <w:p w14:paraId="2DD56385" w14:textId="77777777" w:rsidR="00923B2C" w:rsidRDefault="00923B2C">
            <w:pPr>
              <w:spacing w:after="0" w:line="240" w:lineRule="auto"/>
              <w:rPr>
                <w:rFonts w:ascii="Arial" w:eastAsia="Times New Roman" w:hAnsi="Arial" w:cs="Arial"/>
                <w:snapToGrid w:val="0"/>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6E57B6FC"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1.7 Échanger des informations internationales, nationales et infranationales, et coordonner les efforts pour combler les lacunes en matière de connaissances.</w:t>
            </w:r>
          </w:p>
        </w:tc>
        <w:tc>
          <w:tcPr>
            <w:tcW w:w="464" w:type="pct"/>
            <w:tcBorders>
              <w:top w:val="single" w:sz="4" w:space="0" w:color="auto"/>
              <w:left w:val="single" w:sz="4" w:space="0" w:color="auto"/>
              <w:bottom w:val="single" w:sz="4" w:space="0" w:color="auto"/>
              <w:right w:val="single" w:sz="4" w:space="0" w:color="auto"/>
            </w:tcBorders>
          </w:tcPr>
          <w:p w14:paraId="3613E14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33B7154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11B7F127"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6853AA5E" w14:textId="77777777">
        <w:trPr>
          <w:trHeight w:val="141"/>
        </w:trPr>
        <w:tc>
          <w:tcPr>
            <w:tcW w:w="740" w:type="pct"/>
            <w:tcBorders>
              <w:top w:val="single" w:sz="4" w:space="0" w:color="auto"/>
              <w:left w:val="single" w:sz="4" w:space="0" w:color="auto"/>
              <w:bottom w:val="single" w:sz="4" w:space="0" w:color="auto"/>
              <w:right w:val="single" w:sz="4" w:space="0" w:color="auto"/>
            </w:tcBorders>
            <w:hideMark/>
          </w:tcPr>
          <w:p w14:paraId="39EB2070" w14:textId="77777777" w:rsidR="00923B2C" w:rsidRDefault="00923B2C">
            <w:pPr>
              <w:spacing w:line="240" w:lineRule="auto"/>
              <w:rPr>
                <w:rFonts w:ascii="Arial" w:eastAsia="Times New Roman" w:hAnsi="Arial" w:cs="Arial"/>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0C4839B0" w14:textId="77777777" w:rsidR="00923B2C" w:rsidRDefault="009C7B40">
            <w:pPr>
              <w:spacing w:after="0" w:line="240" w:lineRule="auto"/>
              <w:rPr>
                <w:rFonts w:ascii="Arial" w:eastAsia="Arial" w:hAnsi="Arial" w:cs="Arial"/>
                <w:sz w:val="20"/>
                <w:szCs w:val="20"/>
                <w:lang w:val="fr-FR"/>
              </w:rPr>
            </w:pPr>
            <w:r>
              <w:rPr>
                <w:rFonts w:ascii="Arial" w:eastAsia="Arial" w:hAnsi="Arial" w:cs="Arial"/>
                <w:sz w:val="20"/>
                <w:szCs w:val="20"/>
                <w:lang w:val="fr-FR"/>
              </w:rPr>
              <w:t>1.8 Renforcer la sensibilisation et la communication à l’intention de toutes les parties prenantes.</w:t>
            </w:r>
          </w:p>
        </w:tc>
        <w:tc>
          <w:tcPr>
            <w:tcW w:w="464" w:type="pct"/>
            <w:tcBorders>
              <w:top w:val="single" w:sz="4" w:space="0" w:color="auto"/>
              <w:left w:val="single" w:sz="4" w:space="0" w:color="auto"/>
              <w:bottom w:val="single" w:sz="4" w:space="0" w:color="auto"/>
              <w:right w:val="single" w:sz="4" w:space="0" w:color="auto"/>
            </w:tcBorders>
          </w:tcPr>
          <w:p w14:paraId="49D9D5FA" w14:textId="77777777" w:rsidR="00923B2C" w:rsidRDefault="009C7B40">
            <w:pPr>
              <w:spacing w:line="240" w:lineRule="auto"/>
              <w:rPr>
                <w:rFonts w:ascii="Arial" w:eastAsia="Times New Roman" w:hAnsi="Arial" w:cs="Arial"/>
                <w:sz w:val="20"/>
                <w:szCs w:val="20"/>
                <w:lang w:val="fr-FR"/>
              </w:rPr>
            </w:pPr>
            <w:r>
              <w:rPr>
                <w:rFonts w:ascii="Arial" w:eastAsia="Times New Roman" w:hAnsi="Arial" w:cs="Arial"/>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44F2A4C6" w14:textId="77777777" w:rsidR="00923B2C" w:rsidRDefault="009C7B40">
            <w:pPr>
              <w:spacing w:line="240" w:lineRule="auto"/>
              <w:rPr>
                <w:rFonts w:ascii="Arial" w:eastAsia="Times New Roman" w:hAnsi="Arial" w:cs="Arial"/>
                <w:sz w:val="20"/>
                <w:szCs w:val="20"/>
                <w:lang w:val="fr-FR"/>
              </w:rPr>
            </w:pPr>
            <w:r>
              <w:rPr>
                <w:rFonts w:ascii="Arial" w:eastAsia="Times New Roman" w:hAnsi="Arial" w:cs="Arial"/>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2BA80850" w14:textId="77777777" w:rsidR="00923B2C" w:rsidRDefault="009C7B40">
            <w:pPr>
              <w:spacing w:line="240" w:lineRule="auto"/>
              <w:rPr>
                <w:rFonts w:ascii="Arial" w:eastAsia="Times New Roman" w:hAnsi="Arial" w:cs="Arial"/>
                <w:sz w:val="20"/>
                <w:szCs w:val="20"/>
                <w:lang w:val="fr-FR"/>
              </w:rPr>
            </w:pPr>
            <w:r>
              <w:rPr>
                <w:rFonts w:ascii="Arial" w:eastAsia="Times New Roman" w:hAnsi="Arial" w:cs="Arial"/>
                <w:snapToGrid w:val="0"/>
                <w:sz w:val="20"/>
                <w:szCs w:val="20"/>
                <w:lang w:val="fr-FR"/>
              </w:rPr>
              <w:t>États de l’aire de répartition, Secrétariat</w:t>
            </w:r>
          </w:p>
        </w:tc>
      </w:tr>
      <w:tr w:rsidR="00923B2C" w:rsidRPr="00994604" w14:paraId="5E7F4C72" w14:textId="77777777">
        <w:trPr>
          <w:trHeight w:val="461"/>
        </w:trPr>
        <w:tc>
          <w:tcPr>
            <w:tcW w:w="740" w:type="pct"/>
            <w:tcBorders>
              <w:top w:val="single" w:sz="4" w:space="0" w:color="auto"/>
              <w:left w:val="single" w:sz="4" w:space="0" w:color="auto"/>
              <w:right w:val="single" w:sz="4" w:space="0" w:color="auto"/>
            </w:tcBorders>
          </w:tcPr>
          <w:p w14:paraId="6CBBD906" w14:textId="77777777" w:rsidR="00923B2C" w:rsidRDefault="00923B2C">
            <w:pPr>
              <w:spacing w:line="240" w:lineRule="auto"/>
              <w:rPr>
                <w:rFonts w:ascii="Arial" w:eastAsia="Times New Roman" w:hAnsi="Arial" w:cs="Arial"/>
                <w:sz w:val="20"/>
                <w:szCs w:val="20"/>
                <w:lang w:val="fr-FR"/>
              </w:rPr>
            </w:pPr>
          </w:p>
        </w:tc>
        <w:tc>
          <w:tcPr>
            <w:tcW w:w="1923" w:type="pct"/>
            <w:tcBorders>
              <w:top w:val="single" w:sz="4" w:space="0" w:color="auto"/>
              <w:left w:val="single" w:sz="4" w:space="0" w:color="auto"/>
              <w:bottom w:val="single" w:sz="4" w:space="0" w:color="auto"/>
              <w:right w:val="single" w:sz="4" w:space="0" w:color="auto"/>
            </w:tcBorders>
          </w:tcPr>
          <w:p w14:paraId="7D81A533" w14:textId="77777777" w:rsidR="00923B2C" w:rsidRDefault="009C7B40">
            <w:pPr>
              <w:autoSpaceDE w:val="0"/>
              <w:autoSpaceDN w:val="0"/>
              <w:adjustRightInd w:val="0"/>
              <w:spacing w:after="0" w:line="240" w:lineRule="auto"/>
              <w:jc w:val="both"/>
              <w:rPr>
                <w:rFonts w:ascii="Arial" w:hAnsi="Arial" w:cs="Arial"/>
                <w:szCs w:val="18"/>
                <w:lang w:val="fr-FR"/>
              </w:rPr>
            </w:pPr>
            <w:r>
              <w:rPr>
                <w:rFonts w:ascii="Arial" w:eastAsia="Arial" w:hAnsi="Arial" w:cs="Arial"/>
                <w:sz w:val="20"/>
                <w:lang w:val="fr-FR"/>
              </w:rPr>
              <w:t>1.9 Les États de l’aire de répartition devraient évaluer régulièrement s’il y a lieu de proposer l’inscription de l’espèce à l’Annexe I de la CMS.</w:t>
            </w:r>
          </w:p>
        </w:tc>
        <w:tc>
          <w:tcPr>
            <w:tcW w:w="464" w:type="pct"/>
            <w:tcBorders>
              <w:top w:val="single" w:sz="4" w:space="0" w:color="auto"/>
              <w:left w:val="single" w:sz="4" w:space="0" w:color="auto"/>
              <w:bottom w:val="single" w:sz="4" w:space="0" w:color="auto"/>
              <w:right w:val="single" w:sz="4" w:space="0" w:color="auto"/>
            </w:tcBorders>
          </w:tcPr>
          <w:p w14:paraId="71AB96A0" w14:textId="77777777" w:rsidR="00923B2C" w:rsidRDefault="009C7B40">
            <w:pPr>
              <w:spacing w:line="240" w:lineRule="auto"/>
              <w:rPr>
                <w:rFonts w:ascii="Arial" w:eastAsia="Times New Roman" w:hAnsi="Arial" w:cs="Arial"/>
                <w:sz w:val="20"/>
                <w:szCs w:val="20"/>
                <w:lang w:val="fr-FR"/>
              </w:rPr>
            </w:pPr>
            <w:r>
              <w:rPr>
                <w:rFonts w:ascii="Arial" w:eastAsia="Times New Roman" w:hAnsi="Arial" w:cs="Arial"/>
                <w:sz w:val="20"/>
                <w:szCs w:val="20"/>
                <w:lang w:val="fr-FR"/>
              </w:rPr>
              <w:t>Absolue</w:t>
            </w:r>
          </w:p>
        </w:tc>
        <w:tc>
          <w:tcPr>
            <w:tcW w:w="511" w:type="pct"/>
            <w:tcBorders>
              <w:top w:val="single" w:sz="4" w:space="0" w:color="auto"/>
              <w:left w:val="single" w:sz="4" w:space="0" w:color="auto"/>
              <w:bottom w:val="single" w:sz="4" w:space="0" w:color="auto"/>
              <w:right w:val="single" w:sz="4" w:space="0" w:color="auto"/>
            </w:tcBorders>
          </w:tcPr>
          <w:p w14:paraId="5EBE7720" w14:textId="77777777" w:rsidR="00923B2C" w:rsidRDefault="009C7B40">
            <w:pPr>
              <w:spacing w:line="240" w:lineRule="auto"/>
              <w:rPr>
                <w:rFonts w:ascii="Arial" w:eastAsia="Times New Roman" w:hAnsi="Arial" w:cs="Arial"/>
                <w:sz w:val="20"/>
                <w:szCs w:val="20"/>
                <w:lang w:val="fr-FR"/>
              </w:rPr>
            </w:pPr>
            <w:r>
              <w:rPr>
                <w:rFonts w:ascii="Arial" w:eastAsia="Times New Roman" w:hAnsi="Arial" w:cs="Arial"/>
                <w:sz w:val="20"/>
                <w:szCs w:val="20"/>
                <w:lang w:val="fr-FR"/>
              </w:rPr>
              <w:t>En cours</w:t>
            </w:r>
          </w:p>
        </w:tc>
        <w:tc>
          <w:tcPr>
            <w:tcW w:w="1362" w:type="pct"/>
            <w:tcBorders>
              <w:top w:val="single" w:sz="4" w:space="0" w:color="auto"/>
              <w:left w:val="single" w:sz="4" w:space="0" w:color="auto"/>
              <w:bottom w:val="single" w:sz="4" w:space="0" w:color="auto"/>
              <w:right w:val="single" w:sz="4" w:space="0" w:color="auto"/>
            </w:tcBorders>
          </w:tcPr>
          <w:p w14:paraId="4BED0255" w14:textId="77777777" w:rsidR="00923B2C" w:rsidRDefault="009C7B40">
            <w:pPr>
              <w:spacing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bl>
    <w:p w14:paraId="75E280A4" w14:textId="77777777" w:rsidR="00896441" w:rsidRDefault="00896441">
      <w:pPr>
        <w:widowControl w:val="0"/>
        <w:spacing w:after="0" w:line="240" w:lineRule="auto"/>
        <w:rPr>
          <w:rFonts w:ascii="Arial" w:eastAsia="Times New Roman" w:hAnsi="Arial" w:cs="Arial"/>
          <w:b/>
          <w:i/>
          <w:snapToGrid w:val="0"/>
          <w:sz w:val="20"/>
          <w:szCs w:val="20"/>
          <w:lang w:val="fr-FR"/>
        </w:rPr>
      </w:pPr>
    </w:p>
    <w:p w14:paraId="516D0340" w14:textId="5EF45F3D" w:rsidR="00565A6C" w:rsidRDefault="00565A6C">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br w:type="page"/>
      </w:r>
    </w:p>
    <w:p w14:paraId="54A49BE3" w14:textId="6EC02442" w:rsidR="00923B2C" w:rsidRDefault="00896441" w:rsidP="00896441">
      <w:pPr>
        <w:widowControl w:val="0"/>
        <w:pBdr>
          <w:top w:val="single" w:sz="4" w:space="1" w:color="auto"/>
          <w:left w:val="single" w:sz="4" w:space="4" w:color="auto"/>
          <w:bottom w:val="single" w:sz="4" w:space="1" w:color="auto"/>
          <w:right w:val="single" w:sz="4" w:space="9" w:color="auto"/>
        </w:pBdr>
        <w:spacing w:after="0" w:line="240" w:lineRule="auto"/>
        <w:rPr>
          <w:rFonts w:ascii="Arial" w:eastAsia="Times New Roman" w:hAnsi="Arial" w:cs="Arial"/>
          <w:snapToGrid w:val="0"/>
          <w:sz w:val="20"/>
          <w:szCs w:val="20"/>
          <w:lang w:val="fr-FR"/>
        </w:rPr>
      </w:pPr>
      <w:r>
        <w:rPr>
          <w:rFonts w:ascii="Arial" w:eastAsia="Times New Roman" w:hAnsi="Arial" w:cs="Arial"/>
          <w:b/>
          <w:i/>
          <w:snapToGrid w:val="0"/>
          <w:sz w:val="20"/>
          <w:szCs w:val="20"/>
          <w:lang w:val="fr-FR"/>
        </w:rPr>
        <w:lastRenderedPageBreak/>
        <w:t>Objectif 2 : Les obstacles à la migration en amont et en aval sont évalués et atténués</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7"/>
        <w:gridCol w:w="5222"/>
        <w:gridCol w:w="1106"/>
        <w:gridCol w:w="1448"/>
        <w:gridCol w:w="4371"/>
      </w:tblGrid>
      <w:tr w:rsidR="00923B2C" w:rsidRPr="00994604" w14:paraId="6830574B" w14:textId="77777777" w:rsidTr="00095A17">
        <w:trPr>
          <w:tblHeader/>
        </w:trPr>
        <w:tc>
          <w:tcPr>
            <w:tcW w:w="748"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38EF48E2"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Résultat</w:t>
            </w:r>
          </w:p>
        </w:tc>
        <w:tc>
          <w:tcPr>
            <w:tcW w:w="1828"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4ECBE9AE"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387"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7FD0A168"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507" w:type="pct"/>
            <w:tcBorders>
              <w:top w:val="single" w:sz="4" w:space="0" w:color="auto"/>
              <w:left w:val="single" w:sz="4" w:space="0" w:color="auto"/>
              <w:bottom w:val="single" w:sz="4" w:space="0" w:color="auto"/>
              <w:right w:val="single" w:sz="4" w:space="0" w:color="auto"/>
            </w:tcBorders>
            <w:shd w:val="clear" w:color="auto" w:fill="E8E8E8" w:themeFill="background2"/>
            <w:hideMark/>
          </w:tcPr>
          <w:p w14:paraId="01CD13E3"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530" w:type="pct"/>
            <w:tcBorders>
              <w:top w:val="single" w:sz="4" w:space="0" w:color="auto"/>
              <w:left w:val="single" w:sz="4" w:space="0" w:color="auto"/>
              <w:bottom w:val="single" w:sz="4" w:space="0" w:color="auto"/>
              <w:right w:val="single" w:sz="4" w:space="0" w:color="auto"/>
            </w:tcBorders>
            <w:shd w:val="clear" w:color="auto" w:fill="E8E8E8" w:themeFill="background2"/>
          </w:tcPr>
          <w:p w14:paraId="33809DBE"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rsidRPr="00994604" w14:paraId="543DD777" w14:textId="77777777" w:rsidTr="00095A17">
        <w:trPr>
          <w:trHeight w:val="204"/>
        </w:trPr>
        <w:tc>
          <w:tcPr>
            <w:tcW w:w="748" w:type="pct"/>
            <w:vMerge w:val="restart"/>
            <w:tcBorders>
              <w:top w:val="single" w:sz="4" w:space="0" w:color="auto"/>
              <w:left w:val="single" w:sz="4" w:space="0" w:color="auto"/>
              <w:right w:val="single" w:sz="4" w:space="0" w:color="auto"/>
            </w:tcBorders>
          </w:tcPr>
          <w:p w14:paraId="2191BDD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Réduire de manière significative l’incidence des barrières sur la migration et la mortalité des anguilles européennes.</w:t>
            </w:r>
          </w:p>
        </w:tc>
        <w:tc>
          <w:tcPr>
            <w:tcW w:w="1828" w:type="pct"/>
            <w:tcBorders>
              <w:top w:val="single" w:sz="4" w:space="0" w:color="auto"/>
              <w:left w:val="single" w:sz="4" w:space="0" w:color="auto"/>
              <w:bottom w:val="single" w:sz="4" w:space="0" w:color="auto"/>
              <w:right w:val="single" w:sz="4" w:space="0" w:color="auto"/>
            </w:tcBorders>
          </w:tcPr>
          <w:p w14:paraId="6F2D135B" w14:textId="77777777" w:rsidR="00923B2C" w:rsidRDefault="009C7B40">
            <w:pPr>
              <w:widowControl w:val="0"/>
              <w:spacing w:after="0" w:line="240" w:lineRule="auto"/>
              <w:rPr>
                <w:rFonts w:ascii="Arial" w:hAnsi="Arial" w:cs="Arial"/>
                <w:color w:val="000000"/>
                <w:sz w:val="20"/>
                <w:szCs w:val="20"/>
                <w:lang w:val="fr-FR"/>
              </w:rPr>
            </w:pPr>
            <w:r>
              <w:rPr>
                <w:rFonts w:ascii="Arial" w:hAnsi="Arial" w:cs="Arial"/>
                <w:color w:val="000000"/>
                <w:sz w:val="20"/>
                <w:szCs w:val="20"/>
                <w:lang w:val="fr-FR"/>
              </w:rPr>
              <w:t xml:space="preserve">2.1 Dresser un inventaire comprenant une énumération, une localisation (cartographie), ainsi que le type et l’étendue de la </w:t>
            </w:r>
            <w:proofErr w:type="spellStart"/>
            <w:r>
              <w:rPr>
                <w:rFonts w:ascii="Arial" w:hAnsi="Arial" w:cs="Arial"/>
                <w:color w:val="000000"/>
                <w:sz w:val="20"/>
                <w:szCs w:val="20"/>
                <w:lang w:val="fr-FR"/>
              </w:rPr>
              <w:t>franchissabilité</w:t>
            </w:r>
            <w:proofErr w:type="spellEnd"/>
            <w:r>
              <w:rPr>
                <w:rFonts w:ascii="Arial" w:hAnsi="Arial" w:cs="Arial"/>
                <w:color w:val="000000"/>
                <w:sz w:val="20"/>
                <w:szCs w:val="20"/>
                <w:lang w:val="fr-FR"/>
              </w:rPr>
              <w:t xml:space="preserve"> des barrières migratoires </w:t>
            </w:r>
            <w:r>
              <w:rPr>
                <w:rFonts w:ascii="Arial" w:hAnsi="Arial" w:cs="Arial"/>
                <w:color w:val="000000"/>
                <w:sz w:val="20"/>
                <w:szCs w:val="20"/>
                <w:u w:val="single"/>
                <w:lang w:val="fr-FR"/>
              </w:rPr>
              <w:t>en amont</w:t>
            </w:r>
            <w:r>
              <w:rPr>
                <w:rFonts w:ascii="Arial" w:hAnsi="Arial" w:cs="Arial"/>
                <w:color w:val="000000"/>
                <w:sz w:val="20"/>
                <w:szCs w:val="20"/>
                <w:lang w:val="fr-FR"/>
              </w:rPr>
              <w:t>. Évaluer l’importance du cours d’eau en fonction de l’habitat potentiel situé en amont.</w:t>
            </w:r>
          </w:p>
        </w:tc>
        <w:tc>
          <w:tcPr>
            <w:tcW w:w="387" w:type="pct"/>
            <w:tcBorders>
              <w:top w:val="single" w:sz="4" w:space="0" w:color="auto"/>
              <w:left w:val="single" w:sz="4" w:space="0" w:color="auto"/>
              <w:bottom w:val="single" w:sz="4" w:space="0" w:color="auto"/>
              <w:right w:val="single" w:sz="4" w:space="0" w:color="auto"/>
            </w:tcBorders>
          </w:tcPr>
          <w:p w14:paraId="2F4C8EFC"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27161604"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 Moyen </w:t>
            </w:r>
          </w:p>
        </w:tc>
        <w:tc>
          <w:tcPr>
            <w:tcW w:w="1530" w:type="pct"/>
            <w:tcBorders>
              <w:top w:val="single" w:sz="4" w:space="0" w:color="auto"/>
              <w:left w:val="single" w:sz="4" w:space="0" w:color="auto"/>
              <w:bottom w:val="single" w:sz="4" w:space="0" w:color="auto"/>
              <w:right w:val="single" w:sz="4" w:space="0" w:color="auto"/>
            </w:tcBorders>
          </w:tcPr>
          <w:p w14:paraId="1557615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4A87BCF0" w14:textId="77777777" w:rsidTr="00095A17">
        <w:trPr>
          <w:trHeight w:val="772"/>
        </w:trPr>
        <w:tc>
          <w:tcPr>
            <w:tcW w:w="748" w:type="pct"/>
            <w:vMerge/>
            <w:hideMark/>
          </w:tcPr>
          <w:p w14:paraId="637FC50C"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37B74EE0" w14:textId="77777777" w:rsidR="00923B2C" w:rsidRDefault="009C7B40">
            <w:pPr>
              <w:widowControl w:val="0"/>
              <w:spacing w:after="0" w:line="240" w:lineRule="auto"/>
              <w:rPr>
                <w:rFonts w:ascii="Arial" w:eastAsia="Times New Roman" w:hAnsi="Arial" w:cs="Arial"/>
                <w:i/>
                <w:iCs/>
                <w:snapToGrid w:val="0"/>
                <w:sz w:val="20"/>
                <w:szCs w:val="20"/>
                <w:lang w:val="fr-FR"/>
              </w:rPr>
            </w:pPr>
            <w:r>
              <w:rPr>
                <w:rFonts w:ascii="Arial" w:hAnsi="Arial" w:cs="Arial"/>
                <w:color w:val="000000"/>
                <w:sz w:val="20"/>
                <w:szCs w:val="20"/>
                <w:lang w:val="fr-FR"/>
              </w:rPr>
              <w:t xml:space="preserve">2.2 Dresser un inventaire contenant une énumération, une localisation (cartographie), un type, une utilisation de l’eau, une capacité des barrières de migration </w:t>
            </w:r>
            <w:r>
              <w:rPr>
                <w:rFonts w:ascii="Arial" w:hAnsi="Arial" w:cs="Arial"/>
                <w:color w:val="000000"/>
                <w:sz w:val="20"/>
                <w:szCs w:val="20"/>
                <w:u w:val="single"/>
                <w:lang w:val="fr-FR"/>
              </w:rPr>
              <w:t>en aval</w:t>
            </w:r>
            <w:r>
              <w:rPr>
                <w:rFonts w:ascii="Arial" w:hAnsi="Arial" w:cs="Arial"/>
                <w:color w:val="000000"/>
                <w:sz w:val="20"/>
                <w:szCs w:val="20"/>
                <w:lang w:val="fr-FR"/>
              </w:rPr>
              <w:t>. Évaluer l’importance et le niveau de mortalité des barrières par rapport à l’étendue de la migration des anguilles argentées.</w:t>
            </w:r>
          </w:p>
        </w:tc>
        <w:tc>
          <w:tcPr>
            <w:tcW w:w="387" w:type="pct"/>
            <w:tcBorders>
              <w:top w:val="single" w:sz="4" w:space="0" w:color="auto"/>
              <w:left w:val="single" w:sz="4" w:space="0" w:color="auto"/>
              <w:bottom w:val="single" w:sz="4" w:space="0" w:color="auto"/>
              <w:right w:val="single" w:sz="4" w:space="0" w:color="auto"/>
            </w:tcBorders>
          </w:tcPr>
          <w:p w14:paraId="0E59C856"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2567405E"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Court – Moyen</w:t>
            </w:r>
          </w:p>
        </w:tc>
        <w:tc>
          <w:tcPr>
            <w:tcW w:w="1530" w:type="pct"/>
            <w:tcBorders>
              <w:top w:val="single" w:sz="4" w:space="0" w:color="auto"/>
              <w:left w:val="single" w:sz="4" w:space="0" w:color="auto"/>
              <w:bottom w:val="single" w:sz="4" w:space="0" w:color="auto"/>
              <w:right w:val="single" w:sz="4" w:space="0" w:color="auto"/>
            </w:tcBorders>
          </w:tcPr>
          <w:p w14:paraId="051D27A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3ED835D8" w14:textId="77777777" w:rsidTr="00095A17">
        <w:trPr>
          <w:trHeight w:val="520"/>
        </w:trPr>
        <w:tc>
          <w:tcPr>
            <w:tcW w:w="748" w:type="pct"/>
            <w:vMerge/>
            <w:vAlign w:val="center"/>
            <w:hideMark/>
          </w:tcPr>
          <w:p w14:paraId="546819A7" w14:textId="77777777" w:rsidR="00923B2C" w:rsidRDefault="00923B2C">
            <w:pPr>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38AD0D0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2.3 Établir un ordre de priorité pour les activités d’atténuation et définir les calendriers correspondants.</w:t>
            </w:r>
          </w:p>
        </w:tc>
        <w:tc>
          <w:tcPr>
            <w:tcW w:w="387" w:type="pct"/>
            <w:tcBorders>
              <w:top w:val="single" w:sz="4" w:space="0" w:color="auto"/>
              <w:left w:val="single" w:sz="4" w:space="0" w:color="auto"/>
              <w:bottom w:val="single" w:sz="4" w:space="0" w:color="auto"/>
              <w:right w:val="single" w:sz="4" w:space="0" w:color="auto"/>
            </w:tcBorders>
          </w:tcPr>
          <w:p w14:paraId="61D9E54A"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7F3E2B9C"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 Moyen </w:t>
            </w:r>
          </w:p>
        </w:tc>
        <w:tc>
          <w:tcPr>
            <w:tcW w:w="1530" w:type="pct"/>
            <w:tcBorders>
              <w:top w:val="single" w:sz="4" w:space="0" w:color="auto"/>
              <w:left w:val="single" w:sz="4" w:space="0" w:color="auto"/>
              <w:bottom w:val="single" w:sz="4" w:space="0" w:color="auto"/>
              <w:right w:val="single" w:sz="4" w:space="0" w:color="auto"/>
            </w:tcBorders>
          </w:tcPr>
          <w:p w14:paraId="0F1BF6D0"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06F30F66" w14:textId="77777777" w:rsidTr="00095A17">
        <w:trPr>
          <w:trHeight w:val="801"/>
        </w:trPr>
        <w:tc>
          <w:tcPr>
            <w:tcW w:w="748" w:type="pct"/>
            <w:vMerge/>
            <w:vAlign w:val="center"/>
            <w:hideMark/>
          </w:tcPr>
          <w:p w14:paraId="079686B9" w14:textId="77777777" w:rsidR="00923B2C" w:rsidRDefault="00923B2C">
            <w:pPr>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34BB263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2.4 Mettre en œuvre les mesures d’atténuation efficaces pour l’élimination des barrières à la migration en amont, les passages pour poissons ou anguilles, et adapter la gestion des barrières ou d’autres méthodes pendant la période de migration.</w:t>
            </w:r>
          </w:p>
        </w:tc>
        <w:tc>
          <w:tcPr>
            <w:tcW w:w="387" w:type="pct"/>
            <w:tcBorders>
              <w:top w:val="single" w:sz="4" w:space="0" w:color="auto"/>
              <w:left w:val="single" w:sz="4" w:space="0" w:color="auto"/>
              <w:bottom w:val="single" w:sz="4" w:space="0" w:color="auto"/>
              <w:right w:val="single" w:sz="4" w:space="0" w:color="auto"/>
            </w:tcBorders>
          </w:tcPr>
          <w:p w14:paraId="0AB62955"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095C667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 Moyen </w:t>
            </w:r>
          </w:p>
        </w:tc>
        <w:tc>
          <w:tcPr>
            <w:tcW w:w="1530" w:type="pct"/>
            <w:tcBorders>
              <w:top w:val="single" w:sz="4" w:space="0" w:color="auto"/>
              <w:left w:val="single" w:sz="4" w:space="0" w:color="auto"/>
              <w:bottom w:val="single" w:sz="4" w:space="0" w:color="auto"/>
              <w:right w:val="single" w:sz="4" w:space="0" w:color="auto"/>
            </w:tcBorders>
          </w:tcPr>
          <w:p w14:paraId="38D2B83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63139064" w14:textId="77777777" w:rsidTr="00095A17">
        <w:trPr>
          <w:trHeight w:val="556"/>
        </w:trPr>
        <w:tc>
          <w:tcPr>
            <w:tcW w:w="748" w:type="pct"/>
            <w:vMerge/>
            <w:vAlign w:val="center"/>
          </w:tcPr>
          <w:p w14:paraId="35A26C9C" w14:textId="77777777" w:rsidR="00923B2C" w:rsidRDefault="00923B2C">
            <w:pPr>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332D6B1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2.5 Mettre en œuvre des mesures d’atténuation pertinentes pour la migration vers l’aval, telles que l’enlèvement des barrières, le dégrillage, le contournement des anguilles le long des barrières, la migration assistée (piégeage et transport), des turbines ou des pompes adaptées aux poissons, l’arrêt temporaire des turbines ou d’autres méthodes pendant la période de migration. </w:t>
            </w:r>
          </w:p>
        </w:tc>
        <w:tc>
          <w:tcPr>
            <w:tcW w:w="387" w:type="pct"/>
            <w:tcBorders>
              <w:top w:val="single" w:sz="4" w:space="0" w:color="auto"/>
              <w:left w:val="single" w:sz="4" w:space="0" w:color="auto"/>
              <w:bottom w:val="single" w:sz="4" w:space="0" w:color="auto"/>
              <w:right w:val="single" w:sz="4" w:space="0" w:color="auto"/>
            </w:tcBorders>
          </w:tcPr>
          <w:p w14:paraId="707364EB"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15F3715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 Moyen </w:t>
            </w:r>
          </w:p>
          <w:p w14:paraId="3750456A" w14:textId="77777777" w:rsidR="00923B2C" w:rsidRDefault="009C7B40">
            <w:pPr>
              <w:widowControl w:val="0"/>
              <w:spacing w:after="0" w:line="240" w:lineRule="auto"/>
              <w:rPr>
                <w:rFonts w:ascii="Arial" w:eastAsia="Times New Roman" w:hAnsi="Arial" w:cs="Arial"/>
                <w:snapToGrid w:val="0"/>
                <w:sz w:val="20"/>
                <w:szCs w:val="20"/>
              </w:rPr>
            </w:pPr>
            <w:r>
              <w:rPr>
                <w:rFonts w:ascii="Arial" w:eastAsia="Times New Roman" w:hAnsi="Arial" w:cs="Arial"/>
                <w:snapToGrid w:val="0"/>
                <w:sz w:val="20"/>
                <w:szCs w:val="20"/>
              </w:rPr>
              <w:t xml:space="preserve"> </w:t>
            </w:r>
          </w:p>
        </w:tc>
        <w:tc>
          <w:tcPr>
            <w:tcW w:w="1530" w:type="pct"/>
            <w:tcBorders>
              <w:top w:val="single" w:sz="4" w:space="0" w:color="auto"/>
              <w:left w:val="single" w:sz="4" w:space="0" w:color="auto"/>
              <w:bottom w:val="single" w:sz="4" w:space="0" w:color="auto"/>
              <w:right w:val="single" w:sz="4" w:space="0" w:color="auto"/>
            </w:tcBorders>
          </w:tcPr>
          <w:p w14:paraId="1D83C46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636A6434" w14:textId="77777777" w:rsidTr="00095A17">
        <w:trPr>
          <w:trHeight w:val="556"/>
        </w:trPr>
        <w:tc>
          <w:tcPr>
            <w:tcW w:w="748" w:type="pct"/>
            <w:vMerge/>
            <w:vAlign w:val="center"/>
          </w:tcPr>
          <w:p w14:paraId="009743C5" w14:textId="77777777" w:rsidR="00923B2C" w:rsidRDefault="00923B2C">
            <w:pPr>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460F7E36" w14:textId="77777777" w:rsidR="00923B2C" w:rsidRDefault="009C7B40">
            <w:pPr>
              <w:widowControl w:val="0"/>
              <w:spacing w:after="0" w:line="240" w:lineRule="auto"/>
              <w:rPr>
                <w:rFonts w:ascii="Arial" w:eastAsia="Arial" w:hAnsi="Arial" w:cs="Arial"/>
                <w:snapToGrid w:val="0"/>
                <w:sz w:val="20"/>
                <w:szCs w:val="20"/>
                <w:lang w:val="fr-FR"/>
              </w:rPr>
            </w:pPr>
            <w:r>
              <w:rPr>
                <w:rFonts w:ascii="Arial" w:eastAsia="Times New Roman" w:hAnsi="Arial" w:cs="Arial"/>
                <w:snapToGrid w:val="0"/>
                <w:sz w:val="20"/>
                <w:szCs w:val="20"/>
                <w:lang w:val="fr-FR"/>
              </w:rPr>
              <w:t>2.6 Mettre en œuvre le suivi des mesures d’atténuation, s’il n’est pas déjà effectif.</w:t>
            </w:r>
          </w:p>
        </w:tc>
        <w:tc>
          <w:tcPr>
            <w:tcW w:w="387" w:type="pct"/>
            <w:tcBorders>
              <w:top w:val="single" w:sz="4" w:space="0" w:color="auto"/>
              <w:left w:val="single" w:sz="4" w:space="0" w:color="auto"/>
              <w:bottom w:val="single" w:sz="4" w:space="0" w:color="auto"/>
              <w:right w:val="single" w:sz="4" w:space="0" w:color="auto"/>
            </w:tcBorders>
          </w:tcPr>
          <w:p w14:paraId="5B69A673"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7F235DFE"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Court terme</w:t>
            </w:r>
          </w:p>
        </w:tc>
        <w:tc>
          <w:tcPr>
            <w:tcW w:w="1530" w:type="pct"/>
            <w:tcBorders>
              <w:top w:val="single" w:sz="4" w:space="0" w:color="auto"/>
              <w:left w:val="single" w:sz="4" w:space="0" w:color="auto"/>
              <w:bottom w:val="single" w:sz="4" w:space="0" w:color="auto"/>
              <w:right w:val="single" w:sz="4" w:space="0" w:color="auto"/>
            </w:tcBorders>
          </w:tcPr>
          <w:p w14:paraId="0AD9DFC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3B864DD5" w14:textId="77777777" w:rsidTr="00095A17">
        <w:trPr>
          <w:trHeight w:val="796"/>
        </w:trPr>
        <w:tc>
          <w:tcPr>
            <w:tcW w:w="748" w:type="pct"/>
            <w:vMerge/>
            <w:vAlign w:val="center"/>
          </w:tcPr>
          <w:p w14:paraId="0392FE5A" w14:textId="77777777" w:rsidR="00923B2C" w:rsidRDefault="00923B2C">
            <w:pPr>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393485E8" w14:textId="77777777" w:rsidR="00923B2C" w:rsidRDefault="009C7B40">
            <w:pPr>
              <w:widowControl w:val="0"/>
              <w:spacing w:after="0" w:line="240" w:lineRule="auto"/>
              <w:rPr>
                <w:rFonts w:ascii="Arial" w:hAnsi="Arial" w:cs="Arial"/>
                <w:sz w:val="20"/>
                <w:szCs w:val="20"/>
                <w:lang w:val="fr-FR"/>
              </w:rPr>
            </w:pPr>
            <w:r>
              <w:rPr>
                <w:rFonts w:ascii="Arial" w:eastAsia="Times New Roman" w:hAnsi="Arial" w:cs="Arial"/>
                <w:sz w:val="20"/>
                <w:szCs w:val="20"/>
                <w:lang w:val="fr-FR"/>
              </w:rPr>
              <w:t xml:space="preserve">2.7 </w:t>
            </w:r>
            <w:r>
              <w:rPr>
                <w:rFonts w:ascii="Arial" w:eastAsia="Arial" w:hAnsi="Arial" w:cs="Arial"/>
                <w:sz w:val="20"/>
                <w:szCs w:val="20"/>
                <w:lang w:val="fr-FR"/>
              </w:rPr>
              <w:t>Réduire la mortalité associée à l’hydroélectricité, aux stations de pompage et autres structures conformément aux recommandations scientifiques pertinentes.</w:t>
            </w:r>
          </w:p>
        </w:tc>
        <w:tc>
          <w:tcPr>
            <w:tcW w:w="387" w:type="pct"/>
            <w:tcBorders>
              <w:top w:val="single" w:sz="4" w:space="0" w:color="auto"/>
              <w:left w:val="single" w:sz="4" w:space="0" w:color="auto"/>
              <w:bottom w:val="single" w:sz="4" w:space="0" w:color="auto"/>
              <w:right w:val="single" w:sz="4" w:space="0" w:color="auto"/>
            </w:tcBorders>
          </w:tcPr>
          <w:p w14:paraId="2F01EC80"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77DAAE75"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 Moyen </w:t>
            </w:r>
          </w:p>
          <w:p w14:paraId="1B63B50B"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530" w:type="pct"/>
            <w:tcBorders>
              <w:top w:val="single" w:sz="4" w:space="0" w:color="auto"/>
              <w:left w:val="single" w:sz="4" w:space="0" w:color="auto"/>
              <w:bottom w:val="single" w:sz="4" w:space="0" w:color="auto"/>
              <w:right w:val="single" w:sz="4" w:space="0" w:color="auto"/>
            </w:tcBorders>
          </w:tcPr>
          <w:p w14:paraId="5B25284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46316413" w14:textId="77777777" w:rsidTr="00095A17">
        <w:trPr>
          <w:trHeight w:val="467"/>
        </w:trPr>
        <w:tc>
          <w:tcPr>
            <w:tcW w:w="748" w:type="pct"/>
            <w:vMerge/>
            <w:vAlign w:val="center"/>
            <w:hideMark/>
          </w:tcPr>
          <w:p w14:paraId="2A64C6C3" w14:textId="77777777" w:rsidR="00923B2C" w:rsidRDefault="00923B2C">
            <w:pPr>
              <w:spacing w:after="0" w:line="240" w:lineRule="auto"/>
              <w:rPr>
                <w:rFonts w:ascii="Arial" w:eastAsia="Times New Roman" w:hAnsi="Arial" w:cs="Arial"/>
                <w:snapToGrid w:val="0"/>
                <w:sz w:val="20"/>
                <w:szCs w:val="20"/>
                <w:lang w:val="fr-FR"/>
              </w:rPr>
            </w:pPr>
          </w:p>
        </w:tc>
        <w:tc>
          <w:tcPr>
            <w:tcW w:w="1828" w:type="pct"/>
            <w:tcBorders>
              <w:top w:val="single" w:sz="4" w:space="0" w:color="auto"/>
              <w:left w:val="single" w:sz="4" w:space="0" w:color="auto"/>
              <w:bottom w:val="single" w:sz="4" w:space="0" w:color="auto"/>
              <w:right w:val="single" w:sz="4" w:space="0" w:color="auto"/>
            </w:tcBorders>
          </w:tcPr>
          <w:p w14:paraId="7729ED45" w14:textId="77777777" w:rsidR="00923B2C" w:rsidRDefault="009C7B40">
            <w:pPr>
              <w:widowControl w:val="0"/>
              <w:spacing w:after="0" w:line="240" w:lineRule="auto"/>
              <w:rPr>
                <w:rFonts w:ascii="Arial" w:eastAsia="Times New Roman" w:hAnsi="Arial" w:cs="Arial"/>
                <w:i/>
                <w:iCs/>
                <w:snapToGrid w:val="0"/>
                <w:sz w:val="20"/>
                <w:szCs w:val="20"/>
                <w:lang w:val="fr-FR"/>
              </w:rPr>
            </w:pPr>
            <w:r>
              <w:rPr>
                <w:rFonts w:ascii="Arial" w:hAnsi="Arial" w:cs="Arial"/>
                <w:sz w:val="20"/>
                <w:szCs w:val="20"/>
                <w:lang w:val="fr-FR"/>
              </w:rPr>
              <w:t xml:space="preserve">2.8 Coordonner au niveau </w:t>
            </w:r>
            <w:r>
              <w:rPr>
                <w:rFonts w:ascii="Arial" w:eastAsia="Times New Roman" w:hAnsi="Arial" w:cs="Arial"/>
                <w:snapToGrid w:val="0"/>
                <w:sz w:val="20"/>
                <w:szCs w:val="20"/>
                <w:lang w:val="fr-FR"/>
              </w:rPr>
              <w:t xml:space="preserve">international, national et infranational et partager les </w:t>
            </w:r>
            <w:r>
              <w:rPr>
                <w:rFonts w:ascii="Arial" w:hAnsi="Arial" w:cs="Arial"/>
                <w:sz w:val="20"/>
                <w:szCs w:val="20"/>
                <w:lang w:val="fr-FR"/>
              </w:rPr>
              <w:t>connaissances.</w:t>
            </w:r>
          </w:p>
        </w:tc>
        <w:tc>
          <w:tcPr>
            <w:tcW w:w="387" w:type="pct"/>
            <w:tcBorders>
              <w:top w:val="single" w:sz="4" w:space="0" w:color="auto"/>
              <w:left w:val="single" w:sz="4" w:space="0" w:color="auto"/>
              <w:bottom w:val="single" w:sz="4" w:space="0" w:color="auto"/>
              <w:right w:val="single" w:sz="4" w:space="0" w:color="auto"/>
            </w:tcBorders>
          </w:tcPr>
          <w:p w14:paraId="1E806661"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07" w:type="pct"/>
            <w:tcBorders>
              <w:top w:val="single" w:sz="4" w:space="0" w:color="auto"/>
              <w:left w:val="single" w:sz="4" w:space="0" w:color="auto"/>
              <w:bottom w:val="single" w:sz="4" w:space="0" w:color="auto"/>
              <w:right w:val="single" w:sz="4" w:space="0" w:color="auto"/>
            </w:tcBorders>
          </w:tcPr>
          <w:p w14:paraId="3EE469E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530" w:type="pct"/>
            <w:tcBorders>
              <w:top w:val="single" w:sz="4" w:space="0" w:color="auto"/>
              <w:left w:val="single" w:sz="4" w:space="0" w:color="auto"/>
              <w:bottom w:val="single" w:sz="4" w:space="0" w:color="auto"/>
              <w:right w:val="single" w:sz="4" w:space="0" w:color="auto"/>
            </w:tcBorders>
          </w:tcPr>
          <w:p w14:paraId="5BBEEA5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y compris par l’intermédiaire des organismes régionaux compétents</w:t>
            </w:r>
          </w:p>
        </w:tc>
      </w:tr>
    </w:tbl>
    <w:p w14:paraId="6FD8FD86" w14:textId="77777777" w:rsidR="00923B2C" w:rsidRDefault="00923B2C">
      <w:pPr>
        <w:widowControl w:val="0"/>
        <w:autoSpaceDE w:val="0"/>
        <w:autoSpaceDN w:val="0"/>
        <w:adjustRightInd w:val="0"/>
        <w:spacing w:after="0" w:line="240" w:lineRule="auto"/>
        <w:rPr>
          <w:rFonts w:ascii="Arial" w:eastAsia="Times New Roman" w:hAnsi="Arial" w:cs="Arial"/>
          <w:b/>
          <w:i/>
          <w:snapToGrid w:val="0"/>
          <w:lang w:val="fr-FR"/>
        </w:rPr>
      </w:pPr>
    </w:p>
    <w:p w14:paraId="23223D94" w14:textId="5AC79BCE" w:rsidR="00923B2C" w:rsidRDefault="00003ABA" w:rsidP="00003ABA">
      <w:pPr>
        <w:widowControl w:val="0"/>
        <w:pBdr>
          <w:top w:val="single" w:sz="4" w:space="1" w:color="auto"/>
          <w:left w:val="single" w:sz="4" w:space="4" w:color="auto"/>
          <w:bottom w:val="single" w:sz="4" w:space="1" w:color="auto"/>
          <w:right w:val="single" w:sz="4" w:space="11" w:color="auto"/>
        </w:pBdr>
        <w:autoSpaceDE w:val="0"/>
        <w:autoSpaceDN w:val="0"/>
        <w:adjustRightInd w:val="0"/>
        <w:spacing w:after="0" w:line="240" w:lineRule="auto"/>
        <w:rPr>
          <w:rFonts w:ascii="Arial" w:eastAsia="Times New Roman" w:hAnsi="Arial" w:cs="Arial"/>
          <w:b/>
          <w:i/>
          <w:snapToGrid w:val="0"/>
          <w:lang w:val="fr-FR"/>
        </w:rPr>
      </w:pPr>
      <w:r>
        <w:rPr>
          <w:rFonts w:ascii="Arial" w:eastAsia="Times New Roman" w:hAnsi="Arial" w:cs="Arial"/>
          <w:b/>
          <w:i/>
          <w:snapToGrid w:val="0"/>
          <w:sz w:val="20"/>
          <w:szCs w:val="20"/>
          <w:lang w:val="fr-FR"/>
        </w:rPr>
        <w:t>Objectif 3 : L'impact de la perte d'habitat continental sur les anguilles européennes est évalué, et des mesures d’atténuation sont mises en œuvre aux échelles spatiales correspondantes.</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9"/>
        <w:gridCol w:w="5117"/>
        <w:gridCol w:w="1354"/>
        <w:gridCol w:w="1491"/>
        <w:gridCol w:w="3978"/>
      </w:tblGrid>
      <w:tr w:rsidR="00923B2C" w:rsidRPr="00994604" w14:paraId="2F6ABD8C" w14:textId="77777777" w:rsidTr="00003ABA">
        <w:trPr>
          <w:trHeight w:val="300"/>
          <w:tblHeader/>
        </w:trPr>
        <w:tc>
          <w:tcPr>
            <w:tcW w:w="828" w:type="pct"/>
            <w:tcBorders>
              <w:top w:val="single" w:sz="4" w:space="0" w:color="auto"/>
              <w:left w:val="single" w:sz="4" w:space="0" w:color="auto"/>
              <w:bottom w:val="single" w:sz="4" w:space="0" w:color="auto"/>
              <w:right w:val="single" w:sz="4" w:space="0" w:color="auto"/>
            </w:tcBorders>
            <w:shd w:val="clear" w:color="auto" w:fill="E8E8E8" w:themeFill="background2"/>
          </w:tcPr>
          <w:p w14:paraId="45CF4FA7"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Résultat</w:t>
            </w:r>
          </w:p>
        </w:tc>
        <w:tc>
          <w:tcPr>
            <w:tcW w:w="1788" w:type="pct"/>
            <w:tcBorders>
              <w:top w:val="single" w:sz="4" w:space="0" w:color="auto"/>
              <w:left w:val="single" w:sz="4" w:space="0" w:color="auto"/>
              <w:bottom w:val="single" w:sz="4" w:space="0" w:color="auto"/>
              <w:right w:val="single" w:sz="4" w:space="0" w:color="auto"/>
            </w:tcBorders>
            <w:shd w:val="clear" w:color="auto" w:fill="E8E8E8" w:themeFill="background2"/>
          </w:tcPr>
          <w:p w14:paraId="3D2FA51E"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473" w:type="pct"/>
            <w:tcBorders>
              <w:top w:val="single" w:sz="4" w:space="0" w:color="auto"/>
              <w:left w:val="single" w:sz="4" w:space="0" w:color="auto"/>
              <w:bottom w:val="single" w:sz="4" w:space="0" w:color="auto"/>
              <w:right w:val="single" w:sz="4" w:space="0" w:color="auto"/>
            </w:tcBorders>
            <w:shd w:val="clear" w:color="auto" w:fill="E8E8E8" w:themeFill="background2"/>
          </w:tcPr>
          <w:p w14:paraId="67DE3581"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521" w:type="pct"/>
            <w:tcBorders>
              <w:top w:val="single" w:sz="4" w:space="0" w:color="auto"/>
              <w:left w:val="single" w:sz="4" w:space="0" w:color="auto"/>
              <w:bottom w:val="single" w:sz="4" w:space="0" w:color="auto"/>
              <w:right w:val="single" w:sz="4" w:space="0" w:color="auto"/>
            </w:tcBorders>
            <w:shd w:val="clear" w:color="auto" w:fill="E8E8E8" w:themeFill="background2"/>
          </w:tcPr>
          <w:p w14:paraId="52B78C40"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390" w:type="pct"/>
            <w:tcBorders>
              <w:top w:val="single" w:sz="4" w:space="0" w:color="auto"/>
              <w:left w:val="single" w:sz="4" w:space="0" w:color="auto"/>
              <w:bottom w:val="single" w:sz="4" w:space="0" w:color="auto"/>
              <w:right w:val="single" w:sz="4" w:space="0" w:color="auto"/>
            </w:tcBorders>
            <w:shd w:val="clear" w:color="auto" w:fill="E8E8E8" w:themeFill="background2"/>
          </w:tcPr>
          <w:p w14:paraId="668C4CCA"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rsidRPr="00994604" w14:paraId="1D7DE5AD" w14:textId="77777777" w:rsidTr="00003ABA">
        <w:trPr>
          <w:trHeight w:val="204"/>
        </w:trPr>
        <w:tc>
          <w:tcPr>
            <w:tcW w:w="828" w:type="pct"/>
            <w:vMerge w:val="restart"/>
          </w:tcPr>
          <w:p w14:paraId="2CF6675F" w14:textId="77777777" w:rsidR="00923B2C" w:rsidRDefault="009C7B40">
            <w:pPr>
              <w:widowControl w:val="0"/>
              <w:spacing w:after="0" w:line="240" w:lineRule="auto"/>
              <w:rPr>
                <w:rFonts w:ascii="Arial" w:eastAsia="Times New Roman" w:hAnsi="Arial" w:cs="Arial"/>
                <w:snapToGrid w:val="0"/>
                <w:color w:val="000000" w:themeColor="text1"/>
                <w:sz w:val="20"/>
                <w:szCs w:val="20"/>
                <w:lang w:val="fr-FR"/>
              </w:rPr>
            </w:pPr>
            <w:r>
              <w:rPr>
                <w:rFonts w:ascii="Arial" w:eastAsia="Times New Roman" w:hAnsi="Arial" w:cs="Arial"/>
                <w:snapToGrid w:val="0"/>
                <w:color w:val="000000" w:themeColor="text1"/>
                <w:sz w:val="20"/>
                <w:szCs w:val="20"/>
                <w:lang w:val="fr-FR"/>
              </w:rPr>
              <w:t xml:space="preserve">L’atténuation de la perte d’habitat permet </w:t>
            </w:r>
            <w:r>
              <w:rPr>
                <w:rFonts w:ascii="Arial" w:eastAsia="Times New Roman" w:hAnsi="Arial" w:cs="Arial"/>
                <w:iCs/>
                <w:snapToGrid w:val="0"/>
                <w:color w:val="000000" w:themeColor="text1"/>
                <w:sz w:val="20"/>
                <w:szCs w:val="20"/>
                <w:lang w:val="fr-FR"/>
              </w:rPr>
              <w:t>d’optimiser</w:t>
            </w:r>
            <w:r>
              <w:rPr>
                <w:rFonts w:ascii="Arial" w:eastAsia="Times New Roman" w:hAnsi="Arial" w:cs="Arial"/>
                <w:snapToGrid w:val="0"/>
                <w:color w:val="000000" w:themeColor="text1"/>
                <w:sz w:val="20"/>
                <w:szCs w:val="20"/>
                <w:lang w:val="fr-FR"/>
              </w:rPr>
              <w:t xml:space="preserve"> l’accès et la capacité de charge des systèmes aquatiques dans l’aire de répartition continentale de l’anguille européenne.</w:t>
            </w:r>
          </w:p>
        </w:tc>
        <w:tc>
          <w:tcPr>
            <w:tcW w:w="1788" w:type="pct"/>
          </w:tcPr>
          <w:p w14:paraId="03E8743E"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3.1 Mettre au point des méthodes pour comprendre l’ampleur de la conversion et de la perte de l’habitat de l’anguille européenne jusqu’à présent, ainsi que le risque de réductions futures, à l’échelle internationale, nationale et infranationale, notamment en raison du changement climatique.</w:t>
            </w:r>
          </w:p>
        </w:tc>
        <w:tc>
          <w:tcPr>
            <w:tcW w:w="473" w:type="pct"/>
          </w:tcPr>
          <w:p w14:paraId="07C02201"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70E52BAB"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Moyen – Long </w:t>
            </w:r>
          </w:p>
        </w:tc>
        <w:tc>
          <w:tcPr>
            <w:tcW w:w="1390" w:type="pct"/>
          </w:tcPr>
          <w:p w14:paraId="22C93EE0"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Commission de la mer des Sargasses</w:t>
            </w:r>
          </w:p>
        </w:tc>
      </w:tr>
      <w:tr w:rsidR="00923B2C" w:rsidRPr="00994604" w14:paraId="3AA4AB44" w14:textId="77777777" w:rsidTr="00003ABA">
        <w:trPr>
          <w:trHeight w:val="273"/>
        </w:trPr>
        <w:tc>
          <w:tcPr>
            <w:tcW w:w="828" w:type="pct"/>
            <w:vMerge/>
          </w:tcPr>
          <w:p w14:paraId="01E0F093"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2D79D8E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3.2 Élaborer des modèles pour mieux comprendre la capacité de charge de l’habitat disponible à des échelles géographiques correspondantes, afin de mieux gérer les impacts anthropiques et la mortalité associée.</w:t>
            </w:r>
          </w:p>
        </w:tc>
        <w:tc>
          <w:tcPr>
            <w:tcW w:w="473" w:type="pct"/>
          </w:tcPr>
          <w:p w14:paraId="3682AA74"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4DD1E5C7"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Long terme</w:t>
            </w:r>
          </w:p>
        </w:tc>
        <w:tc>
          <w:tcPr>
            <w:tcW w:w="1390" w:type="pct"/>
          </w:tcPr>
          <w:p w14:paraId="0868E1A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01745696" w14:textId="77777777" w:rsidTr="00003ABA">
        <w:tc>
          <w:tcPr>
            <w:tcW w:w="828" w:type="pct"/>
            <w:vMerge/>
          </w:tcPr>
          <w:p w14:paraId="5A4B1802"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0DE4E96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3.3 Identifier les zones où le risque de perte d’habitat est le plus élevé en raison des effets du changement climatique.</w:t>
            </w:r>
          </w:p>
        </w:tc>
        <w:tc>
          <w:tcPr>
            <w:tcW w:w="473" w:type="pct"/>
          </w:tcPr>
          <w:p w14:paraId="21DBFF99"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0FE953D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Court terme</w:t>
            </w:r>
          </w:p>
        </w:tc>
        <w:tc>
          <w:tcPr>
            <w:tcW w:w="1390" w:type="pct"/>
          </w:tcPr>
          <w:p w14:paraId="054349D6"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Commission de la mer des Sargasses</w:t>
            </w:r>
          </w:p>
        </w:tc>
      </w:tr>
      <w:tr w:rsidR="00923B2C" w:rsidRPr="00994604" w14:paraId="488F9039" w14:textId="77777777" w:rsidTr="00003ABA">
        <w:tc>
          <w:tcPr>
            <w:tcW w:w="828" w:type="pct"/>
            <w:vMerge/>
          </w:tcPr>
          <w:p w14:paraId="672A62AD"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60186ACD" w14:textId="77777777" w:rsidR="00923B2C" w:rsidRDefault="009C7B40">
            <w:pPr>
              <w:widowControl w:val="0"/>
              <w:spacing w:after="0" w:line="240" w:lineRule="auto"/>
              <w:rPr>
                <w:rFonts w:ascii="Arial" w:eastAsia="Arial" w:hAnsi="Arial" w:cs="Arial"/>
                <w:snapToGrid w:val="0"/>
                <w:sz w:val="20"/>
                <w:szCs w:val="20"/>
                <w:lang w:val="fr-FR"/>
              </w:rPr>
            </w:pPr>
            <w:r>
              <w:rPr>
                <w:rFonts w:ascii="Arial" w:eastAsia="Arial" w:hAnsi="Arial" w:cs="Arial"/>
                <w:sz w:val="20"/>
                <w:szCs w:val="20"/>
                <w:lang w:val="fr-FR"/>
              </w:rPr>
              <w:t>3.4 Réduire la mortalité associée à la perte d’habitat en concordance avec les conseils scientifiques concernés.</w:t>
            </w:r>
          </w:p>
        </w:tc>
        <w:tc>
          <w:tcPr>
            <w:tcW w:w="473" w:type="pct"/>
          </w:tcPr>
          <w:p w14:paraId="23C62B9E"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04840A85"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 Moyen </w:t>
            </w:r>
          </w:p>
        </w:tc>
        <w:tc>
          <w:tcPr>
            <w:tcW w:w="1390" w:type="pct"/>
          </w:tcPr>
          <w:p w14:paraId="589433AE"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3D5E0776" w14:textId="77777777" w:rsidTr="00003ABA">
        <w:trPr>
          <w:trHeight w:val="307"/>
        </w:trPr>
        <w:tc>
          <w:tcPr>
            <w:tcW w:w="828" w:type="pct"/>
            <w:vMerge/>
          </w:tcPr>
          <w:p w14:paraId="469CB7C5"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0542CAF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3.5 Identifier les lieux clés pour le </w:t>
            </w:r>
            <w:proofErr w:type="spellStart"/>
            <w:r>
              <w:rPr>
                <w:rFonts w:ascii="Arial" w:eastAsia="Times New Roman" w:hAnsi="Arial" w:cs="Arial"/>
                <w:snapToGrid w:val="0"/>
                <w:sz w:val="20"/>
                <w:szCs w:val="20"/>
                <w:lang w:val="fr-FR"/>
              </w:rPr>
              <w:t>réensauvagement</w:t>
            </w:r>
            <w:proofErr w:type="spellEnd"/>
            <w:r>
              <w:rPr>
                <w:rFonts w:ascii="Arial" w:eastAsia="Times New Roman" w:hAnsi="Arial" w:cs="Arial"/>
                <w:snapToGrid w:val="0"/>
                <w:sz w:val="20"/>
                <w:szCs w:val="20"/>
                <w:lang w:val="fr-FR"/>
              </w:rPr>
              <w:t>.</w:t>
            </w:r>
          </w:p>
        </w:tc>
        <w:tc>
          <w:tcPr>
            <w:tcW w:w="473" w:type="pct"/>
          </w:tcPr>
          <w:p w14:paraId="6E717417"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117F9B0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Court terme </w:t>
            </w:r>
          </w:p>
        </w:tc>
        <w:tc>
          <w:tcPr>
            <w:tcW w:w="1390" w:type="pct"/>
          </w:tcPr>
          <w:p w14:paraId="676C35E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3FDDA527" w14:textId="77777777" w:rsidTr="00003ABA">
        <w:trPr>
          <w:trHeight w:val="421"/>
        </w:trPr>
        <w:tc>
          <w:tcPr>
            <w:tcW w:w="828" w:type="pct"/>
            <w:vMerge/>
          </w:tcPr>
          <w:p w14:paraId="5B511A73"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51708CC9" w14:textId="77777777" w:rsidR="00923B2C" w:rsidRDefault="009C7B40">
            <w:pPr>
              <w:widowControl w:val="0"/>
              <w:autoSpaceDE w:val="0"/>
              <w:autoSpaceDN w:val="0"/>
              <w:adjustRightInd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3.6 Mettre en œuvre des mesures pertinentes dans les lieux clés identifiés et surveiller leur efficacité.</w:t>
            </w:r>
          </w:p>
        </w:tc>
        <w:tc>
          <w:tcPr>
            <w:tcW w:w="473" w:type="pct"/>
          </w:tcPr>
          <w:p w14:paraId="65D5E125"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592B386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 (depuis l’adoption)</w:t>
            </w:r>
          </w:p>
        </w:tc>
        <w:tc>
          <w:tcPr>
            <w:tcW w:w="1390" w:type="pct"/>
          </w:tcPr>
          <w:p w14:paraId="6A1EEFA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1D2CE224" w14:textId="77777777" w:rsidTr="00003ABA">
        <w:trPr>
          <w:trHeight w:val="786"/>
        </w:trPr>
        <w:tc>
          <w:tcPr>
            <w:tcW w:w="828" w:type="pct"/>
            <w:vMerge/>
          </w:tcPr>
          <w:p w14:paraId="351592D3"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17AE7156" w14:textId="77777777" w:rsidR="00923B2C" w:rsidRDefault="009C7B40">
            <w:pPr>
              <w:widowControl w:val="0"/>
              <w:autoSpaceDE w:val="0"/>
              <w:autoSpaceDN w:val="0"/>
              <w:adjustRightInd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3.7 Échanger des informations internationales, nationales et infranationales et coordonner les activités liées à la réduction de la perte d’habitat spécifique aux anguilles.</w:t>
            </w:r>
          </w:p>
        </w:tc>
        <w:tc>
          <w:tcPr>
            <w:tcW w:w="473" w:type="pct"/>
          </w:tcPr>
          <w:p w14:paraId="1A3EAB10"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71354ED7"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En cours</w:t>
            </w:r>
          </w:p>
        </w:tc>
        <w:tc>
          <w:tcPr>
            <w:tcW w:w="1390" w:type="pct"/>
          </w:tcPr>
          <w:p w14:paraId="251E79A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y compris par l’intermédiaire des organismes régionaux compétents</w:t>
            </w:r>
          </w:p>
        </w:tc>
      </w:tr>
      <w:tr w:rsidR="00923B2C" w:rsidRPr="00994604" w14:paraId="300D6C36" w14:textId="77777777" w:rsidTr="00003ABA">
        <w:trPr>
          <w:trHeight w:val="454"/>
        </w:trPr>
        <w:tc>
          <w:tcPr>
            <w:tcW w:w="828" w:type="pct"/>
          </w:tcPr>
          <w:p w14:paraId="5DEC51F3"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88" w:type="pct"/>
          </w:tcPr>
          <w:p w14:paraId="4E10AD12" w14:textId="77777777" w:rsidR="00923B2C" w:rsidRDefault="009C7B40">
            <w:pPr>
              <w:widowControl w:val="0"/>
              <w:autoSpaceDE w:val="0"/>
              <w:autoSpaceDN w:val="0"/>
              <w:adjustRightInd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3.8 Évaluer et réduire les impacts négatifs des espèces exotiques envahissantes (EEE) sur l’anguille.</w:t>
            </w:r>
          </w:p>
        </w:tc>
        <w:tc>
          <w:tcPr>
            <w:tcW w:w="473" w:type="pct"/>
          </w:tcPr>
          <w:p w14:paraId="70CC648D"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1" w:type="pct"/>
          </w:tcPr>
          <w:p w14:paraId="6C3A6D55"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390" w:type="pct"/>
          </w:tcPr>
          <w:p w14:paraId="18813650"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milieu académique</w:t>
            </w:r>
          </w:p>
        </w:tc>
      </w:tr>
    </w:tbl>
    <w:p w14:paraId="4324E5EE" w14:textId="14D90627" w:rsidR="00923B2C" w:rsidRDefault="009C7B40">
      <w:pPr>
        <w:widowControl w:val="0"/>
        <w:autoSpaceDE w:val="0"/>
        <w:autoSpaceDN w:val="0"/>
        <w:adjustRightInd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37"/>
        <w:gridCol w:w="4944"/>
        <w:gridCol w:w="68"/>
        <w:gridCol w:w="1698"/>
        <w:gridCol w:w="45"/>
        <w:gridCol w:w="1179"/>
        <w:gridCol w:w="3830"/>
      </w:tblGrid>
      <w:tr w:rsidR="00923B2C" w:rsidRPr="00994604" w14:paraId="7CD8197B" w14:textId="77777777">
        <w:tc>
          <w:tcPr>
            <w:tcW w:w="5000" w:type="pct"/>
            <w:gridSpan w:val="8"/>
          </w:tcPr>
          <w:p w14:paraId="7995A496"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lastRenderedPageBreak/>
              <w:t xml:space="preserve">Objectif 4 : L’exploitation et le commerce non durables de l’anguille européenne sont éliminés et la gestion à l’échelle de l’aire de répartition est renforcée. </w:t>
            </w:r>
          </w:p>
        </w:tc>
      </w:tr>
      <w:tr w:rsidR="00923B2C" w:rsidRPr="00994604" w14:paraId="6E0A4825" w14:textId="77777777" w:rsidTr="00426031">
        <w:trPr>
          <w:trHeight w:val="300"/>
        </w:trPr>
        <w:tc>
          <w:tcPr>
            <w:tcW w:w="850" w:type="pct"/>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095681CB"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Résultat</w:t>
            </w:r>
          </w:p>
        </w:tc>
        <w:tc>
          <w:tcPr>
            <w:tcW w:w="1768" w:type="pct"/>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56BDF0D5"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615" w:type="pct"/>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4FCCFC09"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416" w:type="pct"/>
            <w:tcBorders>
              <w:top w:val="single" w:sz="4" w:space="0" w:color="auto"/>
              <w:left w:val="single" w:sz="4" w:space="0" w:color="auto"/>
              <w:bottom w:val="single" w:sz="4" w:space="0" w:color="auto"/>
              <w:right w:val="single" w:sz="4" w:space="0" w:color="auto"/>
            </w:tcBorders>
            <w:shd w:val="clear" w:color="auto" w:fill="E8E8E8" w:themeFill="background2"/>
          </w:tcPr>
          <w:p w14:paraId="05EDCB40"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351" w:type="pct"/>
            <w:tcBorders>
              <w:top w:val="single" w:sz="4" w:space="0" w:color="auto"/>
              <w:left w:val="single" w:sz="4" w:space="0" w:color="auto"/>
              <w:bottom w:val="single" w:sz="4" w:space="0" w:color="auto"/>
              <w:right w:val="single" w:sz="4" w:space="0" w:color="auto"/>
            </w:tcBorders>
            <w:shd w:val="clear" w:color="auto" w:fill="E8E8E8" w:themeFill="background2"/>
          </w:tcPr>
          <w:p w14:paraId="0E9B11E5"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rsidRPr="00994604" w14:paraId="45C5302D" w14:textId="77777777">
        <w:trPr>
          <w:trHeight w:val="451"/>
        </w:trPr>
        <w:tc>
          <w:tcPr>
            <w:tcW w:w="850" w:type="pct"/>
            <w:gridSpan w:val="2"/>
            <w:vMerge w:val="restart"/>
            <w:tcBorders>
              <w:top w:val="single" w:sz="4" w:space="0" w:color="auto"/>
              <w:left w:val="single" w:sz="4" w:space="0" w:color="auto"/>
              <w:bottom w:val="single" w:sz="4" w:space="0" w:color="auto"/>
              <w:right w:val="single" w:sz="4" w:space="0" w:color="auto"/>
            </w:tcBorders>
          </w:tcPr>
          <w:p w14:paraId="1B7E97F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 xml:space="preserve">La pêche et le commerce qui lui est associé sont légaux, traçables et clairement durables, et la gestion est renforcée grâce à une contribution reçue de données améliorée. </w:t>
            </w:r>
          </w:p>
          <w:p w14:paraId="6299E27C"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44928883" w14:textId="77777777" w:rsidR="00923B2C" w:rsidRDefault="009C7B40">
            <w:pPr>
              <w:widowControl w:val="0"/>
              <w:spacing w:after="0" w:line="240" w:lineRule="auto"/>
              <w:rPr>
                <w:rFonts w:ascii="Arial" w:eastAsia="Times New Roman" w:hAnsi="Arial" w:cs="Arial"/>
                <w:sz w:val="20"/>
                <w:szCs w:val="20"/>
                <w:lang w:val="fr-FR"/>
              </w:rPr>
            </w:pPr>
            <w:r>
              <w:rPr>
                <w:rFonts w:ascii="Arial" w:eastAsia="Arial" w:hAnsi="Arial" w:cs="Arial"/>
                <w:sz w:val="20"/>
                <w:szCs w:val="20"/>
                <w:lang w:val="fr-FR"/>
              </w:rPr>
              <w:t>4.1 Veiller à ce que la mortalité due à la pêche concorde avec les conseils scientifiques, pour tous les stades de la vie.</w:t>
            </w:r>
          </w:p>
        </w:tc>
        <w:tc>
          <w:tcPr>
            <w:tcW w:w="615" w:type="pct"/>
            <w:gridSpan w:val="2"/>
            <w:tcBorders>
              <w:top w:val="single" w:sz="4" w:space="0" w:color="auto"/>
              <w:left w:val="single" w:sz="4" w:space="0" w:color="auto"/>
              <w:bottom w:val="single" w:sz="4" w:space="0" w:color="auto"/>
              <w:right w:val="single" w:sz="4" w:space="0" w:color="auto"/>
            </w:tcBorders>
          </w:tcPr>
          <w:p w14:paraId="448BDEC9"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44EE8CA7" w14:textId="77777777" w:rsidR="00923B2C" w:rsidRDefault="009C7B40">
            <w:pPr>
              <w:widowControl w:val="0"/>
              <w:spacing w:after="0" w:line="240" w:lineRule="auto"/>
              <w:rPr>
                <w:rFonts w:ascii="Arial" w:eastAsia="Times New Roman" w:hAnsi="Arial" w:cs="Arial"/>
                <w:bCs/>
                <w:iCs/>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0E96AF06" w14:textId="77777777" w:rsidR="00923B2C" w:rsidRDefault="009C7B40">
            <w:pPr>
              <w:widowControl w:val="0"/>
              <w:spacing w:after="0" w:line="240" w:lineRule="auto"/>
              <w:rPr>
                <w:rFonts w:ascii="Arial" w:eastAsia="Times New Roman" w:hAnsi="Arial" w:cs="Arial"/>
                <w:bCs/>
                <w:iCs/>
                <w:snapToGrid w:val="0"/>
                <w:sz w:val="20"/>
                <w:szCs w:val="20"/>
                <w:lang w:val="fr-FR"/>
              </w:rPr>
            </w:pPr>
            <w:r>
              <w:rPr>
                <w:rFonts w:ascii="Arial" w:eastAsia="Times New Roman" w:hAnsi="Arial" w:cs="Arial"/>
                <w:bCs/>
                <w:iCs/>
                <w:snapToGrid w:val="0"/>
                <w:sz w:val="20"/>
                <w:szCs w:val="20"/>
                <w:lang w:val="fr-FR"/>
              </w:rPr>
              <w:t>États de l’aire de répartition</w:t>
            </w:r>
          </w:p>
        </w:tc>
      </w:tr>
      <w:tr w:rsidR="00923B2C" w:rsidRPr="00994604" w14:paraId="5C742BE9" w14:textId="77777777">
        <w:trPr>
          <w:trHeight w:val="300"/>
        </w:trPr>
        <w:tc>
          <w:tcPr>
            <w:tcW w:w="850" w:type="pct"/>
            <w:gridSpan w:val="2"/>
            <w:vMerge/>
          </w:tcPr>
          <w:p w14:paraId="38D614A0"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07E215A5"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snapToGrid w:val="0"/>
                <w:sz w:val="20"/>
                <w:szCs w:val="20"/>
                <w:lang w:val="fr-FR"/>
              </w:rPr>
              <w:t>4.2 Veiller à ce que les programmes de repeuplement, y compris ceux issus d’activités en cours impliquant l’aquaculture, concordent avec les conseils scientifiques, puissent démontrer un bénéfice clair pour l’espèce et fassent l’objet d’un suivi approprié.</w:t>
            </w:r>
          </w:p>
        </w:tc>
        <w:tc>
          <w:tcPr>
            <w:tcW w:w="615" w:type="pct"/>
            <w:gridSpan w:val="2"/>
            <w:tcBorders>
              <w:top w:val="single" w:sz="4" w:space="0" w:color="auto"/>
              <w:left w:val="single" w:sz="4" w:space="0" w:color="auto"/>
              <w:bottom w:val="single" w:sz="4" w:space="0" w:color="auto"/>
              <w:right w:val="single" w:sz="4" w:space="0" w:color="auto"/>
            </w:tcBorders>
          </w:tcPr>
          <w:p w14:paraId="0765146A"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4BCCE632"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0EA7F524"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Cs/>
                <w:iCs/>
                <w:snapToGrid w:val="0"/>
                <w:sz w:val="20"/>
                <w:szCs w:val="20"/>
                <w:lang w:val="fr-FR"/>
              </w:rPr>
              <w:t>États de l’aire de répartition</w:t>
            </w:r>
          </w:p>
        </w:tc>
      </w:tr>
      <w:tr w:rsidR="00923B2C" w:rsidRPr="00994604" w14:paraId="48276D6F" w14:textId="77777777">
        <w:trPr>
          <w:trHeight w:val="300"/>
        </w:trPr>
        <w:tc>
          <w:tcPr>
            <w:tcW w:w="850" w:type="pct"/>
            <w:gridSpan w:val="2"/>
            <w:vMerge/>
          </w:tcPr>
          <w:p w14:paraId="6FC56E92"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042FCA95"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sz w:val="20"/>
                <w:szCs w:val="20"/>
                <w:lang w:val="fr-FR"/>
              </w:rPr>
              <w:t>4.3 Améliorer et harmoniser la collecte de données sur la pêche commerciale et récréative, l’aquaculture, le commerce et les marchés en concordance avec les besoins du conseil scientifique, et partager les données dans l’ensemble de l’aire de répartition.</w:t>
            </w:r>
          </w:p>
        </w:tc>
        <w:tc>
          <w:tcPr>
            <w:tcW w:w="615" w:type="pct"/>
            <w:gridSpan w:val="2"/>
            <w:tcBorders>
              <w:top w:val="single" w:sz="4" w:space="0" w:color="auto"/>
              <w:left w:val="single" w:sz="4" w:space="0" w:color="auto"/>
              <w:bottom w:val="single" w:sz="4" w:space="0" w:color="auto"/>
              <w:right w:val="single" w:sz="4" w:space="0" w:color="auto"/>
            </w:tcBorders>
          </w:tcPr>
          <w:p w14:paraId="387B6D34"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72192AC5"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4A8AC153"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snapToGrid w:val="0"/>
                <w:sz w:val="20"/>
                <w:szCs w:val="20"/>
                <w:lang w:val="fr-FR"/>
              </w:rPr>
              <w:t>États de l’aire de répartition, CITES</w:t>
            </w:r>
            <w:r>
              <w:rPr>
                <w:rFonts w:ascii="Arial" w:eastAsia="Times New Roman" w:hAnsi="Arial" w:cs="Arial"/>
                <w:bCs/>
                <w:iCs/>
                <w:snapToGrid w:val="0"/>
                <w:sz w:val="20"/>
                <w:szCs w:val="20"/>
                <w:lang w:val="fr-FR"/>
              </w:rPr>
              <w:t>, Secrétariat de la CMS</w:t>
            </w:r>
          </w:p>
        </w:tc>
      </w:tr>
      <w:tr w:rsidR="00923B2C" w:rsidRPr="00994604" w14:paraId="5AD8B7FC" w14:textId="77777777">
        <w:trPr>
          <w:trHeight w:val="300"/>
        </w:trPr>
        <w:tc>
          <w:tcPr>
            <w:tcW w:w="850" w:type="pct"/>
            <w:gridSpan w:val="2"/>
            <w:vMerge/>
          </w:tcPr>
          <w:p w14:paraId="2B9E24D3"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6CF782E6"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snapToGrid w:val="0"/>
                <w:sz w:val="20"/>
                <w:szCs w:val="20"/>
                <w:lang w:val="fr-FR"/>
              </w:rPr>
              <w:t>4.4 Coordonner la contribution reçue de données avec les ORGP concernés afin d’informer la gestion régionale, les indices de mortalité et/ou les évaluations des stocks – CIEM/CGPM/HELCOM.</w:t>
            </w:r>
          </w:p>
        </w:tc>
        <w:tc>
          <w:tcPr>
            <w:tcW w:w="615" w:type="pct"/>
            <w:gridSpan w:val="2"/>
            <w:tcBorders>
              <w:top w:val="single" w:sz="4" w:space="0" w:color="auto"/>
              <w:left w:val="single" w:sz="4" w:space="0" w:color="auto"/>
              <w:bottom w:val="single" w:sz="4" w:space="0" w:color="auto"/>
              <w:right w:val="single" w:sz="4" w:space="0" w:color="auto"/>
            </w:tcBorders>
          </w:tcPr>
          <w:p w14:paraId="6E659FFF" w14:textId="77777777" w:rsidR="00923B2C" w:rsidRDefault="00923B2C">
            <w:pPr>
              <w:widowControl w:val="0"/>
              <w:spacing w:after="0" w:line="240" w:lineRule="auto"/>
              <w:rPr>
                <w:rFonts w:ascii="Arial" w:eastAsia="Times New Roman" w:hAnsi="Arial" w:cs="Arial"/>
                <w:b/>
                <w:i/>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4BB7EFF3"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6A7D0FEC"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Cs/>
                <w:iCs/>
                <w:snapToGrid w:val="0"/>
                <w:sz w:val="20"/>
                <w:szCs w:val="20"/>
                <w:lang w:val="fr-FR"/>
              </w:rPr>
              <w:t>États de l’aire de répartition</w:t>
            </w:r>
          </w:p>
        </w:tc>
      </w:tr>
      <w:tr w:rsidR="00923B2C" w:rsidRPr="00994604" w14:paraId="67747C52" w14:textId="77777777">
        <w:trPr>
          <w:trHeight w:val="300"/>
        </w:trPr>
        <w:tc>
          <w:tcPr>
            <w:tcW w:w="850" w:type="pct"/>
            <w:gridSpan w:val="2"/>
            <w:tcBorders>
              <w:top w:val="nil"/>
              <w:left w:val="single" w:sz="4" w:space="0" w:color="auto"/>
              <w:bottom w:val="nil"/>
              <w:right w:val="single" w:sz="4" w:space="0" w:color="auto"/>
            </w:tcBorders>
          </w:tcPr>
          <w:p w14:paraId="471723ED"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5DCA0BB8"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4.5 Renforcer la traçabilité et le contrôle des pêcheries ainsi que du commerce intérieur et international qui leur est associé, notamment pour les produits utilisés dans les installations de repeuplement et d’aquaculture.</w:t>
            </w:r>
          </w:p>
        </w:tc>
        <w:tc>
          <w:tcPr>
            <w:tcW w:w="615" w:type="pct"/>
            <w:gridSpan w:val="2"/>
            <w:tcBorders>
              <w:top w:val="single" w:sz="4" w:space="0" w:color="auto"/>
              <w:left w:val="single" w:sz="4" w:space="0" w:color="auto"/>
              <w:bottom w:val="single" w:sz="4" w:space="0" w:color="auto"/>
              <w:right w:val="single" w:sz="4" w:space="0" w:color="auto"/>
            </w:tcBorders>
          </w:tcPr>
          <w:p w14:paraId="2B307CC5"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7E2F4CC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77A09B58"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CITES</w:t>
            </w:r>
          </w:p>
        </w:tc>
      </w:tr>
      <w:tr w:rsidR="00923B2C" w:rsidRPr="00994604" w14:paraId="00FB5A79" w14:textId="77777777">
        <w:trPr>
          <w:trHeight w:val="786"/>
        </w:trPr>
        <w:tc>
          <w:tcPr>
            <w:tcW w:w="850" w:type="pct"/>
            <w:gridSpan w:val="2"/>
            <w:tcBorders>
              <w:top w:val="single" w:sz="4" w:space="0" w:color="auto"/>
              <w:left w:val="single" w:sz="4" w:space="0" w:color="auto"/>
              <w:bottom w:val="single" w:sz="4" w:space="0" w:color="auto"/>
              <w:right w:val="single" w:sz="4" w:space="0" w:color="auto"/>
            </w:tcBorders>
          </w:tcPr>
          <w:p w14:paraId="7AD251A4"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71930A72" w14:textId="77777777" w:rsidR="00923B2C" w:rsidRDefault="009C7B40">
            <w:pPr>
              <w:widowControl w:val="0"/>
              <w:autoSpaceDE w:val="0"/>
              <w:autoSpaceDN w:val="0"/>
              <w:adjustRightInd w:val="0"/>
              <w:spacing w:after="0" w:line="240" w:lineRule="auto"/>
              <w:rPr>
                <w:rFonts w:ascii="Arial" w:eastAsia="Times New Roman" w:hAnsi="Arial" w:cs="Arial"/>
                <w:snapToGrid w:val="0"/>
                <w:sz w:val="20"/>
                <w:szCs w:val="20"/>
                <w:highlight w:val="yellow"/>
                <w:lang w:val="fr-FR"/>
              </w:rPr>
            </w:pPr>
            <w:r>
              <w:rPr>
                <w:rFonts w:ascii="Arial" w:eastAsia="Times New Roman" w:hAnsi="Arial" w:cs="Arial"/>
                <w:snapToGrid w:val="0"/>
                <w:sz w:val="20"/>
                <w:szCs w:val="20"/>
                <w:lang w:val="fr-FR"/>
              </w:rPr>
              <w:t>4.6 Améliorer la collaboration entre les forces de l’ordre afin de renforcer la bonne pratique en matière d’enquêtes et de poursuites, d’identifier les itinéraires du commerce illégal et de partager des renseignements.</w:t>
            </w:r>
          </w:p>
        </w:tc>
        <w:tc>
          <w:tcPr>
            <w:tcW w:w="615" w:type="pct"/>
            <w:gridSpan w:val="2"/>
            <w:tcBorders>
              <w:top w:val="single" w:sz="4" w:space="0" w:color="auto"/>
              <w:left w:val="single" w:sz="4" w:space="0" w:color="auto"/>
              <w:bottom w:val="single" w:sz="4" w:space="0" w:color="auto"/>
              <w:right w:val="single" w:sz="4" w:space="0" w:color="auto"/>
            </w:tcBorders>
          </w:tcPr>
          <w:p w14:paraId="310499A5"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18872DE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14F7C98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pays de transit et importateurs, INTERPOL, EUROPOL, CITES</w:t>
            </w:r>
          </w:p>
        </w:tc>
      </w:tr>
      <w:tr w:rsidR="00923B2C" w:rsidRPr="00994604" w14:paraId="3C45237B" w14:textId="77777777">
        <w:trPr>
          <w:trHeight w:val="300"/>
        </w:trPr>
        <w:tc>
          <w:tcPr>
            <w:tcW w:w="850" w:type="pct"/>
            <w:gridSpan w:val="2"/>
            <w:tcBorders>
              <w:top w:val="single" w:sz="4" w:space="0" w:color="auto"/>
              <w:left w:val="single" w:sz="4" w:space="0" w:color="auto"/>
              <w:bottom w:val="single" w:sz="8" w:space="0" w:color="auto"/>
              <w:right w:val="single" w:sz="4" w:space="0" w:color="auto"/>
            </w:tcBorders>
          </w:tcPr>
          <w:p w14:paraId="45CA954B"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68" w:type="pct"/>
            <w:gridSpan w:val="2"/>
            <w:tcBorders>
              <w:top w:val="single" w:sz="4" w:space="0" w:color="auto"/>
              <w:left w:val="single" w:sz="4" w:space="0" w:color="auto"/>
              <w:bottom w:val="single" w:sz="4" w:space="0" w:color="auto"/>
              <w:right w:val="single" w:sz="4" w:space="0" w:color="auto"/>
            </w:tcBorders>
          </w:tcPr>
          <w:p w14:paraId="07CE4713"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4.7 Coordonner avec les autorités nationales et internationales compétentes de la CITES pour s’assurer que la gestion du commerce repose sur une compréhension des tendances de la demande et des schémas d’exploitation.</w:t>
            </w:r>
          </w:p>
        </w:tc>
        <w:tc>
          <w:tcPr>
            <w:tcW w:w="615" w:type="pct"/>
            <w:gridSpan w:val="2"/>
            <w:tcBorders>
              <w:top w:val="single" w:sz="4" w:space="0" w:color="auto"/>
              <w:left w:val="single" w:sz="4" w:space="0" w:color="auto"/>
              <w:bottom w:val="single" w:sz="4" w:space="0" w:color="auto"/>
              <w:right w:val="single" w:sz="4" w:space="0" w:color="auto"/>
            </w:tcBorders>
          </w:tcPr>
          <w:p w14:paraId="0F896744"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16" w:type="pct"/>
            <w:tcBorders>
              <w:top w:val="single" w:sz="4" w:space="0" w:color="auto"/>
              <w:left w:val="single" w:sz="4" w:space="0" w:color="auto"/>
              <w:bottom w:val="single" w:sz="4" w:space="0" w:color="auto"/>
              <w:right w:val="single" w:sz="4" w:space="0" w:color="auto"/>
            </w:tcBorders>
          </w:tcPr>
          <w:p w14:paraId="254B5A7F"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bCs/>
                <w:iCs/>
                <w:snapToGrid w:val="0"/>
                <w:sz w:val="20"/>
                <w:szCs w:val="20"/>
                <w:lang w:val="fr-FR"/>
              </w:rPr>
              <w:t>Immédiat / En cours</w:t>
            </w:r>
          </w:p>
        </w:tc>
        <w:tc>
          <w:tcPr>
            <w:tcW w:w="1351" w:type="pct"/>
            <w:tcBorders>
              <w:top w:val="single" w:sz="4" w:space="0" w:color="auto"/>
              <w:left w:val="single" w:sz="4" w:space="0" w:color="auto"/>
              <w:bottom w:val="single" w:sz="4" w:space="0" w:color="auto"/>
              <w:right w:val="single" w:sz="4" w:space="0" w:color="auto"/>
            </w:tcBorders>
          </w:tcPr>
          <w:p w14:paraId="56DB75D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CITES, Secrétariat de la CMS</w:t>
            </w:r>
          </w:p>
        </w:tc>
      </w:tr>
      <w:tr w:rsidR="00923B2C" w:rsidRPr="00994604" w14:paraId="64A67B0F" w14:textId="77777777">
        <w:tc>
          <w:tcPr>
            <w:tcW w:w="5000" w:type="pct"/>
            <w:gridSpan w:val="8"/>
          </w:tcPr>
          <w:p w14:paraId="65CF8176"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lastRenderedPageBreak/>
              <w:t>Objectif 5 : La compréhension et l'atténuation de l’impact des polluants sur l’anguille européenne sont renforcées.</w:t>
            </w:r>
          </w:p>
        </w:tc>
      </w:tr>
      <w:tr w:rsidR="00923B2C" w:rsidRPr="00994604" w14:paraId="4BD8F2F1" w14:textId="77777777" w:rsidTr="007C2ABA">
        <w:trPr>
          <w:trHeight w:val="260"/>
        </w:trPr>
        <w:tc>
          <w:tcPr>
            <w:tcW w:w="837" w:type="pct"/>
            <w:tcBorders>
              <w:top w:val="single" w:sz="4" w:space="0" w:color="auto"/>
              <w:left w:val="single" w:sz="4" w:space="0" w:color="auto"/>
              <w:bottom w:val="single" w:sz="4" w:space="0" w:color="auto"/>
              <w:right w:val="single" w:sz="4" w:space="0" w:color="auto"/>
            </w:tcBorders>
            <w:shd w:val="clear" w:color="auto" w:fill="E8E8E8" w:themeFill="background2"/>
          </w:tcPr>
          <w:p w14:paraId="61CBDD91"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Cs/>
                <w:snapToGrid w:val="0"/>
                <w:sz w:val="20"/>
                <w:szCs w:val="20"/>
                <w:lang w:val="fr-FR"/>
              </w:rPr>
              <w:t>Résultat</w:t>
            </w:r>
          </w:p>
        </w:tc>
        <w:tc>
          <w:tcPr>
            <w:tcW w:w="1757" w:type="pct"/>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64FFEBD3"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623" w:type="pct"/>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4906E9EC"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430" w:type="pct"/>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2948EEA2"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353" w:type="pct"/>
            <w:tcBorders>
              <w:top w:val="single" w:sz="4" w:space="0" w:color="auto"/>
              <w:left w:val="single" w:sz="4" w:space="0" w:color="auto"/>
              <w:bottom w:val="single" w:sz="4" w:space="0" w:color="auto"/>
              <w:right w:val="single" w:sz="4" w:space="0" w:color="auto"/>
            </w:tcBorders>
            <w:shd w:val="clear" w:color="auto" w:fill="E8E8E8" w:themeFill="background2"/>
          </w:tcPr>
          <w:p w14:paraId="6DF785E7"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rsidRPr="00994604" w14:paraId="5B555FF6" w14:textId="77777777" w:rsidTr="00426031">
        <w:trPr>
          <w:trHeight w:val="928"/>
        </w:trPr>
        <w:tc>
          <w:tcPr>
            <w:tcW w:w="837" w:type="pct"/>
            <w:vMerge w:val="restart"/>
          </w:tcPr>
          <w:p w14:paraId="5CECE37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Amélioration de la base de données sur l’impact des polluants sur l’anguille européenne, dans le but d’informer les pratiques de gestion et d’améliorer la qualité des anguilles argentées migrantes.</w:t>
            </w:r>
          </w:p>
        </w:tc>
        <w:tc>
          <w:tcPr>
            <w:tcW w:w="1757" w:type="pct"/>
            <w:gridSpan w:val="2"/>
          </w:tcPr>
          <w:p w14:paraId="06E0076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5.1 Identifier et analyser les impacts des principaux polluants et définir des seuils biologiques correspondants dans les tissus des anguilles à une échelle géographique appropriée, dans la mesure du possible et de manière adaptée, en tenant compte de la persistance de nombreux composés.</w:t>
            </w:r>
          </w:p>
        </w:tc>
        <w:tc>
          <w:tcPr>
            <w:tcW w:w="623" w:type="pct"/>
            <w:gridSpan w:val="2"/>
          </w:tcPr>
          <w:p w14:paraId="5B87ED54"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30" w:type="pct"/>
            <w:gridSpan w:val="2"/>
          </w:tcPr>
          <w:p w14:paraId="08A8883C"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353" w:type="pct"/>
          </w:tcPr>
          <w:p w14:paraId="447F1BAC"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5A65E194" w14:textId="77777777" w:rsidTr="00426031">
        <w:trPr>
          <w:trHeight w:val="557"/>
        </w:trPr>
        <w:tc>
          <w:tcPr>
            <w:tcW w:w="837" w:type="pct"/>
            <w:vMerge/>
          </w:tcPr>
          <w:p w14:paraId="754F4F55" w14:textId="77777777" w:rsidR="00923B2C" w:rsidRDefault="00923B2C">
            <w:pPr>
              <w:widowControl w:val="0"/>
              <w:spacing w:after="0" w:line="240" w:lineRule="auto"/>
              <w:rPr>
                <w:rFonts w:ascii="Arial" w:eastAsia="Times New Roman" w:hAnsi="Arial" w:cs="Arial"/>
                <w:bCs/>
                <w:snapToGrid w:val="0"/>
                <w:sz w:val="20"/>
                <w:szCs w:val="20"/>
                <w:lang w:val="fr-FR"/>
              </w:rPr>
            </w:pPr>
          </w:p>
        </w:tc>
        <w:tc>
          <w:tcPr>
            <w:tcW w:w="1757" w:type="pct"/>
            <w:gridSpan w:val="2"/>
            <w:tcBorders>
              <w:top w:val="single" w:sz="4" w:space="0" w:color="auto"/>
              <w:left w:val="single" w:sz="4" w:space="0" w:color="auto"/>
              <w:bottom w:val="single" w:sz="4" w:space="0" w:color="auto"/>
              <w:right w:val="single" w:sz="4" w:space="0" w:color="auto"/>
            </w:tcBorders>
          </w:tcPr>
          <w:p w14:paraId="7EA37074" w14:textId="77777777" w:rsidR="00923B2C" w:rsidRDefault="009C7B40">
            <w:pPr>
              <w:widowControl w:val="0"/>
              <w:spacing w:after="0" w:line="240" w:lineRule="auto"/>
              <w:rPr>
                <w:rFonts w:ascii="Arial" w:eastAsia="Times New Roman" w:hAnsi="Arial" w:cs="Arial"/>
                <w:bCs/>
                <w:snapToGrid w:val="0"/>
                <w:sz w:val="20"/>
                <w:szCs w:val="20"/>
                <w:lang w:val="fr-FR"/>
              </w:rPr>
            </w:pPr>
            <w:r>
              <w:rPr>
                <w:rFonts w:ascii="Arial" w:eastAsia="Times New Roman" w:hAnsi="Arial" w:cs="Arial"/>
                <w:bCs/>
                <w:snapToGrid w:val="0"/>
                <w:sz w:val="20"/>
                <w:szCs w:val="20"/>
                <w:lang w:val="fr-FR"/>
              </w:rPr>
              <w:t>5.2 Renforcer la gestion de la qualité de l’eau et des sédiments et l’application de la législation</w:t>
            </w:r>
            <w:r>
              <w:rPr>
                <w:rFonts w:ascii="Arial" w:eastAsia="Times New Roman" w:hAnsi="Arial" w:cs="Arial"/>
                <w:snapToGrid w:val="0"/>
                <w:sz w:val="20"/>
                <w:szCs w:val="20"/>
                <w:lang w:val="fr-FR"/>
              </w:rPr>
              <w:t xml:space="preserve"> à une échelle géographique correspondante, de manière à réduire la présence des principaux polluants et leur impact sur les stades de vie de l’anguille européenne à des niveaux nettement inférieurs aux seuils biologiques.</w:t>
            </w:r>
          </w:p>
        </w:tc>
        <w:tc>
          <w:tcPr>
            <w:tcW w:w="623" w:type="pct"/>
            <w:gridSpan w:val="2"/>
            <w:tcBorders>
              <w:top w:val="single" w:sz="4" w:space="0" w:color="auto"/>
              <w:left w:val="single" w:sz="4" w:space="0" w:color="auto"/>
              <w:bottom w:val="single" w:sz="4" w:space="0" w:color="auto"/>
              <w:right w:val="single" w:sz="4" w:space="0" w:color="auto"/>
            </w:tcBorders>
          </w:tcPr>
          <w:p w14:paraId="5F1E06A7"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30" w:type="pct"/>
            <w:gridSpan w:val="2"/>
            <w:tcBorders>
              <w:top w:val="single" w:sz="4" w:space="0" w:color="auto"/>
              <w:left w:val="single" w:sz="4" w:space="0" w:color="auto"/>
              <w:bottom w:val="single" w:sz="4" w:space="0" w:color="auto"/>
              <w:right w:val="single" w:sz="4" w:space="0" w:color="auto"/>
            </w:tcBorders>
          </w:tcPr>
          <w:p w14:paraId="1DF21FE5"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353" w:type="pct"/>
            <w:tcBorders>
              <w:top w:val="single" w:sz="4" w:space="0" w:color="auto"/>
              <w:left w:val="single" w:sz="4" w:space="0" w:color="auto"/>
              <w:bottom w:val="single" w:sz="4" w:space="0" w:color="auto"/>
              <w:right w:val="single" w:sz="4" w:space="0" w:color="auto"/>
            </w:tcBorders>
          </w:tcPr>
          <w:p w14:paraId="6CBE44E4"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254C1843" w14:textId="77777777" w:rsidTr="00426031">
        <w:trPr>
          <w:trHeight w:val="40"/>
        </w:trPr>
        <w:tc>
          <w:tcPr>
            <w:tcW w:w="837" w:type="pct"/>
            <w:vMerge/>
          </w:tcPr>
          <w:p w14:paraId="118BC342"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757" w:type="pct"/>
            <w:gridSpan w:val="2"/>
            <w:tcBorders>
              <w:top w:val="single" w:sz="4" w:space="0" w:color="auto"/>
              <w:left w:val="single" w:sz="4" w:space="0" w:color="auto"/>
              <w:bottom w:val="single" w:sz="4" w:space="0" w:color="auto"/>
              <w:right w:val="single" w:sz="4" w:space="0" w:color="auto"/>
            </w:tcBorders>
          </w:tcPr>
          <w:p w14:paraId="39CE824F" w14:textId="77777777" w:rsidR="00923B2C" w:rsidRDefault="009C7B40">
            <w:pPr>
              <w:widowControl w:val="0"/>
              <w:spacing w:after="0" w:line="240" w:lineRule="auto"/>
              <w:rPr>
                <w:rFonts w:ascii="Arial" w:eastAsia="Arial" w:hAnsi="Arial" w:cs="Arial"/>
                <w:snapToGrid w:val="0"/>
                <w:sz w:val="20"/>
                <w:szCs w:val="20"/>
                <w:lang w:val="fr-FR"/>
              </w:rPr>
            </w:pPr>
            <w:r>
              <w:rPr>
                <w:rFonts w:ascii="Arial" w:eastAsia="Times New Roman" w:hAnsi="Arial" w:cs="Arial"/>
                <w:sz w:val="20"/>
                <w:szCs w:val="20"/>
                <w:lang w:val="fr-FR"/>
              </w:rPr>
              <w:t>5</w:t>
            </w:r>
            <w:r>
              <w:rPr>
                <w:rFonts w:ascii="Arial" w:eastAsia="Times New Roman" w:hAnsi="Arial" w:cs="Arial"/>
                <w:snapToGrid w:val="0"/>
                <w:sz w:val="20"/>
                <w:szCs w:val="20"/>
                <w:lang w:val="fr-FR"/>
              </w:rPr>
              <w:t>.3 Coordonner les efforts visant à améliorer la qualité de l’eau et des sédiments dans l’ensemble de l’aire de répartition de l’espèce, notamment dans le contexte des masses d’eau transfrontalières.</w:t>
            </w:r>
          </w:p>
        </w:tc>
        <w:tc>
          <w:tcPr>
            <w:tcW w:w="623" w:type="pct"/>
            <w:gridSpan w:val="2"/>
            <w:tcBorders>
              <w:top w:val="single" w:sz="4" w:space="0" w:color="auto"/>
              <w:left w:val="single" w:sz="4" w:space="0" w:color="auto"/>
              <w:bottom w:val="single" w:sz="4" w:space="0" w:color="auto"/>
              <w:right w:val="single" w:sz="4" w:space="0" w:color="auto"/>
            </w:tcBorders>
          </w:tcPr>
          <w:p w14:paraId="4269E78B"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30" w:type="pct"/>
            <w:gridSpan w:val="2"/>
            <w:tcBorders>
              <w:top w:val="single" w:sz="4" w:space="0" w:color="auto"/>
              <w:left w:val="single" w:sz="4" w:space="0" w:color="auto"/>
              <w:bottom w:val="single" w:sz="4" w:space="0" w:color="auto"/>
              <w:right w:val="single" w:sz="4" w:space="0" w:color="auto"/>
            </w:tcBorders>
          </w:tcPr>
          <w:p w14:paraId="73E486F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353" w:type="pct"/>
            <w:tcBorders>
              <w:top w:val="single" w:sz="4" w:space="0" w:color="auto"/>
              <w:left w:val="single" w:sz="4" w:space="0" w:color="auto"/>
              <w:bottom w:val="single" w:sz="4" w:space="0" w:color="auto"/>
              <w:right w:val="single" w:sz="4" w:space="0" w:color="auto"/>
            </w:tcBorders>
          </w:tcPr>
          <w:p w14:paraId="211B099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188EE767" w14:textId="77777777" w:rsidTr="00426031">
        <w:trPr>
          <w:trHeight w:val="416"/>
        </w:trPr>
        <w:tc>
          <w:tcPr>
            <w:tcW w:w="837" w:type="pct"/>
          </w:tcPr>
          <w:p w14:paraId="734B8878"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757" w:type="pct"/>
            <w:gridSpan w:val="2"/>
            <w:tcBorders>
              <w:top w:val="single" w:sz="4" w:space="0" w:color="auto"/>
              <w:left w:val="single" w:sz="4" w:space="0" w:color="auto"/>
              <w:bottom w:val="single" w:sz="4" w:space="0" w:color="auto"/>
              <w:right w:val="single" w:sz="4" w:space="0" w:color="auto"/>
            </w:tcBorders>
          </w:tcPr>
          <w:p w14:paraId="33BF6466" w14:textId="77777777" w:rsidR="00923B2C" w:rsidRDefault="009C7B40">
            <w:pPr>
              <w:widowControl w:val="0"/>
              <w:spacing w:after="0" w:line="240" w:lineRule="auto"/>
              <w:rPr>
                <w:rFonts w:ascii="Arial" w:eastAsia="Times New Roman" w:hAnsi="Arial" w:cs="Arial"/>
                <w:sz w:val="20"/>
                <w:szCs w:val="20"/>
                <w:lang w:val="fr-FR"/>
              </w:rPr>
            </w:pPr>
            <w:r>
              <w:rPr>
                <w:rFonts w:ascii="Arial" w:eastAsia="Arial" w:hAnsi="Arial" w:cs="Arial"/>
                <w:sz w:val="20"/>
                <w:szCs w:val="20"/>
                <w:lang w:val="fr-FR"/>
              </w:rPr>
              <w:t>5.4 Réduire la mortalité associée à la pollution en concordance avec les conseils scientifiques concernés.</w:t>
            </w:r>
          </w:p>
        </w:tc>
        <w:tc>
          <w:tcPr>
            <w:tcW w:w="623" w:type="pct"/>
            <w:gridSpan w:val="2"/>
            <w:tcBorders>
              <w:top w:val="single" w:sz="4" w:space="0" w:color="auto"/>
              <w:left w:val="single" w:sz="4" w:space="0" w:color="auto"/>
              <w:bottom w:val="single" w:sz="4" w:space="0" w:color="auto"/>
              <w:right w:val="single" w:sz="4" w:space="0" w:color="auto"/>
            </w:tcBorders>
          </w:tcPr>
          <w:p w14:paraId="507B59D2"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430" w:type="pct"/>
            <w:gridSpan w:val="2"/>
            <w:tcBorders>
              <w:top w:val="single" w:sz="4" w:space="0" w:color="auto"/>
              <w:left w:val="single" w:sz="4" w:space="0" w:color="auto"/>
              <w:bottom w:val="single" w:sz="4" w:space="0" w:color="auto"/>
              <w:right w:val="single" w:sz="4" w:space="0" w:color="auto"/>
            </w:tcBorders>
          </w:tcPr>
          <w:p w14:paraId="2731B30B"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353" w:type="pct"/>
            <w:tcBorders>
              <w:top w:val="single" w:sz="4" w:space="0" w:color="auto"/>
              <w:left w:val="single" w:sz="4" w:space="0" w:color="auto"/>
              <w:bottom w:val="single" w:sz="4" w:space="0" w:color="auto"/>
              <w:right w:val="single" w:sz="4" w:space="0" w:color="auto"/>
            </w:tcBorders>
          </w:tcPr>
          <w:p w14:paraId="38AE7A1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bl>
    <w:p w14:paraId="44A1CB4F" w14:textId="1FC98D2E" w:rsidR="00923B2C" w:rsidRDefault="009C7B40">
      <w:pPr>
        <w:widowControl w:val="0"/>
        <w:spacing w:after="0" w:line="240" w:lineRule="auto"/>
        <w:rPr>
          <w:rFonts w:ascii="Arial" w:eastAsia="Times New Roman" w:hAnsi="Arial" w:cs="Arial"/>
          <w:snapToGrid w:val="0"/>
          <w:sz w:val="24"/>
          <w:szCs w:val="20"/>
          <w:lang w:val="fr-FR"/>
        </w:rPr>
      </w:pPr>
      <w:r>
        <w:rPr>
          <w:rFonts w:ascii="Arial" w:eastAsia="Times New Roman" w:hAnsi="Arial" w:cs="Arial"/>
          <w:snapToGrid w:val="0"/>
          <w:sz w:val="24"/>
          <w:szCs w:val="20"/>
          <w:lang w:val="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4980"/>
        <w:gridCol w:w="1355"/>
        <w:gridCol w:w="1491"/>
        <w:gridCol w:w="3974"/>
      </w:tblGrid>
      <w:tr w:rsidR="00923B2C" w:rsidRPr="00994604" w14:paraId="697F8306" w14:textId="77777777">
        <w:tc>
          <w:tcPr>
            <w:tcW w:w="5000" w:type="pct"/>
            <w:gridSpan w:val="5"/>
          </w:tcPr>
          <w:p w14:paraId="0E0178AF" w14:textId="77777777" w:rsidR="00923B2C" w:rsidRDefault="009C7B40">
            <w:pPr>
              <w:widowControl w:val="0"/>
              <w:spacing w:after="0" w:line="240" w:lineRule="auto"/>
              <w:rPr>
                <w:rFonts w:ascii="Arial" w:hAnsi="Arial" w:cs="Arial"/>
                <w:b/>
                <w:bCs/>
                <w:sz w:val="20"/>
                <w:szCs w:val="20"/>
                <w:lang w:val="fr-FR"/>
              </w:rPr>
            </w:pPr>
            <w:r>
              <w:rPr>
                <w:rFonts w:ascii="Arial" w:hAnsi="Arial" w:cs="Arial"/>
                <w:b/>
                <w:bCs/>
                <w:sz w:val="20"/>
                <w:szCs w:val="20"/>
                <w:lang w:val="fr-FR"/>
              </w:rPr>
              <w:lastRenderedPageBreak/>
              <w:t xml:space="preserve">Objectif 6 : La compréhension et la réduction de l’impact du </w:t>
            </w:r>
            <w:bookmarkStart w:id="32" w:name="_Hlk212466092"/>
            <w:r>
              <w:rPr>
                <w:rFonts w:ascii="Arial" w:hAnsi="Arial" w:cs="Arial"/>
                <w:b/>
                <w:bCs/>
                <w:sz w:val="20"/>
                <w:szCs w:val="20"/>
                <w:lang w:val="fr-FR"/>
              </w:rPr>
              <w:t xml:space="preserve">parasite </w:t>
            </w:r>
            <w:proofErr w:type="spellStart"/>
            <w:r>
              <w:rPr>
                <w:rFonts w:ascii="Arial" w:hAnsi="Arial" w:cs="Arial"/>
                <w:b/>
                <w:bCs/>
                <w:i/>
                <w:iCs/>
                <w:sz w:val="20"/>
                <w:szCs w:val="20"/>
                <w:lang w:val="fr-FR"/>
              </w:rPr>
              <w:t>Anguillicola</w:t>
            </w:r>
            <w:proofErr w:type="spellEnd"/>
            <w:r>
              <w:rPr>
                <w:rFonts w:ascii="Arial" w:hAnsi="Arial" w:cs="Arial"/>
                <w:b/>
                <w:bCs/>
                <w:i/>
                <w:iCs/>
                <w:sz w:val="20"/>
                <w:szCs w:val="20"/>
                <w:lang w:val="fr-FR"/>
              </w:rPr>
              <w:t xml:space="preserve"> </w:t>
            </w:r>
            <w:proofErr w:type="spellStart"/>
            <w:r>
              <w:rPr>
                <w:rFonts w:ascii="Arial" w:hAnsi="Arial" w:cs="Arial"/>
                <w:b/>
                <w:bCs/>
                <w:i/>
                <w:iCs/>
                <w:sz w:val="20"/>
                <w:szCs w:val="20"/>
                <w:lang w:val="fr-FR"/>
              </w:rPr>
              <w:t>crassus</w:t>
            </w:r>
            <w:proofErr w:type="spellEnd"/>
            <w:r>
              <w:rPr>
                <w:rFonts w:ascii="Arial" w:hAnsi="Arial" w:cs="Arial"/>
                <w:b/>
                <w:bCs/>
                <w:sz w:val="20"/>
                <w:szCs w:val="20"/>
                <w:lang w:val="fr-FR"/>
              </w:rPr>
              <w:t xml:space="preserve"> et d’autres maladies sur l’anguille européenne </w:t>
            </w:r>
            <w:bookmarkEnd w:id="32"/>
            <w:r>
              <w:rPr>
                <w:rFonts w:ascii="Arial" w:hAnsi="Arial" w:cs="Arial"/>
                <w:b/>
                <w:bCs/>
                <w:sz w:val="20"/>
                <w:szCs w:val="20"/>
                <w:lang w:val="fr-FR"/>
              </w:rPr>
              <w:t>sont améliorées.</w:t>
            </w:r>
          </w:p>
        </w:tc>
      </w:tr>
      <w:tr w:rsidR="00923B2C" w:rsidRPr="00994604" w14:paraId="15F25259" w14:textId="77777777" w:rsidTr="007C2ABA">
        <w:tc>
          <w:tcPr>
            <w:tcW w:w="837" w:type="pct"/>
            <w:tcBorders>
              <w:top w:val="single" w:sz="4" w:space="0" w:color="auto"/>
              <w:left w:val="single" w:sz="4" w:space="0" w:color="auto"/>
              <w:bottom w:val="single" w:sz="4" w:space="0" w:color="auto"/>
              <w:right w:val="single" w:sz="4" w:space="0" w:color="auto"/>
            </w:tcBorders>
            <w:shd w:val="clear" w:color="auto" w:fill="E8E8E8" w:themeFill="background2"/>
          </w:tcPr>
          <w:p w14:paraId="5BD278E3" w14:textId="77777777" w:rsidR="00923B2C" w:rsidRPr="004F4017" w:rsidRDefault="009C7B40">
            <w:pPr>
              <w:widowControl w:val="0"/>
              <w:spacing w:after="0" w:line="240" w:lineRule="auto"/>
              <w:rPr>
                <w:rFonts w:ascii="Arial" w:eastAsia="Times New Roman" w:hAnsi="Arial" w:cs="Arial"/>
                <w:b/>
                <w:bCs/>
                <w:i/>
                <w:snapToGrid w:val="0"/>
                <w:sz w:val="20"/>
                <w:szCs w:val="20"/>
                <w:lang w:val="fr-FR"/>
              </w:rPr>
            </w:pPr>
            <w:r w:rsidRPr="004F4017">
              <w:rPr>
                <w:rFonts w:ascii="Arial" w:hAnsi="Arial" w:cs="Arial"/>
                <w:b/>
                <w:bCs/>
                <w:sz w:val="20"/>
                <w:szCs w:val="20"/>
                <w:lang w:val="fr-FR"/>
              </w:rPr>
              <w:t>Résultat</w:t>
            </w:r>
          </w:p>
        </w:tc>
        <w:tc>
          <w:tcPr>
            <w:tcW w:w="1757" w:type="pct"/>
            <w:tcBorders>
              <w:top w:val="single" w:sz="4" w:space="0" w:color="auto"/>
              <w:left w:val="single" w:sz="4" w:space="0" w:color="auto"/>
              <w:bottom w:val="single" w:sz="4" w:space="0" w:color="auto"/>
              <w:right w:val="single" w:sz="4" w:space="0" w:color="auto"/>
            </w:tcBorders>
            <w:shd w:val="clear" w:color="auto" w:fill="E8E8E8" w:themeFill="background2"/>
          </w:tcPr>
          <w:p w14:paraId="34747209" w14:textId="77777777" w:rsidR="00923B2C" w:rsidRDefault="009C7B40">
            <w:pPr>
              <w:widowControl w:val="0"/>
              <w:spacing w:after="0" w:line="240" w:lineRule="auto"/>
              <w:rPr>
                <w:rFonts w:ascii="Arial" w:eastAsia="Times New Roman" w:hAnsi="Arial" w:cs="Arial"/>
                <w:b/>
                <w:bCs/>
                <w:i/>
                <w:snapToGrid w:val="0"/>
                <w:sz w:val="20"/>
                <w:szCs w:val="20"/>
              </w:rPr>
            </w:pPr>
            <w:r>
              <w:rPr>
                <w:rFonts w:ascii="Arial" w:hAnsi="Arial" w:cs="Arial"/>
                <w:b/>
                <w:bCs/>
                <w:sz w:val="20"/>
                <w:szCs w:val="20"/>
              </w:rPr>
              <w:t>Action</w:t>
            </w:r>
          </w:p>
        </w:tc>
        <w:tc>
          <w:tcPr>
            <w:tcW w:w="478" w:type="pct"/>
            <w:tcBorders>
              <w:top w:val="single" w:sz="4" w:space="0" w:color="auto"/>
              <w:left w:val="single" w:sz="4" w:space="0" w:color="auto"/>
              <w:bottom w:val="single" w:sz="4" w:space="0" w:color="auto"/>
              <w:right w:val="single" w:sz="4" w:space="0" w:color="auto"/>
            </w:tcBorders>
            <w:shd w:val="clear" w:color="auto" w:fill="E8E8E8" w:themeFill="background2"/>
          </w:tcPr>
          <w:p w14:paraId="72478760" w14:textId="77777777" w:rsidR="00923B2C" w:rsidRDefault="009C7B40">
            <w:pPr>
              <w:widowControl w:val="0"/>
              <w:spacing w:after="0" w:line="240" w:lineRule="auto"/>
              <w:rPr>
                <w:rFonts w:ascii="Arial" w:eastAsia="Times New Roman" w:hAnsi="Arial" w:cs="Arial"/>
                <w:b/>
                <w:bCs/>
                <w:i/>
                <w:snapToGrid w:val="0"/>
                <w:sz w:val="20"/>
                <w:szCs w:val="20"/>
                <w:lang w:val="fr-FR"/>
              </w:rPr>
            </w:pPr>
            <w:r>
              <w:rPr>
                <w:rFonts w:ascii="Arial" w:hAnsi="Arial" w:cs="Arial"/>
                <w:b/>
                <w:bCs/>
                <w:sz w:val="20"/>
                <w:szCs w:val="20"/>
                <w:lang w:val="fr-FR"/>
              </w:rPr>
              <w:t>Priorité</w:t>
            </w:r>
          </w:p>
        </w:tc>
        <w:tc>
          <w:tcPr>
            <w:tcW w:w="526" w:type="pct"/>
            <w:tcBorders>
              <w:top w:val="single" w:sz="4" w:space="0" w:color="auto"/>
              <w:left w:val="single" w:sz="4" w:space="0" w:color="auto"/>
              <w:bottom w:val="single" w:sz="4" w:space="0" w:color="auto"/>
              <w:right w:val="single" w:sz="4" w:space="0" w:color="auto"/>
            </w:tcBorders>
            <w:shd w:val="clear" w:color="auto" w:fill="E8E8E8" w:themeFill="background2"/>
          </w:tcPr>
          <w:p w14:paraId="3D217259" w14:textId="77777777" w:rsidR="00923B2C" w:rsidRDefault="009C7B40">
            <w:pPr>
              <w:widowControl w:val="0"/>
              <w:spacing w:after="0" w:line="240" w:lineRule="auto"/>
              <w:rPr>
                <w:rFonts w:ascii="Arial" w:eastAsia="Times New Roman" w:hAnsi="Arial" w:cs="Arial"/>
                <w:b/>
                <w:bCs/>
                <w:i/>
                <w:snapToGrid w:val="0"/>
                <w:sz w:val="20"/>
                <w:szCs w:val="20"/>
                <w:lang w:val="fr-FR"/>
              </w:rPr>
            </w:pPr>
            <w:r>
              <w:rPr>
                <w:rFonts w:ascii="Arial" w:hAnsi="Arial" w:cs="Arial"/>
                <w:b/>
                <w:bCs/>
                <w:sz w:val="20"/>
                <w:szCs w:val="20"/>
                <w:lang w:val="fr-FR"/>
              </w:rPr>
              <w:t>Délai</w:t>
            </w:r>
          </w:p>
        </w:tc>
        <w:tc>
          <w:tcPr>
            <w:tcW w:w="1401" w:type="pct"/>
            <w:tcBorders>
              <w:top w:val="single" w:sz="4" w:space="0" w:color="auto"/>
              <w:left w:val="single" w:sz="4" w:space="0" w:color="auto"/>
              <w:bottom w:val="single" w:sz="4" w:space="0" w:color="auto"/>
              <w:right w:val="single" w:sz="4" w:space="0" w:color="auto"/>
            </w:tcBorders>
            <w:shd w:val="clear" w:color="auto" w:fill="E8E8E8" w:themeFill="background2"/>
          </w:tcPr>
          <w:p w14:paraId="472C9F91" w14:textId="77777777" w:rsidR="00923B2C" w:rsidRDefault="009C7B40">
            <w:pPr>
              <w:widowControl w:val="0"/>
              <w:spacing w:after="0" w:line="240" w:lineRule="auto"/>
              <w:rPr>
                <w:rFonts w:ascii="Arial" w:eastAsia="Times New Roman" w:hAnsi="Arial" w:cs="Arial"/>
                <w:b/>
                <w:bCs/>
                <w:i/>
                <w:snapToGrid w:val="0"/>
                <w:sz w:val="20"/>
                <w:szCs w:val="20"/>
                <w:lang w:val="fr-FR"/>
              </w:rPr>
            </w:pPr>
            <w:r>
              <w:rPr>
                <w:rFonts w:ascii="Arial" w:hAnsi="Arial" w:cs="Arial"/>
                <w:b/>
                <w:bCs/>
                <w:sz w:val="20"/>
                <w:szCs w:val="20"/>
                <w:lang w:val="fr-FR"/>
              </w:rPr>
              <w:t xml:space="preserve">États de l'aire de répartition, </w:t>
            </w:r>
            <w:r>
              <w:rPr>
                <w:rFonts w:ascii="Arial" w:eastAsia="Times New Roman" w:hAnsi="Arial" w:cs="Arial"/>
                <w:b/>
                <w:i/>
                <w:snapToGrid w:val="0"/>
                <w:sz w:val="20"/>
                <w:szCs w:val="20"/>
                <w:lang w:val="fr-FR"/>
              </w:rPr>
              <w:t>organisations et parties prenantes responsables</w:t>
            </w:r>
          </w:p>
        </w:tc>
      </w:tr>
      <w:tr w:rsidR="00923B2C" w:rsidRPr="00994604" w14:paraId="1A997B8B" w14:textId="77777777">
        <w:trPr>
          <w:trHeight w:val="274"/>
        </w:trPr>
        <w:tc>
          <w:tcPr>
            <w:tcW w:w="837" w:type="pct"/>
            <w:vMerge w:val="restart"/>
          </w:tcPr>
          <w:p w14:paraId="0C4DDD8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hAnsi="Arial" w:cs="Arial"/>
                <w:sz w:val="20"/>
                <w:szCs w:val="20"/>
                <w:lang w:val="fr-FR"/>
              </w:rPr>
              <w:t xml:space="preserve">Une meilleure compréhension de l’ampleur de l’impact de </w:t>
            </w:r>
            <w:proofErr w:type="spellStart"/>
            <w:r>
              <w:rPr>
                <w:rFonts w:ascii="Arial" w:hAnsi="Arial" w:cs="Arial"/>
                <w:i/>
                <w:iCs/>
                <w:sz w:val="20"/>
                <w:szCs w:val="20"/>
                <w:lang w:val="fr-FR"/>
              </w:rPr>
              <w:t>Anguillicola</w:t>
            </w:r>
            <w:proofErr w:type="spellEnd"/>
            <w:r>
              <w:rPr>
                <w:rFonts w:ascii="Arial" w:hAnsi="Arial" w:cs="Arial"/>
                <w:i/>
                <w:iCs/>
                <w:sz w:val="20"/>
                <w:szCs w:val="20"/>
                <w:lang w:val="fr-FR"/>
              </w:rPr>
              <w:t xml:space="preserve"> </w:t>
            </w:r>
            <w:proofErr w:type="spellStart"/>
            <w:r>
              <w:rPr>
                <w:rFonts w:ascii="Arial" w:hAnsi="Arial" w:cs="Arial"/>
                <w:i/>
                <w:iCs/>
                <w:sz w:val="20"/>
                <w:szCs w:val="20"/>
                <w:lang w:val="fr-FR"/>
              </w:rPr>
              <w:t>crassus</w:t>
            </w:r>
            <w:proofErr w:type="spellEnd"/>
            <w:r>
              <w:rPr>
                <w:rFonts w:ascii="Arial" w:hAnsi="Arial" w:cs="Arial"/>
                <w:sz w:val="20"/>
                <w:szCs w:val="20"/>
                <w:lang w:val="fr-FR"/>
              </w:rPr>
              <w:t xml:space="preserve"> et d’autres maladies ou parasites informe les actions de gestion visant à réduire les impacts.</w:t>
            </w:r>
          </w:p>
          <w:p w14:paraId="22392D10"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757" w:type="pct"/>
          </w:tcPr>
          <w:p w14:paraId="0682733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hAnsi="Arial" w:cs="Arial"/>
                <w:sz w:val="20"/>
                <w:szCs w:val="20"/>
                <w:lang w:val="fr-FR"/>
              </w:rPr>
              <w:t xml:space="preserve">6.1 Quantifier, dans le contexte d’autres menaces, l’impact sublétal de </w:t>
            </w:r>
            <w:r>
              <w:rPr>
                <w:rFonts w:ascii="Arial" w:hAnsi="Arial" w:cs="Arial"/>
                <w:i/>
                <w:iCs/>
                <w:sz w:val="20"/>
                <w:szCs w:val="20"/>
                <w:lang w:val="fr-FR"/>
              </w:rPr>
              <w:t xml:space="preserve">A. </w:t>
            </w:r>
            <w:proofErr w:type="spellStart"/>
            <w:r>
              <w:rPr>
                <w:rFonts w:ascii="Arial" w:hAnsi="Arial" w:cs="Arial"/>
                <w:i/>
                <w:iCs/>
                <w:sz w:val="20"/>
                <w:szCs w:val="20"/>
                <w:lang w:val="fr-FR"/>
              </w:rPr>
              <w:t>crassus</w:t>
            </w:r>
            <w:proofErr w:type="spellEnd"/>
            <w:r>
              <w:rPr>
                <w:rFonts w:ascii="Arial" w:hAnsi="Arial" w:cs="Arial"/>
                <w:sz w:val="20"/>
                <w:szCs w:val="20"/>
                <w:lang w:val="fr-FR"/>
              </w:rPr>
              <w:t xml:space="preserve"> sur les paramètres clés – par exemple, l’argenture, l’état des anguilles argentées, la performance de nage, la tolérance à la pression, la fonction de la vessie natatoire, la fécondité.</w:t>
            </w:r>
          </w:p>
        </w:tc>
        <w:tc>
          <w:tcPr>
            <w:tcW w:w="478" w:type="pct"/>
          </w:tcPr>
          <w:p w14:paraId="5589D100"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6" w:type="pct"/>
          </w:tcPr>
          <w:p w14:paraId="2323E1A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401" w:type="pct"/>
          </w:tcPr>
          <w:p w14:paraId="3295097B"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72F89569" w14:textId="77777777">
        <w:tc>
          <w:tcPr>
            <w:tcW w:w="837" w:type="pct"/>
            <w:vMerge/>
            <w:tcBorders>
              <w:bottom w:val="single" w:sz="4" w:space="0" w:color="auto"/>
            </w:tcBorders>
          </w:tcPr>
          <w:p w14:paraId="0D253E65"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757" w:type="pct"/>
          </w:tcPr>
          <w:p w14:paraId="68D75353"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hAnsi="Arial" w:cs="Arial"/>
                <w:sz w:val="20"/>
                <w:szCs w:val="20"/>
                <w:lang w:val="fr-FR"/>
              </w:rPr>
              <w:t>6.2 Améliorer la compréhension de l’ampleur de l’impact des maladies virales et bactériennes sur l’anguille européenne dans l’ensemble de son aire de répartition.</w:t>
            </w:r>
          </w:p>
        </w:tc>
        <w:tc>
          <w:tcPr>
            <w:tcW w:w="478" w:type="pct"/>
          </w:tcPr>
          <w:p w14:paraId="27A47E8E"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6" w:type="pct"/>
          </w:tcPr>
          <w:p w14:paraId="6C97DA8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401" w:type="pct"/>
          </w:tcPr>
          <w:p w14:paraId="18A7A884"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31BD11CD" w14:textId="77777777">
        <w:tc>
          <w:tcPr>
            <w:tcW w:w="837" w:type="pct"/>
            <w:tcBorders>
              <w:top w:val="single" w:sz="4" w:space="0" w:color="auto"/>
              <w:bottom w:val="single" w:sz="8" w:space="0" w:color="auto"/>
            </w:tcBorders>
          </w:tcPr>
          <w:p w14:paraId="4588C598"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57" w:type="pct"/>
          </w:tcPr>
          <w:p w14:paraId="2B113A27"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hAnsi="Arial" w:cs="Arial"/>
                <w:sz w:val="20"/>
                <w:szCs w:val="20"/>
                <w:lang w:val="fr-FR"/>
              </w:rPr>
              <w:t>6.3 Améliorer la compréhension du rôle que jouent les activités d’aquaculture et de repeuplement dans la propagation des parasites et des maladies, en vue de mettre au point des mesures d’atténuation appropriées.</w:t>
            </w:r>
          </w:p>
        </w:tc>
        <w:tc>
          <w:tcPr>
            <w:tcW w:w="478" w:type="pct"/>
          </w:tcPr>
          <w:p w14:paraId="4EF0AD27"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6" w:type="pct"/>
          </w:tcPr>
          <w:p w14:paraId="022F99D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401" w:type="pct"/>
          </w:tcPr>
          <w:p w14:paraId="772DC3C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2768D902" w14:textId="77777777">
        <w:tc>
          <w:tcPr>
            <w:tcW w:w="837" w:type="pct"/>
            <w:tcBorders>
              <w:top w:val="single" w:sz="8" w:space="0" w:color="auto"/>
              <w:left w:val="single" w:sz="4" w:space="0" w:color="auto"/>
              <w:bottom w:val="nil"/>
              <w:right w:val="single" w:sz="4" w:space="0" w:color="auto"/>
            </w:tcBorders>
          </w:tcPr>
          <w:p w14:paraId="3D60A1CA"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57" w:type="pct"/>
            <w:tcBorders>
              <w:top w:val="single" w:sz="4" w:space="0" w:color="auto"/>
              <w:left w:val="single" w:sz="4" w:space="0" w:color="auto"/>
              <w:bottom w:val="single" w:sz="4" w:space="0" w:color="auto"/>
              <w:right w:val="single" w:sz="4" w:space="0" w:color="auto"/>
            </w:tcBorders>
          </w:tcPr>
          <w:p w14:paraId="3F2BA4B0" w14:textId="77777777" w:rsidR="00923B2C" w:rsidRDefault="009C7B40">
            <w:pPr>
              <w:widowControl w:val="0"/>
              <w:spacing w:after="0" w:line="240" w:lineRule="auto"/>
              <w:rPr>
                <w:rFonts w:ascii="Arial" w:hAnsi="Arial" w:cs="Arial"/>
                <w:sz w:val="20"/>
                <w:szCs w:val="20"/>
                <w:lang w:val="fr-FR"/>
              </w:rPr>
            </w:pPr>
            <w:r>
              <w:rPr>
                <w:rFonts w:ascii="Arial" w:hAnsi="Arial" w:cs="Arial"/>
                <w:sz w:val="20"/>
                <w:szCs w:val="20"/>
                <w:lang w:val="fr-FR"/>
              </w:rPr>
              <w:t>6.4 Élaborer ou appliquer les lignes directrices existantes en matière de biosécurité afin d’empêcher la propagation de parasites et de maladies lors du transport et de la remise en liberté des anguilles.</w:t>
            </w:r>
          </w:p>
        </w:tc>
        <w:tc>
          <w:tcPr>
            <w:tcW w:w="478" w:type="pct"/>
            <w:tcBorders>
              <w:top w:val="single" w:sz="4" w:space="0" w:color="auto"/>
              <w:left w:val="single" w:sz="4" w:space="0" w:color="auto"/>
              <w:bottom w:val="single" w:sz="4" w:space="0" w:color="auto"/>
              <w:right w:val="single" w:sz="4" w:space="0" w:color="auto"/>
            </w:tcBorders>
          </w:tcPr>
          <w:p w14:paraId="0859D9C5"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6" w:type="pct"/>
            <w:tcBorders>
              <w:top w:val="single" w:sz="4" w:space="0" w:color="auto"/>
              <w:left w:val="single" w:sz="4" w:space="0" w:color="auto"/>
              <w:bottom w:val="single" w:sz="4" w:space="0" w:color="auto"/>
              <w:right w:val="single" w:sz="4" w:space="0" w:color="auto"/>
            </w:tcBorders>
          </w:tcPr>
          <w:p w14:paraId="7A040845"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Court terme</w:t>
            </w:r>
          </w:p>
        </w:tc>
        <w:tc>
          <w:tcPr>
            <w:tcW w:w="1401" w:type="pct"/>
            <w:tcBorders>
              <w:top w:val="single" w:sz="4" w:space="0" w:color="auto"/>
              <w:left w:val="single" w:sz="4" w:space="0" w:color="auto"/>
              <w:bottom w:val="single" w:sz="4" w:space="0" w:color="auto"/>
              <w:right w:val="single" w:sz="4" w:space="0" w:color="auto"/>
            </w:tcBorders>
          </w:tcPr>
          <w:p w14:paraId="07BE37A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77B3D357" w14:textId="77777777">
        <w:tc>
          <w:tcPr>
            <w:tcW w:w="837" w:type="pct"/>
            <w:tcBorders>
              <w:top w:val="nil"/>
              <w:left w:val="single" w:sz="4" w:space="0" w:color="auto"/>
              <w:bottom w:val="nil"/>
              <w:right w:val="single" w:sz="4" w:space="0" w:color="auto"/>
            </w:tcBorders>
          </w:tcPr>
          <w:p w14:paraId="7C59DA12"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57" w:type="pct"/>
            <w:tcBorders>
              <w:top w:val="single" w:sz="4" w:space="0" w:color="auto"/>
              <w:left w:val="single" w:sz="4" w:space="0" w:color="auto"/>
              <w:bottom w:val="single" w:sz="4" w:space="0" w:color="auto"/>
              <w:right w:val="single" w:sz="4" w:space="0" w:color="auto"/>
            </w:tcBorders>
          </w:tcPr>
          <w:p w14:paraId="1E0FD529" w14:textId="77777777" w:rsidR="00923B2C" w:rsidRDefault="009C7B40">
            <w:pPr>
              <w:widowControl w:val="0"/>
              <w:spacing w:after="0" w:line="240" w:lineRule="auto"/>
              <w:rPr>
                <w:rFonts w:ascii="Arial" w:hAnsi="Arial" w:cs="Arial"/>
                <w:sz w:val="20"/>
                <w:szCs w:val="20"/>
                <w:lang w:val="fr-FR"/>
              </w:rPr>
            </w:pPr>
            <w:r>
              <w:rPr>
                <w:rFonts w:ascii="Arial" w:hAnsi="Arial" w:cs="Arial"/>
                <w:sz w:val="20"/>
                <w:szCs w:val="20"/>
                <w:lang w:val="fr-FR"/>
              </w:rPr>
              <w:t>6.5 Entreprendre d’autres activités pour réduire la propagation des parasites et autres maladies et leurs impacts sur la population d’anguilles.</w:t>
            </w:r>
          </w:p>
        </w:tc>
        <w:tc>
          <w:tcPr>
            <w:tcW w:w="478" w:type="pct"/>
            <w:tcBorders>
              <w:top w:val="single" w:sz="4" w:space="0" w:color="auto"/>
              <w:left w:val="single" w:sz="4" w:space="0" w:color="auto"/>
              <w:bottom w:val="single" w:sz="4" w:space="0" w:color="auto"/>
              <w:right w:val="single" w:sz="4" w:space="0" w:color="auto"/>
            </w:tcBorders>
          </w:tcPr>
          <w:p w14:paraId="607139AB"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6" w:type="pct"/>
            <w:tcBorders>
              <w:top w:val="single" w:sz="4" w:space="0" w:color="auto"/>
              <w:left w:val="single" w:sz="4" w:space="0" w:color="auto"/>
              <w:bottom w:val="single" w:sz="4" w:space="0" w:color="auto"/>
              <w:right w:val="single" w:sz="4" w:space="0" w:color="auto"/>
            </w:tcBorders>
          </w:tcPr>
          <w:p w14:paraId="72BE42AA"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Court terme</w:t>
            </w:r>
          </w:p>
        </w:tc>
        <w:tc>
          <w:tcPr>
            <w:tcW w:w="1401" w:type="pct"/>
            <w:tcBorders>
              <w:top w:val="single" w:sz="4" w:space="0" w:color="auto"/>
              <w:left w:val="single" w:sz="4" w:space="0" w:color="auto"/>
              <w:bottom w:val="single" w:sz="4" w:space="0" w:color="auto"/>
              <w:right w:val="single" w:sz="4" w:space="0" w:color="auto"/>
            </w:tcBorders>
          </w:tcPr>
          <w:p w14:paraId="08106308"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r w:rsidR="00923B2C" w:rsidRPr="00994604" w14:paraId="0BDD85E7" w14:textId="77777777">
        <w:tc>
          <w:tcPr>
            <w:tcW w:w="837" w:type="pct"/>
            <w:tcBorders>
              <w:top w:val="nil"/>
              <w:left w:val="single" w:sz="4" w:space="0" w:color="auto"/>
              <w:bottom w:val="single" w:sz="8" w:space="0" w:color="auto"/>
              <w:right w:val="single" w:sz="4" w:space="0" w:color="auto"/>
            </w:tcBorders>
          </w:tcPr>
          <w:p w14:paraId="48BF9B9A"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757" w:type="pct"/>
            <w:tcBorders>
              <w:top w:val="single" w:sz="4" w:space="0" w:color="auto"/>
              <w:left w:val="single" w:sz="4" w:space="0" w:color="auto"/>
              <w:bottom w:val="single" w:sz="4" w:space="0" w:color="auto"/>
              <w:right w:val="single" w:sz="4" w:space="0" w:color="auto"/>
            </w:tcBorders>
          </w:tcPr>
          <w:p w14:paraId="79C14B78" w14:textId="77777777" w:rsidR="00923B2C" w:rsidRDefault="009C7B40">
            <w:pPr>
              <w:widowControl w:val="0"/>
              <w:spacing w:after="0" w:line="240" w:lineRule="auto"/>
              <w:rPr>
                <w:rFonts w:ascii="Arial" w:hAnsi="Arial" w:cs="Arial"/>
                <w:sz w:val="20"/>
                <w:szCs w:val="20"/>
                <w:lang w:val="fr-FR"/>
              </w:rPr>
            </w:pPr>
            <w:r>
              <w:rPr>
                <w:rFonts w:ascii="Arial" w:eastAsia="Arial" w:hAnsi="Arial" w:cs="Arial"/>
                <w:sz w:val="20"/>
                <w:szCs w:val="20"/>
                <w:lang w:val="fr-FR"/>
              </w:rPr>
              <w:t>6.6 Réduire la mortalité associée à la perte d’habitat en concordance avec les conseils scientifiques concernés.</w:t>
            </w:r>
          </w:p>
        </w:tc>
        <w:tc>
          <w:tcPr>
            <w:tcW w:w="478" w:type="pct"/>
            <w:tcBorders>
              <w:top w:val="single" w:sz="4" w:space="0" w:color="auto"/>
              <w:left w:val="single" w:sz="4" w:space="0" w:color="auto"/>
              <w:bottom w:val="single" w:sz="4" w:space="0" w:color="auto"/>
              <w:right w:val="single" w:sz="4" w:space="0" w:color="auto"/>
            </w:tcBorders>
          </w:tcPr>
          <w:p w14:paraId="07792359"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26" w:type="pct"/>
            <w:tcBorders>
              <w:top w:val="single" w:sz="4" w:space="0" w:color="auto"/>
              <w:left w:val="single" w:sz="4" w:space="0" w:color="auto"/>
              <w:bottom w:val="single" w:sz="4" w:space="0" w:color="auto"/>
              <w:right w:val="single" w:sz="4" w:space="0" w:color="auto"/>
            </w:tcBorders>
          </w:tcPr>
          <w:p w14:paraId="4D4DBE6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Moyen terme</w:t>
            </w:r>
          </w:p>
        </w:tc>
        <w:tc>
          <w:tcPr>
            <w:tcW w:w="1401" w:type="pct"/>
            <w:tcBorders>
              <w:top w:val="single" w:sz="4" w:space="0" w:color="auto"/>
              <w:left w:val="single" w:sz="4" w:space="0" w:color="auto"/>
              <w:bottom w:val="single" w:sz="4" w:space="0" w:color="auto"/>
              <w:right w:val="single" w:sz="4" w:space="0" w:color="auto"/>
            </w:tcBorders>
          </w:tcPr>
          <w:p w14:paraId="3A8E9B03"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bl>
    <w:p w14:paraId="4C66B127" w14:textId="77777777" w:rsidR="00923B2C" w:rsidRDefault="009C7B40">
      <w:pPr>
        <w:widowControl w:val="0"/>
        <w:spacing w:after="0" w:line="240" w:lineRule="auto"/>
        <w:rPr>
          <w:rFonts w:ascii="Arial" w:eastAsia="Times New Roman" w:hAnsi="Arial" w:cs="Arial"/>
          <w:snapToGrid w:val="0"/>
          <w:sz w:val="24"/>
          <w:szCs w:val="20"/>
          <w:lang w:val="fr-FR"/>
        </w:rPr>
      </w:pPr>
      <w:r>
        <w:rPr>
          <w:rFonts w:ascii="Arial" w:eastAsia="Times New Roman" w:hAnsi="Arial" w:cs="Arial"/>
          <w:snapToGrid w:val="0"/>
          <w:sz w:val="24"/>
          <w:szCs w:val="20"/>
          <w:lang w:val="fr-FR"/>
        </w:rPr>
        <w:br w:type="page"/>
      </w:r>
    </w:p>
    <w:p w14:paraId="1AA714E3" w14:textId="77777777" w:rsidR="00923B2C" w:rsidRDefault="00923B2C">
      <w:pPr>
        <w:widowControl w:val="0"/>
        <w:spacing w:after="0" w:line="240" w:lineRule="auto"/>
        <w:rPr>
          <w:rFonts w:ascii="Arial" w:eastAsia="Times New Roman" w:hAnsi="Arial" w:cs="Arial"/>
          <w:snapToGrid w:val="0"/>
          <w:sz w:val="24"/>
          <w:szCs w:val="20"/>
          <w:lang w:val="fr-FR"/>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246"/>
        <w:gridCol w:w="1101"/>
        <w:gridCol w:w="1654"/>
        <w:gridCol w:w="3770"/>
      </w:tblGrid>
      <w:tr w:rsidR="00923B2C" w:rsidRPr="00994604" w14:paraId="22060785" w14:textId="77777777">
        <w:trPr>
          <w:trHeight w:val="281"/>
        </w:trPr>
        <w:tc>
          <w:tcPr>
            <w:tcW w:w="5000" w:type="pct"/>
            <w:gridSpan w:val="5"/>
            <w:tcBorders>
              <w:top w:val="single" w:sz="4" w:space="0" w:color="auto"/>
              <w:bottom w:val="single" w:sz="4" w:space="0" w:color="auto"/>
            </w:tcBorders>
          </w:tcPr>
          <w:p w14:paraId="16D91BA3"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Objectif 7 : Les connaissances sur la phase océanique du cycle de vie de l’anguille européenne, notamment dans la mer des Sargasses, sont améliorées.</w:t>
            </w:r>
          </w:p>
        </w:tc>
      </w:tr>
      <w:tr w:rsidR="00923B2C" w:rsidRPr="00994604" w14:paraId="47E2F1A6" w14:textId="77777777" w:rsidTr="007C2ABA">
        <w:trPr>
          <w:trHeight w:val="256"/>
        </w:trPr>
        <w:tc>
          <w:tcPr>
            <w:tcW w:w="829" w:type="pct"/>
            <w:tcBorders>
              <w:top w:val="single" w:sz="4" w:space="0" w:color="auto"/>
              <w:bottom w:val="single" w:sz="4" w:space="0" w:color="auto"/>
            </w:tcBorders>
            <w:shd w:val="clear" w:color="auto" w:fill="E8E8E8" w:themeFill="background2"/>
          </w:tcPr>
          <w:p w14:paraId="5C5B41D8"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Résultat</w:t>
            </w:r>
          </w:p>
        </w:tc>
        <w:tc>
          <w:tcPr>
            <w:tcW w:w="1859" w:type="pct"/>
            <w:shd w:val="clear" w:color="auto" w:fill="E8E8E8" w:themeFill="background2"/>
          </w:tcPr>
          <w:p w14:paraId="33F9F514"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390" w:type="pct"/>
            <w:shd w:val="clear" w:color="auto" w:fill="E8E8E8" w:themeFill="background2"/>
          </w:tcPr>
          <w:p w14:paraId="173BD28A"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586" w:type="pct"/>
            <w:shd w:val="clear" w:color="auto" w:fill="E8E8E8" w:themeFill="background2"/>
          </w:tcPr>
          <w:p w14:paraId="6D08BC8A"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336" w:type="pct"/>
            <w:shd w:val="clear" w:color="auto" w:fill="E8E8E8" w:themeFill="background2"/>
          </w:tcPr>
          <w:p w14:paraId="0335F41F"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rsidRPr="00994604" w14:paraId="5C9F7F91" w14:textId="77777777">
        <w:trPr>
          <w:trHeight w:val="495"/>
        </w:trPr>
        <w:tc>
          <w:tcPr>
            <w:tcW w:w="829" w:type="pct"/>
            <w:vMerge w:val="restart"/>
            <w:tcBorders>
              <w:top w:val="single" w:sz="4" w:space="0" w:color="auto"/>
            </w:tcBorders>
          </w:tcPr>
          <w:p w14:paraId="685D4379"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L’impact des menaces pesant sur les anguilles européennes dans les eaux salines est mieux compris, ce qui permet d’éclairer la gestion dans les États de l’aire de répartition et les ABNJ.</w:t>
            </w:r>
          </w:p>
          <w:p w14:paraId="5CF26574" w14:textId="77777777" w:rsidR="00923B2C" w:rsidRDefault="00923B2C">
            <w:pPr>
              <w:rPr>
                <w:rFonts w:ascii="Arial" w:eastAsia="Times New Roman" w:hAnsi="Arial" w:cs="Arial"/>
                <w:sz w:val="20"/>
                <w:szCs w:val="20"/>
                <w:lang w:val="fr-FR"/>
              </w:rPr>
            </w:pPr>
          </w:p>
        </w:tc>
        <w:tc>
          <w:tcPr>
            <w:tcW w:w="1859" w:type="pct"/>
          </w:tcPr>
          <w:p w14:paraId="5A2AED94"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color w:val="000000"/>
                <w:sz w:val="20"/>
                <w:szCs w:val="20"/>
                <w:lang w:val="fr-FR"/>
              </w:rPr>
              <w:t>7.1 Utiliser la télédétection et la surveillance, la modélisation et d’autres méthodologies adaptées pour améliorer la compréhension des changements océaniques (par exemple, AMOC) sur la survie des larves, leur transport et le recrutement qui en résulte.</w:t>
            </w:r>
          </w:p>
        </w:tc>
        <w:tc>
          <w:tcPr>
            <w:tcW w:w="390" w:type="pct"/>
          </w:tcPr>
          <w:p w14:paraId="3BE929D2"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586" w:type="pct"/>
          </w:tcPr>
          <w:p w14:paraId="7AF63C12" w14:textId="77777777" w:rsidR="00923B2C" w:rsidRDefault="009C7B40">
            <w:pPr>
              <w:widowControl w:val="0"/>
              <w:spacing w:after="0" w:line="240" w:lineRule="auto"/>
              <w:rPr>
                <w:rFonts w:ascii="Arial" w:eastAsia="Times New Roman" w:hAnsi="Arial" w:cs="Arial"/>
                <w:iCs/>
                <w:snapToGrid w:val="0"/>
                <w:sz w:val="20"/>
                <w:szCs w:val="20"/>
                <w:lang w:val="fr-FR"/>
              </w:rPr>
            </w:pPr>
            <w:r>
              <w:rPr>
                <w:rFonts w:ascii="Arial" w:eastAsia="Times New Roman" w:hAnsi="Arial" w:cs="Arial"/>
                <w:iCs/>
                <w:snapToGrid w:val="0"/>
                <w:sz w:val="20"/>
                <w:szCs w:val="20"/>
                <w:lang w:val="fr-FR"/>
              </w:rPr>
              <w:t>Moyen – Long</w:t>
            </w:r>
          </w:p>
        </w:tc>
        <w:tc>
          <w:tcPr>
            <w:tcW w:w="1336" w:type="pct"/>
          </w:tcPr>
          <w:p w14:paraId="536B7620" w14:textId="77777777" w:rsidR="00923B2C" w:rsidRDefault="009C7B40">
            <w:pPr>
              <w:widowControl w:val="0"/>
              <w:spacing w:after="0" w:line="240" w:lineRule="auto"/>
              <w:rPr>
                <w:rFonts w:ascii="Arial" w:eastAsia="Times New Roman" w:hAnsi="Arial" w:cs="Arial"/>
                <w:i/>
                <w:snapToGrid w:val="0"/>
                <w:sz w:val="20"/>
                <w:szCs w:val="20"/>
                <w:lang w:val="fr-FR"/>
              </w:rPr>
            </w:pPr>
            <w:r>
              <w:rPr>
                <w:rFonts w:ascii="Arial" w:eastAsia="Times New Roman" w:hAnsi="Arial" w:cs="Arial"/>
                <w:snapToGrid w:val="0"/>
                <w:sz w:val="20"/>
                <w:szCs w:val="20"/>
                <w:lang w:val="fr-FR"/>
              </w:rPr>
              <w:t>États de l’aire de répartition, Commission de la mer des Sargasses, milieu académique</w:t>
            </w:r>
          </w:p>
        </w:tc>
      </w:tr>
      <w:tr w:rsidR="00923B2C" w:rsidRPr="00994604" w14:paraId="761FD709" w14:textId="77777777">
        <w:trPr>
          <w:trHeight w:val="495"/>
        </w:trPr>
        <w:tc>
          <w:tcPr>
            <w:tcW w:w="829" w:type="pct"/>
            <w:vMerge/>
            <w:tcBorders>
              <w:top w:val="single" w:sz="4" w:space="0" w:color="auto"/>
            </w:tcBorders>
          </w:tcPr>
          <w:p w14:paraId="6DEDC4A0"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1859" w:type="pct"/>
          </w:tcPr>
          <w:p w14:paraId="559D1DFE" w14:textId="77777777" w:rsidR="00923B2C" w:rsidRDefault="009C7B40">
            <w:pPr>
              <w:widowControl w:val="0"/>
              <w:autoSpaceDE w:val="0"/>
              <w:autoSpaceDN w:val="0"/>
              <w:adjustRightInd w:val="0"/>
              <w:spacing w:after="0" w:line="240" w:lineRule="auto"/>
              <w:rPr>
                <w:rFonts w:ascii="Arial" w:eastAsia="Times New Roman" w:hAnsi="Arial" w:cs="Arial"/>
                <w:snapToGrid w:val="0"/>
                <w:color w:val="000000"/>
                <w:sz w:val="20"/>
                <w:szCs w:val="20"/>
                <w:lang w:val="fr-FR"/>
              </w:rPr>
            </w:pPr>
            <w:r>
              <w:rPr>
                <w:rFonts w:ascii="Arial" w:eastAsia="Times New Roman" w:hAnsi="Arial" w:cs="Arial"/>
                <w:snapToGrid w:val="0"/>
                <w:sz w:val="20"/>
                <w:szCs w:val="20"/>
                <w:lang w:val="fr-FR"/>
              </w:rPr>
              <w:t>7.2 Améliorer la compréhension des migrations et de la biologie de l’anguille ainsi que de l’importance de la mer des Sargasses.</w:t>
            </w:r>
          </w:p>
        </w:tc>
        <w:tc>
          <w:tcPr>
            <w:tcW w:w="390" w:type="pct"/>
          </w:tcPr>
          <w:p w14:paraId="07947A76"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586" w:type="pct"/>
          </w:tcPr>
          <w:p w14:paraId="662AA488" w14:textId="77777777" w:rsidR="00923B2C" w:rsidRDefault="009C7B40">
            <w:pPr>
              <w:widowControl w:val="0"/>
              <w:spacing w:after="0" w:line="240" w:lineRule="auto"/>
              <w:rPr>
                <w:rFonts w:ascii="Arial" w:eastAsia="Times New Roman" w:hAnsi="Arial" w:cs="Arial"/>
                <w:iCs/>
                <w:snapToGrid w:val="0"/>
                <w:sz w:val="20"/>
                <w:szCs w:val="20"/>
                <w:lang w:val="fr-FR"/>
              </w:rPr>
            </w:pPr>
            <w:r>
              <w:rPr>
                <w:rFonts w:ascii="Arial" w:eastAsia="Times New Roman" w:hAnsi="Arial" w:cs="Arial"/>
                <w:iCs/>
                <w:snapToGrid w:val="0"/>
                <w:sz w:val="20"/>
                <w:szCs w:val="20"/>
                <w:lang w:val="fr-FR"/>
              </w:rPr>
              <w:t>Moyen – Long</w:t>
            </w:r>
          </w:p>
        </w:tc>
        <w:tc>
          <w:tcPr>
            <w:tcW w:w="1336" w:type="pct"/>
          </w:tcPr>
          <w:p w14:paraId="0CF6E0EF" w14:textId="77777777" w:rsidR="00923B2C" w:rsidRDefault="009C7B40">
            <w:pPr>
              <w:widowControl w:val="0"/>
              <w:spacing w:after="0" w:line="240" w:lineRule="auto"/>
              <w:rPr>
                <w:rFonts w:ascii="Arial" w:eastAsia="Times New Roman" w:hAnsi="Arial" w:cs="Arial"/>
                <w:i/>
                <w:snapToGrid w:val="0"/>
                <w:sz w:val="20"/>
                <w:szCs w:val="20"/>
                <w:lang w:val="fr-FR"/>
              </w:rPr>
            </w:pPr>
            <w:r>
              <w:rPr>
                <w:rFonts w:ascii="Arial" w:eastAsia="Times New Roman" w:hAnsi="Arial" w:cs="Arial"/>
                <w:snapToGrid w:val="0"/>
                <w:sz w:val="20"/>
                <w:szCs w:val="20"/>
                <w:lang w:val="fr-FR"/>
              </w:rPr>
              <w:t>États de l’aire de répartition, Commission de la mer des Sargasses, milieu académique</w:t>
            </w:r>
          </w:p>
        </w:tc>
      </w:tr>
      <w:tr w:rsidR="00923B2C" w:rsidRPr="00994604" w14:paraId="03B7DFCD" w14:textId="77777777">
        <w:trPr>
          <w:trHeight w:val="764"/>
        </w:trPr>
        <w:tc>
          <w:tcPr>
            <w:tcW w:w="829" w:type="pct"/>
            <w:vMerge/>
          </w:tcPr>
          <w:p w14:paraId="3E896689" w14:textId="77777777" w:rsidR="00923B2C" w:rsidRDefault="00923B2C">
            <w:pPr>
              <w:widowControl w:val="0"/>
              <w:spacing w:after="0" w:line="240" w:lineRule="auto"/>
              <w:rPr>
                <w:rFonts w:ascii="Arial" w:eastAsia="Times New Roman" w:hAnsi="Arial" w:cs="Arial"/>
                <w:i/>
                <w:snapToGrid w:val="0"/>
                <w:sz w:val="20"/>
                <w:szCs w:val="20"/>
                <w:highlight w:val="yellow"/>
                <w:lang w:val="fr-FR"/>
              </w:rPr>
            </w:pPr>
          </w:p>
        </w:tc>
        <w:tc>
          <w:tcPr>
            <w:tcW w:w="1859" w:type="pct"/>
          </w:tcPr>
          <w:p w14:paraId="382F6FC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hAnsi="Arial" w:cs="Arial"/>
                <w:sz w:val="20"/>
                <w:szCs w:val="20"/>
                <w:lang w:val="fr-FR"/>
              </w:rPr>
              <w:t xml:space="preserve">7.3 Renforcer le partage des connaissances et la coordination </w:t>
            </w:r>
            <w:r>
              <w:rPr>
                <w:rFonts w:ascii="Arial" w:eastAsia="Times New Roman" w:hAnsi="Arial" w:cs="Arial"/>
                <w:snapToGrid w:val="0"/>
                <w:sz w:val="20"/>
                <w:szCs w:val="20"/>
                <w:lang w:val="fr-FR"/>
              </w:rPr>
              <w:t>des réponses aux menaces marines dans l’ensemble de l’aire de répartition des espèces.</w:t>
            </w:r>
          </w:p>
        </w:tc>
        <w:tc>
          <w:tcPr>
            <w:tcW w:w="390" w:type="pct"/>
          </w:tcPr>
          <w:p w14:paraId="0EDF4517"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86" w:type="pct"/>
          </w:tcPr>
          <w:p w14:paraId="266A2E24" w14:textId="77777777" w:rsidR="00923B2C" w:rsidRDefault="009C7B40">
            <w:pPr>
              <w:widowControl w:val="0"/>
              <w:spacing w:after="0" w:line="240" w:lineRule="auto"/>
              <w:rPr>
                <w:rFonts w:ascii="Arial" w:eastAsia="Times New Roman" w:hAnsi="Arial" w:cs="Arial"/>
                <w:iCs/>
                <w:snapToGrid w:val="0"/>
                <w:sz w:val="20"/>
                <w:szCs w:val="20"/>
                <w:lang w:val="fr-FR"/>
              </w:rPr>
            </w:pPr>
            <w:r>
              <w:rPr>
                <w:rFonts w:ascii="Arial" w:eastAsia="Times New Roman" w:hAnsi="Arial" w:cs="Arial"/>
                <w:iCs/>
                <w:snapToGrid w:val="0"/>
                <w:sz w:val="20"/>
                <w:szCs w:val="20"/>
                <w:lang w:val="fr-FR"/>
              </w:rPr>
              <w:t>Immédiat / En cours</w:t>
            </w:r>
          </w:p>
        </w:tc>
        <w:tc>
          <w:tcPr>
            <w:tcW w:w="1336" w:type="pct"/>
          </w:tcPr>
          <w:p w14:paraId="5278EA0D"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bl>
    <w:p w14:paraId="40115E3D" w14:textId="77777777" w:rsidR="00923B2C" w:rsidRDefault="00923B2C">
      <w:pPr>
        <w:widowControl w:val="0"/>
        <w:spacing w:after="0" w:line="240" w:lineRule="auto"/>
        <w:rPr>
          <w:rFonts w:ascii="Arial" w:eastAsia="Times New Roman" w:hAnsi="Arial" w:cs="Arial"/>
          <w:b/>
          <w:snapToGrid w:val="0"/>
          <w:lang w:val="fr-FR"/>
        </w:rPr>
      </w:pPr>
    </w:p>
    <w:p w14:paraId="75592EC9" w14:textId="77777777" w:rsidR="00923B2C" w:rsidRDefault="00923B2C">
      <w:pPr>
        <w:widowControl w:val="0"/>
        <w:spacing w:after="0" w:line="240" w:lineRule="auto"/>
        <w:rPr>
          <w:rFonts w:ascii="Arial" w:eastAsia="Times New Roman" w:hAnsi="Arial" w:cs="Arial"/>
          <w:b/>
          <w:snapToGrid w:val="0"/>
          <w:lang w:val="fr-FR"/>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241"/>
        <w:gridCol w:w="1103"/>
        <w:gridCol w:w="1657"/>
        <w:gridCol w:w="3770"/>
      </w:tblGrid>
      <w:tr w:rsidR="00923B2C" w:rsidRPr="00994604" w14:paraId="2C016148" w14:textId="77777777">
        <w:tc>
          <w:tcPr>
            <w:tcW w:w="5000" w:type="pct"/>
            <w:gridSpan w:val="5"/>
          </w:tcPr>
          <w:p w14:paraId="7964D30C"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Objectif 8 : La conservation de la mer des Sargasses est renforcée grâce à la collaboration avec les mécanismes et organismes pertinents de la politique de gestion du milieu marin.</w:t>
            </w:r>
          </w:p>
        </w:tc>
      </w:tr>
      <w:tr w:rsidR="00923B2C" w:rsidRPr="00994604" w14:paraId="684B6E86" w14:textId="77777777" w:rsidTr="007C2ABA">
        <w:trPr>
          <w:trHeight w:val="300"/>
        </w:trPr>
        <w:tc>
          <w:tcPr>
            <w:tcW w:w="829" w:type="pct"/>
            <w:shd w:val="clear" w:color="auto" w:fill="E8E8E8" w:themeFill="background2"/>
          </w:tcPr>
          <w:p w14:paraId="4BFDCC9D"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Résultat</w:t>
            </w:r>
          </w:p>
        </w:tc>
        <w:tc>
          <w:tcPr>
            <w:tcW w:w="1857" w:type="pct"/>
            <w:shd w:val="clear" w:color="auto" w:fill="E8E8E8" w:themeFill="background2"/>
          </w:tcPr>
          <w:p w14:paraId="629F8B7C" w14:textId="77777777" w:rsidR="00923B2C" w:rsidRDefault="009C7B40">
            <w:pPr>
              <w:widowControl w:val="0"/>
              <w:spacing w:after="0" w:line="240" w:lineRule="auto"/>
              <w:rPr>
                <w:rFonts w:ascii="Arial" w:eastAsia="Times New Roman" w:hAnsi="Arial" w:cs="Arial"/>
                <w:b/>
                <w:i/>
                <w:snapToGrid w:val="0"/>
                <w:sz w:val="20"/>
                <w:szCs w:val="20"/>
              </w:rPr>
            </w:pPr>
            <w:r>
              <w:rPr>
                <w:rFonts w:ascii="Arial" w:eastAsia="Times New Roman" w:hAnsi="Arial" w:cs="Arial"/>
                <w:b/>
                <w:i/>
                <w:snapToGrid w:val="0"/>
                <w:sz w:val="20"/>
                <w:szCs w:val="20"/>
              </w:rPr>
              <w:t>Action</w:t>
            </w:r>
          </w:p>
        </w:tc>
        <w:tc>
          <w:tcPr>
            <w:tcW w:w="391" w:type="pct"/>
            <w:shd w:val="clear" w:color="auto" w:fill="E8E8E8" w:themeFill="background2"/>
          </w:tcPr>
          <w:p w14:paraId="1DB6F5D5"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Priorité</w:t>
            </w:r>
          </w:p>
        </w:tc>
        <w:tc>
          <w:tcPr>
            <w:tcW w:w="587" w:type="pct"/>
            <w:shd w:val="clear" w:color="auto" w:fill="E8E8E8" w:themeFill="background2"/>
          </w:tcPr>
          <w:p w14:paraId="0F01A16E"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Délai</w:t>
            </w:r>
          </w:p>
        </w:tc>
        <w:tc>
          <w:tcPr>
            <w:tcW w:w="1335" w:type="pct"/>
            <w:shd w:val="clear" w:color="auto" w:fill="E8E8E8" w:themeFill="background2"/>
          </w:tcPr>
          <w:p w14:paraId="4C9AC384" w14:textId="77777777" w:rsidR="00923B2C" w:rsidRDefault="009C7B40">
            <w:pPr>
              <w:widowControl w:val="0"/>
              <w:spacing w:after="0" w:line="240" w:lineRule="auto"/>
              <w:rPr>
                <w:rFonts w:ascii="Arial" w:eastAsia="Times New Roman" w:hAnsi="Arial" w:cs="Arial"/>
                <w:b/>
                <w:i/>
                <w:snapToGrid w:val="0"/>
                <w:sz w:val="20"/>
                <w:szCs w:val="20"/>
                <w:lang w:val="fr-FR"/>
              </w:rPr>
            </w:pPr>
            <w:r>
              <w:rPr>
                <w:rFonts w:ascii="Arial" w:eastAsia="Times New Roman" w:hAnsi="Arial" w:cs="Arial"/>
                <w:b/>
                <w:i/>
                <w:snapToGrid w:val="0"/>
                <w:sz w:val="20"/>
                <w:szCs w:val="20"/>
                <w:lang w:val="fr-FR"/>
              </w:rPr>
              <w:t>États de l’aire de répartition, organisations et parties prenantes responsables</w:t>
            </w:r>
          </w:p>
        </w:tc>
      </w:tr>
      <w:tr w:rsidR="00923B2C" w:rsidRPr="00994604" w14:paraId="54B2EEE9" w14:textId="77777777">
        <w:trPr>
          <w:trHeight w:val="273"/>
        </w:trPr>
        <w:tc>
          <w:tcPr>
            <w:tcW w:w="829" w:type="pct"/>
            <w:vMerge w:val="restart"/>
          </w:tcPr>
          <w:p w14:paraId="30DC0723" w14:textId="77777777" w:rsidR="00923B2C" w:rsidRDefault="009C7B40">
            <w:pPr>
              <w:widowControl w:val="0"/>
              <w:spacing w:after="0" w:line="240" w:lineRule="auto"/>
              <w:rPr>
                <w:rFonts w:ascii="Arial" w:eastAsia="Times New Roman" w:hAnsi="Arial" w:cs="Arial"/>
                <w:iCs/>
                <w:snapToGrid w:val="0"/>
                <w:sz w:val="20"/>
                <w:szCs w:val="20"/>
                <w:lang w:val="fr-FR"/>
              </w:rPr>
            </w:pPr>
            <w:r>
              <w:rPr>
                <w:rFonts w:ascii="Arial" w:eastAsia="Times New Roman" w:hAnsi="Arial" w:cs="Arial"/>
                <w:iCs/>
                <w:snapToGrid w:val="0"/>
                <w:sz w:val="20"/>
                <w:szCs w:val="20"/>
                <w:lang w:val="fr-FR"/>
              </w:rPr>
              <w:t>Les actions sont coordonnées entre les conventions pertinentes, les services publics et les organismes concernés.</w:t>
            </w:r>
          </w:p>
        </w:tc>
        <w:tc>
          <w:tcPr>
            <w:tcW w:w="1857" w:type="pct"/>
          </w:tcPr>
          <w:p w14:paraId="040A983E" w14:textId="77777777" w:rsidR="00923B2C" w:rsidRDefault="009C7B40">
            <w:pPr>
              <w:widowControl w:val="0"/>
              <w:autoSpaceDE w:val="0"/>
              <w:autoSpaceDN w:val="0"/>
              <w:adjustRightInd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8.1 Travailler en collaboration avec les représentants nationaux concernés qui mènent des activités sous les auspices de la « Déclaration de Hamilton sur la collaboration aux fins de la conservation de la mer des Sargasses ».</w:t>
            </w:r>
          </w:p>
        </w:tc>
        <w:tc>
          <w:tcPr>
            <w:tcW w:w="391" w:type="pct"/>
          </w:tcPr>
          <w:p w14:paraId="257F43CA"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87" w:type="pct"/>
          </w:tcPr>
          <w:p w14:paraId="1E5857E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Immédiat</w:t>
            </w:r>
          </w:p>
        </w:tc>
        <w:tc>
          <w:tcPr>
            <w:tcW w:w="1335" w:type="pct"/>
          </w:tcPr>
          <w:p w14:paraId="3E300EC2"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 Commission de la mer des Sargasses</w:t>
            </w:r>
          </w:p>
        </w:tc>
      </w:tr>
      <w:tr w:rsidR="00923B2C" w:rsidRPr="00994604" w14:paraId="23DF4A8F" w14:textId="77777777">
        <w:trPr>
          <w:trHeight w:val="759"/>
        </w:trPr>
        <w:tc>
          <w:tcPr>
            <w:tcW w:w="829" w:type="pct"/>
            <w:vMerge/>
          </w:tcPr>
          <w:p w14:paraId="6F843097" w14:textId="77777777" w:rsidR="00923B2C" w:rsidRDefault="00923B2C">
            <w:pPr>
              <w:widowControl w:val="0"/>
              <w:spacing w:after="0" w:line="240" w:lineRule="auto"/>
              <w:rPr>
                <w:rFonts w:ascii="Arial" w:eastAsia="Times New Roman" w:hAnsi="Arial" w:cs="Arial"/>
                <w:i/>
                <w:snapToGrid w:val="0"/>
                <w:sz w:val="20"/>
                <w:szCs w:val="20"/>
                <w:lang w:val="fr-FR"/>
              </w:rPr>
            </w:pPr>
          </w:p>
        </w:tc>
        <w:tc>
          <w:tcPr>
            <w:tcW w:w="1857" w:type="pct"/>
          </w:tcPr>
          <w:p w14:paraId="3D4909CA" w14:textId="77777777" w:rsidR="00923B2C" w:rsidRDefault="009C7B40">
            <w:pPr>
              <w:widowControl w:val="0"/>
              <w:autoSpaceDE w:val="0"/>
              <w:autoSpaceDN w:val="0"/>
              <w:adjustRightInd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8.2 Collaborer avec les représentants nationaux à l’accord BBNJ de l’ONU sur les questions pertinentes, notamment en ce qui concerne la haute mer atlantique et la mer des Sargasses.</w:t>
            </w:r>
          </w:p>
        </w:tc>
        <w:tc>
          <w:tcPr>
            <w:tcW w:w="391" w:type="pct"/>
          </w:tcPr>
          <w:p w14:paraId="36096AD1" w14:textId="77777777" w:rsidR="00923B2C" w:rsidRDefault="00923B2C">
            <w:pPr>
              <w:widowControl w:val="0"/>
              <w:spacing w:after="0" w:line="240" w:lineRule="auto"/>
              <w:rPr>
                <w:rFonts w:ascii="Arial" w:eastAsia="Times New Roman" w:hAnsi="Arial" w:cs="Arial"/>
                <w:snapToGrid w:val="0"/>
                <w:sz w:val="20"/>
                <w:szCs w:val="20"/>
                <w:lang w:val="fr-FR"/>
              </w:rPr>
            </w:pPr>
          </w:p>
        </w:tc>
        <w:tc>
          <w:tcPr>
            <w:tcW w:w="587" w:type="pct"/>
          </w:tcPr>
          <w:p w14:paraId="2253A500"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Immédiat / En cours</w:t>
            </w:r>
          </w:p>
        </w:tc>
        <w:tc>
          <w:tcPr>
            <w:tcW w:w="1335" w:type="pct"/>
          </w:tcPr>
          <w:p w14:paraId="7DEDB901" w14:textId="77777777" w:rsidR="00923B2C" w:rsidRDefault="009C7B40">
            <w:pPr>
              <w:widowControl w:val="0"/>
              <w:spacing w:after="0" w:line="240" w:lineRule="auto"/>
              <w:rPr>
                <w:rFonts w:ascii="Arial" w:eastAsia="Times New Roman" w:hAnsi="Arial" w:cs="Arial"/>
                <w:snapToGrid w:val="0"/>
                <w:sz w:val="20"/>
                <w:szCs w:val="20"/>
                <w:lang w:val="fr-FR"/>
              </w:rPr>
            </w:pPr>
            <w:r>
              <w:rPr>
                <w:rFonts w:ascii="Arial" w:eastAsia="Times New Roman" w:hAnsi="Arial" w:cs="Arial"/>
                <w:snapToGrid w:val="0"/>
                <w:sz w:val="20"/>
                <w:szCs w:val="20"/>
                <w:lang w:val="fr-FR"/>
              </w:rPr>
              <w:t>États de l’aire de répartition</w:t>
            </w:r>
          </w:p>
        </w:tc>
      </w:tr>
    </w:tbl>
    <w:p w14:paraId="483C18B4" w14:textId="77777777" w:rsidR="00923B2C" w:rsidRDefault="00923B2C">
      <w:pPr>
        <w:widowControl w:val="0"/>
        <w:spacing w:after="0" w:line="240" w:lineRule="auto"/>
        <w:rPr>
          <w:rFonts w:ascii="Arial" w:eastAsia="Times New Roman" w:hAnsi="Arial" w:cs="Arial"/>
          <w:b/>
          <w:snapToGrid w:val="0"/>
          <w:lang w:val="fr-FR"/>
        </w:rPr>
      </w:pPr>
    </w:p>
    <w:p w14:paraId="448C998A" w14:textId="77777777" w:rsidR="00923B2C" w:rsidRDefault="00923B2C">
      <w:pPr>
        <w:widowControl w:val="0"/>
        <w:spacing w:after="0" w:line="240" w:lineRule="auto"/>
        <w:rPr>
          <w:rFonts w:ascii="Arial" w:eastAsia="Times New Roman" w:hAnsi="Arial" w:cs="Arial"/>
          <w:b/>
          <w:snapToGrid w:val="0"/>
          <w:lang w:val="fr-FR"/>
        </w:rPr>
      </w:pPr>
    </w:p>
    <w:p w14:paraId="60EB2F67" w14:textId="77777777" w:rsidR="00923B2C" w:rsidRDefault="00923B2C">
      <w:pPr>
        <w:widowControl w:val="0"/>
        <w:spacing w:after="0" w:line="240" w:lineRule="auto"/>
        <w:rPr>
          <w:rFonts w:ascii="Arial" w:eastAsia="Times New Roman" w:hAnsi="Arial" w:cs="Arial"/>
          <w:b/>
          <w:snapToGrid w:val="0"/>
          <w:lang w:val="fr-FR"/>
        </w:rPr>
        <w:sectPr w:rsidR="00923B2C">
          <w:headerReference w:type="even" r:id="rId24"/>
          <w:headerReference w:type="default" r:id="rId25"/>
          <w:headerReference w:type="first" r:id="rId26"/>
          <w:endnotePr>
            <w:numFmt w:val="decimal"/>
          </w:endnotePr>
          <w:pgSz w:w="16837" w:h="11905" w:orient="landscape" w:code="9"/>
          <w:pgMar w:top="1440" w:right="1440" w:bottom="1440" w:left="1440" w:header="510" w:footer="510" w:gutter="0"/>
          <w:cols w:space="720"/>
          <w:noEndnote/>
          <w:titlePg/>
          <w:docGrid w:linePitch="299"/>
        </w:sectPr>
      </w:pPr>
    </w:p>
    <w:p w14:paraId="39866E51" w14:textId="544461BA" w:rsidR="00923B2C" w:rsidRPr="00994604" w:rsidRDefault="009C7B40">
      <w:pPr>
        <w:pStyle w:val="Heading1"/>
        <w:rPr>
          <w:vanish/>
          <w:sz w:val="22"/>
          <w:szCs w:val="22"/>
          <w:lang w:val="fr-FR"/>
        </w:rPr>
      </w:pPr>
      <w:bookmarkStart w:id="33" w:name="_Toc212501830"/>
      <w:r w:rsidRPr="00994604">
        <w:rPr>
          <w:vanish/>
          <w:sz w:val="22"/>
          <w:szCs w:val="22"/>
          <w:lang w:val="fr-FR"/>
        </w:rPr>
        <w:lastRenderedPageBreak/>
        <w:t>5. R</w:t>
      </w:r>
      <w:r w:rsidR="007B63DE" w:rsidRPr="00994604">
        <w:rPr>
          <w:vanish/>
          <w:sz w:val="22"/>
          <w:szCs w:val="22"/>
          <w:lang w:val="fr-FR"/>
        </w:rPr>
        <w:t>É</w:t>
      </w:r>
      <w:r w:rsidRPr="00994604">
        <w:rPr>
          <w:vanish/>
          <w:sz w:val="22"/>
          <w:szCs w:val="22"/>
          <w:lang w:val="fr-FR"/>
        </w:rPr>
        <w:t>F</w:t>
      </w:r>
      <w:r w:rsidR="007B63DE" w:rsidRPr="00994604">
        <w:rPr>
          <w:vanish/>
          <w:sz w:val="22"/>
          <w:szCs w:val="22"/>
          <w:lang w:val="fr-FR"/>
        </w:rPr>
        <w:t>É</w:t>
      </w:r>
      <w:r w:rsidRPr="00994604">
        <w:rPr>
          <w:vanish/>
          <w:sz w:val="22"/>
          <w:szCs w:val="22"/>
          <w:lang w:val="fr-FR"/>
        </w:rPr>
        <w:t>RENCES</w:t>
      </w:r>
      <w:bookmarkEnd w:id="33"/>
    </w:p>
    <w:p w14:paraId="7542E27A" w14:textId="77777777" w:rsidR="00923B2C" w:rsidRPr="00994604" w:rsidRDefault="00923B2C">
      <w:pPr>
        <w:autoSpaceDE w:val="0"/>
        <w:autoSpaceDN w:val="0"/>
        <w:adjustRightInd w:val="0"/>
        <w:spacing w:after="0" w:line="240" w:lineRule="auto"/>
        <w:rPr>
          <w:rFonts w:ascii="Arial" w:hAnsi="Arial" w:cs="Arial"/>
          <w:vanish/>
          <w:color w:val="000000"/>
          <w:sz w:val="20"/>
          <w:szCs w:val="20"/>
          <w:lang w:val="fr-FR" w:eastAsia="en-AU"/>
        </w:rPr>
      </w:pPr>
    </w:p>
    <w:p w14:paraId="21F76659" w14:textId="77777777" w:rsidR="00923B2C" w:rsidRPr="00EE1353" w:rsidRDefault="009C7B40">
      <w:pPr>
        <w:pStyle w:val="NoSpacing"/>
        <w:spacing w:after="80"/>
        <w:ind w:left="567" w:hanging="567"/>
        <w:rPr>
          <w:rFonts w:ascii="Arial" w:hAnsi="Arial" w:cs="Arial"/>
          <w:sz w:val="20"/>
          <w:szCs w:val="20"/>
        </w:rPr>
      </w:pPr>
      <w:proofErr w:type="spellStart"/>
      <w:r w:rsidRPr="00994604">
        <w:rPr>
          <w:rFonts w:ascii="Arial" w:hAnsi="Arial" w:cs="Arial"/>
          <w:sz w:val="20"/>
          <w:szCs w:val="20"/>
          <w:lang w:val="fr-FR"/>
        </w:rPr>
        <w:t>Aarestrup</w:t>
      </w:r>
      <w:proofErr w:type="spellEnd"/>
      <w:r w:rsidRPr="00994604">
        <w:rPr>
          <w:rFonts w:ascii="Arial" w:hAnsi="Arial" w:cs="Arial"/>
          <w:sz w:val="20"/>
          <w:szCs w:val="20"/>
          <w:lang w:val="fr-FR"/>
        </w:rPr>
        <w:t xml:space="preserve">, K., </w:t>
      </w:r>
      <w:proofErr w:type="spellStart"/>
      <w:r w:rsidRPr="00994604">
        <w:rPr>
          <w:rFonts w:ascii="Arial" w:hAnsi="Arial" w:cs="Arial"/>
          <w:sz w:val="20"/>
          <w:szCs w:val="20"/>
          <w:lang w:val="fr-FR"/>
        </w:rPr>
        <w:t>Økland</w:t>
      </w:r>
      <w:proofErr w:type="spellEnd"/>
      <w:r w:rsidRPr="00994604">
        <w:rPr>
          <w:rFonts w:ascii="Arial" w:hAnsi="Arial" w:cs="Arial"/>
          <w:sz w:val="20"/>
          <w:szCs w:val="20"/>
          <w:lang w:val="fr-FR"/>
        </w:rPr>
        <w:t xml:space="preserve">, F., Hansen, M.M., </w:t>
      </w:r>
      <w:proofErr w:type="spellStart"/>
      <w:r w:rsidRPr="00994604">
        <w:rPr>
          <w:rFonts w:ascii="Arial" w:hAnsi="Arial" w:cs="Arial"/>
          <w:sz w:val="20"/>
          <w:szCs w:val="20"/>
          <w:lang w:val="fr-FR"/>
        </w:rPr>
        <w:t>Righton</w:t>
      </w:r>
      <w:proofErr w:type="spellEnd"/>
      <w:r w:rsidRPr="00994604">
        <w:rPr>
          <w:rFonts w:ascii="Arial" w:hAnsi="Arial" w:cs="Arial"/>
          <w:sz w:val="20"/>
          <w:szCs w:val="20"/>
          <w:lang w:val="fr-FR"/>
        </w:rPr>
        <w:t xml:space="preserve">, D., Gargan, P., Castonguay, M., Bernatchez, L., </w:t>
      </w:r>
      <w:proofErr w:type="spellStart"/>
      <w:r w:rsidRPr="00994604">
        <w:rPr>
          <w:rFonts w:ascii="Arial" w:hAnsi="Arial" w:cs="Arial"/>
          <w:sz w:val="20"/>
          <w:szCs w:val="20"/>
          <w:lang w:val="fr-FR"/>
        </w:rPr>
        <w:t>Howey</w:t>
      </w:r>
      <w:proofErr w:type="spellEnd"/>
      <w:r w:rsidRPr="00994604">
        <w:rPr>
          <w:rFonts w:ascii="Arial" w:hAnsi="Arial" w:cs="Arial"/>
          <w:sz w:val="20"/>
          <w:szCs w:val="20"/>
          <w:lang w:val="fr-FR"/>
        </w:rPr>
        <w:t xml:space="preserve">, P., </w:t>
      </w:r>
      <w:proofErr w:type="spellStart"/>
      <w:r w:rsidRPr="00994604">
        <w:rPr>
          <w:rFonts w:ascii="Arial" w:hAnsi="Arial" w:cs="Arial"/>
          <w:sz w:val="20"/>
          <w:szCs w:val="20"/>
          <w:lang w:val="fr-FR"/>
        </w:rPr>
        <w:t>Sparholt</w:t>
      </w:r>
      <w:proofErr w:type="spellEnd"/>
      <w:r w:rsidRPr="00994604">
        <w:rPr>
          <w:rFonts w:ascii="Arial" w:hAnsi="Arial" w:cs="Arial"/>
          <w:sz w:val="20"/>
          <w:szCs w:val="20"/>
          <w:lang w:val="fr-FR"/>
        </w:rPr>
        <w:t xml:space="preserve">, H., Pedersen, M.I. and McKinley, R.S. (2009). </w:t>
      </w:r>
      <w:r w:rsidRPr="00EE1353">
        <w:rPr>
          <w:rFonts w:ascii="Arial" w:hAnsi="Arial" w:cs="Arial"/>
          <w:sz w:val="20"/>
          <w:szCs w:val="20"/>
        </w:rPr>
        <w:t>Oceanic spawning migration of the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w:t>
      </w:r>
      <w:r w:rsidRPr="00EE1353">
        <w:rPr>
          <w:rFonts w:ascii="Arial" w:hAnsi="Arial" w:cs="Arial"/>
          <w:i/>
          <w:iCs/>
          <w:sz w:val="20"/>
          <w:szCs w:val="20"/>
        </w:rPr>
        <w:t>Science</w:t>
      </w:r>
      <w:r w:rsidRPr="00EE1353">
        <w:rPr>
          <w:rFonts w:ascii="Arial" w:hAnsi="Arial" w:cs="Arial"/>
          <w:sz w:val="20"/>
          <w:szCs w:val="20"/>
        </w:rPr>
        <w:t xml:space="preserve"> </w:t>
      </w:r>
      <w:r w:rsidRPr="00EE1353">
        <w:rPr>
          <w:rFonts w:ascii="Arial" w:hAnsi="Arial" w:cs="Arial"/>
          <w:b/>
          <w:bCs/>
          <w:sz w:val="20"/>
          <w:szCs w:val="20"/>
        </w:rPr>
        <w:t>325</w:t>
      </w:r>
      <w:r w:rsidRPr="00EE1353">
        <w:rPr>
          <w:rFonts w:ascii="Arial" w:hAnsi="Arial" w:cs="Arial"/>
          <w:sz w:val="20"/>
          <w:szCs w:val="20"/>
        </w:rPr>
        <w:t>: 1660.</w:t>
      </w:r>
    </w:p>
    <w:p w14:paraId="2B1E19E8"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Albert, V., Jónsson, B. and Bernatchez, L. (2006). Natural hybrids in Atlantic eels (</w:t>
      </w:r>
      <w:r w:rsidRPr="00EE1353">
        <w:rPr>
          <w:rFonts w:ascii="Arial" w:hAnsi="Arial" w:cs="Arial"/>
          <w:i/>
          <w:iCs/>
          <w:color w:val="000000"/>
          <w:sz w:val="20"/>
          <w:szCs w:val="20"/>
          <w:lang w:eastAsia="en-AU"/>
        </w:rPr>
        <w:t xml:space="preserve">Anguilla </w:t>
      </w:r>
      <w:proofErr w:type="spellStart"/>
      <w:r w:rsidRPr="00EE1353">
        <w:rPr>
          <w:rFonts w:ascii="Arial" w:hAnsi="Arial" w:cs="Arial"/>
          <w:i/>
          <w:iCs/>
          <w:color w:val="000000"/>
          <w:sz w:val="20"/>
          <w:szCs w:val="20"/>
          <w:lang w:eastAsia="en-AU"/>
        </w:rPr>
        <w:t>anguilla</w:t>
      </w:r>
      <w:proofErr w:type="spellEnd"/>
      <w:r w:rsidRPr="00EE1353">
        <w:rPr>
          <w:rFonts w:ascii="Arial" w:hAnsi="Arial" w:cs="Arial"/>
          <w:i/>
          <w:iCs/>
          <w:color w:val="000000"/>
          <w:sz w:val="20"/>
          <w:szCs w:val="20"/>
          <w:lang w:eastAsia="en-AU"/>
        </w:rPr>
        <w:t>, A. rostrata</w:t>
      </w:r>
      <w:r w:rsidRPr="00EE1353">
        <w:rPr>
          <w:rFonts w:ascii="Arial" w:hAnsi="Arial" w:cs="Arial"/>
          <w:color w:val="000000"/>
          <w:sz w:val="20"/>
          <w:szCs w:val="20"/>
          <w:lang w:eastAsia="en-AU"/>
        </w:rPr>
        <w:t xml:space="preserve">): Evidence for successful reproduction and fluctuating abundance in space and time. </w:t>
      </w:r>
      <w:r w:rsidRPr="00EE1353">
        <w:rPr>
          <w:rFonts w:ascii="Arial" w:hAnsi="Arial" w:cs="Arial"/>
          <w:i/>
          <w:iCs/>
          <w:color w:val="000000"/>
          <w:sz w:val="20"/>
          <w:szCs w:val="20"/>
          <w:lang w:eastAsia="en-AU"/>
        </w:rPr>
        <w:t>Molecular ecology</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15</w:t>
      </w:r>
      <w:r w:rsidRPr="00EE1353">
        <w:rPr>
          <w:rFonts w:ascii="Arial" w:hAnsi="Arial" w:cs="Arial"/>
          <w:color w:val="000000"/>
          <w:sz w:val="20"/>
          <w:szCs w:val="20"/>
          <w:lang w:eastAsia="en-AU"/>
        </w:rPr>
        <w:t>: 1903-16.</w:t>
      </w:r>
    </w:p>
    <w:p w14:paraId="3CD4AE40"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Baltazar-Soares, M., </w:t>
      </w:r>
      <w:proofErr w:type="spellStart"/>
      <w:r w:rsidRPr="00EE1353">
        <w:rPr>
          <w:rFonts w:ascii="Arial" w:hAnsi="Arial" w:cs="Arial"/>
          <w:color w:val="000000"/>
          <w:sz w:val="20"/>
          <w:szCs w:val="20"/>
          <w:lang w:eastAsia="en-AU"/>
        </w:rPr>
        <w:t>Biastoch</w:t>
      </w:r>
      <w:proofErr w:type="spellEnd"/>
      <w:r w:rsidRPr="00EE1353">
        <w:rPr>
          <w:rFonts w:ascii="Arial" w:hAnsi="Arial" w:cs="Arial"/>
          <w:color w:val="000000"/>
          <w:sz w:val="20"/>
          <w:szCs w:val="20"/>
          <w:lang w:eastAsia="en-AU"/>
        </w:rPr>
        <w:t xml:space="preserve">, A., Harrod, C., Hanel, R., Marohn, L., Prigge, E., Evans, D., Bodles, K., Behrens, E., Boening, C. W. and </w:t>
      </w:r>
      <w:proofErr w:type="spellStart"/>
      <w:r w:rsidRPr="00EE1353">
        <w:rPr>
          <w:rFonts w:ascii="Arial" w:hAnsi="Arial" w:cs="Arial"/>
          <w:color w:val="000000"/>
          <w:sz w:val="20"/>
          <w:szCs w:val="20"/>
          <w:lang w:eastAsia="en-AU"/>
        </w:rPr>
        <w:t>Eizaguirre</w:t>
      </w:r>
      <w:proofErr w:type="spellEnd"/>
      <w:r w:rsidRPr="00EE1353">
        <w:rPr>
          <w:rFonts w:ascii="Arial" w:hAnsi="Arial" w:cs="Arial"/>
          <w:color w:val="000000"/>
          <w:sz w:val="20"/>
          <w:szCs w:val="20"/>
          <w:lang w:eastAsia="en-AU"/>
        </w:rPr>
        <w:t xml:space="preserve">, C. (2014). Recruitment collapse and population structure of the European eel shaped by local ocean current dynamics. </w:t>
      </w:r>
      <w:r w:rsidRPr="00EE1353">
        <w:rPr>
          <w:rFonts w:ascii="Arial" w:hAnsi="Arial" w:cs="Arial"/>
          <w:i/>
          <w:iCs/>
          <w:color w:val="000000"/>
          <w:sz w:val="20"/>
          <w:szCs w:val="20"/>
          <w:lang w:eastAsia="en-AU"/>
        </w:rPr>
        <w:t>Current Biology</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24:</w:t>
      </w:r>
      <w:r w:rsidRPr="00EE1353">
        <w:rPr>
          <w:rFonts w:ascii="Arial" w:hAnsi="Arial" w:cs="Arial"/>
          <w:color w:val="000000"/>
          <w:sz w:val="20"/>
          <w:szCs w:val="20"/>
          <w:lang w:eastAsia="en-AU"/>
        </w:rPr>
        <w:t xml:space="preserve"> 104-108.</w:t>
      </w:r>
    </w:p>
    <w:p w14:paraId="462DA657"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Belpaire</w:t>
      </w:r>
      <w:proofErr w:type="spellEnd"/>
      <w:r w:rsidRPr="00EE1353">
        <w:rPr>
          <w:rFonts w:ascii="Arial" w:hAnsi="Arial" w:cs="Arial"/>
          <w:color w:val="000000"/>
          <w:sz w:val="20"/>
          <w:szCs w:val="20"/>
          <w:lang w:eastAsia="en-AU"/>
        </w:rPr>
        <w:t xml:space="preserve">, C., </w:t>
      </w:r>
      <w:proofErr w:type="spellStart"/>
      <w:r w:rsidRPr="00EE1353">
        <w:rPr>
          <w:rFonts w:ascii="Arial" w:hAnsi="Arial" w:cs="Arial"/>
          <w:color w:val="000000"/>
          <w:sz w:val="20"/>
          <w:szCs w:val="20"/>
          <w:lang w:eastAsia="en-AU"/>
        </w:rPr>
        <w:t>Pujolar</w:t>
      </w:r>
      <w:proofErr w:type="spellEnd"/>
      <w:r w:rsidRPr="00EE1353">
        <w:rPr>
          <w:rFonts w:ascii="Arial" w:hAnsi="Arial" w:cs="Arial"/>
          <w:color w:val="000000"/>
          <w:sz w:val="20"/>
          <w:szCs w:val="20"/>
          <w:lang w:eastAsia="en-AU"/>
        </w:rPr>
        <w:t>, J.M., Geeraerts, C. and Maes, G.E. (2016). Contaminants in eels and their role in the collapse of the eel stocks. In “Biology and ecology of anguillid eels”, T. Arai (Ed), CRC Press, p 225-250.</w:t>
      </w:r>
    </w:p>
    <w:p w14:paraId="60533052"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Belpaire</w:t>
      </w:r>
      <w:proofErr w:type="spellEnd"/>
      <w:r w:rsidRPr="00EE1353">
        <w:rPr>
          <w:rFonts w:ascii="Arial" w:hAnsi="Arial" w:cs="Arial"/>
          <w:color w:val="000000"/>
          <w:sz w:val="20"/>
          <w:szCs w:val="20"/>
          <w:lang w:eastAsia="en-AU"/>
        </w:rPr>
        <w:t xml:space="preserve">, C., Hodson, P., Pierron, F. and Freese, M. (2019). Impact of chemical pollution on Atlantic eels: facts, research needs and implications for management. </w:t>
      </w:r>
      <w:r w:rsidRPr="00EE1353">
        <w:rPr>
          <w:rFonts w:ascii="Arial" w:hAnsi="Arial" w:cs="Arial"/>
          <w:i/>
          <w:iCs/>
          <w:color w:val="000000"/>
          <w:sz w:val="20"/>
          <w:szCs w:val="20"/>
          <w:lang w:eastAsia="en-AU"/>
        </w:rPr>
        <w:t>Current Opinion in Environmental Science and Health</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11</w:t>
      </w:r>
      <w:r w:rsidRPr="00EE1353">
        <w:rPr>
          <w:rFonts w:ascii="Arial" w:hAnsi="Arial" w:cs="Arial"/>
          <w:color w:val="000000"/>
          <w:sz w:val="20"/>
          <w:szCs w:val="20"/>
          <w:lang w:eastAsia="en-AU"/>
        </w:rPr>
        <w:t>:26-36.</w:t>
      </w:r>
    </w:p>
    <w:p w14:paraId="72719606"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Bevacqua, D., Meliá, P., Gatto, M. and De Leo, G.A. (2015). A global viability assessment of the European eel. </w:t>
      </w:r>
      <w:r w:rsidRPr="00EE1353">
        <w:rPr>
          <w:rFonts w:ascii="Arial" w:hAnsi="Arial" w:cs="Arial"/>
          <w:i/>
          <w:iCs/>
          <w:sz w:val="20"/>
          <w:szCs w:val="20"/>
        </w:rPr>
        <w:t>Global Change Biology</w:t>
      </w:r>
      <w:r w:rsidRPr="00EE1353">
        <w:rPr>
          <w:rFonts w:ascii="Arial" w:hAnsi="Arial" w:cs="Arial"/>
          <w:sz w:val="20"/>
          <w:szCs w:val="20"/>
        </w:rPr>
        <w:t xml:space="preserve"> </w:t>
      </w:r>
      <w:r w:rsidRPr="00EE1353">
        <w:rPr>
          <w:rFonts w:ascii="Arial" w:hAnsi="Arial" w:cs="Arial"/>
          <w:b/>
          <w:bCs/>
          <w:sz w:val="20"/>
          <w:szCs w:val="20"/>
        </w:rPr>
        <w:t>21</w:t>
      </w:r>
      <w:r w:rsidRPr="00EE1353">
        <w:rPr>
          <w:rFonts w:ascii="Arial" w:hAnsi="Arial" w:cs="Arial"/>
          <w:sz w:val="20"/>
          <w:szCs w:val="20"/>
        </w:rPr>
        <w:t>: 3323–3335.</w:t>
      </w:r>
    </w:p>
    <w:p w14:paraId="0A955506"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Briand, Oliviero, Helminen. (2025). DIASPARA - Habitat database. DOI: 10.5281/zenodo.14726598 </w:t>
      </w:r>
    </w:p>
    <w:p w14:paraId="1DEB8FF0"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CITES (2022). Status of use and trade of anguillid eels. </w:t>
      </w:r>
    </w:p>
    <w:p w14:paraId="70FDABF9"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Clavero, M. and Hermoso, V. (2015). Historical data to plan the recovery of the European eel. </w:t>
      </w:r>
      <w:r w:rsidRPr="00EE1353">
        <w:rPr>
          <w:rFonts w:ascii="Arial" w:hAnsi="Arial" w:cs="Arial"/>
          <w:i/>
          <w:iCs/>
          <w:sz w:val="20"/>
          <w:szCs w:val="20"/>
        </w:rPr>
        <w:t>Journal of Applied Ecology</w:t>
      </w:r>
      <w:r w:rsidRPr="00EE1353">
        <w:rPr>
          <w:rFonts w:ascii="Arial" w:hAnsi="Arial" w:cs="Arial"/>
          <w:sz w:val="20"/>
          <w:szCs w:val="20"/>
        </w:rPr>
        <w:t xml:space="preserve"> </w:t>
      </w:r>
      <w:r w:rsidRPr="00EE1353">
        <w:rPr>
          <w:rFonts w:ascii="Arial" w:hAnsi="Arial" w:cs="Arial"/>
          <w:b/>
          <w:bCs/>
          <w:sz w:val="20"/>
          <w:szCs w:val="20"/>
        </w:rPr>
        <w:t xml:space="preserve">52: </w:t>
      </w:r>
      <w:r w:rsidRPr="00EE1353">
        <w:rPr>
          <w:rFonts w:ascii="Arial" w:hAnsi="Arial" w:cs="Arial"/>
          <w:sz w:val="20"/>
          <w:szCs w:val="20"/>
        </w:rPr>
        <w:t xml:space="preserve">960-968. </w:t>
      </w:r>
    </w:p>
    <w:p w14:paraId="4EBB5BBA"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De Meyer, J., </w:t>
      </w:r>
      <w:proofErr w:type="spellStart"/>
      <w:r w:rsidRPr="00EE1353">
        <w:rPr>
          <w:rFonts w:ascii="Arial" w:hAnsi="Arial" w:cs="Arial"/>
          <w:sz w:val="20"/>
          <w:szCs w:val="20"/>
        </w:rPr>
        <w:t>Belpaire</w:t>
      </w:r>
      <w:proofErr w:type="spellEnd"/>
      <w:r w:rsidRPr="00EE1353">
        <w:rPr>
          <w:rFonts w:ascii="Arial" w:hAnsi="Arial" w:cs="Arial"/>
          <w:sz w:val="20"/>
          <w:szCs w:val="20"/>
        </w:rPr>
        <w:t xml:space="preserve">, C., Boeckx, P., </w:t>
      </w:r>
      <w:proofErr w:type="spellStart"/>
      <w:r w:rsidRPr="00EE1353">
        <w:rPr>
          <w:rFonts w:ascii="Arial" w:hAnsi="Arial" w:cs="Arial"/>
          <w:sz w:val="20"/>
          <w:szCs w:val="20"/>
        </w:rPr>
        <w:t>Bervoets</w:t>
      </w:r>
      <w:proofErr w:type="spellEnd"/>
      <w:r w:rsidRPr="00EE1353">
        <w:rPr>
          <w:rFonts w:ascii="Arial" w:hAnsi="Arial" w:cs="Arial"/>
          <w:sz w:val="20"/>
          <w:szCs w:val="20"/>
        </w:rPr>
        <w:t xml:space="preserve">, L., Covaci, A., Malarvannan, G., De Kegel, B. and </w:t>
      </w:r>
      <w:proofErr w:type="spellStart"/>
      <w:r w:rsidRPr="00EE1353">
        <w:rPr>
          <w:rFonts w:ascii="Arial" w:hAnsi="Arial" w:cs="Arial"/>
          <w:sz w:val="20"/>
          <w:szCs w:val="20"/>
        </w:rPr>
        <w:t>Adriaens</w:t>
      </w:r>
      <w:proofErr w:type="spellEnd"/>
      <w:r w:rsidRPr="00EE1353">
        <w:rPr>
          <w:rFonts w:ascii="Arial" w:hAnsi="Arial" w:cs="Arial"/>
          <w:sz w:val="20"/>
          <w:szCs w:val="20"/>
        </w:rPr>
        <w:t xml:space="preserve">, D. (2018). Head shape disparity impacts pollutant accumulation in European eel. </w:t>
      </w:r>
      <w:r w:rsidRPr="00EE1353">
        <w:rPr>
          <w:rFonts w:ascii="Arial" w:hAnsi="Arial" w:cs="Arial"/>
          <w:i/>
          <w:iCs/>
          <w:sz w:val="20"/>
          <w:szCs w:val="20"/>
        </w:rPr>
        <w:t>Environmental Pollution</w:t>
      </w:r>
      <w:r w:rsidRPr="00EE1353">
        <w:rPr>
          <w:rFonts w:ascii="Arial" w:hAnsi="Arial" w:cs="Arial"/>
          <w:sz w:val="20"/>
          <w:szCs w:val="20"/>
        </w:rPr>
        <w:t xml:space="preserve"> </w:t>
      </w:r>
      <w:r w:rsidRPr="00EE1353">
        <w:rPr>
          <w:rFonts w:ascii="Arial" w:hAnsi="Arial" w:cs="Arial"/>
          <w:b/>
          <w:bCs/>
          <w:sz w:val="20"/>
          <w:szCs w:val="20"/>
        </w:rPr>
        <w:t>240</w:t>
      </w:r>
      <w:r w:rsidRPr="00EE1353">
        <w:rPr>
          <w:rFonts w:ascii="Arial" w:hAnsi="Arial" w:cs="Arial"/>
          <w:sz w:val="20"/>
          <w:szCs w:val="20"/>
        </w:rPr>
        <w:t>: 378–386.</w:t>
      </w:r>
    </w:p>
    <w:p w14:paraId="04BADA8C"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Dekker, W. (2003). Did lack of spawners cause the collapse of the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w:t>
      </w:r>
      <w:r w:rsidRPr="00EE1353">
        <w:rPr>
          <w:rFonts w:ascii="Arial" w:hAnsi="Arial" w:cs="Arial"/>
          <w:i/>
          <w:iCs/>
          <w:sz w:val="20"/>
          <w:szCs w:val="20"/>
        </w:rPr>
        <w:t>Fisheries Management and Ecology</w:t>
      </w:r>
      <w:r w:rsidRPr="00EE1353">
        <w:rPr>
          <w:rFonts w:ascii="Arial" w:hAnsi="Arial" w:cs="Arial"/>
          <w:sz w:val="20"/>
          <w:szCs w:val="20"/>
        </w:rPr>
        <w:t xml:space="preserve"> </w:t>
      </w:r>
      <w:r w:rsidRPr="00EE1353">
        <w:rPr>
          <w:rFonts w:ascii="Arial" w:hAnsi="Arial" w:cs="Arial"/>
          <w:b/>
          <w:bCs/>
          <w:sz w:val="20"/>
          <w:szCs w:val="20"/>
        </w:rPr>
        <w:t>10</w:t>
      </w:r>
      <w:r w:rsidRPr="00EE1353">
        <w:rPr>
          <w:rFonts w:ascii="Arial" w:hAnsi="Arial" w:cs="Arial"/>
          <w:sz w:val="20"/>
          <w:szCs w:val="20"/>
        </w:rPr>
        <w:t>: 365-376.</w:t>
      </w:r>
    </w:p>
    <w:p w14:paraId="0F5ED686" w14:textId="77777777" w:rsidR="00923B2C" w:rsidRPr="00EE1353" w:rsidRDefault="009C7B40">
      <w:pPr>
        <w:pStyle w:val="NoSpacing"/>
        <w:spacing w:after="80"/>
        <w:ind w:left="567" w:hanging="567"/>
        <w:rPr>
          <w:rFonts w:ascii="Arial" w:hAnsi="Arial" w:cs="Arial"/>
          <w:sz w:val="20"/>
          <w:szCs w:val="20"/>
        </w:rPr>
      </w:pPr>
      <w:proofErr w:type="spellStart"/>
      <w:r w:rsidRPr="00EE1353">
        <w:rPr>
          <w:rFonts w:ascii="Arial" w:hAnsi="Arial" w:cs="Arial"/>
          <w:sz w:val="20"/>
          <w:szCs w:val="20"/>
        </w:rPr>
        <w:t>Drouineau</w:t>
      </w:r>
      <w:proofErr w:type="spellEnd"/>
      <w:r w:rsidRPr="00EE1353">
        <w:rPr>
          <w:rFonts w:ascii="Arial" w:hAnsi="Arial" w:cs="Arial"/>
          <w:sz w:val="20"/>
          <w:szCs w:val="20"/>
        </w:rPr>
        <w:t xml:space="preserve">, H., Rochard, E., Castonguay, M., Yokouchi, K., Mateo, M., </w:t>
      </w:r>
      <w:proofErr w:type="spellStart"/>
      <w:r w:rsidRPr="00EE1353">
        <w:rPr>
          <w:rFonts w:ascii="Arial" w:hAnsi="Arial" w:cs="Arial"/>
          <w:sz w:val="20"/>
          <w:szCs w:val="20"/>
        </w:rPr>
        <w:t>Verreault</w:t>
      </w:r>
      <w:proofErr w:type="spellEnd"/>
      <w:r w:rsidRPr="00EE1353">
        <w:rPr>
          <w:rFonts w:ascii="Arial" w:hAnsi="Arial" w:cs="Arial"/>
          <w:sz w:val="20"/>
          <w:szCs w:val="20"/>
        </w:rPr>
        <w:t xml:space="preserve">, G., &amp; Durif, C. and Lambert, P. (2018). Freshwater eels: A symbol of the effects of global change. </w:t>
      </w:r>
      <w:r w:rsidRPr="00EE1353">
        <w:rPr>
          <w:rFonts w:ascii="Arial" w:hAnsi="Arial" w:cs="Arial"/>
          <w:i/>
          <w:iCs/>
          <w:sz w:val="20"/>
          <w:szCs w:val="20"/>
        </w:rPr>
        <w:t xml:space="preserve">Fish and Fisheries </w:t>
      </w:r>
      <w:r w:rsidRPr="00EE1353">
        <w:rPr>
          <w:rFonts w:ascii="Arial" w:hAnsi="Arial" w:cs="Arial"/>
          <w:b/>
          <w:bCs/>
          <w:sz w:val="20"/>
          <w:szCs w:val="20"/>
        </w:rPr>
        <w:t>19</w:t>
      </w:r>
      <w:r w:rsidRPr="00EE1353">
        <w:rPr>
          <w:rFonts w:ascii="Arial" w:hAnsi="Arial" w:cs="Arial"/>
          <w:sz w:val="20"/>
          <w:szCs w:val="20"/>
        </w:rPr>
        <w:t>: 903-930.</w:t>
      </w:r>
    </w:p>
    <w:p w14:paraId="445885DB"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Durif, C.M.F, </w:t>
      </w:r>
      <w:proofErr w:type="spellStart"/>
      <w:r w:rsidRPr="00EE1353">
        <w:rPr>
          <w:rFonts w:ascii="Arial" w:hAnsi="Arial" w:cs="Arial"/>
          <w:sz w:val="20"/>
          <w:szCs w:val="20"/>
        </w:rPr>
        <w:t>Gjøsæter</w:t>
      </w:r>
      <w:proofErr w:type="spellEnd"/>
      <w:r w:rsidRPr="00EE1353">
        <w:rPr>
          <w:rFonts w:ascii="Arial" w:hAnsi="Arial" w:cs="Arial"/>
          <w:sz w:val="20"/>
          <w:szCs w:val="20"/>
        </w:rPr>
        <w:t xml:space="preserve">, J. and </w:t>
      </w:r>
      <w:proofErr w:type="spellStart"/>
      <w:r w:rsidRPr="00EE1353">
        <w:rPr>
          <w:rFonts w:ascii="Arial" w:hAnsi="Arial" w:cs="Arial"/>
          <w:sz w:val="20"/>
          <w:szCs w:val="20"/>
        </w:rPr>
        <w:t>Vøllestad</w:t>
      </w:r>
      <w:proofErr w:type="spellEnd"/>
      <w:r w:rsidRPr="00EE1353">
        <w:rPr>
          <w:rFonts w:ascii="Arial" w:hAnsi="Arial" w:cs="Arial"/>
          <w:sz w:val="20"/>
          <w:szCs w:val="20"/>
        </w:rPr>
        <w:t xml:space="preserve">, L.A. (2011). Influence of oceanic factors on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(L.) over the twentieth century in coastal habitats of the Skagerrak, southern Norway. </w:t>
      </w:r>
      <w:r w:rsidRPr="00EE1353">
        <w:rPr>
          <w:rFonts w:ascii="Arial" w:hAnsi="Arial" w:cs="Arial"/>
          <w:i/>
          <w:iCs/>
          <w:sz w:val="20"/>
          <w:szCs w:val="20"/>
        </w:rPr>
        <w:t>Proceeding of the Royal Society B</w:t>
      </w:r>
      <w:r w:rsidRPr="00EE1353">
        <w:rPr>
          <w:rFonts w:ascii="Arial" w:hAnsi="Arial" w:cs="Arial"/>
          <w:sz w:val="20"/>
          <w:szCs w:val="20"/>
        </w:rPr>
        <w:t xml:space="preserve"> </w:t>
      </w:r>
      <w:r w:rsidRPr="00EE1353">
        <w:rPr>
          <w:rFonts w:ascii="Arial" w:hAnsi="Arial" w:cs="Arial"/>
          <w:b/>
          <w:bCs/>
          <w:sz w:val="20"/>
          <w:szCs w:val="20"/>
        </w:rPr>
        <w:t>278</w:t>
      </w:r>
      <w:r w:rsidRPr="00EE1353">
        <w:rPr>
          <w:rFonts w:ascii="Arial" w:hAnsi="Arial" w:cs="Arial"/>
          <w:sz w:val="20"/>
          <w:szCs w:val="20"/>
        </w:rPr>
        <w:t>: 464-473.</w:t>
      </w:r>
    </w:p>
    <w:p w14:paraId="1313FEB9"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Engström, H. (2001). Long term effects of cormorant predation on fish communities and fishery in a freshwater lake. </w:t>
      </w:r>
      <w:proofErr w:type="spellStart"/>
      <w:r w:rsidRPr="00EE1353">
        <w:rPr>
          <w:rFonts w:ascii="Arial" w:hAnsi="Arial" w:cs="Arial"/>
          <w:i/>
          <w:iCs/>
          <w:sz w:val="20"/>
          <w:szCs w:val="20"/>
        </w:rPr>
        <w:t>Ecography</w:t>
      </w:r>
      <w:proofErr w:type="spellEnd"/>
      <w:r w:rsidRPr="00EE1353">
        <w:rPr>
          <w:rFonts w:ascii="Arial" w:hAnsi="Arial" w:cs="Arial"/>
          <w:sz w:val="20"/>
          <w:szCs w:val="20"/>
        </w:rPr>
        <w:t xml:space="preserve">. </w:t>
      </w:r>
      <w:r w:rsidRPr="00EE1353">
        <w:rPr>
          <w:rFonts w:ascii="Arial" w:hAnsi="Arial" w:cs="Arial"/>
          <w:b/>
          <w:bCs/>
          <w:sz w:val="20"/>
          <w:szCs w:val="20"/>
        </w:rPr>
        <w:t>24</w:t>
      </w:r>
      <w:r w:rsidRPr="00EE1353">
        <w:rPr>
          <w:rFonts w:ascii="Arial" w:hAnsi="Arial" w:cs="Arial"/>
          <w:sz w:val="20"/>
          <w:szCs w:val="20"/>
        </w:rPr>
        <w:t>: 127–138.</w:t>
      </w:r>
    </w:p>
    <w:p w14:paraId="011FC2B9"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European Commission (2020). Coffey, Directorate-General for Maritime Affairs and Fisheries, </w:t>
      </w:r>
      <w:proofErr w:type="spellStart"/>
      <w:r w:rsidRPr="00EE1353">
        <w:rPr>
          <w:rFonts w:ascii="Arial" w:hAnsi="Arial" w:cs="Arial"/>
          <w:sz w:val="20"/>
          <w:szCs w:val="20"/>
        </w:rPr>
        <w:t>Economisti</w:t>
      </w:r>
      <w:proofErr w:type="spellEnd"/>
      <w:r w:rsidRPr="00EE1353">
        <w:rPr>
          <w:rFonts w:ascii="Arial" w:hAnsi="Arial" w:cs="Arial"/>
          <w:sz w:val="20"/>
          <w:szCs w:val="20"/>
        </w:rPr>
        <w:t xml:space="preserve"> </w:t>
      </w:r>
      <w:proofErr w:type="spellStart"/>
      <w:r w:rsidRPr="00EE1353">
        <w:rPr>
          <w:rFonts w:ascii="Arial" w:hAnsi="Arial" w:cs="Arial"/>
          <w:sz w:val="20"/>
          <w:szCs w:val="20"/>
        </w:rPr>
        <w:t>Associati</w:t>
      </w:r>
      <w:proofErr w:type="spellEnd"/>
      <w:r w:rsidRPr="00EE1353">
        <w:rPr>
          <w:rFonts w:ascii="Arial" w:hAnsi="Arial" w:cs="Arial"/>
          <w:sz w:val="20"/>
          <w:szCs w:val="20"/>
        </w:rPr>
        <w:t xml:space="preserve">, EUROFISH, F&amp;S, POSEIDON, MacNab, S., Luchetta, G., Nimmo, F., Huntington, T., Uden, R., Frederickson, </w:t>
      </w:r>
      <w:proofErr w:type="spellStart"/>
      <w:r w:rsidRPr="00EE1353">
        <w:rPr>
          <w:rFonts w:ascii="Arial" w:hAnsi="Arial" w:cs="Arial"/>
          <w:sz w:val="20"/>
          <w:szCs w:val="20"/>
        </w:rPr>
        <w:t>M.Caillart</w:t>
      </w:r>
      <w:proofErr w:type="spellEnd"/>
      <w:r w:rsidRPr="00EE1353">
        <w:rPr>
          <w:rFonts w:ascii="Arial" w:hAnsi="Arial" w:cs="Arial"/>
          <w:sz w:val="20"/>
          <w:szCs w:val="20"/>
        </w:rPr>
        <w:t xml:space="preserve">, B., Evaluation of the Eel Regulation – Final report, Publications Office, 2020, </w:t>
      </w:r>
      <w:hyperlink r:id="rId27" w:history="1">
        <w:r w:rsidRPr="00EE1353">
          <w:rPr>
            <w:rStyle w:val="Hyperlink"/>
            <w:rFonts w:ascii="Arial" w:hAnsi="Arial" w:cs="Arial"/>
            <w:sz w:val="20"/>
            <w:szCs w:val="20"/>
          </w:rPr>
          <w:t>https://data.europa.eu/doi/10.2771/679816</w:t>
        </w:r>
      </w:hyperlink>
    </w:p>
    <w:p w14:paraId="3A7DD992"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Fleming, L.V. , Walker, A. , Evans, D. , Aprahamian, M., James, M. , Bašić, T. , Watts, S., Horsburgh, G., Allin, R., Blake, K., Connor, S., McAlpine, J. &amp; Littlewood, A.H.L. (2023). Non-detriment finding assessment for the export from the United Kingdom of CITES-listed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w:t>
      </w:r>
      <w:r w:rsidRPr="00EE1353">
        <w:rPr>
          <w:rFonts w:ascii="Arial" w:hAnsi="Arial" w:cs="Arial"/>
          <w:sz w:val="20"/>
          <w:szCs w:val="20"/>
        </w:rPr>
        <w:t>a</w:t>
      </w:r>
      <w:proofErr w:type="spellEnd"/>
      <w:r w:rsidRPr="00EE1353">
        <w:rPr>
          <w:rFonts w:ascii="Arial" w:hAnsi="Arial" w:cs="Arial"/>
          <w:sz w:val="20"/>
          <w:szCs w:val="20"/>
        </w:rPr>
        <w:t xml:space="preserve"> (2023–26). </w:t>
      </w:r>
      <w:r w:rsidRPr="00EE1353">
        <w:rPr>
          <w:rFonts w:ascii="Arial" w:hAnsi="Arial" w:cs="Arial"/>
          <w:i/>
          <w:iCs/>
          <w:sz w:val="20"/>
          <w:szCs w:val="20"/>
        </w:rPr>
        <w:t>JNCC Report 745</w:t>
      </w:r>
      <w:r w:rsidRPr="00EE1353">
        <w:rPr>
          <w:rFonts w:ascii="Arial" w:hAnsi="Arial" w:cs="Arial"/>
          <w:sz w:val="20"/>
          <w:szCs w:val="20"/>
        </w:rPr>
        <w:t xml:space="preserve">, JNCC, Peterborough, ISSN 0963-8091 </w:t>
      </w:r>
    </w:p>
    <w:p w14:paraId="09108FE2" w14:textId="77777777" w:rsidR="00923B2C" w:rsidRPr="00EE1353" w:rsidRDefault="009C7B40">
      <w:pPr>
        <w:pStyle w:val="NoSpacing"/>
        <w:spacing w:after="80"/>
        <w:ind w:left="567" w:hanging="567"/>
        <w:rPr>
          <w:rFonts w:ascii="Arial" w:hAnsi="Arial" w:cs="Arial"/>
          <w:color w:val="000000"/>
          <w:sz w:val="20"/>
          <w:szCs w:val="20"/>
        </w:rPr>
      </w:pPr>
      <w:r w:rsidRPr="00EE1353">
        <w:rPr>
          <w:rFonts w:ascii="Arial" w:hAnsi="Arial" w:cs="Arial"/>
          <w:sz w:val="20"/>
          <w:szCs w:val="20"/>
        </w:rPr>
        <w:t xml:space="preserve">Geeraerts, C. and </w:t>
      </w:r>
      <w:proofErr w:type="spellStart"/>
      <w:r w:rsidRPr="00EE1353">
        <w:rPr>
          <w:rFonts w:ascii="Arial" w:hAnsi="Arial" w:cs="Arial"/>
          <w:sz w:val="20"/>
          <w:szCs w:val="20"/>
        </w:rPr>
        <w:t>Belpaire</w:t>
      </w:r>
      <w:proofErr w:type="spellEnd"/>
      <w:r w:rsidRPr="00EE1353">
        <w:rPr>
          <w:rFonts w:ascii="Arial" w:hAnsi="Arial" w:cs="Arial"/>
          <w:sz w:val="20"/>
          <w:szCs w:val="20"/>
        </w:rPr>
        <w:t>, C. (2010).</w:t>
      </w:r>
      <w:r w:rsidRPr="00EE1353">
        <w:rPr>
          <w:rFonts w:ascii="Arial" w:hAnsi="Arial" w:cs="Arial"/>
          <w:color w:val="000000"/>
          <w:sz w:val="20"/>
          <w:szCs w:val="20"/>
        </w:rPr>
        <w:t xml:space="preserve"> </w:t>
      </w:r>
      <w:r w:rsidRPr="00EE1353">
        <w:rPr>
          <w:rFonts w:ascii="Arial" w:hAnsi="Arial" w:cs="Arial"/>
          <w:sz w:val="20"/>
          <w:szCs w:val="20"/>
        </w:rPr>
        <w:t xml:space="preserve">The effects of contaminants in European eel: a review. </w:t>
      </w:r>
      <w:r w:rsidRPr="00EE1353">
        <w:rPr>
          <w:rFonts w:ascii="Arial" w:hAnsi="Arial" w:cs="Arial"/>
          <w:i/>
          <w:iCs/>
          <w:sz w:val="20"/>
          <w:szCs w:val="20"/>
        </w:rPr>
        <w:t>Ecotoxicology</w:t>
      </w:r>
      <w:r w:rsidRPr="00EE1353">
        <w:rPr>
          <w:rFonts w:ascii="Arial" w:hAnsi="Arial" w:cs="Arial"/>
          <w:sz w:val="20"/>
          <w:szCs w:val="20"/>
        </w:rPr>
        <w:t xml:space="preserve"> </w:t>
      </w:r>
      <w:r w:rsidRPr="00EE1353">
        <w:rPr>
          <w:rFonts w:ascii="Arial" w:hAnsi="Arial" w:cs="Arial"/>
          <w:b/>
          <w:bCs/>
          <w:sz w:val="20"/>
          <w:szCs w:val="20"/>
        </w:rPr>
        <w:t>19</w:t>
      </w:r>
      <w:r w:rsidRPr="00EE1353">
        <w:rPr>
          <w:rFonts w:ascii="Arial" w:hAnsi="Arial" w:cs="Arial"/>
          <w:sz w:val="20"/>
          <w:szCs w:val="20"/>
        </w:rPr>
        <w:t>: 239–266</w:t>
      </w:r>
      <w:r w:rsidRPr="00EE1353">
        <w:rPr>
          <w:rFonts w:ascii="Arial" w:hAnsi="Arial" w:cs="Arial"/>
          <w:color w:val="000000"/>
          <w:sz w:val="20"/>
          <w:szCs w:val="20"/>
        </w:rPr>
        <w:t>.</w:t>
      </w:r>
    </w:p>
    <w:p w14:paraId="5B6C87DF" w14:textId="77777777" w:rsidR="00923B2C" w:rsidRPr="00EE1353" w:rsidRDefault="009C7B40">
      <w:pPr>
        <w:pStyle w:val="NoSpacing"/>
        <w:spacing w:after="80"/>
        <w:ind w:left="567" w:hanging="567"/>
        <w:rPr>
          <w:rFonts w:ascii="Arial" w:hAnsi="Arial" w:cs="Arial"/>
          <w:sz w:val="20"/>
          <w:szCs w:val="20"/>
        </w:rPr>
      </w:pPr>
      <w:proofErr w:type="spellStart"/>
      <w:r w:rsidRPr="00EE1353">
        <w:rPr>
          <w:rFonts w:ascii="Arial" w:hAnsi="Arial" w:cs="Arial"/>
          <w:sz w:val="20"/>
          <w:szCs w:val="20"/>
        </w:rPr>
        <w:t>Gollock</w:t>
      </w:r>
      <w:proofErr w:type="spellEnd"/>
      <w:r w:rsidRPr="00EE1353">
        <w:rPr>
          <w:rFonts w:ascii="Arial" w:hAnsi="Arial" w:cs="Arial"/>
          <w:sz w:val="20"/>
          <w:szCs w:val="20"/>
        </w:rPr>
        <w:t xml:space="preserve">, M.J., Kennedy C.R. and Brown, J.A. (2005). European eels,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(L.), infected with </w:t>
      </w:r>
      <w:proofErr w:type="spellStart"/>
      <w:r w:rsidRPr="00EE1353">
        <w:rPr>
          <w:rFonts w:ascii="Arial" w:hAnsi="Arial" w:cs="Arial"/>
          <w:i/>
          <w:iCs/>
          <w:sz w:val="20"/>
          <w:szCs w:val="20"/>
        </w:rPr>
        <w:t>Anguillicola</w:t>
      </w:r>
      <w:proofErr w:type="spellEnd"/>
      <w:r w:rsidRPr="00EE1353">
        <w:rPr>
          <w:rFonts w:ascii="Arial" w:hAnsi="Arial" w:cs="Arial"/>
          <w:i/>
          <w:iCs/>
          <w:sz w:val="20"/>
          <w:szCs w:val="20"/>
        </w:rPr>
        <w:t xml:space="preserve"> </w:t>
      </w:r>
      <w:proofErr w:type="spellStart"/>
      <w:r w:rsidRPr="00EE1353">
        <w:rPr>
          <w:rFonts w:ascii="Arial" w:hAnsi="Arial" w:cs="Arial"/>
          <w:i/>
          <w:iCs/>
          <w:sz w:val="20"/>
          <w:szCs w:val="20"/>
        </w:rPr>
        <w:t>crassus</w:t>
      </w:r>
      <w:proofErr w:type="spellEnd"/>
      <w:r w:rsidRPr="00EE1353">
        <w:rPr>
          <w:rFonts w:ascii="Arial" w:hAnsi="Arial" w:cs="Arial"/>
          <w:sz w:val="20"/>
          <w:szCs w:val="20"/>
        </w:rPr>
        <w:t xml:space="preserve"> exhibit a more pronounced stress response to severe hypoxia than uninfected eels. </w:t>
      </w:r>
      <w:r w:rsidRPr="00EE1353">
        <w:rPr>
          <w:rFonts w:ascii="Arial" w:hAnsi="Arial" w:cs="Arial"/>
          <w:i/>
          <w:iCs/>
          <w:sz w:val="20"/>
          <w:szCs w:val="20"/>
        </w:rPr>
        <w:t>Journal of Fish Diseases</w:t>
      </w:r>
      <w:r w:rsidRPr="00EE1353">
        <w:rPr>
          <w:rFonts w:ascii="Arial" w:hAnsi="Arial" w:cs="Arial"/>
          <w:sz w:val="20"/>
          <w:szCs w:val="20"/>
        </w:rPr>
        <w:t xml:space="preserve"> </w:t>
      </w:r>
      <w:r w:rsidRPr="00EE1353">
        <w:rPr>
          <w:rFonts w:ascii="Arial" w:hAnsi="Arial" w:cs="Arial"/>
          <w:b/>
          <w:bCs/>
          <w:sz w:val="20"/>
          <w:szCs w:val="20"/>
        </w:rPr>
        <w:t>28</w:t>
      </w:r>
      <w:r w:rsidRPr="00EE1353">
        <w:rPr>
          <w:rFonts w:ascii="Arial" w:hAnsi="Arial" w:cs="Arial"/>
          <w:sz w:val="20"/>
          <w:szCs w:val="20"/>
        </w:rPr>
        <w:t>: 429–436.</w:t>
      </w:r>
    </w:p>
    <w:p w14:paraId="6DA56DBF"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Hansson, S., Bergström, U., </w:t>
      </w:r>
      <w:proofErr w:type="spellStart"/>
      <w:r w:rsidRPr="00EE1353">
        <w:rPr>
          <w:rFonts w:ascii="Arial" w:hAnsi="Arial" w:cs="Arial"/>
          <w:sz w:val="20"/>
          <w:szCs w:val="20"/>
        </w:rPr>
        <w:t>Bonsdorff</w:t>
      </w:r>
      <w:proofErr w:type="spellEnd"/>
      <w:r w:rsidRPr="00EE1353">
        <w:rPr>
          <w:rFonts w:ascii="Arial" w:hAnsi="Arial" w:cs="Arial"/>
          <w:sz w:val="20"/>
          <w:szCs w:val="20"/>
        </w:rPr>
        <w:t xml:space="preserve">, E., Härkönen, T., Jepsen, N., Kautsky, L., Lundström, K., </w:t>
      </w:r>
      <w:proofErr w:type="spellStart"/>
      <w:r w:rsidRPr="00EE1353">
        <w:rPr>
          <w:rFonts w:ascii="Arial" w:hAnsi="Arial" w:cs="Arial"/>
          <w:sz w:val="20"/>
          <w:szCs w:val="20"/>
        </w:rPr>
        <w:t>Lunneryd</w:t>
      </w:r>
      <w:proofErr w:type="spellEnd"/>
      <w:r w:rsidRPr="00EE1353">
        <w:rPr>
          <w:rFonts w:ascii="Arial" w:hAnsi="Arial" w:cs="Arial"/>
          <w:sz w:val="20"/>
          <w:szCs w:val="20"/>
        </w:rPr>
        <w:t xml:space="preserve">, S.-G., </w:t>
      </w:r>
      <w:proofErr w:type="spellStart"/>
      <w:r w:rsidRPr="00EE1353">
        <w:rPr>
          <w:rFonts w:ascii="Arial" w:hAnsi="Arial" w:cs="Arial"/>
          <w:sz w:val="20"/>
          <w:szCs w:val="20"/>
        </w:rPr>
        <w:t>Ovegård</w:t>
      </w:r>
      <w:proofErr w:type="spellEnd"/>
      <w:r w:rsidRPr="00EE1353">
        <w:rPr>
          <w:rFonts w:ascii="Arial" w:hAnsi="Arial" w:cs="Arial"/>
          <w:sz w:val="20"/>
          <w:szCs w:val="20"/>
        </w:rPr>
        <w:t xml:space="preserve">, M., Salmi, J., Sendek, D. and </w:t>
      </w:r>
      <w:proofErr w:type="spellStart"/>
      <w:r w:rsidRPr="00EE1353">
        <w:rPr>
          <w:rFonts w:ascii="Arial" w:hAnsi="Arial" w:cs="Arial"/>
          <w:sz w:val="20"/>
          <w:szCs w:val="20"/>
        </w:rPr>
        <w:t>Vetemaa</w:t>
      </w:r>
      <w:proofErr w:type="spellEnd"/>
      <w:r w:rsidRPr="00EE1353">
        <w:rPr>
          <w:rFonts w:ascii="Arial" w:hAnsi="Arial" w:cs="Arial"/>
          <w:sz w:val="20"/>
          <w:szCs w:val="20"/>
        </w:rPr>
        <w:t xml:space="preserve">, M. (2017). Competition for the fish–fish extraction from the Baltic Sea by humans, aquatic mammals, and birds. </w:t>
      </w:r>
      <w:r w:rsidRPr="00EE1353">
        <w:rPr>
          <w:rFonts w:ascii="Arial" w:hAnsi="Arial" w:cs="Arial"/>
          <w:i/>
          <w:iCs/>
          <w:sz w:val="20"/>
          <w:szCs w:val="20"/>
        </w:rPr>
        <w:t>ICES Journal of Marine Science</w:t>
      </w:r>
      <w:r w:rsidRPr="00EE1353">
        <w:rPr>
          <w:rFonts w:ascii="Arial" w:hAnsi="Arial" w:cs="Arial"/>
          <w:sz w:val="20"/>
          <w:szCs w:val="20"/>
        </w:rPr>
        <w:t xml:space="preserve"> </w:t>
      </w:r>
      <w:r w:rsidRPr="00EE1353">
        <w:rPr>
          <w:rFonts w:ascii="Arial" w:hAnsi="Arial" w:cs="Arial"/>
          <w:b/>
          <w:bCs/>
          <w:sz w:val="20"/>
          <w:szCs w:val="20"/>
        </w:rPr>
        <w:t>75(3)</w:t>
      </w:r>
      <w:r w:rsidRPr="00EE1353">
        <w:rPr>
          <w:rFonts w:ascii="Arial" w:hAnsi="Arial" w:cs="Arial"/>
          <w:sz w:val="20"/>
          <w:szCs w:val="20"/>
        </w:rPr>
        <w:t>: 999–1008.</w:t>
      </w:r>
    </w:p>
    <w:p w14:paraId="2DF93B7D"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lastRenderedPageBreak/>
        <w:t>Henderson, P.A., Plenty, S.J., Newton, L.C. and Bird, D.J. (2012). Evidence for a population collapse of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in the Bristol Channel. </w:t>
      </w:r>
      <w:r w:rsidRPr="00EE1353">
        <w:rPr>
          <w:rFonts w:ascii="Arial" w:hAnsi="Arial" w:cs="Arial"/>
          <w:i/>
          <w:iCs/>
          <w:sz w:val="20"/>
          <w:szCs w:val="20"/>
        </w:rPr>
        <w:t>Journal for the Marine Biological Association of the UK</w:t>
      </w:r>
      <w:r w:rsidRPr="00EE1353">
        <w:rPr>
          <w:rFonts w:ascii="Arial" w:hAnsi="Arial" w:cs="Arial"/>
          <w:sz w:val="20"/>
          <w:szCs w:val="20"/>
        </w:rPr>
        <w:t xml:space="preserve"> </w:t>
      </w:r>
      <w:r w:rsidRPr="00EE1353">
        <w:rPr>
          <w:rFonts w:ascii="Arial" w:hAnsi="Arial" w:cs="Arial"/>
          <w:b/>
          <w:bCs/>
          <w:sz w:val="20"/>
          <w:szCs w:val="20"/>
        </w:rPr>
        <w:t>92</w:t>
      </w:r>
      <w:r w:rsidRPr="00EE1353">
        <w:rPr>
          <w:rFonts w:ascii="Arial" w:hAnsi="Arial" w:cs="Arial"/>
          <w:sz w:val="20"/>
          <w:szCs w:val="20"/>
        </w:rPr>
        <w:t>: 843-851.</w:t>
      </w:r>
    </w:p>
    <w:p w14:paraId="4D6BFBB5"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Henkel, C.V., </w:t>
      </w:r>
      <w:proofErr w:type="spellStart"/>
      <w:r w:rsidRPr="00EE1353">
        <w:rPr>
          <w:rFonts w:ascii="Arial" w:hAnsi="Arial" w:cs="Arial"/>
          <w:sz w:val="20"/>
          <w:szCs w:val="20"/>
        </w:rPr>
        <w:t>Burgerhout</w:t>
      </w:r>
      <w:proofErr w:type="spellEnd"/>
      <w:r w:rsidRPr="00EE1353">
        <w:rPr>
          <w:rFonts w:ascii="Arial" w:hAnsi="Arial" w:cs="Arial"/>
          <w:sz w:val="20"/>
          <w:szCs w:val="20"/>
        </w:rPr>
        <w:t xml:space="preserve">, E., de </w:t>
      </w:r>
      <w:proofErr w:type="spellStart"/>
      <w:r w:rsidRPr="00EE1353">
        <w:rPr>
          <w:rFonts w:ascii="Arial" w:hAnsi="Arial" w:cs="Arial"/>
          <w:sz w:val="20"/>
          <w:szCs w:val="20"/>
        </w:rPr>
        <w:t>Wijze</w:t>
      </w:r>
      <w:proofErr w:type="spellEnd"/>
      <w:r w:rsidRPr="00EE1353">
        <w:rPr>
          <w:rFonts w:ascii="Arial" w:hAnsi="Arial" w:cs="Arial"/>
          <w:sz w:val="20"/>
          <w:szCs w:val="20"/>
        </w:rPr>
        <w:t xml:space="preserve">, D.L., Dirks, R.P., Minegishi, Y., Jansen, H.J., </w:t>
      </w:r>
      <w:proofErr w:type="spellStart"/>
      <w:r w:rsidRPr="00EE1353">
        <w:rPr>
          <w:rFonts w:ascii="Arial" w:hAnsi="Arial" w:cs="Arial"/>
          <w:sz w:val="20"/>
          <w:szCs w:val="20"/>
        </w:rPr>
        <w:t>Spaink</w:t>
      </w:r>
      <w:proofErr w:type="spellEnd"/>
      <w:r w:rsidRPr="00EE1353">
        <w:rPr>
          <w:rFonts w:ascii="Arial" w:hAnsi="Arial" w:cs="Arial"/>
          <w:sz w:val="20"/>
          <w:szCs w:val="20"/>
        </w:rPr>
        <w:t xml:space="preserve">, H.P., Dufour, S., Weltzien, F., Tsukamoto, K. and van den </w:t>
      </w:r>
      <w:proofErr w:type="spellStart"/>
      <w:r w:rsidRPr="00EE1353">
        <w:rPr>
          <w:rFonts w:ascii="Arial" w:hAnsi="Arial" w:cs="Arial"/>
          <w:sz w:val="20"/>
          <w:szCs w:val="20"/>
        </w:rPr>
        <w:t>Thillart</w:t>
      </w:r>
      <w:proofErr w:type="spellEnd"/>
      <w:r w:rsidRPr="00EE1353">
        <w:rPr>
          <w:rFonts w:ascii="Arial" w:hAnsi="Arial" w:cs="Arial"/>
          <w:sz w:val="20"/>
          <w:szCs w:val="20"/>
        </w:rPr>
        <w:t xml:space="preserve"> G.E.E.J.M (2012) Primitive Duplicate Hox Clusters in the European Eel's Genome. </w:t>
      </w:r>
      <w:proofErr w:type="spellStart"/>
      <w:r w:rsidRPr="00EE1353">
        <w:rPr>
          <w:rFonts w:ascii="Arial" w:hAnsi="Arial" w:cs="Arial"/>
          <w:sz w:val="20"/>
          <w:szCs w:val="20"/>
        </w:rPr>
        <w:t>PLoS</w:t>
      </w:r>
      <w:proofErr w:type="spellEnd"/>
      <w:r w:rsidRPr="00EE1353">
        <w:rPr>
          <w:rFonts w:ascii="Arial" w:hAnsi="Arial" w:cs="Arial"/>
          <w:sz w:val="20"/>
          <w:szCs w:val="20"/>
        </w:rPr>
        <w:t xml:space="preserve"> ONE </w:t>
      </w:r>
      <w:r w:rsidRPr="00EE1353">
        <w:rPr>
          <w:rFonts w:ascii="Arial" w:hAnsi="Arial" w:cs="Arial"/>
          <w:b/>
          <w:bCs/>
          <w:sz w:val="20"/>
          <w:szCs w:val="20"/>
        </w:rPr>
        <w:t>7(2)</w:t>
      </w:r>
      <w:r w:rsidRPr="00EE1353">
        <w:rPr>
          <w:rFonts w:ascii="Arial" w:hAnsi="Arial" w:cs="Arial"/>
          <w:sz w:val="20"/>
          <w:szCs w:val="20"/>
        </w:rPr>
        <w:t xml:space="preserve">: e32231. </w:t>
      </w:r>
      <w:hyperlink r:id="rId28" w:history="1">
        <w:r w:rsidRPr="00EE1353">
          <w:rPr>
            <w:rStyle w:val="Hyperlink"/>
            <w:rFonts w:ascii="Arial" w:hAnsi="Arial" w:cs="Arial"/>
            <w:sz w:val="20"/>
            <w:szCs w:val="20"/>
          </w:rPr>
          <w:t>https://doi.org/10.1371/journal.pone.0032231</w:t>
        </w:r>
      </w:hyperlink>
    </w:p>
    <w:p w14:paraId="42A42BAA"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ICES (2009). Report of the Study Group on Anguillid Eels in Saline Waters (SGAESAW).</w:t>
      </w:r>
    </w:p>
    <w:p w14:paraId="2F2BFB97"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ICES (2018). Report of the 2018 session of the Joint EIFAC/ICES Working Group on Eels.</w:t>
      </w:r>
    </w:p>
    <w:p w14:paraId="455F99BC"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ICES (2019). Joint EIFAAC/ICES/GFCM Working Group on Eels (WGEEL). ICES Scientific Reports. 1:50. 177 pp. </w:t>
      </w:r>
      <w:hyperlink r:id="rId29" w:history="1">
        <w:r w:rsidRPr="00EE1353">
          <w:rPr>
            <w:rStyle w:val="Hyperlink"/>
            <w:rFonts w:ascii="Arial" w:hAnsi="Arial" w:cs="Arial"/>
            <w:sz w:val="20"/>
            <w:szCs w:val="20"/>
          </w:rPr>
          <w:t>http://doi.org/10.17895/ices.pub.5545</w:t>
        </w:r>
      </w:hyperlink>
      <w:r w:rsidRPr="00EE1353">
        <w:rPr>
          <w:rFonts w:ascii="Arial" w:hAnsi="Arial" w:cs="Arial"/>
          <w:sz w:val="20"/>
          <w:szCs w:val="20"/>
        </w:rPr>
        <w:t xml:space="preserve"> </w:t>
      </w:r>
    </w:p>
    <w:p w14:paraId="7F999EE1"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ICES (2020). Joint EIFAAC/ICES/GFCM Working Group on Eels (WGEEL). ICES Scientific Reports. 2:85. 223 pp. </w:t>
      </w:r>
      <w:hyperlink r:id="rId30" w:history="1">
        <w:r w:rsidRPr="00EE1353">
          <w:rPr>
            <w:rStyle w:val="Hyperlink"/>
            <w:rFonts w:ascii="Arial" w:hAnsi="Arial" w:cs="Arial"/>
            <w:sz w:val="20"/>
            <w:szCs w:val="20"/>
          </w:rPr>
          <w:t>http://doi.org/10.17895/ices.pub.5982</w:t>
        </w:r>
      </w:hyperlink>
    </w:p>
    <w:p w14:paraId="437118EC"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ICES (2021). Workshop on the future of eel advice (WKFEA). ICES Scientific Reports. 3:13. 67 pp. https://doi.org/10.17895/ices.pub.5988</w:t>
      </w:r>
    </w:p>
    <w:p w14:paraId="64D5E0E3"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ICES (2023). Stock Annex: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throughout its natural range. ICES Stock Annexes. </w:t>
      </w:r>
      <w:hyperlink r:id="rId31" w:history="1">
        <w:r w:rsidRPr="00EE1353">
          <w:rPr>
            <w:rStyle w:val="Hyperlink"/>
            <w:rFonts w:ascii="Arial" w:hAnsi="Arial" w:cs="Arial"/>
            <w:sz w:val="20"/>
            <w:szCs w:val="20"/>
          </w:rPr>
          <w:t>https://doi.org/10.17895/ices.pub.24517486</w:t>
        </w:r>
      </w:hyperlink>
    </w:p>
    <w:p w14:paraId="7C21456B"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ICES (2024a).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throughout its natural range. In Report of the ICES Advisory Committee, 2024. ICES Advice 2024, ele.2737.nea. </w:t>
      </w:r>
      <w:hyperlink r:id="rId32" w:history="1">
        <w:r w:rsidRPr="00EE1353">
          <w:rPr>
            <w:rStyle w:val="Hyperlink"/>
            <w:rFonts w:ascii="Arial" w:hAnsi="Arial" w:cs="Arial"/>
            <w:sz w:val="20"/>
            <w:szCs w:val="20"/>
          </w:rPr>
          <w:t>https://doi.org/10.17895/ices.advice.27100516</w:t>
        </w:r>
      </w:hyperlink>
      <w:r w:rsidRPr="00EE1353">
        <w:rPr>
          <w:rFonts w:ascii="Arial" w:hAnsi="Arial" w:cs="Arial"/>
          <w:sz w:val="20"/>
          <w:szCs w:val="20"/>
        </w:rPr>
        <w:t>.</w:t>
      </w:r>
    </w:p>
    <w:p w14:paraId="23711BB9"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ICES (2024b). Joint EIFAAC/ICES/GFCM Working Group on Eels (WGEEL). ICES Scientific Reports. 6:90. 146 pp. </w:t>
      </w:r>
      <w:hyperlink r:id="rId33" w:history="1">
        <w:r w:rsidRPr="00EE1353">
          <w:rPr>
            <w:rStyle w:val="Hyperlink"/>
            <w:rFonts w:ascii="Arial" w:hAnsi="Arial" w:cs="Arial"/>
            <w:sz w:val="20"/>
            <w:szCs w:val="20"/>
          </w:rPr>
          <w:t>https://doi.org/10.17895/ices.pub.27233457</w:t>
        </w:r>
      </w:hyperlink>
    </w:p>
    <w:p w14:paraId="454159CE"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color w:val="000000"/>
          <w:sz w:val="20"/>
          <w:szCs w:val="20"/>
        </w:rPr>
        <w:t xml:space="preserve">ICES (2025). Workshop for the Technical Evaluation of EU Member States’ Eel Regulation Progress Re-ports for Submission in 2024/2025 (WKEMP4). ICES Scientific Reports. 7:36. 175 pp. </w:t>
      </w:r>
      <w:hyperlink r:id="rId34" w:history="1">
        <w:r w:rsidRPr="00EE1353">
          <w:rPr>
            <w:rStyle w:val="Hyperlink"/>
            <w:rFonts w:ascii="Arial" w:hAnsi="Arial" w:cs="Arial"/>
            <w:sz w:val="20"/>
            <w:szCs w:val="20"/>
          </w:rPr>
          <w:t>https://doi.org/10.17895/ices.pub.28788749</w:t>
        </w:r>
      </w:hyperlink>
    </w:p>
    <w:p w14:paraId="771F0641"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Jacoby, D.M.P., Casselman, J.M., Crook, V., DeLucia, M.B., Ahn, H., Kaifu, K., </w:t>
      </w:r>
      <w:proofErr w:type="spellStart"/>
      <w:r w:rsidRPr="00EE1353">
        <w:rPr>
          <w:rFonts w:ascii="Arial" w:hAnsi="Arial" w:cs="Arial"/>
          <w:color w:val="000000"/>
          <w:sz w:val="20"/>
          <w:szCs w:val="20"/>
          <w:lang w:eastAsia="en-AU"/>
        </w:rPr>
        <w:t>Kurwie</w:t>
      </w:r>
      <w:proofErr w:type="spellEnd"/>
      <w:r w:rsidRPr="00EE1353">
        <w:rPr>
          <w:rFonts w:ascii="Arial" w:hAnsi="Arial" w:cs="Arial"/>
          <w:color w:val="000000"/>
          <w:sz w:val="20"/>
          <w:szCs w:val="20"/>
          <w:lang w:eastAsia="en-AU"/>
        </w:rPr>
        <w:t xml:space="preserve">, T., Sasal, P., </w:t>
      </w:r>
      <w:proofErr w:type="spellStart"/>
      <w:r w:rsidRPr="00EE1353">
        <w:rPr>
          <w:rFonts w:ascii="Arial" w:hAnsi="Arial" w:cs="Arial"/>
          <w:color w:val="000000"/>
          <w:sz w:val="20"/>
          <w:szCs w:val="20"/>
          <w:lang w:eastAsia="en-AU"/>
        </w:rPr>
        <w:t>Silfvergrip</w:t>
      </w:r>
      <w:proofErr w:type="spellEnd"/>
      <w:r w:rsidRPr="00EE1353">
        <w:rPr>
          <w:rFonts w:ascii="Arial" w:hAnsi="Arial" w:cs="Arial"/>
          <w:color w:val="000000"/>
          <w:sz w:val="20"/>
          <w:szCs w:val="20"/>
          <w:lang w:eastAsia="en-AU"/>
        </w:rPr>
        <w:t xml:space="preserve">, A.M.C., Smith, K.G., Uchida, K., Walker, A.M. and </w:t>
      </w:r>
      <w:proofErr w:type="spellStart"/>
      <w:r w:rsidRPr="00EE1353">
        <w:rPr>
          <w:rFonts w:ascii="Arial" w:hAnsi="Arial" w:cs="Arial"/>
          <w:color w:val="000000"/>
          <w:sz w:val="20"/>
          <w:szCs w:val="20"/>
          <w:lang w:eastAsia="en-AU"/>
        </w:rPr>
        <w:t>Gollock</w:t>
      </w:r>
      <w:proofErr w:type="spellEnd"/>
      <w:r w:rsidRPr="00EE1353">
        <w:rPr>
          <w:rFonts w:ascii="Arial" w:hAnsi="Arial" w:cs="Arial"/>
          <w:color w:val="000000"/>
          <w:sz w:val="20"/>
          <w:szCs w:val="20"/>
          <w:lang w:eastAsia="en-AU"/>
        </w:rPr>
        <w:t xml:space="preserve">, M. J. (2015). Synergistic patterns of threat and the challenges facing global anguillid eel conservation. </w:t>
      </w:r>
      <w:r w:rsidRPr="00EE1353">
        <w:rPr>
          <w:rFonts w:ascii="Arial" w:hAnsi="Arial" w:cs="Arial"/>
          <w:i/>
          <w:iCs/>
          <w:color w:val="000000"/>
          <w:sz w:val="20"/>
          <w:szCs w:val="20"/>
          <w:lang w:eastAsia="en-AU"/>
        </w:rPr>
        <w:t>Global Ecology and Conservation</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4</w:t>
      </w:r>
      <w:r w:rsidRPr="00EE1353">
        <w:rPr>
          <w:rFonts w:ascii="Arial" w:hAnsi="Arial" w:cs="Arial"/>
          <w:color w:val="000000"/>
          <w:sz w:val="20"/>
          <w:szCs w:val="20"/>
          <w:lang w:eastAsia="en-AU"/>
        </w:rPr>
        <w:t>: 321–333.</w:t>
      </w:r>
    </w:p>
    <w:p w14:paraId="7C3FE452" w14:textId="77777777" w:rsidR="00923B2C" w:rsidRPr="00EE1353" w:rsidRDefault="009C7B40">
      <w:pPr>
        <w:pStyle w:val="NoSpacing"/>
        <w:spacing w:after="80"/>
        <w:ind w:left="567" w:hanging="567"/>
        <w:rPr>
          <w:rFonts w:ascii="Arial" w:hAnsi="Arial" w:cs="Arial"/>
          <w:color w:val="000000"/>
          <w:sz w:val="20"/>
          <w:szCs w:val="20"/>
        </w:rPr>
      </w:pPr>
      <w:proofErr w:type="spellStart"/>
      <w:r w:rsidRPr="00EE1353">
        <w:rPr>
          <w:rFonts w:ascii="Arial" w:hAnsi="Arial" w:cs="Arial"/>
          <w:color w:val="000000"/>
          <w:sz w:val="20"/>
          <w:szCs w:val="20"/>
        </w:rPr>
        <w:t>Laffaille</w:t>
      </w:r>
      <w:proofErr w:type="spellEnd"/>
      <w:r w:rsidRPr="00EE1353">
        <w:rPr>
          <w:rFonts w:ascii="Arial" w:hAnsi="Arial" w:cs="Arial"/>
          <w:color w:val="000000"/>
          <w:sz w:val="20"/>
          <w:szCs w:val="20"/>
        </w:rPr>
        <w:t xml:space="preserve">, P., </w:t>
      </w:r>
      <w:proofErr w:type="spellStart"/>
      <w:r w:rsidRPr="00EE1353">
        <w:rPr>
          <w:rFonts w:ascii="Arial" w:hAnsi="Arial" w:cs="Arial"/>
          <w:color w:val="000000"/>
          <w:sz w:val="20"/>
          <w:szCs w:val="20"/>
        </w:rPr>
        <w:t>Baisez</w:t>
      </w:r>
      <w:proofErr w:type="spellEnd"/>
      <w:r w:rsidRPr="00EE1353">
        <w:rPr>
          <w:rFonts w:ascii="Arial" w:hAnsi="Arial" w:cs="Arial"/>
          <w:color w:val="000000"/>
          <w:sz w:val="20"/>
          <w:szCs w:val="20"/>
        </w:rPr>
        <w:t xml:space="preserve">, A., Rigaud, C., and </w:t>
      </w:r>
      <w:proofErr w:type="spellStart"/>
      <w:r w:rsidRPr="00EE1353">
        <w:rPr>
          <w:rFonts w:ascii="Arial" w:hAnsi="Arial" w:cs="Arial"/>
          <w:color w:val="000000"/>
          <w:sz w:val="20"/>
          <w:szCs w:val="20"/>
        </w:rPr>
        <w:t>Feunteun</w:t>
      </w:r>
      <w:proofErr w:type="spellEnd"/>
      <w:r w:rsidRPr="00EE1353">
        <w:rPr>
          <w:rFonts w:ascii="Arial" w:hAnsi="Arial" w:cs="Arial"/>
          <w:color w:val="000000"/>
          <w:sz w:val="20"/>
          <w:szCs w:val="20"/>
        </w:rPr>
        <w:t xml:space="preserve">, E. (2004). Habitat preferences of different European eel size classes in a reclaimed marsh: A contribution to species and ecosystem conservation. </w:t>
      </w:r>
      <w:r w:rsidRPr="00EE1353">
        <w:rPr>
          <w:rFonts w:ascii="Arial" w:hAnsi="Arial" w:cs="Arial"/>
          <w:i/>
          <w:iCs/>
          <w:color w:val="000000"/>
          <w:sz w:val="20"/>
          <w:szCs w:val="20"/>
        </w:rPr>
        <w:t>Wetlands</w:t>
      </w:r>
      <w:r w:rsidRPr="00EE1353">
        <w:rPr>
          <w:rFonts w:ascii="Arial" w:hAnsi="Arial" w:cs="Arial"/>
          <w:color w:val="000000"/>
          <w:sz w:val="20"/>
          <w:szCs w:val="20"/>
        </w:rPr>
        <w:t xml:space="preserve"> </w:t>
      </w:r>
      <w:r w:rsidRPr="00EE1353">
        <w:rPr>
          <w:rFonts w:ascii="Arial" w:hAnsi="Arial" w:cs="Arial"/>
          <w:b/>
          <w:bCs/>
          <w:color w:val="000000"/>
          <w:sz w:val="20"/>
          <w:szCs w:val="20"/>
        </w:rPr>
        <w:t>24</w:t>
      </w:r>
      <w:r w:rsidRPr="00EE1353">
        <w:rPr>
          <w:rFonts w:ascii="Arial" w:hAnsi="Arial" w:cs="Arial"/>
          <w:color w:val="000000"/>
          <w:sz w:val="20"/>
          <w:szCs w:val="20"/>
        </w:rPr>
        <w:t xml:space="preserve"> 642–651. </w:t>
      </w:r>
      <w:hyperlink r:id="rId35" w:history="1">
        <w:r w:rsidRPr="00EE1353">
          <w:rPr>
            <w:rStyle w:val="Hyperlink"/>
            <w:rFonts w:ascii="Arial" w:hAnsi="Arial" w:cs="Arial"/>
            <w:sz w:val="20"/>
            <w:szCs w:val="20"/>
          </w:rPr>
          <w:t>https://doi.org/10.1672/0277-5212(2004)024[0642:HPODEE]2.0.CO;2</w:t>
        </w:r>
      </w:hyperlink>
    </w:p>
    <w:p w14:paraId="3A270F9B"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color w:val="000000"/>
          <w:sz w:val="20"/>
          <w:szCs w:val="20"/>
        </w:rPr>
        <w:t xml:space="preserve">Kettle, A.J., </w:t>
      </w:r>
      <w:proofErr w:type="spellStart"/>
      <w:r w:rsidRPr="00EE1353">
        <w:rPr>
          <w:rFonts w:ascii="Arial" w:hAnsi="Arial" w:cs="Arial"/>
          <w:color w:val="000000"/>
          <w:sz w:val="20"/>
          <w:szCs w:val="20"/>
        </w:rPr>
        <w:t>Vøllestad</w:t>
      </w:r>
      <w:proofErr w:type="spellEnd"/>
      <w:r w:rsidRPr="00EE1353">
        <w:rPr>
          <w:rFonts w:ascii="Arial" w:hAnsi="Arial" w:cs="Arial"/>
          <w:color w:val="000000"/>
          <w:sz w:val="20"/>
          <w:szCs w:val="20"/>
        </w:rPr>
        <w:t xml:space="preserve">, L.A. and </w:t>
      </w:r>
      <w:proofErr w:type="spellStart"/>
      <w:r w:rsidRPr="00EE1353">
        <w:rPr>
          <w:rFonts w:ascii="Arial" w:hAnsi="Arial" w:cs="Arial"/>
          <w:color w:val="000000"/>
          <w:sz w:val="20"/>
          <w:szCs w:val="20"/>
        </w:rPr>
        <w:t>Wibig</w:t>
      </w:r>
      <w:proofErr w:type="spellEnd"/>
      <w:r w:rsidRPr="00EE1353">
        <w:rPr>
          <w:rFonts w:ascii="Arial" w:hAnsi="Arial" w:cs="Arial"/>
          <w:color w:val="000000"/>
          <w:sz w:val="20"/>
          <w:szCs w:val="20"/>
        </w:rPr>
        <w:t xml:space="preserve">, J. (2011). Where once the eel and the elephant were together: decline of the European eel because of changing hydrology in southwest Europe and northwest Africa? </w:t>
      </w:r>
      <w:r w:rsidRPr="00EE1353">
        <w:rPr>
          <w:rFonts w:ascii="Arial" w:hAnsi="Arial" w:cs="Arial"/>
          <w:i/>
          <w:iCs/>
          <w:color w:val="000000"/>
          <w:sz w:val="20"/>
          <w:szCs w:val="20"/>
        </w:rPr>
        <w:t xml:space="preserve">Fish and Fisheries </w:t>
      </w:r>
      <w:r w:rsidRPr="00EE1353">
        <w:rPr>
          <w:rFonts w:ascii="Arial" w:hAnsi="Arial" w:cs="Arial"/>
          <w:b/>
          <w:bCs/>
          <w:sz w:val="20"/>
          <w:szCs w:val="20"/>
        </w:rPr>
        <w:t>12</w:t>
      </w:r>
      <w:r w:rsidRPr="00EE1353">
        <w:rPr>
          <w:rFonts w:ascii="Arial" w:hAnsi="Arial" w:cs="Arial"/>
          <w:sz w:val="20"/>
          <w:szCs w:val="20"/>
        </w:rPr>
        <w:t>:</w:t>
      </w:r>
      <w:r w:rsidRPr="00EE1353">
        <w:rPr>
          <w:rFonts w:ascii="Arial" w:hAnsi="Arial" w:cs="Arial"/>
          <w:b/>
          <w:bCs/>
          <w:sz w:val="20"/>
          <w:szCs w:val="20"/>
        </w:rPr>
        <w:t xml:space="preserve"> </w:t>
      </w:r>
      <w:r w:rsidRPr="00EE1353">
        <w:rPr>
          <w:rFonts w:ascii="Arial" w:hAnsi="Arial" w:cs="Arial"/>
          <w:sz w:val="20"/>
          <w:szCs w:val="20"/>
        </w:rPr>
        <w:t>380–411.</w:t>
      </w:r>
    </w:p>
    <w:p w14:paraId="078E83DB"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McConville, J., </w:t>
      </w:r>
      <w:proofErr w:type="spellStart"/>
      <w:r w:rsidRPr="00EE1353">
        <w:rPr>
          <w:rFonts w:ascii="Arial" w:hAnsi="Arial" w:cs="Arial"/>
          <w:color w:val="000000"/>
          <w:sz w:val="20"/>
          <w:szCs w:val="20"/>
          <w:lang w:eastAsia="en-AU"/>
        </w:rPr>
        <w:t>Fringuelli</w:t>
      </w:r>
      <w:proofErr w:type="spellEnd"/>
      <w:r w:rsidRPr="00EE1353">
        <w:rPr>
          <w:rFonts w:ascii="Arial" w:hAnsi="Arial" w:cs="Arial"/>
          <w:color w:val="000000"/>
          <w:sz w:val="20"/>
          <w:szCs w:val="20"/>
          <w:lang w:eastAsia="en-AU"/>
        </w:rPr>
        <w:t>, E., Evans, D. and Savage, P. (2017). First examination of the Lough Neagh European eel (</w:t>
      </w:r>
      <w:r w:rsidRPr="00EE1353">
        <w:rPr>
          <w:rFonts w:ascii="Arial" w:hAnsi="Arial" w:cs="Arial"/>
          <w:i/>
          <w:iCs/>
          <w:color w:val="000000"/>
          <w:sz w:val="20"/>
          <w:szCs w:val="20"/>
          <w:lang w:eastAsia="en-AU"/>
        </w:rPr>
        <w:t xml:space="preserve">Anguilla </w:t>
      </w:r>
      <w:proofErr w:type="spellStart"/>
      <w:r w:rsidRPr="00EE1353">
        <w:rPr>
          <w:rFonts w:ascii="Arial" w:hAnsi="Arial" w:cs="Arial"/>
          <w:i/>
          <w:iCs/>
          <w:color w:val="000000"/>
          <w:sz w:val="20"/>
          <w:szCs w:val="20"/>
          <w:lang w:eastAsia="en-AU"/>
        </w:rPr>
        <w:t>anguilla</w:t>
      </w:r>
      <w:proofErr w:type="spellEnd"/>
      <w:r w:rsidRPr="00EE1353">
        <w:rPr>
          <w:rFonts w:ascii="Arial" w:hAnsi="Arial" w:cs="Arial"/>
          <w:color w:val="000000"/>
          <w:sz w:val="20"/>
          <w:szCs w:val="20"/>
          <w:lang w:eastAsia="en-AU"/>
        </w:rPr>
        <w:t>) population for eel virus European, eel virus European X and Anguillid Herpesvirus</w:t>
      </w:r>
      <w:r w:rsidRPr="00EE1353">
        <w:rPr>
          <w:rFonts w:ascii="Cambria Math" w:hAnsi="Cambria Math" w:cs="Cambria Math"/>
          <w:color w:val="000000"/>
          <w:sz w:val="20"/>
          <w:szCs w:val="20"/>
          <w:lang w:eastAsia="en-AU"/>
        </w:rPr>
        <w:t>‐</w:t>
      </w:r>
      <w:r w:rsidRPr="00EE1353">
        <w:rPr>
          <w:rFonts w:ascii="Arial" w:hAnsi="Arial" w:cs="Arial"/>
          <w:color w:val="000000"/>
          <w:sz w:val="20"/>
          <w:szCs w:val="20"/>
          <w:lang w:eastAsia="en-AU"/>
        </w:rPr>
        <w:t xml:space="preserve">1 infection by employing novel molecular techniques. </w:t>
      </w:r>
      <w:r w:rsidRPr="00EE1353">
        <w:rPr>
          <w:rFonts w:ascii="Arial" w:hAnsi="Arial" w:cs="Arial"/>
          <w:i/>
          <w:iCs/>
          <w:color w:val="000000"/>
          <w:sz w:val="20"/>
          <w:szCs w:val="20"/>
          <w:lang w:eastAsia="en-AU"/>
        </w:rPr>
        <w:t>Journal of Fish Diseases</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41:</w:t>
      </w:r>
      <w:r w:rsidRPr="00EE1353">
        <w:rPr>
          <w:rFonts w:ascii="Arial" w:hAnsi="Arial" w:cs="Arial"/>
          <w:color w:val="000000"/>
          <w:sz w:val="20"/>
          <w:szCs w:val="20"/>
          <w:lang w:eastAsia="en-AU"/>
        </w:rPr>
        <w:t xml:space="preserve"> 1783-1791.</w:t>
      </w:r>
    </w:p>
    <w:p w14:paraId="0165142C"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Mestav, B., </w:t>
      </w:r>
      <w:proofErr w:type="spellStart"/>
      <w:r w:rsidRPr="00EE1353">
        <w:rPr>
          <w:rFonts w:ascii="Arial" w:hAnsi="Arial" w:cs="Arial"/>
          <w:color w:val="000000"/>
          <w:sz w:val="20"/>
          <w:szCs w:val="20"/>
          <w:lang w:eastAsia="en-AU"/>
        </w:rPr>
        <w:t>Özdilek</w:t>
      </w:r>
      <w:proofErr w:type="spellEnd"/>
      <w:r w:rsidRPr="00EE1353">
        <w:rPr>
          <w:rFonts w:ascii="Arial" w:hAnsi="Arial" w:cs="Arial"/>
          <w:color w:val="000000"/>
          <w:sz w:val="20"/>
          <w:szCs w:val="20"/>
          <w:lang w:eastAsia="en-AU"/>
        </w:rPr>
        <w:t xml:space="preserve">, Ş.Y., Acar, Z., Gökkaya, K. and </w:t>
      </w:r>
      <w:proofErr w:type="spellStart"/>
      <w:r w:rsidRPr="00EE1353">
        <w:rPr>
          <w:rFonts w:ascii="Arial" w:hAnsi="Arial" w:cs="Arial"/>
          <w:color w:val="000000"/>
          <w:sz w:val="20"/>
          <w:szCs w:val="20"/>
          <w:lang w:eastAsia="en-AU"/>
        </w:rPr>
        <w:t>Partal</w:t>
      </w:r>
      <w:proofErr w:type="spellEnd"/>
      <w:r w:rsidRPr="00EE1353">
        <w:rPr>
          <w:rFonts w:ascii="Arial" w:hAnsi="Arial" w:cs="Arial"/>
          <w:color w:val="000000"/>
          <w:sz w:val="20"/>
          <w:szCs w:val="20"/>
          <w:lang w:eastAsia="en-AU"/>
        </w:rPr>
        <w:t xml:space="preserve">, N. (2024). Climate change effects on abundance and distribution of the European eel in Türkiye. </w:t>
      </w:r>
      <w:r w:rsidRPr="00EE1353">
        <w:rPr>
          <w:rFonts w:ascii="Arial" w:hAnsi="Arial" w:cs="Arial"/>
          <w:i/>
          <w:iCs/>
          <w:color w:val="000000"/>
          <w:sz w:val="20"/>
          <w:szCs w:val="20"/>
          <w:lang w:eastAsia="en-AU"/>
        </w:rPr>
        <w:t>Fisheries Management and Ecology</w:t>
      </w:r>
      <w:r w:rsidRPr="00EE1353">
        <w:rPr>
          <w:rFonts w:ascii="Arial" w:hAnsi="Arial" w:cs="Arial"/>
          <w:color w:val="000000"/>
          <w:sz w:val="20"/>
          <w:szCs w:val="20"/>
          <w:lang w:eastAsia="en-AU"/>
        </w:rPr>
        <w:t xml:space="preserve">, 31, e12732. </w:t>
      </w:r>
      <w:hyperlink r:id="rId36" w:history="1">
        <w:r w:rsidRPr="00EE1353">
          <w:rPr>
            <w:rStyle w:val="Hyperlink"/>
            <w:rFonts w:ascii="Arial" w:hAnsi="Arial" w:cs="Arial"/>
            <w:sz w:val="20"/>
            <w:szCs w:val="20"/>
            <w:lang w:eastAsia="en-AU"/>
          </w:rPr>
          <w:t>https://doi.org/10.1111/fme.12732</w:t>
        </w:r>
      </w:hyperlink>
      <w:r w:rsidRPr="00EE1353">
        <w:rPr>
          <w:rFonts w:ascii="Arial" w:hAnsi="Arial" w:cs="Arial"/>
          <w:color w:val="000000"/>
          <w:sz w:val="20"/>
          <w:szCs w:val="20"/>
          <w:lang w:eastAsia="en-AU"/>
        </w:rPr>
        <w:t xml:space="preserve"> </w:t>
      </w:r>
    </w:p>
    <w:p w14:paraId="1DC38486"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Miller, M. J. and Tsukamoto, K. (2016). The ecology of oceanic dispersal and survival of anguillid leptocephali. </w:t>
      </w:r>
      <w:r w:rsidRPr="00EE1353">
        <w:rPr>
          <w:rFonts w:ascii="Arial" w:hAnsi="Arial" w:cs="Arial"/>
          <w:i/>
          <w:iCs/>
          <w:color w:val="000000"/>
          <w:sz w:val="20"/>
          <w:szCs w:val="20"/>
          <w:lang w:eastAsia="en-AU"/>
        </w:rPr>
        <w:t>Canadian Journal of Fisheries and Aquatic Sciences</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74</w:t>
      </w:r>
      <w:r w:rsidRPr="00EE1353">
        <w:rPr>
          <w:rFonts w:ascii="Arial" w:hAnsi="Arial" w:cs="Arial"/>
          <w:color w:val="000000"/>
          <w:sz w:val="20"/>
          <w:szCs w:val="20"/>
          <w:lang w:eastAsia="en-AU"/>
        </w:rPr>
        <w:t>: 958-971.</w:t>
      </w:r>
    </w:p>
    <w:p w14:paraId="70BFC66B" w14:textId="77777777" w:rsidR="00923B2C" w:rsidRPr="00EE1353" w:rsidRDefault="009C7B40">
      <w:pPr>
        <w:pStyle w:val="NoSpacing"/>
        <w:spacing w:after="80"/>
        <w:ind w:left="567" w:hanging="567"/>
        <w:rPr>
          <w:rFonts w:ascii="Arial" w:eastAsia="Times New Roman" w:hAnsi="Arial" w:cs="Arial"/>
          <w:sz w:val="20"/>
          <w:szCs w:val="20"/>
          <w:lang w:eastAsia="en-GB"/>
        </w:rPr>
      </w:pPr>
      <w:r w:rsidRPr="00EE1353">
        <w:rPr>
          <w:rFonts w:ascii="Arial" w:eastAsia="Times New Roman" w:hAnsi="Arial" w:cs="Arial"/>
          <w:sz w:val="20"/>
          <w:szCs w:val="20"/>
          <w:lang w:eastAsia="en-GB"/>
        </w:rPr>
        <w:t xml:space="preserve">Miller, M. J., Kimura, S., Friedland, K. D., Knights, B., Kim, H., </w:t>
      </w:r>
      <w:proofErr w:type="spellStart"/>
      <w:r w:rsidRPr="00EE1353">
        <w:rPr>
          <w:rFonts w:ascii="Arial" w:eastAsia="Times New Roman" w:hAnsi="Arial" w:cs="Arial"/>
          <w:sz w:val="20"/>
          <w:szCs w:val="20"/>
          <w:lang w:eastAsia="en-GB"/>
        </w:rPr>
        <w:t>Jellyman</w:t>
      </w:r>
      <w:proofErr w:type="spellEnd"/>
      <w:r w:rsidRPr="00EE1353">
        <w:rPr>
          <w:rFonts w:ascii="Arial" w:eastAsia="Times New Roman" w:hAnsi="Arial" w:cs="Arial"/>
          <w:sz w:val="20"/>
          <w:szCs w:val="20"/>
          <w:lang w:eastAsia="en-GB"/>
        </w:rPr>
        <w:t xml:space="preserve">, D. J. and Tsukamoto, K. (2009). Review of ocean-atmospheric factors in the Atlantic and Pacific oceans influencing spawning and recruitment of anguillid eels. Pages 231–249 </w:t>
      </w:r>
      <w:r w:rsidRPr="00EE1353">
        <w:rPr>
          <w:rFonts w:ascii="Arial" w:eastAsia="Times New Roman" w:hAnsi="Arial" w:cs="Arial"/>
          <w:i/>
          <w:iCs/>
          <w:sz w:val="20"/>
          <w:szCs w:val="20"/>
          <w:lang w:eastAsia="en-GB"/>
        </w:rPr>
        <w:t>In</w:t>
      </w:r>
      <w:r w:rsidRPr="00EE1353">
        <w:rPr>
          <w:rFonts w:ascii="Arial" w:eastAsia="Times New Roman" w:hAnsi="Arial" w:cs="Arial"/>
          <w:sz w:val="20"/>
          <w:szCs w:val="20"/>
          <w:lang w:eastAsia="en-GB"/>
        </w:rPr>
        <w:t xml:space="preserve">: Haro, A. J., Smith, K. L., </w:t>
      </w:r>
      <w:proofErr w:type="spellStart"/>
      <w:r w:rsidRPr="00EE1353">
        <w:rPr>
          <w:rFonts w:ascii="Arial" w:eastAsia="Times New Roman" w:hAnsi="Arial" w:cs="Arial"/>
          <w:sz w:val="20"/>
          <w:szCs w:val="20"/>
          <w:lang w:eastAsia="en-GB"/>
        </w:rPr>
        <w:t>Rulifson</w:t>
      </w:r>
      <w:proofErr w:type="spellEnd"/>
      <w:r w:rsidRPr="00EE1353">
        <w:rPr>
          <w:rFonts w:ascii="Arial" w:eastAsia="Times New Roman" w:hAnsi="Arial" w:cs="Arial"/>
          <w:sz w:val="20"/>
          <w:szCs w:val="20"/>
          <w:lang w:eastAsia="en-GB"/>
        </w:rPr>
        <w:t xml:space="preserve">, R. A., Moffitt, C. M., Klauda, R. J., Dadswell, M. J., </w:t>
      </w:r>
      <w:proofErr w:type="spellStart"/>
      <w:r w:rsidRPr="00EE1353">
        <w:rPr>
          <w:rFonts w:ascii="Arial" w:eastAsia="Times New Roman" w:hAnsi="Arial" w:cs="Arial"/>
          <w:sz w:val="20"/>
          <w:szCs w:val="20"/>
          <w:lang w:eastAsia="en-GB"/>
        </w:rPr>
        <w:t>Cunjak</w:t>
      </w:r>
      <w:proofErr w:type="spellEnd"/>
      <w:r w:rsidRPr="00EE1353">
        <w:rPr>
          <w:rFonts w:ascii="Arial" w:eastAsia="Times New Roman" w:hAnsi="Arial" w:cs="Arial"/>
          <w:sz w:val="20"/>
          <w:szCs w:val="20"/>
          <w:lang w:eastAsia="en-GB"/>
        </w:rPr>
        <w:t xml:space="preserve">, R. A., Cooper, J. E., Beal, K. L. and Avery, T. S. editors. Challenges for Diadromous Fishes in a Dynamic Global Environment. American Fisheries Society Symposium </w:t>
      </w:r>
      <w:r w:rsidRPr="00EE1353">
        <w:rPr>
          <w:rFonts w:ascii="Arial" w:eastAsia="Times New Roman" w:hAnsi="Arial" w:cs="Arial"/>
          <w:b/>
          <w:bCs/>
          <w:sz w:val="20"/>
          <w:szCs w:val="20"/>
          <w:lang w:eastAsia="en-GB"/>
        </w:rPr>
        <w:t>69</w:t>
      </w:r>
      <w:r w:rsidRPr="00EE1353">
        <w:rPr>
          <w:rFonts w:ascii="Arial" w:eastAsia="Times New Roman" w:hAnsi="Arial" w:cs="Arial"/>
          <w:sz w:val="20"/>
          <w:szCs w:val="20"/>
          <w:lang w:eastAsia="en-GB"/>
        </w:rPr>
        <w:t xml:space="preserve">, Bethesda Maryland. </w:t>
      </w:r>
    </w:p>
    <w:p w14:paraId="082BF5FE"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Moriarty, C. and Dekker, W. (1997). Management of the European Eel. </w:t>
      </w:r>
      <w:r w:rsidRPr="00EE1353">
        <w:rPr>
          <w:rFonts w:ascii="Arial" w:hAnsi="Arial" w:cs="Arial"/>
          <w:i/>
          <w:iCs/>
          <w:color w:val="000000"/>
          <w:sz w:val="20"/>
          <w:szCs w:val="20"/>
          <w:lang w:eastAsia="en-AU"/>
        </w:rPr>
        <w:t>Fisheries Bulletin</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15</w:t>
      </w:r>
      <w:r w:rsidRPr="00EE1353">
        <w:rPr>
          <w:rFonts w:ascii="Arial" w:hAnsi="Arial" w:cs="Arial"/>
          <w:color w:val="000000"/>
          <w:sz w:val="20"/>
          <w:szCs w:val="20"/>
          <w:lang w:eastAsia="en-AU"/>
        </w:rPr>
        <w:t xml:space="preserve">. 1-110. </w:t>
      </w:r>
    </w:p>
    <w:p w14:paraId="1988B791"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lastRenderedPageBreak/>
        <w:t xml:space="preserve">Musing, L., Shiraishi, H., Crook, V., Gollock, M., Levy, E. and Kecse-Nagy, K. (2018). Implementation of the CITES Appendix II listing of European Eel </w:t>
      </w:r>
      <w:r w:rsidRPr="00EE1353">
        <w:rPr>
          <w:rFonts w:ascii="Arial" w:hAnsi="Arial" w:cs="Arial"/>
          <w:i/>
          <w:iCs/>
          <w:color w:val="000000"/>
          <w:sz w:val="20"/>
          <w:szCs w:val="20"/>
          <w:lang w:eastAsia="en-AU"/>
        </w:rPr>
        <w:t xml:space="preserve">Anguilla </w:t>
      </w:r>
      <w:proofErr w:type="spellStart"/>
      <w:r w:rsidRPr="00EE1353">
        <w:rPr>
          <w:rFonts w:ascii="Arial" w:hAnsi="Arial" w:cs="Arial"/>
          <w:i/>
          <w:iCs/>
          <w:color w:val="000000"/>
          <w:sz w:val="20"/>
          <w:szCs w:val="20"/>
          <w:lang w:eastAsia="en-AU"/>
        </w:rPr>
        <w:t>anguilla</w:t>
      </w:r>
      <w:proofErr w:type="spellEnd"/>
      <w:r w:rsidRPr="00EE1353">
        <w:rPr>
          <w:rFonts w:ascii="Arial" w:hAnsi="Arial" w:cs="Arial"/>
          <w:color w:val="000000"/>
          <w:sz w:val="20"/>
          <w:szCs w:val="20"/>
          <w:lang w:eastAsia="en-AU"/>
        </w:rPr>
        <w:t>. CITES AC30 Doc. 18.1, Annex 1: 1–82.</w:t>
      </w:r>
    </w:p>
    <w:p w14:paraId="2CF6E22F"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Myrenås</w:t>
      </w:r>
      <w:proofErr w:type="spellEnd"/>
      <w:r w:rsidRPr="00EE1353">
        <w:rPr>
          <w:rFonts w:ascii="Arial" w:hAnsi="Arial" w:cs="Arial"/>
          <w:color w:val="000000"/>
          <w:sz w:val="20"/>
          <w:szCs w:val="20"/>
          <w:lang w:eastAsia="en-AU"/>
        </w:rPr>
        <w:t xml:space="preserve">, E., </w:t>
      </w:r>
      <w:proofErr w:type="spellStart"/>
      <w:r w:rsidRPr="00EE1353">
        <w:rPr>
          <w:rFonts w:ascii="Arial" w:hAnsi="Arial" w:cs="Arial"/>
          <w:color w:val="000000"/>
          <w:sz w:val="20"/>
          <w:szCs w:val="20"/>
          <w:lang w:eastAsia="en-AU"/>
        </w:rPr>
        <w:t>Näslund</w:t>
      </w:r>
      <w:proofErr w:type="spellEnd"/>
      <w:r w:rsidRPr="00EE1353">
        <w:rPr>
          <w:rFonts w:ascii="Arial" w:hAnsi="Arial" w:cs="Arial"/>
          <w:color w:val="000000"/>
          <w:sz w:val="20"/>
          <w:szCs w:val="20"/>
          <w:lang w:eastAsia="en-AU"/>
        </w:rPr>
        <w:t xml:space="preserve">, J., Persson, J. and Sundin, J. (2023). Effects of the invasive swim bladder parasite </w:t>
      </w:r>
      <w:proofErr w:type="spellStart"/>
      <w:r w:rsidRPr="00EE1353">
        <w:rPr>
          <w:rFonts w:ascii="Arial" w:hAnsi="Arial" w:cs="Arial"/>
          <w:i/>
          <w:iCs/>
          <w:color w:val="000000"/>
          <w:sz w:val="20"/>
          <w:szCs w:val="20"/>
          <w:lang w:eastAsia="en-AU"/>
        </w:rPr>
        <w:t>Anguillicola</w:t>
      </w:r>
      <w:proofErr w:type="spellEnd"/>
      <w:r w:rsidRPr="00EE1353">
        <w:rPr>
          <w:rFonts w:ascii="Arial" w:hAnsi="Arial" w:cs="Arial"/>
          <w:i/>
          <w:iCs/>
          <w:color w:val="000000"/>
          <w:sz w:val="20"/>
          <w:szCs w:val="20"/>
          <w:lang w:eastAsia="en-AU"/>
        </w:rPr>
        <w:t xml:space="preserve"> </w:t>
      </w:r>
      <w:proofErr w:type="spellStart"/>
      <w:r w:rsidRPr="00EE1353">
        <w:rPr>
          <w:rFonts w:ascii="Arial" w:hAnsi="Arial" w:cs="Arial"/>
          <w:i/>
          <w:iCs/>
          <w:color w:val="000000"/>
          <w:sz w:val="20"/>
          <w:szCs w:val="20"/>
          <w:lang w:eastAsia="en-AU"/>
        </w:rPr>
        <w:t>crassus</w:t>
      </w:r>
      <w:proofErr w:type="spellEnd"/>
      <w:r w:rsidRPr="00EE1353">
        <w:rPr>
          <w:rFonts w:ascii="Arial" w:hAnsi="Arial" w:cs="Arial"/>
          <w:color w:val="000000"/>
          <w:sz w:val="20"/>
          <w:szCs w:val="20"/>
          <w:lang w:eastAsia="en-AU"/>
        </w:rPr>
        <w:t xml:space="preserve"> on health and condition indicators in the European eel. </w:t>
      </w:r>
      <w:r w:rsidRPr="00EE1353">
        <w:rPr>
          <w:rFonts w:ascii="Arial" w:hAnsi="Arial" w:cs="Arial"/>
          <w:i/>
          <w:iCs/>
          <w:color w:val="000000"/>
          <w:sz w:val="20"/>
          <w:szCs w:val="20"/>
          <w:lang w:eastAsia="en-AU"/>
        </w:rPr>
        <w:t>Journal of Fish Diseases</w:t>
      </w:r>
      <w:r w:rsidRPr="00EE1353">
        <w:rPr>
          <w:rFonts w:ascii="Arial" w:hAnsi="Arial" w:cs="Arial"/>
          <w:color w:val="000000"/>
          <w:sz w:val="20"/>
          <w:szCs w:val="20"/>
          <w:lang w:eastAsia="en-AU"/>
        </w:rPr>
        <w:t xml:space="preserve">, 46, 1029–1047. </w:t>
      </w:r>
      <w:hyperlink r:id="rId37" w:history="1">
        <w:r w:rsidRPr="00EE1353">
          <w:rPr>
            <w:rStyle w:val="Hyperlink"/>
            <w:rFonts w:ascii="Arial" w:hAnsi="Arial" w:cs="Arial"/>
            <w:sz w:val="20"/>
            <w:szCs w:val="20"/>
            <w:lang w:eastAsia="en-AU"/>
          </w:rPr>
          <w:t>https://doi.org/10.1111/jfd.13822</w:t>
        </w:r>
      </w:hyperlink>
      <w:r w:rsidRPr="00EE1353">
        <w:rPr>
          <w:rFonts w:ascii="Arial" w:hAnsi="Arial" w:cs="Arial"/>
          <w:color w:val="000000"/>
          <w:sz w:val="20"/>
          <w:szCs w:val="20"/>
          <w:lang w:eastAsia="en-AU"/>
        </w:rPr>
        <w:t xml:space="preserve"> </w:t>
      </w:r>
    </w:p>
    <w:p w14:paraId="164FFADF" w14:textId="77777777" w:rsidR="00923B2C" w:rsidRPr="00EE1353" w:rsidRDefault="00923B2C">
      <w:pPr>
        <w:pStyle w:val="NoSpacing"/>
        <w:spacing w:after="80"/>
        <w:ind w:left="567" w:hanging="567"/>
        <w:rPr>
          <w:rFonts w:ascii="Arial" w:hAnsi="Arial" w:cs="Arial"/>
          <w:color w:val="000000"/>
          <w:sz w:val="20"/>
          <w:szCs w:val="20"/>
          <w:lang w:eastAsia="en-AU"/>
        </w:rPr>
      </w:pPr>
    </w:p>
    <w:p w14:paraId="1557EFAB"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Ovegård</w:t>
      </w:r>
      <w:proofErr w:type="spellEnd"/>
      <w:r w:rsidRPr="00EE1353">
        <w:rPr>
          <w:rFonts w:ascii="Arial" w:hAnsi="Arial" w:cs="Arial"/>
          <w:color w:val="000000"/>
          <w:sz w:val="20"/>
          <w:szCs w:val="20"/>
          <w:lang w:eastAsia="en-AU"/>
        </w:rPr>
        <w:t>, M. (2017). The interactions between cormorants and wild fish populations. Analytical methods and applications. Swedish University of Agricultural Sciences.</w:t>
      </w:r>
    </w:p>
    <w:p w14:paraId="69921E81"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Pacariz</w:t>
      </w:r>
      <w:proofErr w:type="spellEnd"/>
      <w:r w:rsidRPr="00EE1353">
        <w:rPr>
          <w:rFonts w:ascii="Arial" w:hAnsi="Arial" w:cs="Arial"/>
          <w:color w:val="000000"/>
          <w:sz w:val="20"/>
          <w:szCs w:val="20"/>
          <w:lang w:eastAsia="en-AU"/>
        </w:rPr>
        <w:t xml:space="preserve">, S., Westerberg, H. and Björk, G. (2014). Climate change and passive transport of European eel larvae. </w:t>
      </w:r>
      <w:r w:rsidRPr="00EE1353">
        <w:rPr>
          <w:rFonts w:ascii="Arial" w:hAnsi="Arial" w:cs="Arial"/>
          <w:i/>
          <w:iCs/>
          <w:color w:val="000000"/>
          <w:sz w:val="20"/>
          <w:szCs w:val="20"/>
          <w:lang w:eastAsia="en-AU"/>
        </w:rPr>
        <w:t>Ecology of Freshwater Fish</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23</w:t>
      </w:r>
      <w:r w:rsidRPr="00EE1353">
        <w:rPr>
          <w:rFonts w:ascii="Arial" w:hAnsi="Arial" w:cs="Arial"/>
          <w:color w:val="000000"/>
          <w:sz w:val="20"/>
          <w:szCs w:val="20"/>
          <w:lang w:eastAsia="en-AU"/>
        </w:rPr>
        <w:t>: 86-94.</w:t>
      </w:r>
    </w:p>
    <w:p w14:paraId="25A91B39"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Palstra</w:t>
      </w:r>
      <w:proofErr w:type="spellEnd"/>
      <w:r w:rsidRPr="00EE1353">
        <w:rPr>
          <w:rFonts w:ascii="Arial" w:hAnsi="Arial" w:cs="Arial"/>
          <w:color w:val="000000"/>
          <w:sz w:val="20"/>
          <w:szCs w:val="20"/>
          <w:lang w:eastAsia="en-AU"/>
        </w:rPr>
        <w:t xml:space="preserve">, A.P., </w:t>
      </w:r>
      <w:proofErr w:type="spellStart"/>
      <w:r w:rsidRPr="00EE1353">
        <w:rPr>
          <w:rFonts w:ascii="Arial" w:hAnsi="Arial" w:cs="Arial"/>
          <w:color w:val="000000"/>
          <w:sz w:val="20"/>
          <w:szCs w:val="20"/>
          <w:lang w:eastAsia="en-AU"/>
        </w:rPr>
        <w:t>Heppener</w:t>
      </w:r>
      <w:proofErr w:type="spellEnd"/>
      <w:r w:rsidRPr="00EE1353">
        <w:rPr>
          <w:rFonts w:ascii="Arial" w:hAnsi="Arial" w:cs="Arial"/>
          <w:color w:val="000000"/>
          <w:sz w:val="20"/>
          <w:szCs w:val="20"/>
          <w:lang w:eastAsia="en-AU"/>
        </w:rPr>
        <w:t xml:space="preserve">, D.F.M., van Ginneken, V.J.T., Szekely, C. and van den </w:t>
      </w:r>
      <w:proofErr w:type="spellStart"/>
      <w:r w:rsidRPr="00EE1353">
        <w:rPr>
          <w:rFonts w:ascii="Arial" w:hAnsi="Arial" w:cs="Arial"/>
          <w:color w:val="000000"/>
          <w:sz w:val="20"/>
          <w:szCs w:val="20"/>
          <w:lang w:eastAsia="en-AU"/>
        </w:rPr>
        <w:t>Thillart</w:t>
      </w:r>
      <w:proofErr w:type="spellEnd"/>
      <w:r w:rsidRPr="00EE1353">
        <w:rPr>
          <w:rFonts w:ascii="Arial" w:hAnsi="Arial" w:cs="Arial"/>
          <w:color w:val="000000"/>
          <w:sz w:val="20"/>
          <w:szCs w:val="20"/>
          <w:lang w:eastAsia="en-AU"/>
        </w:rPr>
        <w:t xml:space="preserve">, G.E.E.J.M. (2007). Swimming performance of silver eels is severely impaired by the swim-bladder parasite </w:t>
      </w:r>
      <w:proofErr w:type="spellStart"/>
      <w:r w:rsidRPr="00EE1353">
        <w:rPr>
          <w:rFonts w:ascii="Arial" w:hAnsi="Arial" w:cs="Arial"/>
          <w:i/>
          <w:iCs/>
          <w:color w:val="000000"/>
          <w:sz w:val="20"/>
          <w:szCs w:val="20"/>
          <w:lang w:eastAsia="en-AU"/>
        </w:rPr>
        <w:t>Anguillicola</w:t>
      </w:r>
      <w:proofErr w:type="spellEnd"/>
      <w:r w:rsidRPr="00EE1353">
        <w:rPr>
          <w:rFonts w:ascii="Arial" w:hAnsi="Arial" w:cs="Arial"/>
          <w:i/>
          <w:iCs/>
          <w:color w:val="000000"/>
          <w:sz w:val="20"/>
          <w:szCs w:val="20"/>
          <w:lang w:eastAsia="en-AU"/>
        </w:rPr>
        <w:t xml:space="preserve"> </w:t>
      </w:r>
      <w:proofErr w:type="spellStart"/>
      <w:r w:rsidRPr="00EE1353">
        <w:rPr>
          <w:rFonts w:ascii="Arial" w:hAnsi="Arial" w:cs="Arial"/>
          <w:i/>
          <w:iCs/>
          <w:color w:val="000000"/>
          <w:sz w:val="20"/>
          <w:szCs w:val="20"/>
          <w:lang w:eastAsia="en-AU"/>
        </w:rPr>
        <w:t>crassus</w:t>
      </w:r>
      <w:proofErr w:type="spellEnd"/>
      <w:r w:rsidRPr="00EE1353">
        <w:rPr>
          <w:rFonts w:ascii="Arial" w:hAnsi="Arial" w:cs="Arial"/>
          <w:i/>
          <w:iCs/>
          <w:color w:val="000000"/>
          <w:sz w:val="20"/>
          <w:szCs w:val="20"/>
          <w:lang w:eastAsia="en-AU"/>
        </w:rPr>
        <w:t>. Journal of Experimental Marine Biology and Ecology</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352</w:t>
      </w:r>
      <w:r w:rsidRPr="00EE1353">
        <w:rPr>
          <w:rFonts w:ascii="Arial" w:hAnsi="Arial" w:cs="Arial"/>
          <w:color w:val="000000"/>
          <w:sz w:val="20"/>
          <w:szCs w:val="20"/>
          <w:lang w:eastAsia="en-AU"/>
        </w:rPr>
        <w:t>: 244–256.</w:t>
      </w:r>
    </w:p>
    <w:p w14:paraId="638623CF"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Pike, C., Crook, V. &amp; </w:t>
      </w:r>
      <w:proofErr w:type="spellStart"/>
      <w:r w:rsidRPr="00EE1353">
        <w:rPr>
          <w:rFonts w:ascii="Arial" w:hAnsi="Arial" w:cs="Arial"/>
          <w:color w:val="000000"/>
          <w:sz w:val="20"/>
          <w:szCs w:val="20"/>
          <w:lang w:eastAsia="en-AU"/>
        </w:rPr>
        <w:t>Gollock</w:t>
      </w:r>
      <w:proofErr w:type="spellEnd"/>
      <w:r w:rsidRPr="00EE1353">
        <w:rPr>
          <w:rFonts w:ascii="Arial" w:hAnsi="Arial" w:cs="Arial"/>
          <w:color w:val="000000"/>
          <w:sz w:val="20"/>
          <w:szCs w:val="20"/>
          <w:lang w:eastAsia="en-AU"/>
        </w:rPr>
        <w:t xml:space="preserve">, M. (2020). </w:t>
      </w:r>
      <w:r w:rsidRPr="00EE1353">
        <w:rPr>
          <w:rFonts w:ascii="Arial" w:hAnsi="Arial" w:cs="Arial"/>
          <w:i/>
          <w:iCs/>
          <w:color w:val="000000"/>
          <w:sz w:val="20"/>
          <w:szCs w:val="20"/>
          <w:lang w:eastAsia="en-AU"/>
        </w:rPr>
        <w:t xml:space="preserve">Anguilla </w:t>
      </w:r>
      <w:proofErr w:type="spellStart"/>
      <w:r w:rsidRPr="00EE1353">
        <w:rPr>
          <w:rFonts w:ascii="Arial" w:hAnsi="Arial" w:cs="Arial"/>
          <w:i/>
          <w:iCs/>
          <w:color w:val="000000"/>
          <w:sz w:val="20"/>
          <w:szCs w:val="20"/>
          <w:lang w:eastAsia="en-AU"/>
        </w:rPr>
        <w:t>anguilla</w:t>
      </w:r>
      <w:proofErr w:type="spellEnd"/>
      <w:r w:rsidRPr="00EE1353">
        <w:rPr>
          <w:rFonts w:ascii="Arial" w:hAnsi="Arial" w:cs="Arial"/>
          <w:color w:val="000000"/>
          <w:sz w:val="20"/>
          <w:szCs w:val="20"/>
          <w:lang w:eastAsia="en-AU"/>
        </w:rPr>
        <w:t xml:space="preserve">. </w:t>
      </w:r>
      <w:r w:rsidRPr="00EE1353">
        <w:rPr>
          <w:rFonts w:ascii="Arial" w:hAnsi="Arial" w:cs="Arial"/>
          <w:i/>
          <w:iCs/>
          <w:color w:val="000000"/>
          <w:sz w:val="20"/>
          <w:szCs w:val="20"/>
          <w:lang w:eastAsia="en-AU"/>
        </w:rPr>
        <w:t>The IUCN Red List of Threatened Species</w:t>
      </w:r>
      <w:r w:rsidRPr="00EE1353">
        <w:rPr>
          <w:rFonts w:ascii="Arial" w:hAnsi="Arial" w:cs="Arial"/>
          <w:color w:val="000000"/>
          <w:sz w:val="20"/>
          <w:szCs w:val="20"/>
          <w:lang w:eastAsia="en-AU"/>
        </w:rPr>
        <w:t xml:space="preserve"> 2020: e.T60344A152845178. </w:t>
      </w:r>
      <w:hyperlink r:id="rId38" w:history="1">
        <w:r w:rsidRPr="00EE1353">
          <w:rPr>
            <w:rStyle w:val="Hyperlink"/>
            <w:rFonts w:ascii="Arial" w:hAnsi="Arial" w:cs="Arial"/>
            <w:sz w:val="20"/>
            <w:szCs w:val="20"/>
            <w:lang w:eastAsia="en-AU"/>
          </w:rPr>
          <w:t>https://dx.doi.org/10.2305/IUCN.UK.2020-2.RLTS.T60344A152845178.en</w:t>
        </w:r>
      </w:hyperlink>
      <w:r w:rsidRPr="00EE1353">
        <w:rPr>
          <w:rFonts w:ascii="Arial" w:hAnsi="Arial" w:cs="Arial"/>
          <w:color w:val="000000"/>
          <w:sz w:val="20"/>
          <w:szCs w:val="20"/>
          <w:lang w:eastAsia="en-AU"/>
        </w:rPr>
        <w:t xml:space="preserve">. Accessed on 17 March 2025. </w:t>
      </w:r>
    </w:p>
    <w:p w14:paraId="2C18AEB1" w14:textId="77777777" w:rsidR="00923B2C" w:rsidRPr="00EE1353" w:rsidRDefault="009C7B40">
      <w:pPr>
        <w:pStyle w:val="NoSpacing"/>
        <w:spacing w:after="80"/>
        <w:ind w:left="567" w:hanging="567"/>
        <w:rPr>
          <w:rFonts w:ascii="Arial" w:hAnsi="Arial" w:cs="Arial"/>
          <w:color w:val="000000"/>
          <w:sz w:val="20"/>
          <w:szCs w:val="20"/>
          <w:lang w:eastAsia="en-AU"/>
        </w:rPr>
      </w:pPr>
      <w:proofErr w:type="spellStart"/>
      <w:r w:rsidRPr="00EE1353">
        <w:rPr>
          <w:rFonts w:ascii="Arial" w:hAnsi="Arial" w:cs="Arial"/>
          <w:color w:val="000000"/>
          <w:sz w:val="20"/>
          <w:szCs w:val="20"/>
          <w:lang w:eastAsia="en-AU"/>
        </w:rPr>
        <w:t>Pujolar</w:t>
      </w:r>
      <w:proofErr w:type="spellEnd"/>
      <w:r w:rsidRPr="00EE1353">
        <w:rPr>
          <w:rFonts w:ascii="Arial" w:hAnsi="Arial" w:cs="Arial"/>
          <w:color w:val="000000"/>
          <w:sz w:val="20"/>
          <w:szCs w:val="20"/>
          <w:lang w:eastAsia="en-AU"/>
        </w:rPr>
        <w:t xml:space="preserve">, J.M., Jacobsen, M.W., Als, T.D., Frydenberg, J., Magnussen, E., Jónsson, B., Jiang, X., Cheng, L., Bekkevold, D., Maes, G.E., Bernatchez, L. and Hansen, M.M. (2014). Assessing patterns of hybridization between North Atlantic eels using diagnostic single-nucleotide polymorphisms. </w:t>
      </w:r>
      <w:r w:rsidRPr="00EE1353">
        <w:rPr>
          <w:rFonts w:ascii="Arial" w:hAnsi="Arial" w:cs="Arial"/>
          <w:i/>
          <w:iCs/>
          <w:color w:val="000000"/>
          <w:sz w:val="20"/>
          <w:szCs w:val="20"/>
          <w:lang w:eastAsia="en-AU"/>
        </w:rPr>
        <w:t>Heredity</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112</w:t>
      </w:r>
      <w:r w:rsidRPr="00EE1353">
        <w:rPr>
          <w:rFonts w:ascii="Arial" w:hAnsi="Arial" w:cs="Arial"/>
          <w:color w:val="000000"/>
          <w:sz w:val="20"/>
          <w:szCs w:val="20"/>
          <w:lang w:eastAsia="en-AU"/>
        </w:rPr>
        <w:t>: 627–637.</w:t>
      </w:r>
    </w:p>
    <w:p w14:paraId="49F284C2"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Righton, D., Westerberg, H., </w:t>
      </w:r>
      <w:proofErr w:type="spellStart"/>
      <w:r w:rsidRPr="00EE1353">
        <w:rPr>
          <w:rFonts w:ascii="Arial" w:hAnsi="Arial" w:cs="Arial"/>
          <w:color w:val="000000"/>
          <w:sz w:val="20"/>
          <w:szCs w:val="20"/>
          <w:lang w:eastAsia="en-AU"/>
        </w:rPr>
        <w:t>Feunteun</w:t>
      </w:r>
      <w:proofErr w:type="spellEnd"/>
      <w:r w:rsidRPr="00EE1353">
        <w:rPr>
          <w:rFonts w:ascii="Arial" w:hAnsi="Arial" w:cs="Arial"/>
          <w:color w:val="000000"/>
          <w:sz w:val="20"/>
          <w:szCs w:val="20"/>
          <w:lang w:eastAsia="en-AU"/>
        </w:rPr>
        <w:t xml:space="preserve">, E., Økland, F., Gargan, P., </w:t>
      </w:r>
      <w:proofErr w:type="spellStart"/>
      <w:r w:rsidRPr="00EE1353">
        <w:rPr>
          <w:rFonts w:ascii="Arial" w:hAnsi="Arial" w:cs="Arial"/>
          <w:color w:val="000000"/>
          <w:sz w:val="20"/>
          <w:szCs w:val="20"/>
          <w:lang w:eastAsia="en-AU"/>
        </w:rPr>
        <w:t>Amilhat</w:t>
      </w:r>
      <w:proofErr w:type="spellEnd"/>
      <w:r w:rsidRPr="00EE1353">
        <w:rPr>
          <w:rFonts w:ascii="Arial" w:hAnsi="Arial" w:cs="Arial"/>
          <w:color w:val="000000"/>
          <w:sz w:val="20"/>
          <w:szCs w:val="20"/>
          <w:lang w:eastAsia="en-AU"/>
        </w:rPr>
        <w:t xml:space="preserve">, E., Metcalfe, J., </w:t>
      </w:r>
      <w:proofErr w:type="spellStart"/>
      <w:r w:rsidRPr="00EE1353">
        <w:rPr>
          <w:rFonts w:ascii="Arial" w:hAnsi="Arial" w:cs="Arial"/>
          <w:color w:val="000000"/>
          <w:sz w:val="20"/>
          <w:szCs w:val="20"/>
          <w:lang w:eastAsia="en-AU"/>
        </w:rPr>
        <w:t>Lobon-Cervia</w:t>
      </w:r>
      <w:proofErr w:type="spellEnd"/>
      <w:r w:rsidRPr="00EE1353">
        <w:rPr>
          <w:rFonts w:ascii="Arial" w:hAnsi="Arial" w:cs="Arial"/>
          <w:color w:val="000000"/>
          <w:sz w:val="20"/>
          <w:szCs w:val="20"/>
          <w:lang w:eastAsia="en-AU"/>
        </w:rPr>
        <w:t xml:space="preserve">, J., Sjöberg, N., Simon, J., </w:t>
      </w:r>
      <w:proofErr w:type="spellStart"/>
      <w:r w:rsidRPr="00EE1353">
        <w:rPr>
          <w:rFonts w:ascii="Arial" w:hAnsi="Arial" w:cs="Arial"/>
          <w:color w:val="000000"/>
          <w:sz w:val="20"/>
          <w:szCs w:val="20"/>
          <w:lang w:eastAsia="en-AU"/>
        </w:rPr>
        <w:t>Acou</w:t>
      </w:r>
      <w:proofErr w:type="spellEnd"/>
      <w:r w:rsidRPr="00EE1353">
        <w:rPr>
          <w:rFonts w:ascii="Arial" w:hAnsi="Arial" w:cs="Arial"/>
          <w:color w:val="000000"/>
          <w:sz w:val="20"/>
          <w:szCs w:val="20"/>
          <w:lang w:eastAsia="en-AU"/>
        </w:rPr>
        <w:t xml:space="preserve">, A., </w:t>
      </w:r>
      <w:proofErr w:type="spellStart"/>
      <w:r w:rsidRPr="00EE1353">
        <w:rPr>
          <w:rFonts w:ascii="Arial" w:hAnsi="Arial" w:cs="Arial"/>
          <w:color w:val="000000"/>
          <w:sz w:val="20"/>
          <w:szCs w:val="20"/>
          <w:lang w:eastAsia="en-AU"/>
        </w:rPr>
        <w:t>Vedor</w:t>
      </w:r>
      <w:proofErr w:type="spellEnd"/>
      <w:r w:rsidRPr="00EE1353">
        <w:rPr>
          <w:rFonts w:ascii="Arial" w:hAnsi="Arial" w:cs="Arial"/>
          <w:color w:val="000000"/>
          <w:sz w:val="20"/>
          <w:szCs w:val="20"/>
          <w:lang w:eastAsia="en-AU"/>
        </w:rPr>
        <w:t xml:space="preserve">, M., Walker, A., </w:t>
      </w:r>
      <w:proofErr w:type="spellStart"/>
      <w:r w:rsidRPr="00EE1353">
        <w:rPr>
          <w:rFonts w:ascii="Arial" w:hAnsi="Arial" w:cs="Arial"/>
          <w:color w:val="000000"/>
          <w:sz w:val="20"/>
          <w:szCs w:val="20"/>
          <w:lang w:eastAsia="en-AU"/>
        </w:rPr>
        <w:t>Trancart</w:t>
      </w:r>
      <w:proofErr w:type="spellEnd"/>
      <w:r w:rsidRPr="00EE1353">
        <w:rPr>
          <w:rFonts w:ascii="Arial" w:hAnsi="Arial" w:cs="Arial"/>
          <w:color w:val="000000"/>
          <w:sz w:val="20"/>
          <w:szCs w:val="20"/>
          <w:lang w:eastAsia="en-AU"/>
        </w:rPr>
        <w:t xml:space="preserve">, T., </w:t>
      </w:r>
      <w:proofErr w:type="spellStart"/>
      <w:r w:rsidRPr="00EE1353">
        <w:rPr>
          <w:rFonts w:ascii="Arial" w:hAnsi="Arial" w:cs="Arial"/>
          <w:color w:val="000000"/>
          <w:sz w:val="20"/>
          <w:szCs w:val="20"/>
          <w:lang w:eastAsia="en-AU"/>
        </w:rPr>
        <w:t>Brämick</w:t>
      </w:r>
      <w:proofErr w:type="spellEnd"/>
      <w:r w:rsidRPr="00EE1353">
        <w:rPr>
          <w:rFonts w:ascii="Arial" w:hAnsi="Arial" w:cs="Arial"/>
          <w:color w:val="000000"/>
          <w:sz w:val="20"/>
          <w:szCs w:val="20"/>
          <w:lang w:eastAsia="en-AU"/>
        </w:rPr>
        <w:t xml:space="preserve">, U. and Aarestrup, K. (2016). Empirical observations of the spawning migration of European eels: The long and dangerous road to the Sargasso Sea. </w:t>
      </w:r>
      <w:r w:rsidRPr="00EE1353">
        <w:rPr>
          <w:rFonts w:ascii="Arial" w:hAnsi="Arial" w:cs="Arial"/>
          <w:i/>
          <w:iCs/>
          <w:color w:val="000000"/>
          <w:sz w:val="20"/>
          <w:szCs w:val="20"/>
          <w:lang w:eastAsia="en-AU"/>
        </w:rPr>
        <w:t>Science Advances</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2</w:t>
      </w:r>
      <w:r w:rsidRPr="00EE1353">
        <w:rPr>
          <w:rFonts w:ascii="Arial" w:hAnsi="Arial" w:cs="Arial"/>
          <w:color w:val="000000"/>
          <w:sz w:val="20"/>
          <w:szCs w:val="20"/>
          <w:lang w:eastAsia="en-AU"/>
        </w:rPr>
        <w:t>: 1–14.</w:t>
      </w:r>
    </w:p>
    <w:p w14:paraId="77DBD2C0" w14:textId="77777777" w:rsidR="00923B2C" w:rsidRPr="00EE1353" w:rsidRDefault="009C7B40">
      <w:pPr>
        <w:pStyle w:val="NoSpacing"/>
        <w:spacing w:after="80"/>
        <w:ind w:left="567" w:hanging="567"/>
        <w:rPr>
          <w:rFonts w:ascii="Arial" w:hAnsi="Arial" w:cs="Arial"/>
          <w:color w:val="000000"/>
          <w:sz w:val="20"/>
          <w:szCs w:val="20"/>
          <w:lang w:eastAsia="en-AU"/>
        </w:rPr>
      </w:pPr>
      <w:r w:rsidRPr="00EE1353">
        <w:rPr>
          <w:rFonts w:ascii="Arial" w:hAnsi="Arial" w:cs="Arial"/>
          <w:color w:val="000000"/>
          <w:sz w:val="20"/>
          <w:szCs w:val="20"/>
          <w:lang w:eastAsia="en-AU"/>
        </w:rPr>
        <w:t xml:space="preserve">Righton, D., Piper, A., Aarestrup, K., …, and </w:t>
      </w:r>
      <w:proofErr w:type="spellStart"/>
      <w:r w:rsidRPr="00EE1353">
        <w:rPr>
          <w:rFonts w:ascii="Arial" w:hAnsi="Arial" w:cs="Arial"/>
          <w:color w:val="000000"/>
          <w:sz w:val="20"/>
          <w:szCs w:val="20"/>
          <w:lang w:eastAsia="en-AU"/>
        </w:rPr>
        <w:t>Gollock</w:t>
      </w:r>
      <w:proofErr w:type="spellEnd"/>
      <w:r w:rsidRPr="00EE1353">
        <w:rPr>
          <w:rFonts w:ascii="Arial" w:hAnsi="Arial" w:cs="Arial"/>
          <w:color w:val="000000"/>
          <w:sz w:val="20"/>
          <w:szCs w:val="20"/>
          <w:lang w:eastAsia="en-AU"/>
        </w:rPr>
        <w:t xml:space="preserve">, M. (2021). Important questions to progress science and sustainable management of anguillid eels. </w:t>
      </w:r>
      <w:r w:rsidRPr="00EE1353">
        <w:rPr>
          <w:rFonts w:ascii="Arial" w:hAnsi="Arial" w:cs="Arial"/>
          <w:i/>
          <w:iCs/>
          <w:color w:val="000000"/>
          <w:sz w:val="20"/>
          <w:szCs w:val="20"/>
          <w:lang w:eastAsia="en-AU"/>
        </w:rPr>
        <w:t>Fish and Fisheries</w:t>
      </w:r>
      <w:r w:rsidRPr="00EE1353">
        <w:rPr>
          <w:rFonts w:ascii="Arial" w:hAnsi="Arial" w:cs="Arial"/>
          <w:color w:val="000000"/>
          <w:sz w:val="20"/>
          <w:szCs w:val="20"/>
          <w:lang w:eastAsia="en-AU"/>
        </w:rPr>
        <w:t xml:space="preserve">. </w:t>
      </w:r>
      <w:r w:rsidRPr="00EE1353">
        <w:rPr>
          <w:rFonts w:ascii="Arial" w:hAnsi="Arial" w:cs="Arial"/>
          <w:b/>
          <w:bCs/>
          <w:color w:val="000000"/>
          <w:sz w:val="20"/>
          <w:szCs w:val="20"/>
          <w:lang w:eastAsia="en-AU"/>
        </w:rPr>
        <w:t>22</w:t>
      </w:r>
      <w:r w:rsidRPr="00EE1353">
        <w:rPr>
          <w:rFonts w:ascii="Arial" w:hAnsi="Arial" w:cs="Arial"/>
          <w:color w:val="000000"/>
          <w:sz w:val="20"/>
          <w:szCs w:val="20"/>
          <w:lang w:eastAsia="en-AU"/>
        </w:rPr>
        <w:t xml:space="preserve">: 762–788. </w:t>
      </w:r>
      <w:hyperlink r:id="rId39" w:history="1">
        <w:r w:rsidRPr="00EE1353">
          <w:rPr>
            <w:rStyle w:val="Hyperlink"/>
            <w:rFonts w:ascii="Arial" w:hAnsi="Arial" w:cs="Arial"/>
            <w:sz w:val="20"/>
            <w:szCs w:val="20"/>
            <w:lang w:eastAsia="en-AU"/>
          </w:rPr>
          <w:t>https://doi.org/10.1111/faf.12549</w:t>
        </w:r>
      </w:hyperlink>
      <w:r w:rsidRPr="00EE1353">
        <w:rPr>
          <w:rFonts w:ascii="Arial" w:hAnsi="Arial" w:cs="Arial"/>
          <w:color w:val="000000"/>
          <w:sz w:val="20"/>
          <w:szCs w:val="20"/>
          <w:lang w:eastAsia="en-AU"/>
        </w:rPr>
        <w:t xml:space="preserve"> </w:t>
      </w:r>
    </w:p>
    <w:p w14:paraId="47310C81"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Schmidt, J. (1922). The breeding places of the eel. </w:t>
      </w:r>
      <w:r w:rsidRPr="00EE1353">
        <w:rPr>
          <w:rFonts w:ascii="Arial" w:hAnsi="Arial" w:cs="Arial"/>
          <w:i/>
          <w:iCs/>
          <w:sz w:val="20"/>
          <w:szCs w:val="20"/>
        </w:rPr>
        <w:t>Philosophical Transactions of the Royal Society of London Series B</w:t>
      </w:r>
      <w:r w:rsidRPr="00EE1353">
        <w:rPr>
          <w:rFonts w:ascii="Arial" w:hAnsi="Arial" w:cs="Arial"/>
          <w:sz w:val="20"/>
          <w:szCs w:val="20"/>
        </w:rPr>
        <w:t xml:space="preserve"> </w:t>
      </w:r>
      <w:r w:rsidRPr="00EE1353">
        <w:rPr>
          <w:rFonts w:ascii="Arial" w:hAnsi="Arial" w:cs="Arial"/>
          <w:b/>
          <w:bCs/>
          <w:sz w:val="20"/>
          <w:szCs w:val="20"/>
        </w:rPr>
        <w:t>211</w:t>
      </w:r>
      <w:r w:rsidRPr="00EE1353">
        <w:rPr>
          <w:rFonts w:ascii="Arial" w:hAnsi="Arial" w:cs="Arial"/>
          <w:sz w:val="20"/>
          <w:szCs w:val="20"/>
        </w:rPr>
        <w:t>: 179–208.</w:t>
      </w:r>
    </w:p>
    <w:p w14:paraId="3FB99B56"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Simpson, S.D., Purser, J. and Radford, A.N. (2015). Anthropogenic noise compromises anti-predator behaviour in European eels. </w:t>
      </w:r>
      <w:r w:rsidRPr="00EE1353">
        <w:rPr>
          <w:rFonts w:ascii="Arial" w:hAnsi="Arial" w:cs="Arial"/>
          <w:i/>
          <w:iCs/>
          <w:sz w:val="20"/>
          <w:szCs w:val="20"/>
        </w:rPr>
        <w:t>Global Change Biology</w:t>
      </w:r>
      <w:r w:rsidRPr="00EE1353">
        <w:rPr>
          <w:rFonts w:ascii="Arial" w:hAnsi="Arial" w:cs="Arial"/>
          <w:sz w:val="20"/>
          <w:szCs w:val="20"/>
        </w:rPr>
        <w:t xml:space="preserve"> </w:t>
      </w:r>
      <w:r w:rsidRPr="00EE1353">
        <w:rPr>
          <w:rFonts w:ascii="Arial" w:hAnsi="Arial" w:cs="Arial"/>
          <w:b/>
          <w:bCs/>
          <w:sz w:val="20"/>
          <w:szCs w:val="20"/>
        </w:rPr>
        <w:t>21(2)</w:t>
      </w:r>
      <w:r w:rsidRPr="00EE1353">
        <w:rPr>
          <w:rFonts w:ascii="Arial" w:hAnsi="Arial" w:cs="Arial"/>
          <w:sz w:val="20"/>
          <w:szCs w:val="20"/>
        </w:rPr>
        <w:t>: 586–593.</w:t>
      </w:r>
    </w:p>
    <w:p w14:paraId="4E89105A"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Sjöberg, N.B., Petersson, E., Wickström, H. and Hansson, S. (2009). Effects of the </w:t>
      </w:r>
      <w:proofErr w:type="spellStart"/>
      <w:r w:rsidRPr="00EE1353">
        <w:rPr>
          <w:rFonts w:ascii="Arial" w:hAnsi="Arial" w:cs="Arial"/>
          <w:sz w:val="20"/>
          <w:szCs w:val="20"/>
        </w:rPr>
        <w:t>swimbladder</w:t>
      </w:r>
      <w:proofErr w:type="spellEnd"/>
      <w:r w:rsidRPr="00EE1353">
        <w:rPr>
          <w:rFonts w:ascii="Arial" w:hAnsi="Arial" w:cs="Arial"/>
          <w:sz w:val="20"/>
          <w:szCs w:val="20"/>
        </w:rPr>
        <w:t xml:space="preserve"> parasite </w:t>
      </w:r>
      <w:proofErr w:type="spellStart"/>
      <w:r w:rsidRPr="00EE1353">
        <w:rPr>
          <w:rFonts w:ascii="Arial" w:hAnsi="Arial" w:cs="Arial"/>
          <w:i/>
          <w:iCs/>
          <w:sz w:val="20"/>
          <w:szCs w:val="20"/>
        </w:rPr>
        <w:t>Anguillicola</w:t>
      </w:r>
      <w:proofErr w:type="spellEnd"/>
      <w:r w:rsidRPr="00EE1353">
        <w:rPr>
          <w:rFonts w:ascii="Arial" w:hAnsi="Arial" w:cs="Arial"/>
          <w:i/>
          <w:iCs/>
          <w:sz w:val="20"/>
          <w:szCs w:val="20"/>
        </w:rPr>
        <w:t xml:space="preserve"> </w:t>
      </w:r>
      <w:proofErr w:type="spellStart"/>
      <w:r w:rsidRPr="00EE1353">
        <w:rPr>
          <w:rFonts w:ascii="Arial" w:hAnsi="Arial" w:cs="Arial"/>
          <w:i/>
          <w:iCs/>
          <w:sz w:val="20"/>
          <w:szCs w:val="20"/>
        </w:rPr>
        <w:t>crassus</w:t>
      </w:r>
      <w:proofErr w:type="spellEnd"/>
      <w:r w:rsidRPr="00EE1353">
        <w:rPr>
          <w:rFonts w:ascii="Arial" w:hAnsi="Arial" w:cs="Arial"/>
          <w:sz w:val="20"/>
          <w:szCs w:val="20"/>
        </w:rPr>
        <w:t xml:space="preserve"> on the migration of European silver eels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in the Baltic Sea. </w:t>
      </w:r>
      <w:r w:rsidRPr="00EE1353">
        <w:rPr>
          <w:rFonts w:ascii="Arial" w:hAnsi="Arial" w:cs="Arial"/>
          <w:i/>
          <w:iCs/>
          <w:sz w:val="20"/>
          <w:szCs w:val="20"/>
        </w:rPr>
        <w:t>Journal of Fish Biology</w:t>
      </w:r>
      <w:r w:rsidRPr="00EE1353">
        <w:rPr>
          <w:rFonts w:ascii="Arial" w:hAnsi="Arial" w:cs="Arial"/>
          <w:sz w:val="20"/>
          <w:szCs w:val="20"/>
        </w:rPr>
        <w:t xml:space="preserve"> </w:t>
      </w:r>
      <w:r w:rsidRPr="00EE1353">
        <w:rPr>
          <w:rFonts w:ascii="Arial" w:hAnsi="Arial" w:cs="Arial"/>
          <w:b/>
          <w:bCs/>
          <w:sz w:val="20"/>
          <w:szCs w:val="20"/>
        </w:rPr>
        <w:t>74</w:t>
      </w:r>
      <w:r w:rsidRPr="00EE1353">
        <w:rPr>
          <w:rFonts w:ascii="Arial" w:hAnsi="Arial" w:cs="Arial"/>
          <w:sz w:val="20"/>
          <w:szCs w:val="20"/>
        </w:rPr>
        <w:t>: 2158–2170.</w:t>
      </w:r>
    </w:p>
    <w:p w14:paraId="7B452BED"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Van Beurden S.J., Engelsma M.Y., </w:t>
      </w:r>
      <w:proofErr w:type="spellStart"/>
      <w:r w:rsidRPr="00EE1353">
        <w:rPr>
          <w:rFonts w:ascii="Arial" w:hAnsi="Arial" w:cs="Arial"/>
          <w:sz w:val="20"/>
          <w:szCs w:val="20"/>
        </w:rPr>
        <w:t>Roozenburg</w:t>
      </w:r>
      <w:proofErr w:type="spellEnd"/>
      <w:r w:rsidRPr="00EE1353">
        <w:rPr>
          <w:rFonts w:ascii="Arial" w:hAnsi="Arial" w:cs="Arial"/>
          <w:sz w:val="20"/>
          <w:szCs w:val="20"/>
        </w:rPr>
        <w:t xml:space="preserve"> I., </w:t>
      </w:r>
      <w:proofErr w:type="spellStart"/>
      <w:r w:rsidRPr="00EE1353">
        <w:rPr>
          <w:rFonts w:ascii="Arial" w:hAnsi="Arial" w:cs="Arial"/>
          <w:sz w:val="20"/>
          <w:szCs w:val="20"/>
        </w:rPr>
        <w:t>Voorbergen</w:t>
      </w:r>
      <w:proofErr w:type="spellEnd"/>
      <w:r w:rsidRPr="00EE1353">
        <w:rPr>
          <w:rFonts w:ascii="Arial" w:hAnsi="Arial" w:cs="Arial"/>
          <w:sz w:val="20"/>
          <w:szCs w:val="20"/>
        </w:rPr>
        <w:t xml:space="preserve">-Laarman, M.A., Van Tulden, P.W., Kerkhoff, S., Van Nieuwstadt, A.P., </w:t>
      </w:r>
      <w:proofErr w:type="spellStart"/>
      <w:r w:rsidRPr="00EE1353">
        <w:rPr>
          <w:rFonts w:ascii="Arial" w:hAnsi="Arial" w:cs="Arial"/>
          <w:sz w:val="20"/>
          <w:szCs w:val="20"/>
        </w:rPr>
        <w:t>Davidse</w:t>
      </w:r>
      <w:proofErr w:type="spellEnd"/>
      <w:r w:rsidRPr="00EE1353">
        <w:rPr>
          <w:rFonts w:ascii="Arial" w:hAnsi="Arial" w:cs="Arial"/>
          <w:sz w:val="20"/>
          <w:szCs w:val="20"/>
        </w:rPr>
        <w:t xml:space="preserve">, A. and </w:t>
      </w:r>
      <w:proofErr w:type="spellStart"/>
      <w:r w:rsidRPr="00EE1353">
        <w:rPr>
          <w:rFonts w:ascii="Arial" w:hAnsi="Arial" w:cs="Arial"/>
          <w:sz w:val="20"/>
          <w:szCs w:val="20"/>
        </w:rPr>
        <w:t>Haenen</w:t>
      </w:r>
      <w:proofErr w:type="spellEnd"/>
      <w:r w:rsidRPr="00EE1353">
        <w:rPr>
          <w:rFonts w:ascii="Arial" w:hAnsi="Arial" w:cs="Arial"/>
          <w:sz w:val="20"/>
          <w:szCs w:val="20"/>
        </w:rPr>
        <w:t xml:space="preserve">, O.L.M. (2012). Viral diseases of wild and farmed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with particular reference to the Netherlands. </w:t>
      </w:r>
      <w:r w:rsidRPr="00EE1353">
        <w:rPr>
          <w:rFonts w:ascii="Arial" w:hAnsi="Arial" w:cs="Arial"/>
          <w:i/>
          <w:iCs/>
          <w:sz w:val="20"/>
          <w:szCs w:val="20"/>
        </w:rPr>
        <w:t>Diseases of Aquatic Organisms</w:t>
      </w:r>
      <w:r w:rsidRPr="00EE1353">
        <w:rPr>
          <w:rFonts w:ascii="Arial" w:hAnsi="Arial" w:cs="Arial"/>
          <w:sz w:val="20"/>
          <w:szCs w:val="20"/>
        </w:rPr>
        <w:t xml:space="preserve"> </w:t>
      </w:r>
      <w:r w:rsidRPr="00EE1353">
        <w:rPr>
          <w:rFonts w:ascii="Arial" w:hAnsi="Arial" w:cs="Arial"/>
          <w:b/>
          <w:bCs/>
          <w:sz w:val="20"/>
          <w:szCs w:val="20"/>
        </w:rPr>
        <w:t>101(1)</w:t>
      </w:r>
      <w:r w:rsidRPr="00EE1353">
        <w:rPr>
          <w:rFonts w:ascii="Arial" w:hAnsi="Arial" w:cs="Arial"/>
          <w:sz w:val="20"/>
          <w:szCs w:val="20"/>
        </w:rPr>
        <w:t>: 69</w:t>
      </w:r>
      <w:r w:rsidRPr="00EE1353">
        <w:rPr>
          <w:rFonts w:ascii="Cambria Math" w:hAnsi="Cambria Math" w:cs="Cambria Math"/>
          <w:sz w:val="20"/>
          <w:szCs w:val="20"/>
        </w:rPr>
        <w:t>‐</w:t>
      </w:r>
      <w:r w:rsidRPr="00EE1353">
        <w:rPr>
          <w:rFonts w:ascii="Arial" w:hAnsi="Arial" w:cs="Arial"/>
          <w:sz w:val="20"/>
          <w:szCs w:val="20"/>
        </w:rPr>
        <w:t xml:space="preserve">86. </w:t>
      </w:r>
    </w:p>
    <w:p w14:paraId="27B31E22"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 xml:space="preserve">Van Ginneken, V.J.T. and Van den Thillart, G.E.E.J.M. (2000). Eel fat stores enough to reach the Sargasso. </w:t>
      </w:r>
      <w:r w:rsidRPr="00EE1353">
        <w:rPr>
          <w:rFonts w:ascii="Arial" w:hAnsi="Arial" w:cs="Arial"/>
          <w:i/>
          <w:iCs/>
          <w:sz w:val="20"/>
          <w:szCs w:val="20"/>
        </w:rPr>
        <w:t>Nature</w:t>
      </w:r>
      <w:r w:rsidRPr="00EE1353">
        <w:rPr>
          <w:rFonts w:ascii="Arial" w:hAnsi="Arial" w:cs="Arial"/>
          <w:sz w:val="20"/>
          <w:szCs w:val="20"/>
        </w:rPr>
        <w:t xml:space="preserve"> </w:t>
      </w:r>
      <w:r w:rsidRPr="00EE1353">
        <w:rPr>
          <w:rFonts w:ascii="Arial" w:hAnsi="Arial" w:cs="Arial"/>
          <w:b/>
          <w:bCs/>
          <w:sz w:val="20"/>
          <w:szCs w:val="20"/>
        </w:rPr>
        <w:t>403</w:t>
      </w:r>
      <w:r w:rsidRPr="00EE1353">
        <w:rPr>
          <w:rFonts w:ascii="Arial" w:hAnsi="Arial" w:cs="Arial"/>
          <w:sz w:val="20"/>
          <w:szCs w:val="20"/>
        </w:rPr>
        <w:t>: 156-157.</w:t>
      </w:r>
    </w:p>
    <w:p w14:paraId="1D97BBB8" w14:textId="77777777" w:rsidR="00923B2C" w:rsidRPr="00EE1353" w:rsidRDefault="009C7B40">
      <w:pPr>
        <w:pStyle w:val="NoSpacing"/>
        <w:spacing w:after="80"/>
        <w:ind w:left="567" w:hanging="567"/>
        <w:rPr>
          <w:rFonts w:ascii="Arial" w:hAnsi="Arial" w:cs="Arial"/>
          <w:sz w:val="20"/>
          <w:szCs w:val="20"/>
        </w:rPr>
      </w:pPr>
      <w:proofErr w:type="spellStart"/>
      <w:r w:rsidRPr="00EE1353">
        <w:rPr>
          <w:rFonts w:ascii="Arial" w:hAnsi="Arial" w:cs="Arial"/>
          <w:sz w:val="20"/>
          <w:szCs w:val="20"/>
        </w:rPr>
        <w:t>Vettier</w:t>
      </w:r>
      <w:proofErr w:type="spellEnd"/>
      <w:r w:rsidRPr="00EE1353">
        <w:rPr>
          <w:rFonts w:ascii="Arial" w:hAnsi="Arial" w:cs="Arial"/>
          <w:sz w:val="20"/>
          <w:szCs w:val="20"/>
        </w:rPr>
        <w:t xml:space="preserve">, A., Szekely, C. and Sebert, P. (2003). Are yellow eels from Lake Balaton able to cope with high pressure encountered during migration to the Sargasso Sea? The case of energy metabolism. </w:t>
      </w:r>
      <w:r w:rsidRPr="00EE1353">
        <w:rPr>
          <w:rFonts w:ascii="Arial" w:hAnsi="Arial" w:cs="Arial"/>
          <w:i/>
          <w:iCs/>
          <w:sz w:val="20"/>
          <w:szCs w:val="20"/>
        </w:rPr>
        <w:t>Animal Biology</w:t>
      </w:r>
      <w:r w:rsidRPr="00EE1353">
        <w:rPr>
          <w:rFonts w:ascii="Arial" w:hAnsi="Arial" w:cs="Arial"/>
          <w:sz w:val="20"/>
          <w:szCs w:val="20"/>
        </w:rPr>
        <w:t xml:space="preserve"> </w:t>
      </w:r>
      <w:r w:rsidRPr="00EE1353">
        <w:rPr>
          <w:rFonts w:ascii="Arial" w:hAnsi="Arial" w:cs="Arial"/>
          <w:b/>
          <w:bCs/>
          <w:sz w:val="20"/>
          <w:szCs w:val="20"/>
        </w:rPr>
        <w:t>53</w:t>
      </w:r>
      <w:r w:rsidRPr="00EE1353">
        <w:rPr>
          <w:rFonts w:ascii="Arial" w:hAnsi="Arial" w:cs="Arial"/>
          <w:sz w:val="20"/>
          <w:szCs w:val="20"/>
        </w:rPr>
        <w:t>: 329–338.</w:t>
      </w:r>
    </w:p>
    <w:p w14:paraId="6109529D" w14:textId="77777777" w:rsidR="00923B2C" w:rsidRPr="00EE1353" w:rsidRDefault="009C7B40">
      <w:pPr>
        <w:pStyle w:val="NoSpacing"/>
        <w:spacing w:after="80"/>
        <w:ind w:left="567" w:hanging="567"/>
        <w:rPr>
          <w:rFonts w:ascii="Arial" w:hAnsi="Arial" w:cs="Arial"/>
          <w:sz w:val="20"/>
          <w:szCs w:val="20"/>
        </w:rPr>
      </w:pPr>
      <w:r w:rsidRPr="00EE1353">
        <w:rPr>
          <w:rFonts w:ascii="Arial" w:hAnsi="Arial" w:cs="Arial"/>
          <w:sz w:val="20"/>
          <w:szCs w:val="20"/>
        </w:rPr>
        <w:t>Walker, A.M., Godard, M.J. and Davison, P. (2014). The home range and behaviour of yellow</w:t>
      </w:r>
      <w:r w:rsidRPr="00EE1353">
        <w:rPr>
          <w:rFonts w:ascii="Cambria Math" w:hAnsi="Cambria Math" w:cs="Cambria Math"/>
          <w:sz w:val="20"/>
          <w:szCs w:val="20"/>
        </w:rPr>
        <w:t>‐</w:t>
      </w:r>
      <w:r w:rsidRPr="00EE1353">
        <w:rPr>
          <w:rFonts w:ascii="Arial" w:hAnsi="Arial" w:cs="Arial"/>
          <w:sz w:val="20"/>
          <w:szCs w:val="20"/>
        </w:rPr>
        <w:t xml:space="preserve">stage European eel </w:t>
      </w:r>
      <w:r w:rsidRPr="00EE1353">
        <w:rPr>
          <w:rFonts w:ascii="Arial" w:hAnsi="Arial" w:cs="Arial"/>
          <w:i/>
          <w:iCs/>
          <w:sz w:val="20"/>
          <w:szCs w:val="20"/>
        </w:rPr>
        <w:t xml:space="preserve">Anguilla </w:t>
      </w:r>
      <w:proofErr w:type="spellStart"/>
      <w:r w:rsidRPr="00EE1353">
        <w:rPr>
          <w:rFonts w:ascii="Arial" w:hAnsi="Arial" w:cs="Arial"/>
          <w:i/>
          <w:iCs/>
          <w:sz w:val="20"/>
          <w:szCs w:val="20"/>
        </w:rPr>
        <w:t>anguilla</w:t>
      </w:r>
      <w:proofErr w:type="spellEnd"/>
      <w:r w:rsidRPr="00EE1353">
        <w:rPr>
          <w:rFonts w:ascii="Arial" w:hAnsi="Arial" w:cs="Arial"/>
          <w:sz w:val="20"/>
          <w:szCs w:val="20"/>
        </w:rPr>
        <w:t xml:space="preserve"> in an estuarine environment. </w:t>
      </w:r>
      <w:r w:rsidRPr="00EE1353">
        <w:rPr>
          <w:rFonts w:ascii="Arial" w:hAnsi="Arial" w:cs="Arial"/>
          <w:i/>
          <w:iCs/>
          <w:sz w:val="20"/>
          <w:szCs w:val="20"/>
        </w:rPr>
        <w:t xml:space="preserve">Aquatic </w:t>
      </w:r>
      <w:proofErr w:type="spellStart"/>
      <w:r w:rsidRPr="00EE1353">
        <w:rPr>
          <w:rFonts w:ascii="Arial" w:hAnsi="Arial" w:cs="Arial"/>
          <w:i/>
          <w:iCs/>
          <w:sz w:val="20"/>
          <w:szCs w:val="20"/>
        </w:rPr>
        <w:t>Conserv</w:t>
      </w:r>
      <w:proofErr w:type="spellEnd"/>
      <w:r w:rsidRPr="00EE1353">
        <w:rPr>
          <w:rFonts w:ascii="Arial" w:hAnsi="Arial" w:cs="Arial"/>
          <w:i/>
          <w:iCs/>
          <w:sz w:val="20"/>
          <w:szCs w:val="20"/>
        </w:rPr>
        <w:t xml:space="preserve">: Mar. </w:t>
      </w:r>
      <w:proofErr w:type="spellStart"/>
      <w:r w:rsidRPr="00EE1353">
        <w:rPr>
          <w:rFonts w:ascii="Arial" w:hAnsi="Arial" w:cs="Arial"/>
          <w:i/>
          <w:iCs/>
          <w:sz w:val="20"/>
          <w:szCs w:val="20"/>
        </w:rPr>
        <w:t>Freshw</w:t>
      </w:r>
      <w:proofErr w:type="spellEnd"/>
      <w:r w:rsidRPr="00EE1353">
        <w:rPr>
          <w:rFonts w:ascii="Arial" w:hAnsi="Arial" w:cs="Arial"/>
          <w:i/>
          <w:iCs/>
          <w:sz w:val="20"/>
          <w:szCs w:val="20"/>
        </w:rPr>
        <w:t xml:space="preserve">. </w:t>
      </w:r>
      <w:proofErr w:type="spellStart"/>
      <w:r w:rsidRPr="00EE1353">
        <w:rPr>
          <w:rFonts w:ascii="Arial" w:hAnsi="Arial" w:cs="Arial"/>
          <w:i/>
          <w:iCs/>
          <w:sz w:val="20"/>
          <w:szCs w:val="20"/>
        </w:rPr>
        <w:t>Ecosyst</w:t>
      </w:r>
      <w:proofErr w:type="spellEnd"/>
      <w:r w:rsidRPr="00EE1353">
        <w:rPr>
          <w:rFonts w:ascii="Arial" w:hAnsi="Arial" w:cs="Arial"/>
          <w:i/>
          <w:iCs/>
          <w:sz w:val="20"/>
          <w:szCs w:val="20"/>
        </w:rPr>
        <w:t>.,</w:t>
      </w:r>
      <w:r w:rsidRPr="00EE1353">
        <w:rPr>
          <w:rFonts w:ascii="Arial" w:hAnsi="Arial" w:cs="Arial"/>
          <w:sz w:val="20"/>
          <w:szCs w:val="20"/>
        </w:rPr>
        <w:t xml:space="preserve"> </w:t>
      </w:r>
      <w:r w:rsidRPr="00EE1353">
        <w:rPr>
          <w:rFonts w:ascii="Arial" w:hAnsi="Arial" w:cs="Arial"/>
          <w:b/>
          <w:bCs/>
          <w:sz w:val="20"/>
          <w:szCs w:val="20"/>
        </w:rPr>
        <w:t>24</w:t>
      </w:r>
      <w:r w:rsidRPr="00EE1353">
        <w:rPr>
          <w:rFonts w:ascii="Arial" w:hAnsi="Arial" w:cs="Arial"/>
          <w:sz w:val="20"/>
          <w:szCs w:val="20"/>
        </w:rPr>
        <w:t>: 155-165.</w:t>
      </w:r>
    </w:p>
    <w:p w14:paraId="3DB349E5" w14:textId="77777777" w:rsidR="00923B2C" w:rsidRPr="00EE1353" w:rsidRDefault="009C7B40">
      <w:pPr>
        <w:pStyle w:val="NoSpacing"/>
        <w:spacing w:after="80"/>
        <w:ind w:left="567" w:hanging="567"/>
        <w:rPr>
          <w:rFonts w:ascii="Arial" w:hAnsi="Arial" w:cs="Arial"/>
          <w:sz w:val="20"/>
          <w:szCs w:val="20"/>
          <w:lang w:val="fr-FR"/>
        </w:rPr>
      </w:pPr>
      <w:r w:rsidRPr="00EE1353">
        <w:rPr>
          <w:rFonts w:ascii="Arial" w:hAnsi="Arial" w:cs="Arial"/>
          <w:sz w:val="20"/>
          <w:szCs w:val="20"/>
        </w:rPr>
        <w:t>Wright, R.M., Piper, A.T., Aarestrup, K</w:t>
      </w:r>
      <w:r w:rsidRPr="00EE1353">
        <w:rPr>
          <w:rFonts w:ascii="Arial" w:hAnsi="Arial" w:cs="Arial"/>
          <w:i/>
          <w:iCs/>
          <w:sz w:val="20"/>
          <w:szCs w:val="20"/>
        </w:rPr>
        <w:t>.</w:t>
      </w:r>
      <w:r w:rsidRPr="00EE1353">
        <w:rPr>
          <w:rFonts w:ascii="Arial" w:hAnsi="Arial" w:cs="Arial"/>
          <w:sz w:val="20"/>
          <w:szCs w:val="20"/>
        </w:rPr>
        <w:t xml:space="preserve"> Azevedo, J.M.N., Cowan, G., Don, A., </w:t>
      </w:r>
      <w:proofErr w:type="spellStart"/>
      <w:r w:rsidRPr="00EE1353">
        <w:rPr>
          <w:rFonts w:ascii="Arial" w:hAnsi="Arial" w:cs="Arial"/>
          <w:sz w:val="20"/>
          <w:szCs w:val="20"/>
        </w:rPr>
        <w:t>Gollock</w:t>
      </w:r>
      <w:proofErr w:type="spellEnd"/>
      <w:r w:rsidRPr="00EE1353">
        <w:rPr>
          <w:rFonts w:ascii="Arial" w:hAnsi="Arial" w:cs="Arial"/>
          <w:sz w:val="20"/>
          <w:szCs w:val="20"/>
        </w:rPr>
        <w:t xml:space="preserve">, M., Rodriguez Ramallo, S., </w:t>
      </w:r>
      <w:proofErr w:type="spellStart"/>
      <w:r w:rsidRPr="00EE1353">
        <w:rPr>
          <w:rFonts w:ascii="Arial" w:hAnsi="Arial" w:cs="Arial"/>
          <w:sz w:val="20"/>
          <w:szCs w:val="20"/>
        </w:rPr>
        <w:t>Velterop</w:t>
      </w:r>
      <w:proofErr w:type="spellEnd"/>
      <w:r w:rsidRPr="00EE1353">
        <w:rPr>
          <w:rFonts w:ascii="Arial" w:hAnsi="Arial" w:cs="Arial"/>
          <w:sz w:val="20"/>
          <w:szCs w:val="20"/>
        </w:rPr>
        <w:t xml:space="preserve">, R., Walker, A., Westerberg, H. and Righton, D. (2022). First direct evidence of adult European eels migrating to their breeding place in the Sargasso Sea. </w:t>
      </w:r>
      <w:r w:rsidRPr="00EE1353">
        <w:rPr>
          <w:rFonts w:ascii="Arial" w:hAnsi="Arial" w:cs="Arial"/>
          <w:i/>
          <w:iCs/>
          <w:sz w:val="20"/>
          <w:szCs w:val="20"/>
        </w:rPr>
        <w:t xml:space="preserve">Sci. </w:t>
      </w:r>
      <w:r w:rsidRPr="00EE1353">
        <w:rPr>
          <w:rFonts w:ascii="Arial" w:hAnsi="Arial" w:cs="Arial"/>
          <w:i/>
          <w:iCs/>
          <w:sz w:val="20"/>
          <w:szCs w:val="20"/>
          <w:lang w:val="fr-FR"/>
        </w:rPr>
        <w:t>Rep.</w:t>
      </w:r>
      <w:r w:rsidRPr="00EE1353">
        <w:rPr>
          <w:rFonts w:ascii="Arial" w:hAnsi="Arial" w:cs="Arial"/>
          <w:sz w:val="20"/>
          <w:szCs w:val="20"/>
          <w:lang w:val="fr-FR"/>
        </w:rPr>
        <w:t xml:space="preserve"> </w:t>
      </w:r>
      <w:r w:rsidRPr="00EE1353">
        <w:rPr>
          <w:rFonts w:ascii="Arial" w:hAnsi="Arial" w:cs="Arial"/>
          <w:b/>
          <w:bCs/>
          <w:sz w:val="20"/>
          <w:szCs w:val="20"/>
          <w:lang w:val="fr-FR"/>
        </w:rPr>
        <w:t>12</w:t>
      </w:r>
      <w:r w:rsidRPr="00EE1353">
        <w:rPr>
          <w:rFonts w:ascii="Arial" w:hAnsi="Arial" w:cs="Arial"/>
          <w:sz w:val="20"/>
          <w:szCs w:val="20"/>
          <w:lang w:val="fr-FR"/>
        </w:rPr>
        <w:t>, 15362. https://doi.org/10.1038/s41598-022-19248-8</w:t>
      </w:r>
    </w:p>
    <w:p w14:paraId="2226AF82" w14:textId="77777777" w:rsidR="00923B2C" w:rsidRDefault="00923B2C">
      <w:pPr>
        <w:autoSpaceDE w:val="0"/>
        <w:autoSpaceDN w:val="0"/>
        <w:adjustRightInd w:val="0"/>
        <w:spacing w:after="0" w:line="240" w:lineRule="auto"/>
        <w:jc w:val="both"/>
        <w:rPr>
          <w:rFonts w:ascii="Arial" w:hAnsi="Arial" w:cs="Arial"/>
          <w:color w:val="000000"/>
          <w:lang w:val="fr-FR" w:eastAsia="en-AU"/>
        </w:rPr>
      </w:pPr>
    </w:p>
    <w:p w14:paraId="4127D57C" w14:textId="77777777" w:rsidR="00923B2C" w:rsidRDefault="009C7B40">
      <w:pPr>
        <w:pStyle w:val="Heading1"/>
        <w:rPr>
          <w:sz w:val="22"/>
          <w:szCs w:val="22"/>
          <w:lang w:val="fr-FR"/>
        </w:rPr>
      </w:pPr>
      <w:r>
        <w:rPr>
          <w:lang w:val="fr-FR"/>
        </w:rPr>
        <w:br w:type="page"/>
      </w:r>
      <w:bookmarkStart w:id="34" w:name="_Toc212501831"/>
      <w:r>
        <w:rPr>
          <w:sz w:val="22"/>
          <w:szCs w:val="22"/>
          <w:lang w:val="fr-FR"/>
        </w:rPr>
        <w:lastRenderedPageBreak/>
        <w:t>ANNEXE 1 – MATRICE DES MENACES</w:t>
      </w:r>
      <w:bookmarkEnd w:id="34"/>
    </w:p>
    <w:p w14:paraId="3035C5EC" w14:textId="77777777" w:rsidR="00923B2C" w:rsidRDefault="00923B2C">
      <w:pPr>
        <w:autoSpaceDE w:val="0"/>
        <w:autoSpaceDN w:val="0"/>
        <w:adjustRightInd w:val="0"/>
        <w:spacing w:after="0" w:line="240" w:lineRule="auto"/>
        <w:jc w:val="both"/>
        <w:rPr>
          <w:rFonts w:ascii="Arial" w:hAnsi="Arial" w:cs="Arial"/>
          <w:b/>
          <w:bCs/>
          <w:color w:val="000000"/>
          <w:u w:val="single"/>
          <w:lang w:val="fr-FR" w:eastAsia="en-AU"/>
        </w:rPr>
      </w:pPr>
    </w:p>
    <w:p w14:paraId="19F6BA57" w14:textId="77777777" w:rsidR="00923B2C" w:rsidRDefault="009C7B40">
      <w:pPr>
        <w:widowControl w:val="0"/>
        <w:spacing w:after="0" w:line="240" w:lineRule="auto"/>
        <w:jc w:val="both"/>
        <w:rPr>
          <w:rFonts w:ascii="Arial" w:hAnsi="Arial" w:cs="Arial"/>
          <w:snapToGrid w:val="0"/>
          <w:highlight w:val="yellow"/>
          <w:lang w:val="fr-FR"/>
        </w:rPr>
      </w:pPr>
      <w:r>
        <w:rPr>
          <w:rFonts w:ascii="Arial" w:hAnsi="Arial" w:cs="Arial"/>
          <w:snapToGrid w:val="0"/>
          <w:lang w:val="fr-FR"/>
        </w:rPr>
        <w:t>Les niveaux de risque et la priorité d’action associée sont définis comme suit :</w:t>
      </w:r>
    </w:p>
    <w:p w14:paraId="295759A6" w14:textId="77777777" w:rsidR="00923B2C" w:rsidRDefault="00923B2C">
      <w:pPr>
        <w:widowControl w:val="0"/>
        <w:spacing w:after="0" w:line="240" w:lineRule="auto"/>
        <w:jc w:val="both"/>
        <w:rPr>
          <w:rFonts w:ascii="Arial" w:hAnsi="Arial" w:cs="Arial"/>
          <w:snapToGrid w:val="0"/>
          <w:sz w:val="16"/>
          <w:szCs w:val="16"/>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859"/>
      </w:tblGrid>
      <w:tr w:rsidR="00923B2C" w:rsidRPr="0003602D" w14:paraId="56015B99" w14:textId="77777777">
        <w:tc>
          <w:tcPr>
            <w:tcW w:w="1276" w:type="dxa"/>
            <w:shd w:val="clear" w:color="auto" w:fill="F3A79D"/>
          </w:tcPr>
          <w:p w14:paraId="1716F812"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Très élevé</w:t>
            </w:r>
          </w:p>
        </w:tc>
        <w:tc>
          <w:tcPr>
            <w:tcW w:w="7902" w:type="dxa"/>
          </w:tcPr>
          <w:p w14:paraId="673777F2"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Mettre en œuvre des mesures supplémentaires immédiates</w:t>
            </w:r>
          </w:p>
        </w:tc>
      </w:tr>
      <w:tr w:rsidR="00923B2C" w:rsidRPr="0003602D" w14:paraId="41F1A713" w14:textId="77777777">
        <w:tc>
          <w:tcPr>
            <w:tcW w:w="1276" w:type="dxa"/>
            <w:shd w:val="clear" w:color="auto" w:fill="EFE9A1"/>
          </w:tcPr>
          <w:p w14:paraId="0D23F0E0"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Élevé</w:t>
            </w:r>
          </w:p>
        </w:tc>
        <w:tc>
          <w:tcPr>
            <w:tcW w:w="7902" w:type="dxa"/>
          </w:tcPr>
          <w:p w14:paraId="36DC7141"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Mettre en œuvre des mesures supplémentaires et adopter une approche de précaution</w:t>
            </w:r>
          </w:p>
        </w:tc>
      </w:tr>
      <w:tr w:rsidR="00923B2C" w:rsidRPr="0003602D" w14:paraId="576B08F6" w14:textId="77777777">
        <w:tc>
          <w:tcPr>
            <w:tcW w:w="1276" w:type="dxa"/>
            <w:shd w:val="clear" w:color="auto" w:fill="A5C9EB" w:themeFill="text2" w:themeFillTint="40"/>
          </w:tcPr>
          <w:p w14:paraId="6EA36349"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Modéré</w:t>
            </w:r>
          </w:p>
        </w:tc>
        <w:tc>
          <w:tcPr>
            <w:tcW w:w="7902" w:type="dxa"/>
          </w:tcPr>
          <w:p w14:paraId="0D24CA21"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Obtenir des informations supplémentaires et élaborer des mesures supplémentaires, le cas échéant</w:t>
            </w:r>
          </w:p>
        </w:tc>
      </w:tr>
      <w:tr w:rsidR="00923B2C" w:rsidRPr="0003602D" w14:paraId="26249CFB" w14:textId="77777777">
        <w:tc>
          <w:tcPr>
            <w:tcW w:w="1276" w:type="dxa"/>
            <w:shd w:val="clear" w:color="auto" w:fill="ACC884"/>
          </w:tcPr>
          <w:p w14:paraId="4043AF51"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Faible</w:t>
            </w:r>
          </w:p>
        </w:tc>
        <w:tc>
          <w:tcPr>
            <w:tcW w:w="7902" w:type="dxa"/>
          </w:tcPr>
          <w:p w14:paraId="7FA98A1E" w14:textId="77777777" w:rsidR="00923B2C" w:rsidRDefault="009C7B40">
            <w:pPr>
              <w:widowControl w:val="0"/>
              <w:spacing w:after="0" w:line="240" w:lineRule="auto"/>
              <w:jc w:val="both"/>
              <w:rPr>
                <w:rFonts w:ascii="Arial" w:hAnsi="Arial" w:cs="Arial"/>
                <w:snapToGrid w:val="0"/>
                <w:lang w:val="fr-FR"/>
              </w:rPr>
            </w:pPr>
            <w:r>
              <w:rPr>
                <w:rFonts w:ascii="Arial" w:hAnsi="Arial" w:cs="Arial"/>
                <w:snapToGrid w:val="0"/>
                <w:lang w:val="fr-FR"/>
              </w:rPr>
              <w:t>Surveiller l’occurrence des menaces et réévaluer le niveau de menace en cas d’évolution de la probabilité ou des conséquences</w:t>
            </w:r>
          </w:p>
        </w:tc>
      </w:tr>
    </w:tbl>
    <w:p w14:paraId="65A71B3A" w14:textId="77777777" w:rsidR="00923B2C" w:rsidRDefault="00923B2C">
      <w:pPr>
        <w:widowControl w:val="0"/>
        <w:spacing w:after="0" w:line="240" w:lineRule="auto"/>
        <w:jc w:val="both"/>
        <w:rPr>
          <w:rFonts w:ascii="Arial" w:eastAsia="Times New Roman" w:hAnsi="Arial" w:cs="Arial"/>
          <w:snapToGrid w:val="0"/>
          <w:sz w:val="24"/>
          <w:szCs w:val="20"/>
          <w:lang w:val="fr-FR"/>
        </w:rPr>
      </w:pPr>
    </w:p>
    <w:p w14:paraId="56CC7C4D"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Les probabilités d’occurrence sont classées comme suit :</w:t>
      </w:r>
    </w:p>
    <w:p w14:paraId="7DC975F4"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 xml:space="preserve">i. Quasi certaine </w:t>
      </w:r>
    </w:p>
    <w:p w14:paraId="34BF05A1"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ii. Probable</w:t>
      </w:r>
    </w:p>
    <w:p w14:paraId="1F47D239" w14:textId="77777777" w:rsidR="00923B2C" w:rsidRPr="003068BD" w:rsidRDefault="009C7B40">
      <w:pPr>
        <w:widowControl w:val="0"/>
        <w:spacing w:after="80" w:line="240" w:lineRule="auto"/>
        <w:jc w:val="both"/>
        <w:rPr>
          <w:rFonts w:ascii="Arial" w:eastAsia="Times New Roman" w:hAnsi="Arial" w:cs="Arial"/>
          <w:snapToGrid w:val="0"/>
          <w:lang w:val="fr-FR"/>
        </w:rPr>
      </w:pPr>
      <w:r w:rsidRPr="003068BD">
        <w:rPr>
          <w:rFonts w:ascii="Arial" w:eastAsia="Times New Roman" w:hAnsi="Arial" w:cs="Arial"/>
          <w:snapToGrid w:val="0"/>
          <w:lang w:val="fr-FR"/>
        </w:rPr>
        <w:t>iii. Possible</w:t>
      </w:r>
    </w:p>
    <w:p w14:paraId="21589B4B"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iv. Improbable</w:t>
      </w:r>
    </w:p>
    <w:p w14:paraId="5F4A43C4" w14:textId="77777777" w:rsidR="00923B2C" w:rsidRDefault="009C7B40">
      <w:pPr>
        <w:widowControl w:val="0"/>
        <w:spacing w:after="0" w:line="240" w:lineRule="auto"/>
        <w:jc w:val="both"/>
        <w:rPr>
          <w:rFonts w:ascii="Arial" w:eastAsia="Times New Roman" w:hAnsi="Arial" w:cs="Arial"/>
          <w:snapToGrid w:val="0"/>
          <w:lang w:val="fr-FR"/>
        </w:rPr>
      </w:pPr>
      <w:r>
        <w:rPr>
          <w:rFonts w:ascii="Arial" w:eastAsia="Times New Roman" w:hAnsi="Arial" w:cs="Arial"/>
          <w:snapToGrid w:val="0"/>
          <w:lang w:val="fr-FR"/>
        </w:rPr>
        <w:t xml:space="preserve">v. Rare/inconnue </w:t>
      </w:r>
    </w:p>
    <w:p w14:paraId="3F16A6E5" w14:textId="77777777" w:rsidR="00923B2C" w:rsidRDefault="00923B2C">
      <w:pPr>
        <w:widowControl w:val="0"/>
        <w:spacing w:after="0" w:line="240" w:lineRule="auto"/>
        <w:jc w:val="both"/>
        <w:rPr>
          <w:rFonts w:ascii="Arial" w:eastAsia="Times New Roman" w:hAnsi="Arial" w:cs="Arial"/>
          <w:snapToGrid w:val="0"/>
          <w:lang w:val="fr-FR"/>
        </w:rPr>
      </w:pPr>
    </w:p>
    <w:p w14:paraId="630D8039"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La classification des conséquences est définie comme suit :</w:t>
      </w:r>
    </w:p>
    <w:p w14:paraId="17FCED2A"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i. Inconnue/pas encore évaluée – Aucune incidence connue sur le statut de l'espèce si aucune mesure n’est prise.</w:t>
      </w:r>
    </w:p>
    <w:p w14:paraId="5D2331A8"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ii. Mineure – Contribution possible, mais non attestée, au déclin de l’espèce. Ne devrait pas être prioritaire par rapport aux autres menaces.</w:t>
      </w:r>
    </w:p>
    <w:p w14:paraId="2A34EC39"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iii. Modérée – Pourrait contribuer au déclin de l’espèce, mais ne constitue pas une menace immédiate.</w:t>
      </w:r>
    </w:p>
    <w:p w14:paraId="4B5719A7" w14:textId="77777777" w:rsidR="00923B2C" w:rsidRDefault="009C7B40">
      <w:pPr>
        <w:widowControl w:val="0"/>
        <w:spacing w:after="80" w:line="240" w:lineRule="auto"/>
        <w:jc w:val="both"/>
        <w:rPr>
          <w:rFonts w:ascii="Arial" w:eastAsia="Times New Roman" w:hAnsi="Arial" w:cs="Arial"/>
          <w:snapToGrid w:val="0"/>
          <w:lang w:val="fr-FR"/>
        </w:rPr>
      </w:pPr>
      <w:r>
        <w:rPr>
          <w:rFonts w:ascii="Arial" w:eastAsia="Times New Roman" w:hAnsi="Arial" w:cs="Arial"/>
          <w:snapToGrid w:val="0"/>
          <w:lang w:val="fr-FR"/>
        </w:rPr>
        <w:t>iv. Majeure – Pourrait entraîner un déclin important de l’espèce dans une zone donnée si aucune mesure n’est prise.</w:t>
      </w:r>
    </w:p>
    <w:p w14:paraId="677FF86D" w14:textId="77777777" w:rsidR="00923B2C" w:rsidRDefault="009C7B40">
      <w:pPr>
        <w:widowControl w:val="0"/>
        <w:spacing w:after="0" w:line="240" w:lineRule="auto"/>
        <w:jc w:val="both"/>
        <w:rPr>
          <w:rFonts w:ascii="Arial" w:eastAsia="Times New Roman" w:hAnsi="Arial" w:cs="Arial"/>
          <w:snapToGrid w:val="0"/>
          <w:lang w:val="fr-FR"/>
        </w:rPr>
      </w:pPr>
      <w:r>
        <w:rPr>
          <w:rFonts w:ascii="Arial" w:eastAsia="Times New Roman" w:hAnsi="Arial" w:cs="Arial"/>
          <w:snapToGrid w:val="0"/>
          <w:lang w:val="fr-FR"/>
        </w:rPr>
        <w:t>v. Catastrophique – Pourrait entraîner la disparition de l’espèce dans une zone donnée si aucune mesure n’est prise, et contribuer au risque d’extinction.</w:t>
      </w:r>
    </w:p>
    <w:p w14:paraId="336A68DB" w14:textId="77777777" w:rsidR="00923B2C" w:rsidRDefault="00923B2C">
      <w:pPr>
        <w:widowControl w:val="0"/>
        <w:spacing w:after="0" w:line="240" w:lineRule="auto"/>
        <w:jc w:val="both"/>
        <w:rPr>
          <w:rFonts w:ascii="Arial" w:eastAsia="Times New Roman" w:hAnsi="Arial" w:cs="Arial"/>
          <w:snapToGrid w:val="0"/>
          <w:sz w:val="24"/>
          <w:szCs w:val="20"/>
          <w:lang w:val="fr-FR"/>
        </w:rPr>
      </w:pPr>
    </w:p>
    <w:p w14:paraId="14456BAF" w14:textId="77777777" w:rsidR="00923B2C" w:rsidRDefault="009C7B40">
      <w:pPr>
        <w:spacing w:after="0" w:line="240" w:lineRule="auto"/>
        <w:rPr>
          <w:rFonts w:ascii="Arial" w:hAnsi="Arial" w:cs="Arial"/>
          <w:b/>
          <w:bCs/>
          <w:snapToGrid w:val="0"/>
          <w:lang w:val="fr-FR"/>
        </w:rPr>
      </w:pPr>
      <w:r>
        <w:rPr>
          <w:rFonts w:ascii="Arial" w:hAnsi="Arial" w:cs="Arial"/>
          <w:b/>
          <w:bCs/>
          <w:snapToGrid w:val="0"/>
          <w:lang w:val="fr-FR"/>
        </w:rPr>
        <w:t>MATRICE DES MENACES</w:t>
      </w:r>
    </w:p>
    <w:p w14:paraId="4640CF0C" w14:textId="77777777" w:rsidR="00923B2C" w:rsidRDefault="00923B2C">
      <w:pPr>
        <w:widowControl w:val="0"/>
        <w:spacing w:after="0" w:line="240" w:lineRule="auto"/>
        <w:jc w:val="both"/>
        <w:rPr>
          <w:rFonts w:ascii="Arial" w:eastAsia="Times New Roman" w:hAnsi="Arial" w:cs="Arial"/>
          <w:snapToGrid w:val="0"/>
          <w:sz w:val="24"/>
          <w:szCs w:val="20"/>
          <w:lang w:val="fr-F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559"/>
        <w:gridCol w:w="1559"/>
        <w:gridCol w:w="1524"/>
      </w:tblGrid>
      <w:tr w:rsidR="00923B2C" w14:paraId="237EE7F7" w14:textId="77777777">
        <w:trPr>
          <w:trHeight w:val="437"/>
        </w:trPr>
        <w:tc>
          <w:tcPr>
            <w:tcW w:w="1668" w:type="dxa"/>
            <w:vMerge w:val="restart"/>
            <w:vAlign w:val="center"/>
          </w:tcPr>
          <w:p w14:paraId="3F53DB39" w14:textId="77777777" w:rsidR="00923B2C" w:rsidRDefault="009C7B40">
            <w:pPr>
              <w:spacing w:after="0"/>
              <w:jc w:val="both"/>
              <w:rPr>
                <w:rFonts w:ascii="Arial" w:hAnsi="Arial" w:cs="Arial"/>
                <w:b/>
                <w:lang w:val="fr-FR"/>
              </w:rPr>
            </w:pPr>
            <w:r>
              <w:rPr>
                <w:rFonts w:ascii="Arial" w:hAnsi="Arial" w:cs="Arial"/>
                <w:b/>
                <w:lang w:val="fr-FR"/>
              </w:rPr>
              <w:t>Probabilité</w:t>
            </w:r>
          </w:p>
        </w:tc>
        <w:tc>
          <w:tcPr>
            <w:tcW w:w="7902" w:type="dxa"/>
            <w:gridSpan w:val="5"/>
            <w:vAlign w:val="center"/>
          </w:tcPr>
          <w:p w14:paraId="0F0DE7B6" w14:textId="77777777" w:rsidR="00923B2C" w:rsidRDefault="009C7B40">
            <w:pPr>
              <w:spacing w:after="0"/>
              <w:jc w:val="both"/>
              <w:rPr>
                <w:rFonts w:ascii="Arial" w:hAnsi="Arial" w:cs="Arial"/>
                <w:b/>
                <w:lang w:val="fr-FR"/>
              </w:rPr>
            </w:pPr>
            <w:r>
              <w:rPr>
                <w:rFonts w:ascii="Arial" w:hAnsi="Arial" w:cs="Arial"/>
                <w:b/>
                <w:lang w:val="fr-FR"/>
              </w:rPr>
              <w:t>Conséquences</w:t>
            </w:r>
          </w:p>
        </w:tc>
      </w:tr>
      <w:tr w:rsidR="00923B2C" w14:paraId="41A81B49" w14:textId="77777777">
        <w:tc>
          <w:tcPr>
            <w:tcW w:w="1668" w:type="dxa"/>
            <w:vMerge/>
          </w:tcPr>
          <w:p w14:paraId="5695C712" w14:textId="77777777" w:rsidR="00923B2C" w:rsidRDefault="00923B2C">
            <w:pPr>
              <w:spacing w:after="0"/>
              <w:jc w:val="both"/>
              <w:rPr>
                <w:rFonts w:ascii="Arial" w:hAnsi="Arial" w:cs="Arial"/>
                <w:lang w:val="fr-FR"/>
              </w:rPr>
            </w:pPr>
          </w:p>
        </w:tc>
        <w:tc>
          <w:tcPr>
            <w:tcW w:w="1701" w:type="dxa"/>
            <w:tcBorders>
              <w:bottom w:val="single" w:sz="4" w:space="0" w:color="auto"/>
            </w:tcBorders>
          </w:tcPr>
          <w:p w14:paraId="4B02DD4C" w14:textId="77777777" w:rsidR="00923B2C" w:rsidRDefault="009C7B40">
            <w:pPr>
              <w:spacing w:after="0"/>
              <w:jc w:val="both"/>
              <w:rPr>
                <w:rFonts w:ascii="Arial" w:hAnsi="Arial" w:cs="Arial"/>
                <w:lang w:val="fr-FR"/>
              </w:rPr>
            </w:pPr>
            <w:r>
              <w:rPr>
                <w:rFonts w:ascii="Arial" w:hAnsi="Arial" w:cs="Arial"/>
                <w:lang w:val="fr-FR"/>
              </w:rPr>
              <w:t>Non significatives</w:t>
            </w:r>
          </w:p>
        </w:tc>
        <w:tc>
          <w:tcPr>
            <w:tcW w:w="1559" w:type="dxa"/>
            <w:tcBorders>
              <w:bottom w:val="single" w:sz="4" w:space="0" w:color="auto"/>
            </w:tcBorders>
          </w:tcPr>
          <w:p w14:paraId="47F08BB1" w14:textId="77777777" w:rsidR="00923B2C" w:rsidRDefault="009C7B40">
            <w:pPr>
              <w:spacing w:after="0"/>
              <w:jc w:val="both"/>
              <w:rPr>
                <w:rFonts w:ascii="Arial" w:hAnsi="Arial" w:cs="Arial"/>
                <w:lang w:val="fr-FR"/>
              </w:rPr>
            </w:pPr>
            <w:r>
              <w:rPr>
                <w:rFonts w:ascii="Arial" w:hAnsi="Arial" w:cs="Arial"/>
                <w:lang w:val="fr-FR"/>
              </w:rPr>
              <w:t>Mineures</w:t>
            </w:r>
          </w:p>
        </w:tc>
        <w:tc>
          <w:tcPr>
            <w:tcW w:w="1559" w:type="dxa"/>
            <w:tcBorders>
              <w:bottom w:val="single" w:sz="4" w:space="0" w:color="auto"/>
            </w:tcBorders>
          </w:tcPr>
          <w:p w14:paraId="722BF265" w14:textId="77777777" w:rsidR="00923B2C" w:rsidRDefault="009C7B40">
            <w:pPr>
              <w:spacing w:after="0"/>
              <w:jc w:val="both"/>
              <w:rPr>
                <w:rFonts w:ascii="Arial" w:hAnsi="Arial" w:cs="Arial"/>
                <w:lang w:val="fr-FR"/>
              </w:rPr>
            </w:pPr>
            <w:r>
              <w:rPr>
                <w:rFonts w:ascii="Arial" w:hAnsi="Arial" w:cs="Arial"/>
                <w:lang w:val="fr-FR"/>
              </w:rPr>
              <w:t>Modéré</w:t>
            </w:r>
          </w:p>
        </w:tc>
        <w:tc>
          <w:tcPr>
            <w:tcW w:w="1559" w:type="dxa"/>
            <w:tcBorders>
              <w:bottom w:val="single" w:sz="4" w:space="0" w:color="auto"/>
            </w:tcBorders>
          </w:tcPr>
          <w:p w14:paraId="1AFEF884" w14:textId="77777777" w:rsidR="00923B2C" w:rsidRDefault="009C7B40">
            <w:pPr>
              <w:spacing w:after="0"/>
              <w:jc w:val="both"/>
              <w:rPr>
                <w:rFonts w:ascii="Arial" w:hAnsi="Arial" w:cs="Arial"/>
                <w:lang w:val="fr-FR"/>
              </w:rPr>
            </w:pPr>
            <w:r>
              <w:rPr>
                <w:rFonts w:ascii="Arial" w:hAnsi="Arial" w:cs="Arial"/>
                <w:lang w:val="fr-FR"/>
              </w:rPr>
              <w:t>Majeures</w:t>
            </w:r>
          </w:p>
        </w:tc>
        <w:tc>
          <w:tcPr>
            <w:tcW w:w="1524" w:type="dxa"/>
            <w:tcBorders>
              <w:bottom w:val="single" w:sz="4" w:space="0" w:color="auto"/>
            </w:tcBorders>
          </w:tcPr>
          <w:p w14:paraId="4290A21D" w14:textId="77777777" w:rsidR="00923B2C" w:rsidRDefault="009C7B40">
            <w:pPr>
              <w:spacing w:after="0"/>
              <w:jc w:val="both"/>
              <w:rPr>
                <w:rFonts w:ascii="Arial" w:hAnsi="Arial" w:cs="Arial"/>
                <w:lang w:val="fr-FR"/>
              </w:rPr>
            </w:pPr>
            <w:r>
              <w:rPr>
                <w:rFonts w:ascii="Arial" w:hAnsi="Arial" w:cs="Arial"/>
                <w:lang w:val="fr-FR"/>
              </w:rPr>
              <w:t>Catastrophiques</w:t>
            </w:r>
          </w:p>
        </w:tc>
      </w:tr>
      <w:tr w:rsidR="00923B2C" w14:paraId="01BA3CFC" w14:textId="77777777">
        <w:tc>
          <w:tcPr>
            <w:tcW w:w="1668" w:type="dxa"/>
          </w:tcPr>
          <w:p w14:paraId="692B96CF" w14:textId="77777777" w:rsidR="00923B2C" w:rsidRDefault="009C7B40">
            <w:pPr>
              <w:spacing w:after="0"/>
              <w:jc w:val="both"/>
              <w:rPr>
                <w:rFonts w:ascii="Arial" w:hAnsi="Arial" w:cs="Arial"/>
                <w:lang w:val="fr-FR"/>
              </w:rPr>
            </w:pPr>
            <w:r>
              <w:rPr>
                <w:rFonts w:ascii="Arial" w:hAnsi="Arial" w:cs="Arial"/>
                <w:lang w:val="fr-FR"/>
              </w:rPr>
              <w:t>Quasi certaine</w:t>
            </w:r>
          </w:p>
        </w:tc>
        <w:tc>
          <w:tcPr>
            <w:tcW w:w="1701" w:type="dxa"/>
            <w:shd w:val="clear" w:color="FFFFFF" w:fill="D6E3BC"/>
          </w:tcPr>
          <w:p w14:paraId="4845747E" w14:textId="77777777" w:rsidR="00923B2C" w:rsidRDefault="009C7B40">
            <w:pPr>
              <w:spacing w:after="0"/>
              <w:jc w:val="both"/>
              <w:rPr>
                <w:rFonts w:ascii="Arial" w:hAnsi="Arial" w:cs="Arial"/>
                <w:lang w:val="fr-FR"/>
              </w:rPr>
            </w:pPr>
            <w:r>
              <w:rPr>
                <w:rFonts w:ascii="Arial" w:hAnsi="Arial" w:cs="Arial"/>
                <w:sz w:val="16"/>
                <w:szCs w:val="16"/>
                <w:lang w:val="fr-FR"/>
              </w:rPr>
              <w:t>Faible</w:t>
            </w:r>
          </w:p>
        </w:tc>
        <w:tc>
          <w:tcPr>
            <w:tcW w:w="1559" w:type="dxa"/>
            <w:shd w:val="clear" w:color="auto" w:fill="C6D9F1"/>
          </w:tcPr>
          <w:p w14:paraId="2B92D1D4" w14:textId="77777777" w:rsidR="00923B2C" w:rsidRDefault="009C7B40">
            <w:pPr>
              <w:spacing w:after="0"/>
              <w:jc w:val="both"/>
              <w:rPr>
                <w:rFonts w:ascii="Arial" w:hAnsi="Arial" w:cs="Arial"/>
                <w:lang w:val="fr-FR"/>
              </w:rPr>
            </w:pPr>
            <w:r>
              <w:rPr>
                <w:rFonts w:ascii="Arial" w:hAnsi="Arial" w:cs="Arial"/>
                <w:lang w:val="fr-FR"/>
              </w:rPr>
              <w:t>Modéré</w:t>
            </w:r>
          </w:p>
        </w:tc>
        <w:tc>
          <w:tcPr>
            <w:tcW w:w="1559" w:type="dxa"/>
            <w:tcBorders>
              <w:bottom w:val="single" w:sz="4" w:space="0" w:color="auto"/>
            </w:tcBorders>
            <w:shd w:val="clear" w:color="auto" w:fill="E5B8B7"/>
          </w:tcPr>
          <w:p w14:paraId="3A887381" w14:textId="77777777" w:rsidR="00923B2C" w:rsidRDefault="009C7B40">
            <w:pPr>
              <w:spacing w:after="0"/>
              <w:jc w:val="both"/>
              <w:rPr>
                <w:rFonts w:ascii="Arial" w:hAnsi="Arial" w:cs="Arial"/>
                <w:lang w:val="fr-FR"/>
              </w:rPr>
            </w:pPr>
            <w:r>
              <w:rPr>
                <w:rFonts w:ascii="Arial" w:hAnsi="Arial" w:cs="Arial"/>
                <w:lang w:val="fr-FR"/>
              </w:rPr>
              <w:t>Très élevé</w:t>
            </w:r>
          </w:p>
        </w:tc>
        <w:tc>
          <w:tcPr>
            <w:tcW w:w="1559" w:type="dxa"/>
            <w:tcBorders>
              <w:bottom w:val="single" w:sz="4" w:space="0" w:color="auto"/>
            </w:tcBorders>
            <w:shd w:val="clear" w:color="auto" w:fill="E5B8B7"/>
          </w:tcPr>
          <w:p w14:paraId="1FC3EC43" w14:textId="77777777" w:rsidR="00923B2C" w:rsidRDefault="009C7B40">
            <w:pPr>
              <w:spacing w:after="0"/>
              <w:jc w:val="both"/>
              <w:rPr>
                <w:rFonts w:ascii="Arial" w:hAnsi="Arial" w:cs="Arial"/>
                <w:lang w:val="fr-FR"/>
              </w:rPr>
            </w:pPr>
            <w:r>
              <w:rPr>
                <w:rFonts w:ascii="Arial" w:hAnsi="Arial" w:cs="Arial"/>
                <w:lang w:val="fr-FR"/>
              </w:rPr>
              <w:t>Très élevé</w:t>
            </w:r>
          </w:p>
        </w:tc>
        <w:tc>
          <w:tcPr>
            <w:tcW w:w="1524" w:type="dxa"/>
            <w:tcBorders>
              <w:bottom w:val="single" w:sz="4" w:space="0" w:color="auto"/>
            </w:tcBorders>
            <w:shd w:val="clear" w:color="auto" w:fill="E5B8B7"/>
          </w:tcPr>
          <w:p w14:paraId="3A4B9C5C" w14:textId="77777777" w:rsidR="00923B2C" w:rsidRDefault="009C7B40">
            <w:pPr>
              <w:spacing w:after="0"/>
              <w:jc w:val="both"/>
              <w:rPr>
                <w:rFonts w:ascii="Arial" w:hAnsi="Arial" w:cs="Arial"/>
                <w:lang w:val="fr-FR"/>
              </w:rPr>
            </w:pPr>
            <w:r>
              <w:rPr>
                <w:rFonts w:ascii="Arial" w:hAnsi="Arial" w:cs="Arial"/>
                <w:lang w:val="fr-FR"/>
              </w:rPr>
              <w:t>Très élevé</w:t>
            </w:r>
          </w:p>
        </w:tc>
      </w:tr>
      <w:tr w:rsidR="00923B2C" w14:paraId="411FCFF2" w14:textId="77777777">
        <w:tc>
          <w:tcPr>
            <w:tcW w:w="1668" w:type="dxa"/>
          </w:tcPr>
          <w:p w14:paraId="60C22E91" w14:textId="77777777" w:rsidR="00923B2C" w:rsidRDefault="009C7B40">
            <w:pPr>
              <w:spacing w:after="0"/>
              <w:jc w:val="both"/>
              <w:rPr>
                <w:rFonts w:ascii="Arial" w:hAnsi="Arial" w:cs="Arial"/>
                <w:lang w:val="fr-FR"/>
              </w:rPr>
            </w:pPr>
            <w:r>
              <w:rPr>
                <w:rFonts w:ascii="Arial" w:hAnsi="Arial" w:cs="Arial"/>
                <w:lang w:val="fr-FR"/>
              </w:rPr>
              <w:t>Probable</w:t>
            </w:r>
          </w:p>
        </w:tc>
        <w:tc>
          <w:tcPr>
            <w:tcW w:w="1701" w:type="dxa"/>
            <w:shd w:val="clear" w:color="FFFFFF" w:fill="D6E3BC"/>
          </w:tcPr>
          <w:p w14:paraId="1481522A" w14:textId="77777777" w:rsidR="00923B2C" w:rsidRDefault="009C7B40">
            <w:pPr>
              <w:spacing w:after="0"/>
              <w:jc w:val="both"/>
              <w:rPr>
                <w:rFonts w:ascii="Arial" w:hAnsi="Arial" w:cs="Arial"/>
                <w:lang w:val="fr-FR"/>
              </w:rPr>
            </w:pPr>
            <w:r>
              <w:rPr>
                <w:rFonts w:ascii="Arial" w:hAnsi="Arial" w:cs="Arial"/>
                <w:lang w:val="fr-FR"/>
              </w:rPr>
              <w:t>Faible</w:t>
            </w:r>
          </w:p>
        </w:tc>
        <w:tc>
          <w:tcPr>
            <w:tcW w:w="1559" w:type="dxa"/>
            <w:shd w:val="clear" w:color="auto" w:fill="C6D9F1"/>
          </w:tcPr>
          <w:p w14:paraId="4039C570" w14:textId="77777777" w:rsidR="00923B2C" w:rsidRDefault="009C7B40">
            <w:pPr>
              <w:spacing w:after="0"/>
              <w:jc w:val="both"/>
              <w:rPr>
                <w:rFonts w:ascii="Arial" w:hAnsi="Arial" w:cs="Arial"/>
                <w:lang w:val="fr-FR"/>
              </w:rPr>
            </w:pPr>
            <w:r>
              <w:rPr>
                <w:rFonts w:ascii="Arial" w:hAnsi="Arial" w:cs="Arial"/>
                <w:lang w:val="fr-FR"/>
              </w:rPr>
              <w:t>Modéré</w:t>
            </w:r>
          </w:p>
        </w:tc>
        <w:tc>
          <w:tcPr>
            <w:tcW w:w="1559" w:type="dxa"/>
            <w:shd w:val="clear" w:color="auto" w:fill="FAF7B6"/>
          </w:tcPr>
          <w:p w14:paraId="03582BAA" w14:textId="77777777" w:rsidR="00923B2C" w:rsidRDefault="009C7B40">
            <w:pPr>
              <w:spacing w:after="0"/>
              <w:jc w:val="both"/>
              <w:rPr>
                <w:rFonts w:ascii="Arial" w:hAnsi="Arial" w:cs="Arial"/>
                <w:lang w:val="fr-FR"/>
              </w:rPr>
            </w:pPr>
            <w:r>
              <w:rPr>
                <w:rFonts w:ascii="Arial" w:hAnsi="Arial" w:cs="Arial"/>
                <w:lang w:val="fr-FR"/>
              </w:rPr>
              <w:t>Élevé</w:t>
            </w:r>
          </w:p>
        </w:tc>
        <w:tc>
          <w:tcPr>
            <w:tcW w:w="1559" w:type="dxa"/>
            <w:shd w:val="clear" w:color="auto" w:fill="E5B8B7"/>
          </w:tcPr>
          <w:p w14:paraId="688FC14B" w14:textId="77777777" w:rsidR="00923B2C" w:rsidRDefault="009C7B40">
            <w:pPr>
              <w:spacing w:after="0"/>
              <w:jc w:val="both"/>
              <w:rPr>
                <w:rFonts w:ascii="Arial" w:hAnsi="Arial" w:cs="Arial"/>
                <w:lang w:val="fr-FR"/>
              </w:rPr>
            </w:pPr>
            <w:r>
              <w:rPr>
                <w:rFonts w:ascii="Arial" w:hAnsi="Arial" w:cs="Arial"/>
                <w:lang w:val="fr-FR"/>
              </w:rPr>
              <w:t>Très élevé</w:t>
            </w:r>
          </w:p>
        </w:tc>
        <w:tc>
          <w:tcPr>
            <w:tcW w:w="1524" w:type="dxa"/>
            <w:shd w:val="clear" w:color="auto" w:fill="E5B8B7"/>
          </w:tcPr>
          <w:p w14:paraId="6DF73E59" w14:textId="77777777" w:rsidR="00923B2C" w:rsidRDefault="009C7B40">
            <w:pPr>
              <w:spacing w:after="0"/>
              <w:jc w:val="both"/>
              <w:rPr>
                <w:rFonts w:ascii="Arial" w:hAnsi="Arial" w:cs="Arial"/>
                <w:lang w:val="fr-FR"/>
              </w:rPr>
            </w:pPr>
            <w:r>
              <w:rPr>
                <w:rFonts w:ascii="Arial" w:hAnsi="Arial" w:cs="Arial"/>
                <w:lang w:val="fr-FR"/>
              </w:rPr>
              <w:t>Très élevé</w:t>
            </w:r>
          </w:p>
        </w:tc>
      </w:tr>
      <w:tr w:rsidR="00923B2C" w14:paraId="5EB8331B" w14:textId="77777777">
        <w:tc>
          <w:tcPr>
            <w:tcW w:w="1668" w:type="dxa"/>
          </w:tcPr>
          <w:p w14:paraId="7C795B3D" w14:textId="77777777" w:rsidR="00923B2C" w:rsidRDefault="009C7B40">
            <w:pPr>
              <w:spacing w:after="0"/>
              <w:jc w:val="both"/>
              <w:rPr>
                <w:rFonts w:ascii="Arial" w:hAnsi="Arial" w:cs="Arial"/>
                <w:lang w:val="en-AU"/>
              </w:rPr>
            </w:pPr>
            <w:r>
              <w:rPr>
                <w:rFonts w:ascii="Arial" w:hAnsi="Arial" w:cs="Arial"/>
                <w:lang w:val="en-AU"/>
              </w:rPr>
              <w:t>Possible</w:t>
            </w:r>
          </w:p>
        </w:tc>
        <w:tc>
          <w:tcPr>
            <w:tcW w:w="1701" w:type="dxa"/>
            <w:shd w:val="clear" w:color="FFFFFF" w:fill="D6E3BC"/>
          </w:tcPr>
          <w:p w14:paraId="56AE3BAE" w14:textId="77777777" w:rsidR="00923B2C" w:rsidRDefault="009C7B40">
            <w:pPr>
              <w:spacing w:after="0"/>
              <w:jc w:val="both"/>
              <w:rPr>
                <w:rFonts w:ascii="Arial" w:hAnsi="Arial" w:cs="Arial"/>
                <w:lang w:val="fr-FR"/>
              </w:rPr>
            </w:pPr>
            <w:r>
              <w:rPr>
                <w:rFonts w:ascii="Arial" w:hAnsi="Arial" w:cs="Arial"/>
                <w:lang w:val="fr-FR"/>
              </w:rPr>
              <w:t>Faible</w:t>
            </w:r>
          </w:p>
        </w:tc>
        <w:tc>
          <w:tcPr>
            <w:tcW w:w="1559" w:type="dxa"/>
            <w:tcBorders>
              <w:bottom w:val="single" w:sz="4" w:space="0" w:color="auto"/>
            </w:tcBorders>
            <w:shd w:val="clear" w:color="auto" w:fill="C6D9F1"/>
          </w:tcPr>
          <w:p w14:paraId="75345A40" w14:textId="77777777" w:rsidR="00923B2C" w:rsidRDefault="009C7B40">
            <w:pPr>
              <w:spacing w:after="0"/>
              <w:jc w:val="both"/>
              <w:rPr>
                <w:rFonts w:ascii="Arial" w:hAnsi="Arial" w:cs="Arial"/>
                <w:lang w:val="fr-FR"/>
              </w:rPr>
            </w:pPr>
            <w:r>
              <w:rPr>
                <w:rFonts w:ascii="Arial" w:hAnsi="Arial" w:cs="Arial"/>
                <w:lang w:val="fr-FR"/>
              </w:rPr>
              <w:t>Modéré</w:t>
            </w:r>
          </w:p>
        </w:tc>
        <w:tc>
          <w:tcPr>
            <w:tcW w:w="1559" w:type="dxa"/>
            <w:tcBorders>
              <w:bottom w:val="single" w:sz="4" w:space="0" w:color="auto"/>
            </w:tcBorders>
            <w:shd w:val="clear" w:color="auto" w:fill="FAF7B6"/>
          </w:tcPr>
          <w:p w14:paraId="7477337F" w14:textId="77777777" w:rsidR="00923B2C" w:rsidRDefault="009C7B40">
            <w:pPr>
              <w:spacing w:after="0"/>
              <w:jc w:val="both"/>
              <w:rPr>
                <w:rFonts w:ascii="Arial" w:hAnsi="Arial" w:cs="Arial"/>
                <w:lang w:val="fr-FR"/>
              </w:rPr>
            </w:pPr>
            <w:r>
              <w:rPr>
                <w:rFonts w:ascii="Arial" w:hAnsi="Arial" w:cs="Arial"/>
                <w:lang w:val="fr-FR"/>
              </w:rPr>
              <w:t>Élevé</w:t>
            </w:r>
          </w:p>
        </w:tc>
        <w:tc>
          <w:tcPr>
            <w:tcW w:w="1559" w:type="dxa"/>
            <w:tcBorders>
              <w:bottom w:val="single" w:sz="4" w:space="0" w:color="auto"/>
            </w:tcBorders>
            <w:shd w:val="clear" w:color="auto" w:fill="E5B8B7"/>
          </w:tcPr>
          <w:p w14:paraId="1BFF7EDB" w14:textId="77777777" w:rsidR="00923B2C" w:rsidRDefault="009C7B40">
            <w:pPr>
              <w:spacing w:after="0"/>
              <w:jc w:val="both"/>
              <w:rPr>
                <w:rFonts w:ascii="Arial" w:hAnsi="Arial" w:cs="Arial"/>
                <w:lang w:val="fr-FR"/>
              </w:rPr>
            </w:pPr>
            <w:r>
              <w:rPr>
                <w:rFonts w:ascii="Arial" w:hAnsi="Arial" w:cs="Arial"/>
                <w:lang w:val="fr-FR"/>
              </w:rPr>
              <w:t>Très élevé</w:t>
            </w:r>
          </w:p>
        </w:tc>
        <w:tc>
          <w:tcPr>
            <w:tcW w:w="1524" w:type="dxa"/>
            <w:tcBorders>
              <w:bottom w:val="single" w:sz="4" w:space="0" w:color="auto"/>
            </w:tcBorders>
            <w:shd w:val="clear" w:color="auto" w:fill="E5B8B7"/>
          </w:tcPr>
          <w:p w14:paraId="33B26ACE" w14:textId="77777777" w:rsidR="00923B2C" w:rsidRDefault="009C7B40">
            <w:pPr>
              <w:spacing w:after="0"/>
              <w:jc w:val="both"/>
              <w:rPr>
                <w:rFonts w:ascii="Arial" w:hAnsi="Arial" w:cs="Arial"/>
                <w:lang w:val="fr-FR"/>
              </w:rPr>
            </w:pPr>
            <w:r>
              <w:rPr>
                <w:rFonts w:ascii="Arial" w:hAnsi="Arial" w:cs="Arial"/>
                <w:lang w:val="fr-FR"/>
              </w:rPr>
              <w:t>Très élevé</w:t>
            </w:r>
          </w:p>
        </w:tc>
      </w:tr>
      <w:tr w:rsidR="00923B2C" w14:paraId="6779275D" w14:textId="77777777">
        <w:tc>
          <w:tcPr>
            <w:tcW w:w="1668" w:type="dxa"/>
          </w:tcPr>
          <w:p w14:paraId="5B8D7D94" w14:textId="77777777" w:rsidR="00923B2C" w:rsidRDefault="009C7B40">
            <w:pPr>
              <w:spacing w:after="0"/>
              <w:jc w:val="both"/>
              <w:rPr>
                <w:rFonts w:ascii="Arial" w:hAnsi="Arial" w:cs="Arial"/>
                <w:lang w:val="fr-FR"/>
              </w:rPr>
            </w:pPr>
            <w:r>
              <w:rPr>
                <w:rFonts w:ascii="Arial" w:hAnsi="Arial" w:cs="Arial"/>
                <w:lang w:val="fr-FR"/>
              </w:rPr>
              <w:t>Peu probable</w:t>
            </w:r>
          </w:p>
        </w:tc>
        <w:tc>
          <w:tcPr>
            <w:tcW w:w="1701" w:type="dxa"/>
            <w:shd w:val="clear" w:color="FFFFFF" w:fill="D6E3BC"/>
          </w:tcPr>
          <w:p w14:paraId="5E1790BF" w14:textId="77777777" w:rsidR="00923B2C" w:rsidRDefault="009C7B40">
            <w:pPr>
              <w:spacing w:after="0"/>
              <w:jc w:val="both"/>
              <w:rPr>
                <w:rFonts w:ascii="Arial" w:hAnsi="Arial" w:cs="Arial"/>
                <w:lang w:val="fr-FR"/>
              </w:rPr>
            </w:pPr>
            <w:r>
              <w:rPr>
                <w:rFonts w:ascii="Arial" w:hAnsi="Arial" w:cs="Arial"/>
                <w:lang w:val="fr-FR"/>
              </w:rPr>
              <w:t>Faible</w:t>
            </w:r>
          </w:p>
        </w:tc>
        <w:tc>
          <w:tcPr>
            <w:tcW w:w="1559" w:type="dxa"/>
            <w:shd w:val="clear" w:color="FFFFFF" w:fill="D6E3BC"/>
          </w:tcPr>
          <w:p w14:paraId="4918E480" w14:textId="77777777" w:rsidR="00923B2C" w:rsidRDefault="009C7B40">
            <w:pPr>
              <w:spacing w:after="0"/>
              <w:jc w:val="both"/>
              <w:rPr>
                <w:rFonts w:ascii="Arial" w:hAnsi="Arial" w:cs="Arial"/>
                <w:lang w:val="fr-FR"/>
              </w:rPr>
            </w:pPr>
            <w:r>
              <w:rPr>
                <w:rFonts w:ascii="Arial" w:hAnsi="Arial" w:cs="Arial"/>
                <w:lang w:val="fr-FR"/>
              </w:rPr>
              <w:t>Faible</w:t>
            </w:r>
          </w:p>
        </w:tc>
        <w:tc>
          <w:tcPr>
            <w:tcW w:w="1559" w:type="dxa"/>
            <w:shd w:val="clear" w:color="auto" w:fill="C6D9F1"/>
          </w:tcPr>
          <w:p w14:paraId="5B02D8AB" w14:textId="77777777" w:rsidR="00923B2C" w:rsidRDefault="009C7B40">
            <w:pPr>
              <w:spacing w:after="0"/>
              <w:jc w:val="both"/>
              <w:rPr>
                <w:rFonts w:ascii="Arial" w:hAnsi="Arial" w:cs="Arial"/>
                <w:lang w:val="fr-FR"/>
              </w:rPr>
            </w:pPr>
            <w:r>
              <w:rPr>
                <w:rFonts w:ascii="Arial" w:hAnsi="Arial" w:cs="Arial"/>
                <w:lang w:val="fr-FR"/>
              </w:rPr>
              <w:t>Modéré</w:t>
            </w:r>
          </w:p>
        </w:tc>
        <w:tc>
          <w:tcPr>
            <w:tcW w:w="1559" w:type="dxa"/>
            <w:shd w:val="clear" w:color="auto" w:fill="FAF7B6"/>
          </w:tcPr>
          <w:p w14:paraId="173EED9E" w14:textId="77777777" w:rsidR="00923B2C" w:rsidRDefault="009C7B40">
            <w:pPr>
              <w:spacing w:after="0"/>
              <w:jc w:val="both"/>
              <w:rPr>
                <w:rFonts w:ascii="Arial" w:hAnsi="Arial" w:cs="Arial"/>
                <w:lang w:val="fr-FR"/>
              </w:rPr>
            </w:pPr>
            <w:r>
              <w:rPr>
                <w:rFonts w:ascii="Arial" w:hAnsi="Arial" w:cs="Arial"/>
                <w:lang w:val="fr-FR"/>
              </w:rPr>
              <w:t>Élevé</w:t>
            </w:r>
          </w:p>
        </w:tc>
        <w:tc>
          <w:tcPr>
            <w:tcW w:w="1524" w:type="dxa"/>
            <w:shd w:val="clear" w:color="auto" w:fill="E5B8B7"/>
          </w:tcPr>
          <w:p w14:paraId="642E838A" w14:textId="77777777" w:rsidR="00923B2C" w:rsidRDefault="009C7B40">
            <w:pPr>
              <w:spacing w:after="0"/>
              <w:jc w:val="both"/>
              <w:rPr>
                <w:rFonts w:ascii="Arial" w:hAnsi="Arial" w:cs="Arial"/>
                <w:lang w:val="fr-FR"/>
              </w:rPr>
            </w:pPr>
            <w:r>
              <w:rPr>
                <w:rFonts w:ascii="Arial" w:hAnsi="Arial" w:cs="Arial"/>
                <w:lang w:val="fr-FR"/>
              </w:rPr>
              <w:t>Très élevé</w:t>
            </w:r>
          </w:p>
        </w:tc>
      </w:tr>
      <w:tr w:rsidR="00923B2C" w14:paraId="6BCFF5F5" w14:textId="77777777">
        <w:tc>
          <w:tcPr>
            <w:tcW w:w="1668" w:type="dxa"/>
          </w:tcPr>
          <w:p w14:paraId="2DE7F9A5" w14:textId="77777777" w:rsidR="00923B2C" w:rsidRDefault="009C7B40">
            <w:pPr>
              <w:spacing w:after="0"/>
              <w:jc w:val="both"/>
              <w:rPr>
                <w:rFonts w:ascii="Arial" w:hAnsi="Arial" w:cs="Arial"/>
                <w:lang w:val="fr-FR"/>
              </w:rPr>
            </w:pPr>
            <w:r>
              <w:rPr>
                <w:rFonts w:ascii="Arial" w:hAnsi="Arial" w:cs="Arial"/>
                <w:lang w:val="fr-FR"/>
              </w:rPr>
              <w:t>Rare / Inconnue</w:t>
            </w:r>
          </w:p>
        </w:tc>
        <w:tc>
          <w:tcPr>
            <w:tcW w:w="1701" w:type="dxa"/>
            <w:shd w:val="clear" w:color="FFFFFF" w:fill="D6E3BC"/>
          </w:tcPr>
          <w:p w14:paraId="37610722" w14:textId="77777777" w:rsidR="00923B2C" w:rsidRDefault="009C7B40">
            <w:pPr>
              <w:spacing w:after="0"/>
              <w:jc w:val="both"/>
              <w:rPr>
                <w:rFonts w:ascii="Arial" w:hAnsi="Arial" w:cs="Arial"/>
                <w:lang w:val="fr-FR"/>
              </w:rPr>
            </w:pPr>
            <w:r>
              <w:rPr>
                <w:rFonts w:ascii="Arial" w:hAnsi="Arial" w:cs="Arial"/>
                <w:lang w:val="fr-FR"/>
              </w:rPr>
              <w:t>Faible</w:t>
            </w:r>
          </w:p>
        </w:tc>
        <w:tc>
          <w:tcPr>
            <w:tcW w:w="1559" w:type="dxa"/>
            <w:shd w:val="clear" w:color="FFFFFF" w:fill="D6E3BC"/>
          </w:tcPr>
          <w:p w14:paraId="205B752D" w14:textId="77777777" w:rsidR="00923B2C" w:rsidRDefault="009C7B40">
            <w:pPr>
              <w:spacing w:after="0"/>
              <w:jc w:val="both"/>
              <w:rPr>
                <w:rFonts w:ascii="Arial" w:hAnsi="Arial" w:cs="Arial"/>
                <w:lang w:val="fr-FR"/>
              </w:rPr>
            </w:pPr>
            <w:r>
              <w:rPr>
                <w:rFonts w:ascii="Arial" w:hAnsi="Arial" w:cs="Arial"/>
                <w:lang w:val="fr-FR"/>
              </w:rPr>
              <w:t>Faible</w:t>
            </w:r>
          </w:p>
        </w:tc>
        <w:tc>
          <w:tcPr>
            <w:tcW w:w="1559" w:type="dxa"/>
            <w:shd w:val="clear" w:color="auto" w:fill="C6D9F1"/>
          </w:tcPr>
          <w:p w14:paraId="6FAB004F" w14:textId="77777777" w:rsidR="00923B2C" w:rsidRDefault="009C7B40">
            <w:pPr>
              <w:spacing w:after="0"/>
              <w:jc w:val="both"/>
              <w:rPr>
                <w:rFonts w:ascii="Arial" w:hAnsi="Arial" w:cs="Arial"/>
                <w:sz w:val="16"/>
                <w:szCs w:val="16"/>
                <w:lang w:val="fr-FR"/>
              </w:rPr>
            </w:pPr>
            <w:r>
              <w:rPr>
                <w:rFonts w:ascii="Arial" w:hAnsi="Arial" w:cs="Arial"/>
                <w:lang w:val="fr-FR"/>
              </w:rPr>
              <w:t>Modérée</w:t>
            </w:r>
            <w:r>
              <w:rPr>
                <w:rFonts w:ascii="Arial" w:hAnsi="Arial" w:cs="Arial"/>
                <w:sz w:val="16"/>
                <w:szCs w:val="16"/>
                <w:lang w:val="fr-FR"/>
              </w:rPr>
              <w:t xml:space="preserve"> </w:t>
            </w:r>
          </w:p>
        </w:tc>
        <w:tc>
          <w:tcPr>
            <w:tcW w:w="1559" w:type="dxa"/>
            <w:shd w:val="clear" w:color="auto" w:fill="FAF7B6"/>
          </w:tcPr>
          <w:p w14:paraId="0E37C30D" w14:textId="77777777" w:rsidR="00923B2C" w:rsidRDefault="009C7B40">
            <w:pPr>
              <w:spacing w:after="0"/>
              <w:jc w:val="both"/>
              <w:rPr>
                <w:rFonts w:ascii="Arial" w:hAnsi="Arial" w:cs="Arial"/>
                <w:lang w:val="fr-FR"/>
              </w:rPr>
            </w:pPr>
            <w:r>
              <w:rPr>
                <w:rFonts w:ascii="Arial" w:hAnsi="Arial" w:cs="Arial"/>
                <w:lang w:val="fr-FR"/>
              </w:rPr>
              <w:t>Élevé</w:t>
            </w:r>
          </w:p>
        </w:tc>
        <w:tc>
          <w:tcPr>
            <w:tcW w:w="1524" w:type="dxa"/>
            <w:shd w:val="clear" w:color="auto" w:fill="E5B8B7"/>
          </w:tcPr>
          <w:p w14:paraId="0C427004" w14:textId="77777777" w:rsidR="00923B2C" w:rsidRDefault="009C7B40">
            <w:pPr>
              <w:spacing w:after="0"/>
              <w:jc w:val="both"/>
              <w:rPr>
                <w:rFonts w:ascii="Arial" w:hAnsi="Arial" w:cs="Arial"/>
                <w:lang w:val="fr-FR"/>
              </w:rPr>
            </w:pPr>
            <w:r>
              <w:rPr>
                <w:rFonts w:ascii="Arial" w:hAnsi="Arial" w:cs="Arial"/>
                <w:lang w:val="fr-FR"/>
              </w:rPr>
              <w:t>Très élevé</w:t>
            </w:r>
          </w:p>
        </w:tc>
      </w:tr>
    </w:tbl>
    <w:p w14:paraId="241BB42A" w14:textId="77777777" w:rsidR="00923B2C" w:rsidRDefault="00923B2C">
      <w:pPr>
        <w:spacing w:after="0" w:line="240" w:lineRule="auto"/>
        <w:jc w:val="both"/>
        <w:rPr>
          <w:rFonts w:ascii="Arial" w:hAnsi="Arial" w:cs="Arial"/>
          <w:sz w:val="16"/>
          <w:szCs w:val="16"/>
          <w:lang w:val="fr-FR"/>
        </w:rPr>
      </w:pPr>
    </w:p>
    <w:p w14:paraId="55DB61FC" w14:textId="77777777" w:rsidR="00923B2C" w:rsidRDefault="009C7B40">
      <w:pPr>
        <w:spacing w:after="0" w:line="240" w:lineRule="auto"/>
        <w:jc w:val="both"/>
        <w:rPr>
          <w:rFonts w:ascii="Arial" w:hAnsi="Arial" w:cs="Arial"/>
          <w:lang w:val="fr-FR"/>
        </w:rPr>
      </w:pPr>
      <w:r>
        <w:rPr>
          <w:rFonts w:ascii="Arial" w:hAnsi="Arial" w:cs="Arial"/>
          <w:lang w:val="fr-FR"/>
        </w:rPr>
        <w:t>Il est très important de reconnaître que la lutte isolée contre des menaces individuelles — d’un point de vue géographique ou thématique — aura probablement des effets limités, et qu’il vaut mieux privilégier les interventions coordonnées lorsque cela est possible.</w:t>
      </w:r>
    </w:p>
    <w:p w14:paraId="5C4AD943" w14:textId="77777777" w:rsidR="00923B2C" w:rsidRDefault="00923B2C">
      <w:pPr>
        <w:spacing w:after="0" w:line="240" w:lineRule="auto"/>
        <w:jc w:val="both"/>
        <w:rPr>
          <w:rFonts w:ascii="Arial" w:hAnsi="Arial" w:cs="Arial"/>
          <w:lang w:val="fr-FR"/>
        </w:rPr>
      </w:pPr>
    </w:p>
    <w:p w14:paraId="3E7DBB94" w14:textId="77777777" w:rsidR="00923B2C" w:rsidRDefault="009C7B40">
      <w:pPr>
        <w:spacing w:after="0" w:line="240" w:lineRule="auto"/>
        <w:jc w:val="both"/>
        <w:rPr>
          <w:rFonts w:ascii="Arial" w:hAnsi="Arial" w:cs="Arial"/>
          <w:lang w:val="fr-FR"/>
        </w:rPr>
      </w:pPr>
      <w:r>
        <w:rPr>
          <w:rFonts w:ascii="Arial" w:hAnsi="Arial" w:cs="Arial"/>
          <w:lang w:val="fr-FR"/>
        </w:rPr>
        <w:t>Voici un exemple tiré du Plan d’action par espèce pour l’ange de mer en mer Méditerranée.</w:t>
      </w:r>
    </w:p>
    <w:p w14:paraId="1210F37E" w14:textId="77777777" w:rsidR="00923B2C" w:rsidRDefault="009C7B40">
      <w:pPr>
        <w:spacing w:after="0" w:line="240" w:lineRule="auto"/>
        <w:rPr>
          <w:rFonts w:ascii="Arial" w:hAnsi="Arial" w:cs="Arial"/>
          <w:b/>
          <w:bCs/>
          <w:color w:val="000000"/>
          <w:u w:val="single"/>
          <w:lang w:val="fr-FR" w:eastAsia="en-AU"/>
        </w:rPr>
      </w:pPr>
      <w:r>
        <w:rPr>
          <w:rFonts w:ascii="Arial" w:hAnsi="Arial" w:cs="Arial"/>
          <w:b/>
          <w:bCs/>
          <w:color w:val="000000"/>
          <w:u w:val="single"/>
          <w:lang w:val="fr-FR" w:eastAsia="en-AU"/>
        </w:rPr>
        <w:br w:type="page"/>
      </w:r>
    </w:p>
    <w:p w14:paraId="2F59D2E2" w14:textId="77777777" w:rsidR="00923B2C" w:rsidRDefault="00923B2C">
      <w:pPr>
        <w:autoSpaceDE w:val="0"/>
        <w:autoSpaceDN w:val="0"/>
        <w:adjustRightInd w:val="0"/>
        <w:spacing w:after="0" w:line="240" w:lineRule="auto"/>
        <w:jc w:val="both"/>
        <w:rPr>
          <w:rFonts w:ascii="Arial" w:hAnsi="Arial" w:cs="Arial"/>
          <w:b/>
          <w:bCs/>
          <w:color w:val="000000"/>
          <w:u w:val="single"/>
          <w:lang w:val="fr-FR" w:eastAsia="en-AU"/>
        </w:rPr>
        <w:sectPr w:rsidR="00923B2C">
          <w:headerReference w:type="even" r:id="rId40"/>
          <w:headerReference w:type="default" r:id="rId41"/>
          <w:footerReference w:type="even" r:id="rId42"/>
          <w:footerReference w:type="default" r:id="rId43"/>
          <w:headerReference w:type="first" r:id="rId44"/>
          <w:footerReference w:type="first" r:id="rId45"/>
          <w:endnotePr>
            <w:numFmt w:val="decimal"/>
          </w:endnotePr>
          <w:pgSz w:w="11905" w:h="16837" w:code="9"/>
          <w:pgMar w:top="1440" w:right="1440" w:bottom="1440" w:left="1440" w:header="510" w:footer="510" w:gutter="0"/>
          <w:cols w:space="720"/>
          <w:noEndnote/>
          <w:titlePg/>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1340"/>
        <w:gridCol w:w="2381"/>
        <w:gridCol w:w="2674"/>
        <w:gridCol w:w="2754"/>
        <w:gridCol w:w="2679"/>
        <w:gridCol w:w="2465"/>
      </w:tblGrid>
      <w:tr w:rsidR="00A00063" w:rsidRPr="00C268BD" w14:paraId="5F551EEF" w14:textId="77777777" w:rsidTr="00625F7E">
        <w:trPr>
          <w:cnfStyle w:val="100000000000" w:firstRow="1" w:lastRow="0" w:firstColumn="0" w:lastColumn="0" w:oddVBand="0" w:evenVBand="0" w:oddHBand="0" w:evenHBand="0" w:firstRowFirstColumn="0" w:firstRowLastColumn="0" w:lastRowFirstColumn="0" w:lastRowLastColumn="0"/>
        </w:trPr>
        <w:tc>
          <w:tcPr>
            <w:tcW w:w="0" w:type="auto"/>
          </w:tcPr>
          <w:p w14:paraId="69D52DE2" w14:textId="77777777" w:rsidR="00A00063" w:rsidRPr="00C268BD" w:rsidRDefault="00A00063" w:rsidP="00994604">
            <w:pPr>
              <w:spacing w:before="40" w:after="40" w:line="240" w:lineRule="auto"/>
              <w:rPr>
                <w:rFonts w:cs="Arial"/>
                <w:sz w:val="16"/>
                <w:szCs w:val="16"/>
                <w:lang w:val="fr-FR"/>
              </w:rPr>
            </w:pPr>
          </w:p>
        </w:tc>
        <w:tc>
          <w:tcPr>
            <w:tcW w:w="0" w:type="auto"/>
            <w:tcBorders>
              <w:bottom w:val="single" w:sz="8" w:space="0" w:color="FFFFFF"/>
            </w:tcBorders>
          </w:tcPr>
          <w:p w14:paraId="324E1F2E" w14:textId="77777777" w:rsidR="00A00063" w:rsidRPr="00C268BD" w:rsidRDefault="00A00063" w:rsidP="00994604">
            <w:pPr>
              <w:spacing w:before="40" w:after="40" w:line="240" w:lineRule="auto"/>
              <w:rPr>
                <w:rFonts w:cs="Arial"/>
                <w:sz w:val="16"/>
                <w:szCs w:val="16"/>
                <w:lang w:val="fr-FR"/>
              </w:rPr>
            </w:pPr>
          </w:p>
          <w:p w14:paraId="7A0EE6A6" w14:textId="77777777" w:rsidR="00A00063" w:rsidRPr="00C268BD" w:rsidRDefault="00A00063" w:rsidP="00994604">
            <w:pPr>
              <w:spacing w:before="40" w:after="40" w:line="240" w:lineRule="auto"/>
              <w:rPr>
                <w:rFonts w:cs="Arial"/>
                <w:sz w:val="16"/>
                <w:szCs w:val="16"/>
                <w:lang w:val="fr-FR"/>
              </w:rPr>
            </w:pPr>
          </w:p>
        </w:tc>
        <w:tc>
          <w:tcPr>
            <w:tcW w:w="0" w:type="auto"/>
            <w:gridSpan w:val="5"/>
            <w:tcBorders>
              <w:bottom w:val="single" w:sz="8" w:space="0" w:color="auto"/>
            </w:tcBorders>
          </w:tcPr>
          <w:p w14:paraId="391E6D55" w14:textId="1BE81CA2" w:rsidR="00A00063" w:rsidRPr="00C268BD" w:rsidRDefault="00A00063" w:rsidP="00A00063">
            <w:pPr>
              <w:spacing w:before="40" w:after="40" w:line="240" w:lineRule="auto"/>
              <w:jc w:val="center"/>
              <w:rPr>
                <w:rFonts w:cs="Arial"/>
                <w:sz w:val="16"/>
                <w:szCs w:val="16"/>
                <w:lang w:val="fr-FR"/>
              </w:rPr>
            </w:pPr>
            <w:r w:rsidRPr="00C268BD">
              <w:rPr>
                <w:rFonts w:eastAsia="Arial" w:cs="Arial"/>
                <w:b/>
                <w:color w:val="000000"/>
                <w:sz w:val="16"/>
                <w:szCs w:val="16"/>
                <w:lang w:val="fr-FR"/>
              </w:rPr>
              <w:t>Conséquences</w:t>
            </w:r>
          </w:p>
        </w:tc>
      </w:tr>
      <w:tr w:rsidR="00994604" w:rsidRPr="00C268BD" w14:paraId="524D8062" w14:textId="77777777" w:rsidTr="001D4D6D">
        <w:trPr>
          <w:cnfStyle w:val="000000100000" w:firstRow="0" w:lastRow="0" w:firstColumn="0" w:lastColumn="0" w:oddVBand="0" w:evenVBand="0" w:oddHBand="1" w:evenHBand="0" w:firstRowFirstColumn="0" w:firstRowLastColumn="0" w:lastRowFirstColumn="0" w:lastRowLastColumn="0"/>
        </w:trPr>
        <w:tc>
          <w:tcPr>
            <w:tcW w:w="0" w:type="auto"/>
            <w:tcBorders>
              <w:right w:val="single" w:sz="8" w:space="0" w:color="FFFFFF"/>
            </w:tcBorders>
          </w:tcPr>
          <w:p w14:paraId="5F90947C"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FFFFFF"/>
              <w:left w:val="single" w:sz="8" w:space="0" w:color="FFFFFF"/>
              <w:bottom w:val="single" w:sz="8" w:space="0" w:color="auto"/>
              <w:right w:val="single" w:sz="8" w:space="0" w:color="auto"/>
            </w:tcBorders>
          </w:tcPr>
          <w:p w14:paraId="489D34D5"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tcPr>
          <w:p w14:paraId="5200BCC6"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Inconnues/Pas encore évaluées</w:t>
            </w:r>
          </w:p>
        </w:tc>
        <w:tc>
          <w:tcPr>
            <w:tcW w:w="0" w:type="auto"/>
            <w:tcBorders>
              <w:top w:val="single" w:sz="8" w:space="0" w:color="auto"/>
              <w:left w:val="single" w:sz="8" w:space="0" w:color="auto"/>
              <w:bottom w:val="single" w:sz="8" w:space="0" w:color="auto"/>
              <w:right w:val="single" w:sz="8" w:space="0" w:color="auto"/>
            </w:tcBorders>
          </w:tcPr>
          <w:p w14:paraId="0156D944"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Mineures</w:t>
            </w:r>
          </w:p>
        </w:tc>
        <w:tc>
          <w:tcPr>
            <w:tcW w:w="0" w:type="auto"/>
            <w:tcBorders>
              <w:top w:val="single" w:sz="8" w:space="0" w:color="auto"/>
              <w:left w:val="single" w:sz="8" w:space="0" w:color="auto"/>
              <w:bottom w:val="single" w:sz="8" w:space="0" w:color="auto"/>
              <w:right w:val="single" w:sz="8" w:space="0" w:color="auto"/>
            </w:tcBorders>
          </w:tcPr>
          <w:p w14:paraId="7BD9B74D"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Modérées</w:t>
            </w:r>
          </w:p>
        </w:tc>
        <w:tc>
          <w:tcPr>
            <w:tcW w:w="0" w:type="auto"/>
            <w:tcBorders>
              <w:top w:val="single" w:sz="8" w:space="0" w:color="auto"/>
              <w:left w:val="single" w:sz="8" w:space="0" w:color="auto"/>
              <w:bottom w:val="single" w:sz="8" w:space="0" w:color="auto"/>
              <w:right w:val="single" w:sz="8" w:space="0" w:color="auto"/>
            </w:tcBorders>
          </w:tcPr>
          <w:p w14:paraId="6A5A0E9D"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Majeures</w:t>
            </w:r>
          </w:p>
        </w:tc>
        <w:tc>
          <w:tcPr>
            <w:tcW w:w="0" w:type="auto"/>
            <w:tcBorders>
              <w:top w:val="single" w:sz="8" w:space="0" w:color="auto"/>
              <w:left w:val="single" w:sz="8" w:space="0" w:color="auto"/>
              <w:bottom w:val="single" w:sz="8" w:space="0" w:color="auto"/>
              <w:right w:val="single" w:sz="8" w:space="0" w:color="auto"/>
            </w:tcBorders>
          </w:tcPr>
          <w:p w14:paraId="1BEF9C57"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Catastrophiques</w:t>
            </w:r>
          </w:p>
        </w:tc>
      </w:tr>
      <w:tr w:rsidR="00994604" w:rsidRPr="00C268BD" w14:paraId="39DDE3C7" w14:textId="77777777" w:rsidTr="001D4D6D">
        <w:trPr>
          <w:cnfStyle w:val="000000010000" w:firstRow="0" w:lastRow="0" w:firstColumn="0" w:lastColumn="0" w:oddVBand="0" w:evenVBand="0" w:oddHBand="0" w:evenHBand="1" w:firstRowFirstColumn="0" w:firstRowLastColumn="0" w:lastRowFirstColumn="0" w:lastRowLastColumn="0"/>
        </w:trPr>
        <w:tc>
          <w:tcPr>
            <w:tcW w:w="0" w:type="auto"/>
            <w:tcBorders>
              <w:right w:val="single" w:sz="8" w:space="0" w:color="auto"/>
            </w:tcBorders>
          </w:tcPr>
          <w:p w14:paraId="02431416"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tcPr>
          <w:p w14:paraId="6266335B"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Quasi certaines</w:t>
            </w:r>
          </w:p>
        </w:tc>
        <w:tc>
          <w:tcPr>
            <w:tcW w:w="0" w:type="auto"/>
            <w:tcBorders>
              <w:top w:val="single" w:sz="8" w:space="0" w:color="auto"/>
              <w:left w:val="single" w:sz="8" w:space="0" w:color="auto"/>
              <w:bottom w:val="single" w:sz="8" w:space="0" w:color="auto"/>
              <w:right w:val="single" w:sz="8" w:space="0" w:color="auto"/>
            </w:tcBorders>
            <w:shd w:val="clear" w:color="auto" w:fill="DDFFDD"/>
          </w:tcPr>
          <w:p w14:paraId="05CD2014"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B8CCE4"/>
          </w:tcPr>
          <w:p w14:paraId="2954469B"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E5B8B7"/>
          </w:tcPr>
          <w:p w14:paraId="212569A6" w14:textId="77777777" w:rsidR="00994604" w:rsidRPr="00C268BD" w:rsidRDefault="00994604" w:rsidP="00994604">
            <w:pPr>
              <w:pBdr>
                <w:top w:val="nil"/>
                <w:left w:val="nil"/>
                <w:bottom w:val="nil"/>
                <w:right w:val="nil"/>
                <w:between w:val="nil"/>
              </w:pBdr>
              <w:spacing w:before="40" w:after="40" w:line="240" w:lineRule="auto"/>
              <w:rPr>
                <w:rFonts w:eastAsia="Arial" w:cs="Arial"/>
                <w:color w:val="000000"/>
                <w:sz w:val="16"/>
                <w:szCs w:val="16"/>
                <w:lang w:val="fr-FR"/>
              </w:rPr>
            </w:pPr>
            <w:r w:rsidRPr="00C268BD">
              <w:rPr>
                <w:rFonts w:eastAsia="Arial" w:cs="Arial"/>
                <w:color w:val="000000"/>
                <w:sz w:val="16"/>
                <w:szCs w:val="16"/>
                <w:lang w:val="fr-FR"/>
              </w:rPr>
              <w:t>Dégradation de l’habitat</w:t>
            </w:r>
          </w:p>
          <w:p w14:paraId="3352C7C4"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E5B8B7"/>
          </w:tcPr>
          <w:p w14:paraId="206E040A" w14:textId="2FE5B101" w:rsidR="00994604" w:rsidRPr="00994604" w:rsidRDefault="00994604" w:rsidP="00994604">
            <w:pPr>
              <w:spacing w:before="40" w:after="40" w:line="240" w:lineRule="auto"/>
              <w:rPr>
                <w:rFonts w:cs="Arial"/>
                <w:sz w:val="16"/>
                <w:szCs w:val="16"/>
                <w:lang w:val="fr-FR"/>
              </w:rPr>
            </w:pPr>
            <w:r w:rsidRPr="00C268BD">
              <w:rPr>
                <w:rFonts w:eastAsia="Arial" w:cs="Arial"/>
                <w:color w:val="000000"/>
                <w:sz w:val="16"/>
                <w:szCs w:val="16"/>
                <w:lang w:val="fr-FR"/>
              </w:rPr>
              <w:t xml:space="preserve">Prise accessoire lors de </w:t>
            </w:r>
            <w:r w:rsidRPr="00C268BD">
              <w:rPr>
                <w:rFonts w:cs="Arial"/>
                <w:sz w:val="16"/>
                <w:szCs w:val="16"/>
                <w:lang w:val="fr-FR"/>
              </w:rPr>
              <w:t>pêches à petite et à grande échelles (y compris mortalité due aux prises accessoires</w:t>
            </w:r>
            <w:r w:rsidRPr="00C268BD">
              <w:rPr>
                <w:rFonts w:cs="Arial"/>
                <w:sz w:val="16"/>
                <w:szCs w:val="16"/>
                <w:vertAlign w:val="superscript"/>
                <w:lang w:val="fr-FR"/>
              </w:rPr>
              <w:footnoteReference w:id="7"/>
            </w:r>
            <w:r w:rsidRPr="00C268BD">
              <w:rPr>
                <w:rFonts w:cs="Arial"/>
                <w:sz w:val="16"/>
                <w:szCs w:val="16"/>
                <w:lang w:val="fr-FR"/>
              </w:rPr>
              <w:t>).</w:t>
            </w:r>
          </w:p>
        </w:tc>
        <w:tc>
          <w:tcPr>
            <w:tcW w:w="0" w:type="auto"/>
            <w:tcBorders>
              <w:top w:val="single" w:sz="8" w:space="0" w:color="auto"/>
              <w:left w:val="single" w:sz="8" w:space="0" w:color="auto"/>
              <w:bottom w:val="single" w:sz="8" w:space="0" w:color="auto"/>
              <w:right w:val="single" w:sz="8" w:space="0" w:color="auto"/>
            </w:tcBorders>
            <w:shd w:val="clear" w:color="auto" w:fill="E5B8B7"/>
          </w:tcPr>
          <w:p w14:paraId="379DC00F" w14:textId="77777777" w:rsidR="00994604" w:rsidRPr="00C268BD" w:rsidRDefault="00994604" w:rsidP="00994604">
            <w:pPr>
              <w:spacing w:before="40" w:after="40" w:line="240" w:lineRule="auto"/>
              <w:rPr>
                <w:rFonts w:cs="Arial"/>
                <w:sz w:val="16"/>
                <w:szCs w:val="16"/>
                <w:lang w:val="fr-FR"/>
              </w:rPr>
            </w:pPr>
          </w:p>
        </w:tc>
      </w:tr>
      <w:tr w:rsidR="00994604" w:rsidRPr="00C268BD" w14:paraId="6B9E5C0C" w14:textId="77777777" w:rsidTr="001D4D6D">
        <w:trPr>
          <w:cnfStyle w:val="000000100000" w:firstRow="0" w:lastRow="0" w:firstColumn="0" w:lastColumn="0" w:oddVBand="0" w:evenVBand="0" w:oddHBand="1" w:evenHBand="0" w:firstRowFirstColumn="0" w:firstRowLastColumn="0" w:lastRowFirstColumn="0" w:lastRowLastColumn="0"/>
          <w:cantSplit/>
        </w:trPr>
        <w:tc>
          <w:tcPr>
            <w:tcW w:w="0" w:type="auto"/>
            <w:vMerge w:val="restart"/>
            <w:tcBorders>
              <w:right w:val="single" w:sz="8" w:space="0" w:color="auto"/>
            </w:tcBorders>
            <w:textDirection w:val="btLr"/>
            <w:vAlign w:val="center"/>
          </w:tcPr>
          <w:p w14:paraId="10782B74" w14:textId="77777777" w:rsidR="00994604" w:rsidRPr="00C268BD" w:rsidRDefault="00994604" w:rsidP="00994604">
            <w:pPr>
              <w:spacing w:before="40" w:after="40" w:line="240" w:lineRule="auto"/>
              <w:ind w:left="113" w:right="113"/>
              <w:jc w:val="center"/>
              <w:rPr>
                <w:rFonts w:cs="Arial"/>
                <w:b/>
                <w:bCs/>
                <w:sz w:val="16"/>
                <w:szCs w:val="16"/>
                <w:lang w:val="fr-FR"/>
              </w:rPr>
            </w:pPr>
            <w:r w:rsidRPr="00C268BD">
              <w:rPr>
                <w:rFonts w:cs="Arial"/>
                <w:b/>
                <w:bCs/>
                <w:sz w:val="16"/>
                <w:szCs w:val="16"/>
                <w:lang w:val="fr-FR"/>
              </w:rPr>
              <w:t>Probabilité</w:t>
            </w:r>
          </w:p>
        </w:tc>
        <w:tc>
          <w:tcPr>
            <w:tcW w:w="0" w:type="auto"/>
            <w:vMerge w:val="restart"/>
            <w:tcBorders>
              <w:top w:val="single" w:sz="8" w:space="0" w:color="auto"/>
              <w:left w:val="single" w:sz="8" w:space="0" w:color="auto"/>
              <w:right w:val="single" w:sz="8" w:space="0" w:color="auto"/>
            </w:tcBorders>
          </w:tcPr>
          <w:p w14:paraId="6D27B2AA"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r w:rsidRPr="00C268BD">
              <w:rPr>
                <w:rFonts w:eastAsia="Arial" w:cs="Arial"/>
                <w:b/>
                <w:color w:val="000000"/>
                <w:sz w:val="16"/>
                <w:szCs w:val="16"/>
                <w:lang w:val="fr-FR"/>
              </w:rPr>
              <w:t>Probable</w:t>
            </w:r>
          </w:p>
          <w:p w14:paraId="26FE266F"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p>
          <w:p w14:paraId="7F1541C5"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right w:val="single" w:sz="8" w:space="0" w:color="auto"/>
            </w:tcBorders>
            <w:shd w:val="clear" w:color="auto" w:fill="DDFFDD"/>
          </w:tcPr>
          <w:p w14:paraId="6D890D69"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Pollution par les micro/macroplastiques</w:t>
            </w:r>
            <w:r w:rsidRPr="00C268BD">
              <w:rPr>
                <w:rFonts w:eastAsia="Arial" w:cs="Arial"/>
                <w:sz w:val="16"/>
                <w:szCs w:val="16"/>
                <w:vertAlign w:val="superscript"/>
                <w:lang w:val="fr-FR"/>
              </w:rPr>
              <w:footnoteReference w:id="8"/>
            </w:r>
          </w:p>
        </w:tc>
        <w:tc>
          <w:tcPr>
            <w:tcW w:w="0" w:type="auto"/>
            <w:tcBorders>
              <w:top w:val="single" w:sz="8" w:space="0" w:color="auto"/>
              <w:left w:val="single" w:sz="8" w:space="0" w:color="auto"/>
              <w:right w:val="single" w:sz="8" w:space="0" w:color="auto"/>
            </w:tcBorders>
            <w:shd w:val="clear" w:color="auto" w:fill="B8CCE4"/>
          </w:tcPr>
          <w:p w14:paraId="3DD4763F" w14:textId="77777777" w:rsidR="00994604" w:rsidRPr="00C268BD" w:rsidRDefault="00994604" w:rsidP="00994604">
            <w:pPr>
              <w:spacing w:before="40" w:after="40" w:line="240" w:lineRule="auto"/>
              <w:rPr>
                <w:rFonts w:cs="Arial"/>
                <w:sz w:val="16"/>
                <w:szCs w:val="16"/>
                <w:lang w:val="fr-FR"/>
              </w:rPr>
            </w:pPr>
            <w:r w:rsidRPr="00C268BD">
              <w:rPr>
                <w:rFonts w:eastAsia="Arial" w:cs="Arial"/>
                <w:color w:val="000000"/>
                <w:sz w:val="16"/>
                <w:szCs w:val="16"/>
                <w:lang w:val="fr-FR"/>
              </w:rPr>
              <w:t>Pollution/ruissellement de l’eau entraînant l’accumulation de contaminants</w:t>
            </w:r>
          </w:p>
        </w:tc>
        <w:tc>
          <w:tcPr>
            <w:tcW w:w="0" w:type="auto"/>
            <w:vMerge w:val="restart"/>
            <w:tcBorders>
              <w:top w:val="single" w:sz="8" w:space="0" w:color="auto"/>
              <w:left w:val="single" w:sz="8" w:space="0" w:color="auto"/>
              <w:right w:val="single" w:sz="8" w:space="0" w:color="auto"/>
            </w:tcBorders>
            <w:shd w:val="clear" w:color="auto" w:fill="FFFFA7"/>
          </w:tcPr>
          <w:p w14:paraId="1AC92788" w14:textId="77777777" w:rsidR="00994604" w:rsidRPr="00C268BD" w:rsidRDefault="00994604" w:rsidP="00994604">
            <w:pPr>
              <w:pBdr>
                <w:top w:val="nil"/>
                <w:left w:val="nil"/>
                <w:bottom w:val="nil"/>
                <w:right w:val="nil"/>
                <w:between w:val="nil"/>
              </w:pBdr>
              <w:spacing w:before="40" w:after="40" w:line="240" w:lineRule="auto"/>
              <w:rPr>
                <w:rFonts w:eastAsia="Arial" w:cs="Arial"/>
                <w:sz w:val="16"/>
                <w:szCs w:val="16"/>
                <w:lang w:val="fr-FR"/>
              </w:rPr>
            </w:pPr>
            <w:r w:rsidRPr="00C268BD">
              <w:rPr>
                <w:rFonts w:eastAsia="Arial" w:cs="Arial"/>
                <w:sz w:val="16"/>
                <w:szCs w:val="16"/>
                <w:lang w:val="fr-FR"/>
              </w:rPr>
              <w:t>Faible diversité génétique (goulots d’étranglement génétiques/fragmentation de la population)</w:t>
            </w:r>
          </w:p>
          <w:p w14:paraId="31FE3B50" w14:textId="77777777" w:rsidR="00994604" w:rsidRPr="00C268BD" w:rsidRDefault="00994604" w:rsidP="00994604">
            <w:pPr>
              <w:spacing w:before="40" w:after="40" w:line="240" w:lineRule="auto"/>
              <w:rPr>
                <w:rFonts w:cs="Arial"/>
                <w:sz w:val="16"/>
                <w:szCs w:val="16"/>
                <w:lang w:val="fr-BE"/>
              </w:rPr>
            </w:pPr>
          </w:p>
          <w:p w14:paraId="01363AAB" w14:textId="77777777" w:rsidR="00994604" w:rsidRPr="00C268BD" w:rsidRDefault="00994604" w:rsidP="00994604">
            <w:pPr>
              <w:pBdr>
                <w:top w:val="nil"/>
                <w:left w:val="nil"/>
                <w:bottom w:val="nil"/>
                <w:right w:val="nil"/>
                <w:between w:val="nil"/>
              </w:pBdr>
              <w:spacing w:before="40" w:after="40" w:line="240" w:lineRule="auto"/>
              <w:rPr>
                <w:rFonts w:eastAsia="Arial" w:cs="Arial"/>
                <w:sz w:val="16"/>
                <w:szCs w:val="16"/>
                <w:lang w:val="fr-FR"/>
              </w:rPr>
            </w:pPr>
          </w:p>
          <w:p w14:paraId="187553FE" w14:textId="77777777" w:rsidR="00994604" w:rsidRPr="00C268BD" w:rsidRDefault="00994604" w:rsidP="00994604">
            <w:pPr>
              <w:spacing w:before="40" w:after="40" w:line="240" w:lineRule="auto"/>
              <w:rPr>
                <w:rFonts w:cs="Arial"/>
                <w:sz w:val="16"/>
                <w:szCs w:val="16"/>
                <w:lang w:val="fr-FR"/>
              </w:rPr>
            </w:pPr>
          </w:p>
        </w:tc>
        <w:tc>
          <w:tcPr>
            <w:tcW w:w="0" w:type="auto"/>
            <w:vMerge w:val="restart"/>
            <w:tcBorders>
              <w:top w:val="single" w:sz="8" w:space="0" w:color="auto"/>
              <w:left w:val="single" w:sz="8" w:space="0" w:color="auto"/>
              <w:right w:val="single" w:sz="8" w:space="0" w:color="auto"/>
            </w:tcBorders>
            <w:shd w:val="clear" w:color="auto" w:fill="E5B8B7"/>
          </w:tcPr>
          <w:p w14:paraId="6823EEA5"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 xml:space="preserve">Mortalité due aux prises ciblées et accidentelles dans le cadre de la pêche récréative et sportive (ex. canne et ligne, </w:t>
            </w:r>
            <w:proofErr w:type="spellStart"/>
            <w:r w:rsidRPr="00C268BD">
              <w:rPr>
                <w:rFonts w:eastAsia="Arial" w:cs="Arial"/>
                <w:sz w:val="16"/>
                <w:szCs w:val="16"/>
                <w:lang w:val="fr-FR"/>
              </w:rPr>
              <w:t>surf-casting</w:t>
            </w:r>
            <w:proofErr w:type="spellEnd"/>
            <w:r w:rsidRPr="00C268BD">
              <w:rPr>
                <w:rFonts w:eastAsia="Arial" w:cs="Arial"/>
                <w:sz w:val="16"/>
                <w:szCs w:val="16"/>
                <w:lang w:val="fr-FR"/>
              </w:rPr>
              <w:t>, chasse sous-marine)</w:t>
            </w:r>
          </w:p>
        </w:tc>
        <w:tc>
          <w:tcPr>
            <w:tcW w:w="0" w:type="auto"/>
            <w:vMerge w:val="restart"/>
            <w:tcBorders>
              <w:top w:val="single" w:sz="8" w:space="0" w:color="auto"/>
              <w:left w:val="single" w:sz="8" w:space="0" w:color="auto"/>
              <w:right w:val="single" w:sz="8" w:space="0" w:color="auto"/>
            </w:tcBorders>
            <w:shd w:val="clear" w:color="auto" w:fill="E5B8B7"/>
          </w:tcPr>
          <w:p w14:paraId="45871E33" w14:textId="77777777" w:rsidR="00994604" w:rsidRPr="00C268BD" w:rsidRDefault="00994604" w:rsidP="00994604">
            <w:pPr>
              <w:spacing w:before="40" w:after="40" w:line="240" w:lineRule="auto"/>
              <w:rPr>
                <w:rFonts w:cs="Arial"/>
                <w:sz w:val="16"/>
                <w:szCs w:val="16"/>
                <w:lang w:val="fr-FR"/>
              </w:rPr>
            </w:pPr>
          </w:p>
        </w:tc>
      </w:tr>
      <w:tr w:rsidR="00994604" w:rsidRPr="00C268BD" w14:paraId="72D25022" w14:textId="77777777" w:rsidTr="001D4D6D">
        <w:trPr>
          <w:cnfStyle w:val="000000010000" w:firstRow="0" w:lastRow="0" w:firstColumn="0" w:lastColumn="0" w:oddVBand="0" w:evenVBand="0" w:oddHBand="0" w:evenHBand="1" w:firstRowFirstColumn="0" w:firstRowLastColumn="0" w:lastRowFirstColumn="0" w:lastRowLastColumn="0"/>
          <w:cantSplit/>
        </w:trPr>
        <w:tc>
          <w:tcPr>
            <w:tcW w:w="0" w:type="auto"/>
            <w:vMerge/>
            <w:tcBorders>
              <w:right w:val="single" w:sz="8" w:space="0" w:color="auto"/>
            </w:tcBorders>
            <w:textDirection w:val="btLr"/>
            <w:vAlign w:val="center"/>
          </w:tcPr>
          <w:p w14:paraId="353E2A2D" w14:textId="77777777" w:rsidR="00994604" w:rsidRPr="00C268BD" w:rsidRDefault="00994604" w:rsidP="00994604">
            <w:pPr>
              <w:spacing w:before="40" w:after="40" w:line="240" w:lineRule="auto"/>
              <w:ind w:left="113" w:right="113"/>
              <w:jc w:val="center"/>
              <w:rPr>
                <w:rFonts w:cs="Arial"/>
                <w:b/>
                <w:bCs/>
                <w:sz w:val="16"/>
                <w:szCs w:val="16"/>
                <w:lang w:val="fr-FR"/>
              </w:rPr>
            </w:pPr>
          </w:p>
        </w:tc>
        <w:tc>
          <w:tcPr>
            <w:tcW w:w="0" w:type="auto"/>
            <w:vMerge/>
            <w:tcBorders>
              <w:left w:val="single" w:sz="8" w:space="0" w:color="auto"/>
              <w:right w:val="single" w:sz="8" w:space="0" w:color="auto"/>
            </w:tcBorders>
          </w:tcPr>
          <w:p w14:paraId="2CE4D6E4"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p>
        </w:tc>
        <w:tc>
          <w:tcPr>
            <w:tcW w:w="0" w:type="auto"/>
            <w:tcBorders>
              <w:left w:val="single" w:sz="8" w:space="0" w:color="auto"/>
              <w:right w:val="single" w:sz="8" w:space="0" w:color="auto"/>
            </w:tcBorders>
            <w:shd w:val="clear" w:color="auto" w:fill="DDFFDD"/>
          </w:tcPr>
          <w:p w14:paraId="6214BACC"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Énergies renouvelables (ex. parcs éoliens, hydroliennes, lagunes)</w:t>
            </w:r>
          </w:p>
        </w:tc>
        <w:tc>
          <w:tcPr>
            <w:tcW w:w="0" w:type="auto"/>
            <w:tcBorders>
              <w:left w:val="single" w:sz="8" w:space="0" w:color="auto"/>
              <w:right w:val="single" w:sz="8" w:space="0" w:color="auto"/>
            </w:tcBorders>
            <w:shd w:val="clear" w:color="auto" w:fill="B8CCE4"/>
          </w:tcPr>
          <w:p w14:paraId="504F195F" w14:textId="77777777" w:rsidR="00994604" w:rsidRPr="00C268BD" w:rsidRDefault="00994604" w:rsidP="00994604">
            <w:pPr>
              <w:spacing w:before="40" w:after="40" w:line="240" w:lineRule="auto"/>
              <w:rPr>
                <w:rFonts w:cs="Arial"/>
                <w:sz w:val="16"/>
                <w:szCs w:val="16"/>
                <w:lang w:val="fr-FR"/>
              </w:rPr>
            </w:pPr>
            <w:r w:rsidRPr="00C268BD">
              <w:rPr>
                <w:rFonts w:eastAsia="Arial" w:cs="Arial"/>
                <w:color w:val="000000"/>
                <w:sz w:val="16"/>
                <w:szCs w:val="16"/>
                <w:lang w:val="fr-FR"/>
              </w:rPr>
              <w:t>Pollution/ruissellement de l’eau et eaux usées entraînant l’eutrophisation du milieu</w:t>
            </w:r>
          </w:p>
        </w:tc>
        <w:tc>
          <w:tcPr>
            <w:tcW w:w="0" w:type="auto"/>
            <w:vMerge/>
            <w:tcBorders>
              <w:left w:val="single" w:sz="8" w:space="0" w:color="auto"/>
              <w:right w:val="single" w:sz="8" w:space="0" w:color="auto"/>
            </w:tcBorders>
            <w:shd w:val="clear" w:color="auto" w:fill="FFFFA7"/>
          </w:tcPr>
          <w:p w14:paraId="058D359F"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right w:val="single" w:sz="8" w:space="0" w:color="auto"/>
            </w:tcBorders>
            <w:shd w:val="clear" w:color="auto" w:fill="E5B8B7"/>
          </w:tcPr>
          <w:p w14:paraId="154EBBA7"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right w:val="single" w:sz="8" w:space="0" w:color="auto"/>
            </w:tcBorders>
            <w:shd w:val="clear" w:color="auto" w:fill="E5B8B7"/>
          </w:tcPr>
          <w:p w14:paraId="0881B390" w14:textId="77777777" w:rsidR="00994604" w:rsidRPr="00C268BD" w:rsidRDefault="00994604" w:rsidP="00994604">
            <w:pPr>
              <w:spacing w:before="40" w:after="40" w:line="240" w:lineRule="auto"/>
              <w:rPr>
                <w:rFonts w:cs="Arial"/>
                <w:sz w:val="16"/>
                <w:szCs w:val="16"/>
                <w:lang w:val="fr-FR"/>
              </w:rPr>
            </w:pPr>
          </w:p>
        </w:tc>
      </w:tr>
      <w:tr w:rsidR="00994604" w:rsidRPr="00C268BD" w14:paraId="053B9BCD" w14:textId="77777777" w:rsidTr="001D4D6D">
        <w:trPr>
          <w:cnfStyle w:val="000000100000" w:firstRow="0" w:lastRow="0" w:firstColumn="0" w:lastColumn="0" w:oddVBand="0" w:evenVBand="0" w:oddHBand="1" w:evenHBand="0" w:firstRowFirstColumn="0" w:firstRowLastColumn="0" w:lastRowFirstColumn="0" w:lastRowLastColumn="0"/>
          <w:cantSplit/>
        </w:trPr>
        <w:tc>
          <w:tcPr>
            <w:tcW w:w="0" w:type="auto"/>
            <w:vMerge/>
            <w:tcBorders>
              <w:right w:val="single" w:sz="8" w:space="0" w:color="auto"/>
            </w:tcBorders>
            <w:textDirection w:val="btLr"/>
            <w:vAlign w:val="center"/>
          </w:tcPr>
          <w:p w14:paraId="09592ABB" w14:textId="77777777" w:rsidR="00994604" w:rsidRPr="00C268BD" w:rsidRDefault="00994604" w:rsidP="00994604">
            <w:pPr>
              <w:spacing w:before="40" w:after="40" w:line="240" w:lineRule="auto"/>
              <w:ind w:left="113" w:right="113"/>
              <w:jc w:val="center"/>
              <w:rPr>
                <w:rFonts w:cs="Arial"/>
                <w:b/>
                <w:bCs/>
                <w:sz w:val="16"/>
                <w:szCs w:val="16"/>
                <w:lang w:val="fr-FR"/>
              </w:rPr>
            </w:pPr>
          </w:p>
        </w:tc>
        <w:tc>
          <w:tcPr>
            <w:tcW w:w="0" w:type="auto"/>
            <w:vMerge/>
            <w:tcBorders>
              <w:left w:val="single" w:sz="8" w:space="0" w:color="auto"/>
              <w:right w:val="single" w:sz="8" w:space="0" w:color="auto"/>
            </w:tcBorders>
          </w:tcPr>
          <w:p w14:paraId="3CC8FD82"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p>
        </w:tc>
        <w:tc>
          <w:tcPr>
            <w:tcW w:w="0" w:type="auto"/>
            <w:tcBorders>
              <w:left w:val="single" w:sz="8" w:space="0" w:color="auto"/>
              <w:right w:val="single" w:sz="8" w:space="0" w:color="auto"/>
            </w:tcBorders>
            <w:shd w:val="clear" w:color="auto" w:fill="DDFFDD"/>
          </w:tcPr>
          <w:p w14:paraId="05B23933"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Industries extractives (ex. granulats, exploitation minière, dragage)</w:t>
            </w:r>
          </w:p>
        </w:tc>
        <w:tc>
          <w:tcPr>
            <w:tcW w:w="0" w:type="auto"/>
            <w:tcBorders>
              <w:left w:val="single" w:sz="8" w:space="0" w:color="auto"/>
              <w:right w:val="single" w:sz="8" w:space="0" w:color="auto"/>
            </w:tcBorders>
            <w:shd w:val="clear" w:color="auto" w:fill="B8CCE4"/>
          </w:tcPr>
          <w:p w14:paraId="21490C42" w14:textId="77777777" w:rsidR="00994604" w:rsidRPr="00C268BD" w:rsidRDefault="00994604" w:rsidP="00994604">
            <w:pPr>
              <w:spacing w:before="40" w:after="40" w:line="240" w:lineRule="auto"/>
              <w:rPr>
                <w:rFonts w:eastAsia="Arial" w:cs="Arial"/>
                <w:sz w:val="16"/>
                <w:szCs w:val="16"/>
                <w:lang w:val="fr-FR"/>
              </w:rPr>
            </w:pPr>
            <w:r w:rsidRPr="00C268BD">
              <w:rPr>
                <w:rFonts w:eastAsia="Arial" w:cs="Arial"/>
                <w:sz w:val="16"/>
                <w:szCs w:val="16"/>
                <w:lang w:val="fr-FR"/>
              </w:rPr>
              <w:t>Augmentation du nombre de touristes et d’activités récréatives dans les eaux côtières</w:t>
            </w:r>
          </w:p>
          <w:p w14:paraId="0A67F255" w14:textId="77777777" w:rsidR="00994604" w:rsidRPr="00C268BD" w:rsidRDefault="00994604" w:rsidP="00994604">
            <w:pPr>
              <w:spacing w:before="40" w:after="40" w:line="240" w:lineRule="auto"/>
              <w:rPr>
                <w:rFonts w:cs="Arial"/>
                <w:sz w:val="16"/>
                <w:szCs w:val="16"/>
                <w:lang w:val="fr-FR"/>
              </w:rPr>
            </w:pPr>
          </w:p>
        </w:tc>
        <w:tc>
          <w:tcPr>
            <w:tcW w:w="0" w:type="auto"/>
            <w:vMerge w:val="restart"/>
            <w:tcBorders>
              <w:left w:val="single" w:sz="8" w:space="0" w:color="auto"/>
              <w:right w:val="single" w:sz="8" w:space="0" w:color="auto"/>
            </w:tcBorders>
            <w:shd w:val="clear" w:color="auto" w:fill="FFFFA7"/>
          </w:tcPr>
          <w:p w14:paraId="50C85CC0" w14:textId="77777777" w:rsidR="00994604" w:rsidRPr="00C268BD" w:rsidRDefault="00994604" w:rsidP="00994604">
            <w:pPr>
              <w:pBdr>
                <w:top w:val="nil"/>
                <w:left w:val="nil"/>
                <w:bottom w:val="nil"/>
                <w:right w:val="nil"/>
                <w:between w:val="nil"/>
              </w:pBdr>
              <w:spacing w:before="40" w:after="40" w:line="240" w:lineRule="auto"/>
              <w:rPr>
                <w:rFonts w:eastAsia="Arial" w:cs="Arial"/>
                <w:sz w:val="16"/>
                <w:szCs w:val="16"/>
                <w:lang w:val="fr-FR"/>
              </w:rPr>
            </w:pPr>
            <w:r w:rsidRPr="00C268BD">
              <w:rPr>
                <w:rFonts w:eastAsia="Arial" w:cs="Arial"/>
                <w:sz w:val="16"/>
                <w:szCs w:val="16"/>
                <w:lang w:val="fr-FR"/>
              </w:rPr>
              <w:t>Construction côtière et construction d’infrastructures altérant la morphologie des fonds marins</w:t>
            </w:r>
          </w:p>
          <w:p w14:paraId="319B2298" w14:textId="77777777" w:rsidR="00994604" w:rsidRPr="00C268BD" w:rsidRDefault="00994604" w:rsidP="00994604">
            <w:pPr>
              <w:spacing w:before="40" w:after="40" w:line="240" w:lineRule="auto"/>
              <w:rPr>
                <w:rFonts w:cs="Arial"/>
                <w:sz w:val="16"/>
                <w:szCs w:val="16"/>
                <w:lang w:val="fr-FR"/>
              </w:rPr>
            </w:pPr>
          </w:p>
        </w:tc>
        <w:tc>
          <w:tcPr>
            <w:tcW w:w="0" w:type="auto"/>
            <w:vMerge w:val="restart"/>
            <w:tcBorders>
              <w:left w:val="single" w:sz="8" w:space="0" w:color="auto"/>
              <w:right w:val="single" w:sz="8" w:space="0" w:color="auto"/>
            </w:tcBorders>
            <w:shd w:val="clear" w:color="auto" w:fill="E5B8B7"/>
          </w:tcPr>
          <w:p w14:paraId="278AE9D3"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Prises accessoires dans la pêche à petite et à grande échelles ; rétention illégale à bord des navires</w:t>
            </w:r>
          </w:p>
        </w:tc>
        <w:tc>
          <w:tcPr>
            <w:tcW w:w="0" w:type="auto"/>
            <w:vMerge/>
            <w:tcBorders>
              <w:left w:val="single" w:sz="8" w:space="0" w:color="auto"/>
              <w:right w:val="single" w:sz="8" w:space="0" w:color="auto"/>
            </w:tcBorders>
            <w:shd w:val="clear" w:color="auto" w:fill="E5B8B7"/>
          </w:tcPr>
          <w:p w14:paraId="17391DDE" w14:textId="77777777" w:rsidR="00994604" w:rsidRPr="00C268BD" w:rsidRDefault="00994604" w:rsidP="00994604">
            <w:pPr>
              <w:spacing w:before="40" w:after="40" w:line="240" w:lineRule="auto"/>
              <w:rPr>
                <w:rFonts w:cs="Arial"/>
                <w:sz w:val="16"/>
                <w:szCs w:val="16"/>
                <w:lang w:val="fr-FR"/>
              </w:rPr>
            </w:pPr>
          </w:p>
        </w:tc>
      </w:tr>
      <w:tr w:rsidR="00994604" w:rsidRPr="00C268BD" w14:paraId="160B9986" w14:textId="77777777" w:rsidTr="001D4D6D">
        <w:trPr>
          <w:cnfStyle w:val="000000010000" w:firstRow="0" w:lastRow="0" w:firstColumn="0" w:lastColumn="0" w:oddVBand="0" w:evenVBand="0" w:oddHBand="0" w:evenHBand="1" w:firstRowFirstColumn="0" w:firstRowLastColumn="0" w:lastRowFirstColumn="0" w:lastRowLastColumn="0"/>
          <w:cantSplit/>
        </w:trPr>
        <w:tc>
          <w:tcPr>
            <w:tcW w:w="0" w:type="auto"/>
            <w:vMerge/>
            <w:tcBorders>
              <w:right w:val="single" w:sz="8" w:space="0" w:color="auto"/>
            </w:tcBorders>
            <w:textDirection w:val="btLr"/>
            <w:vAlign w:val="center"/>
          </w:tcPr>
          <w:p w14:paraId="5AD4CC41" w14:textId="77777777" w:rsidR="00994604" w:rsidRPr="00C268BD" w:rsidRDefault="00994604" w:rsidP="00994604">
            <w:pPr>
              <w:spacing w:before="40" w:after="40" w:line="240" w:lineRule="auto"/>
              <w:ind w:left="113" w:right="113"/>
              <w:jc w:val="center"/>
              <w:rPr>
                <w:rFonts w:cs="Arial"/>
                <w:b/>
                <w:bCs/>
                <w:sz w:val="16"/>
                <w:szCs w:val="16"/>
                <w:lang w:val="fr-FR"/>
              </w:rPr>
            </w:pPr>
          </w:p>
        </w:tc>
        <w:tc>
          <w:tcPr>
            <w:tcW w:w="0" w:type="auto"/>
            <w:vMerge/>
            <w:tcBorders>
              <w:left w:val="single" w:sz="8" w:space="0" w:color="auto"/>
              <w:right w:val="single" w:sz="8" w:space="0" w:color="auto"/>
            </w:tcBorders>
          </w:tcPr>
          <w:p w14:paraId="30ACD013"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p>
        </w:tc>
        <w:tc>
          <w:tcPr>
            <w:tcW w:w="0" w:type="auto"/>
            <w:tcBorders>
              <w:left w:val="single" w:sz="8" w:space="0" w:color="auto"/>
              <w:right w:val="single" w:sz="8" w:space="0" w:color="auto"/>
            </w:tcBorders>
            <w:shd w:val="clear" w:color="auto" w:fill="DDFFDD"/>
          </w:tcPr>
          <w:p w14:paraId="70B74968"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Pipelines et câbles électriques</w:t>
            </w:r>
          </w:p>
        </w:tc>
        <w:tc>
          <w:tcPr>
            <w:tcW w:w="0" w:type="auto"/>
            <w:tcBorders>
              <w:left w:val="single" w:sz="8" w:space="0" w:color="auto"/>
              <w:right w:val="single" w:sz="8" w:space="0" w:color="auto"/>
            </w:tcBorders>
            <w:shd w:val="clear" w:color="auto" w:fill="B8CCE4"/>
          </w:tcPr>
          <w:p w14:paraId="4288192F"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Sports nautiques (y compris les perturbations causées par les plongeurs et la navigation de plaisance)</w:t>
            </w:r>
          </w:p>
        </w:tc>
        <w:tc>
          <w:tcPr>
            <w:tcW w:w="0" w:type="auto"/>
            <w:vMerge/>
            <w:tcBorders>
              <w:left w:val="single" w:sz="8" w:space="0" w:color="auto"/>
              <w:right w:val="single" w:sz="8" w:space="0" w:color="auto"/>
            </w:tcBorders>
            <w:shd w:val="clear" w:color="auto" w:fill="FFFFA7"/>
          </w:tcPr>
          <w:p w14:paraId="7A3B0A65"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right w:val="single" w:sz="8" w:space="0" w:color="auto"/>
            </w:tcBorders>
            <w:shd w:val="clear" w:color="auto" w:fill="E5B8B7"/>
          </w:tcPr>
          <w:p w14:paraId="460ABB3A"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right w:val="single" w:sz="8" w:space="0" w:color="auto"/>
            </w:tcBorders>
            <w:shd w:val="clear" w:color="auto" w:fill="E5B8B7"/>
          </w:tcPr>
          <w:p w14:paraId="24BD87B3" w14:textId="77777777" w:rsidR="00994604" w:rsidRPr="00C268BD" w:rsidRDefault="00994604" w:rsidP="00994604">
            <w:pPr>
              <w:spacing w:before="40" w:after="40" w:line="240" w:lineRule="auto"/>
              <w:rPr>
                <w:rFonts w:cs="Arial"/>
                <w:sz w:val="16"/>
                <w:szCs w:val="16"/>
                <w:lang w:val="fr-FR"/>
              </w:rPr>
            </w:pPr>
          </w:p>
        </w:tc>
      </w:tr>
      <w:tr w:rsidR="00994604" w:rsidRPr="00C268BD" w14:paraId="71C32AEB" w14:textId="77777777" w:rsidTr="001D4D6D">
        <w:trPr>
          <w:cnfStyle w:val="000000100000" w:firstRow="0" w:lastRow="0" w:firstColumn="0" w:lastColumn="0" w:oddVBand="0" w:evenVBand="0" w:oddHBand="1" w:evenHBand="0" w:firstRowFirstColumn="0" w:firstRowLastColumn="0" w:lastRowFirstColumn="0" w:lastRowLastColumn="0"/>
          <w:cantSplit/>
        </w:trPr>
        <w:tc>
          <w:tcPr>
            <w:tcW w:w="0" w:type="auto"/>
            <w:vMerge/>
            <w:tcBorders>
              <w:right w:val="single" w:sz="8" w:space="0" w:color="auto"/>
            </w:tcBorders>
            <w:textDirection w:val="btLr"/>
            <w:vAlign w:val="center"/>
          </w:tcPr>
          <w:p w14:paraId="560D65B2" w14:textId="77777777" w:rsidR="00994604" w:rsidRPr="00C268BD" w:rsidRDefault="00994604" w:rsidP="00994604">
            <w:pPr>
              <w:spacing w:before="40" w:after="40" w:line="240" w:lineRule="auto"/>
              <w:ind w:left="113" w:right="113"/>
              <w:jc w:val="center"/>
              <w:rPr>
                <w:rFonts w:cs="Arial"/>
                <w:b/>
                <w:bCs/>
                <w:sz w:val="16"/>
                <w:szCs w:val="16"/>
                <w:lang w:val="fr-FR"/>
              </w:rPr>
            </w:pPr>
          </w:p>
        </w:tc>
        <w:tc>
          <w:tcPr>
            <w:tcW w:w="0" w:type="auto"/>
            <w:vMerge/>
            <w:tcBorders>
              <w:left w:val="single" w:sz="8" w:space="0" w:color="auto"/>
              <w:right w:val="single" w:sz="8" w:space="0" w:color="auto"/>
            </w:tcBorders>
          </w:tcPr>
          <w:p w14:paraId="5B034A75"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p>
        </w:tc>
        <w:tc>
          <w:tcPr>
            <w:tcW w:w="0" w:type="auto"/>
            <w:tcBorders>
              <w:left w:val="single" w:sz="8" w:space="0" w:color="auto"/>
              <w:right w:val="single" w:sz="8" w:space="0" w:color="auto"/>
            </w:tcBorders>
            <w:shd w:val="clear" w:color="auto" w:fill="DDFFDD"/>
          </w:tcPr>
          <w:p w14:paraId="284C60D1"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Dégâts causés par les ancres sur les habitats</w:t>
            </w:r>
          </w:p>
        </w:tc>
        <w:tc>
          <w:tcPr>
            <w:tcW w:w="0" w:type="auto"/>
            <w:tcBorders>
              <w:left w:val="single" w:sz="8" w:space="0" w:color="auto"/>
              <w:right w:val="single" w:sz="8" w:space="0" w:color="auto"/>
            </w:tcBorders>
            <w:shd w:val="clear" w:color="auto" w:fill="B8CCE4"/>
          </w:tcPr>
          <w:p w14:paraId="152B0480" w14:textId="77777777" w:rsidR="00994604" w:rsidRPr="00C268BD" w:rsidRDefault="00994604" w:rsidP="00994604">
            <w:pPr>
              <w:spacing w:before="40" w:after="40" w:line="240" w:lineRule="auto"/>
              <w:rPr>
                <w:rFonts w:cs="Arial"/>
                <w:sz w:val="16"/>
                <w:szCs w:val="16"/>
                <w:lang w:val="fr-FR"/>
              </w:rPr>
            </w:pPr>
          </w:p>
        </w:tc>
        <w:tc>
          <w:tcPr>
            <w:tcW w:w="0" w:type="auto"/>
            <w:vMerge w:val="restart"/>
            <w:tcBorders>
              <w:left w:val="single" w:sz="8" w:space="0" w:color="auto"/>
              <w:right w:val="single" w:sz="8" w:space="0" w:color="auto"/>
            </w:tcBorders>
            <w:shd w:val="clear" w:color="auto" w:fill="FFFFA7"/>
          </w:tcPr>
          <w:p w14:paraId="2E585C6C"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Modification de la température de l’eau</w:t>
            </w:r>
          </w:p>
        </w:tc>
        <w:tc>
          <w:tcPr>
            <w:tcW w:w="0" w:type="auto"/>
            <w:vMerge w:val="restart"/>
            <w:tcBorders>
              <w:left w:val="single" w:sz="8" w:space="0" w:color="auto"/>
              <w:right w:val="single" w:sz="8" w:space="0" w:color="auto"/>
            </w:tcBorders>
            <w:shd w:val="clear" w:color="auto" w:fill="E5B8B7"/>
          </w:tcPr>
          <w:p w14:paraId="0EDE5E60" w14:textId="77777777" w:rsidR="00994604" w:rsidRPr="00C268BD" w:rsidRDefault="00994604" w:rsidP="00994604">
            <w:pPr>
              <w:spacing w:before="40" w:after="40" w:line="240" w:lineRule="auto"/>
              <w:rPr>
                <w:rFonts w:cs="Arial"/>
                <w:sz w:val="16"/>
                <w:szCs w:val="16"/>
                <w:lang w:val="fr-FR"/>
              </w:rPr>
            </w:pPr>
            <w:r w:rsidRPr="00C268BD">
              <w:rPr>
                <w:rFonts w:eastAsia="Arial" w:cs="Arial"/>
                <w:color w:val="000000"/>
                <w:sz w:val="16"/>
                <w:szCs w:val="16"/>
                <w:lang w:val="fr-FR"/>
              </w:rPr>
              <w:t>Dégradation des habitats critiques</w:t>
            </w:r>
          </w:p>
        </w:tc>
        <w:tc>
          <w:tcPr>
            <w:tcW w:w="0" w:type="auto"/>
            <w:vMerge/>
            <w:tcBorders>
              <w:left w:val="single" w:sz="8" w:space="0" w:color="auto"/>
              <w:right w:val="single" w:sz="8" w:space="0" w:color="auto"/>
            </w:tcBorders>
            <w:shd w:val="clear" w:color="auto" w:fill="E5B8B7"/>
          </w:tcPr>
          <w:p w14:paraId="03D732C4" w14:textId="77777777" w:rsidR="00994604" w:rsidRPr="00C268BD" w:rsidRDefault="00994604" w:rsidP="00994604">
            <w:pPr>
              <w:spacing w:before="40" w:after="40" w:line="240" w:lineRule="auto"/>
              <w:rPr>
                <w:rFonts w:cs="Arial"/>
                <w:sz w:val="16"/>
                <w:szCs w:val="16"/>
                <w:lang w:val="fr-FR"/>
              </w:rPr>
            </w:pPr>
          </w:p>
        </w:tc>
      </w:tr>
      <w:tr w:rsidR="00994604" w:rsidRPr="00C268BD" w14:paraId="4C9B9FCB" w14:textId="77777777" w:rsidTr="001D4D6D">
        <w:trPr>
          <w:cnfStyle w:val="000000010000" w:firstRow="0" w:lastRow="0" w:firstColumn="0" w:lastColumn="0" w:oddVBand="0" w:evenVBand="0" w:oddHBand="0" w:evenHBand="1" w:firstRowFirstColumn="0" w:firstRowLastColumn="0" w:lastRowFirstColumn="0" w:lastRowLastColumn="0"/>
          <w:cantSplit/>
        </w:trPr>
        <w:tc>
          <w:tcPr>
            <w:tcW w:w="0" w:type="auto"/>
            <w:vMerge/>
            <w:tcBorders>
              <w:right w:val="single" w:sz="8" w:space="0" w:color="auto"/>
            </w:tcBorders>
            <w:textDirection w:val="btLr"/>
            <w:vAlign w:val="center"/>
          </w:tcPr>
          <w:p w14:paraId="67526F88" w14:textId="77777777" w:rsidR="00994604" w:rsidRPr="00C268BD" w:rsidRDefault="00994604" w:rsidP="00994604">
            <w:pPr>
              <w:spacing w:before="40" w:after="40" w:line="240" w:lineRule="auto"/>
              <w:ind w:left="113" w:right="113"/>
              <w:jc w:val="center"/>
              <w:rPr>
                <w:rFonts w:cs="Arial"/>
                <w:b/>
                <w:bCs/>
                <w:sz w:val="16"/>
                <w:szCs w:val="16"/>
                <w:lang w:val="fr-FR"/>
              </w:rPr>
            </w:pPr>
          </w:p>
        </w:tc>
        <w:tc>
          <w:tcPr>
            <w:tcW w:w="0" w:type="auto"/>
            <w:vMerge/>
            <w:tcBorders>
              <w:left w:val="single" w:sz="8" w:space="0" w:color="auto"/>
              <w:bottom w:val="single" w:sz="8" w:space="0" w:color="auto"/>
              <w:right w:val="single" w:sz="8" w:space="0" w:color="auto"/>
            </w:tcBorders>
          </w:tcPr>
          <w:p w14:paraId="608D9F7A" w14:textId="77777777" w:rsidR="00994604" w:rsidRPr="00C268BD" w:rsidRDefault="00994604" w:rsidP="00994604">
            <w:pPr>
              <w:pBdr>
                <w:top w:val="nil"/>
                <w:left w:val="nil"/>
                <w:bottom w:val="nil"/>
                <w:right w:val="nil"/>
                <w:between w:val="nil"/>
              </w:pBdr>
              <w:spacing w:before="40" w:after="40" w:line="240" w:lineRule="auto"/>
              <w:rPr>
                <w:rFonts w:eastAsia="Arial" w:cs="Arial"/>
                <w:b/>
                <w:color w:val="000000"/>
                <w:sz w:val="16"/>
                <w:szCs w:val="16"/>
                <w:lang w:val="fr-FR"/>
              </w:rPr>
            </w:pPr>
          </w:p>
        </w:tc>
        <w:tc>
          <w:tcPr>
            <w:tcW w:w="0" w:type="auto"/>
            <w:tcBorders>
              <w:left w:val="single" w:sz="8" w:space="0" w:color="auto"/>
              <w:bottom w:val="single" w:sz="8" w:space="0" w:color="auto"/>
              <w:right w:val="single" w:sz="8" w:space="0" w:color="auto"/>
            </w:tcBorders>
            <w:shd w:val="clear" w:color="auto" w:fill="DDFFDD"/>
          </w:tcPr>
          <w:p w14:paraId="342BFAD1"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Perturbations causées par la navigation</w:t>
            </w:r>
          </w:p>
        </w:tc>
        <w:tc>
          <w:tcPr>
            <w:tcW w:w="0" w:type="auto"/>
            <w:tcBorders>
              <w:left w:val="single" w:sz="8" w:space="0" w:color="auto"/>
              <w:bottom w:val="single" w:sz="8" w:space="0" w:color="auto"/>
              <w:right w:val="single" w:sz="8" w:space="0" w:color="auto"/>
            </w:tcBorders>
            <w:shd w:val="clear" w:color="auto" w:fill="B8CCE4"/>
          </w:tcPr>
          <w:p w14:paraId="1641E232"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bottom w:val="single" w:sz="8" w:space="0" w:color="auto"/>
              <w:right w:val="single" w:sz="8" w:space="0" w:color="auto"/>
            </w:tcBorders>
            <w:shd w:val="clear" w:color="auto" w:fill="FFFFA7"/>
          </w:tcPr>
          <w:p w14:paraId="788F4977"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bottom w:val="single" w:sz="8" w:space="0" w:color="auto"/>
              <w:right w:val="single" w:sz="8" w:space="0" w:color="auto"/>
            </w:tcBorders>
            <w:shd w:val="clear" w:color="auto" w:fill="E5B8B7"/>
          </w:tcPr>
          <w:p w14:paraId="2C024801"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bottom w:val="single" w:sz="8" w:space="0" w:color="auto"/>
              <w:right w:val="single" w:sz="8" w:space="0" w:color="auto"/>
            </w:tcBorders>
            <w:shd w:val="clear" w:color="auto" w:fill="E5B8B7"/>
          </w:tcPr>
          <w:p w14:paraId="6E9105E2" w14:textId="77777777" w:rsidR="00994604" w:rsidRPr="00C268BD" w:rsidRDefault="00994604" w:rsidP="00994604">
            <w:pPr>
              <w:spacing w:before="40" w:after="40" w:line="240" w:lineRule="auto"/>
              <w:rPr>
                <w:rFonts w:cs="Arial"/>
                <w:sz w:val="16"/>
                <w:szCs w:val="16"/>
                <w:lang w:val="fr-FR"/>
              </w:rPr>
            </w:pPr>
          </w:p>
        </w:tc>
      </w:tr>
      <w:tr w:rsidR="00994604" w:rsidRPr="00C268BD" w14:paraId="28DE0455" w14:textId="77777777" w:rsidTr="001D4D6D">
        <w:trPr>
          <w:cnfStyle w:val="000000100000" w:firstRow="0" w:lastRow="0" w:firstColumn="0" w:lastColumn="0" w:oddVBand="0" w:evenVBand="0" w:oddHBand="1" w:evenHBand="0" w:firstRowFirstColumn="0" w:firstRowLastColumn="0" w:lastRowFirstColumn="0" w:lastRowLastColumn="0"/>
        </w:trPr>
        <w:tc>
          <w:tcPr>
            <w:tcW w:w="0" w:type="auto"/>
            <w:vMerge w:val="restart"/>
            <w:tcBorders>
              <w:right w:val="single" w:sz="8" w:space="0" w:color="auto"/>
            </w:tcBorders>
          </w:tcPr>
          <w:p w14:paraId="094E0FC8" w14:textId="77777777" w:rsidR="00994604" w:rsidRPr="00C268BD" w:rsidRDefault="00994604" w:rsidP="00994604">
            <w:pPr>
              <w:spacing w:before="40" w:after="40" w:line="240" w:lineRule="auto"/>
              <w:rPr>
                <w:rFonts w:cs="Arial"/>
                <w:sz w:val="16"/>
                <w:szCs w:val="16"/>
                <w:lang w:val="fr-FR"/>
              </w:rPr>
            </w:pPr>
          </w:p>
        </w:tc>
        <w:tc>
          <w:tcPr>
            <w:tcW w:w="0" w:type="auto"/>
            <w:vMerge w:val="restart"/>
            <w:tcBorders>
              <w:top w:val="single" w:sz="8" w:space="0" w:color="auto"/>
              <w:left w:val="single" w:sz="8" w:space="0" w:color="auto"/>
              <w:right w:val="single" w:sz="8" w:space="0" w:color="auto"/>
            </w:tcBorders>
          </w:tcPr>
          <w:p w14:paraId="12C027C0" w14:textId="77777777" w:rsidR="00994604" w:rsidRPr="00C268BD" w:rsidRDefault="00994604" w:rsidP="00994604">
            <w:pPr>
              <w:spacing w:before="40" w:after="40" w:line="240" w:lineRule="auto"/>
              <w:rPr>
                <w:rFonts w:cs="Arial"/>
                <w:sz w:val="16"/>
                <w:szCs w:val="16"/>
              </w:rPr>
            </w:pPr>
            <w:r w:rsidRPr="00C268BD">
              <w:rPr>
                <w:rFonts w:eastAsia="Arial" w:cs="Arial"/>
                <w:b/>
                <w:color w:val="000000"/>
                <w:sz w:val="16"/>
                <w:szCs w:val="16"/>
              </w:rPr>
              <w:t>Possible</w:t>
            </w:r>
          </w:p>
        </w:tc>
        <w:tc>
          <w:tcPr>
            <w:tcW w:w="0" w:type="auto"/>
            <w:tcBorders>
              <w:top w:val="single" w:sz="8" w:space="0" w:color="auto"/>
              <w:left w:val="single" w:sz="8" w:space="0" w:color="auto"/>
              <w:right w:val="single" w:sz="8" w:space="0" w:color="auto"/>
            </w:tcBorders>
            <w:shd w:val="clear" w:color="auto" w:fill="DDFFDD"/>
          </w:tcPr>
          <w:p w14:paraId="70C1BE26"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Agents pathogènes</w:t>
            </w:r>
          </w:p>
        </w:tc>
        <w:tc>
          <w:tcPr>
            <w:tcW w:w="0" w:type="auto"/>
            <w:vMerge w:val="restart"/>
            <w:tcBorders>
              <w:top w:val="single" w:sz="8" w:space="0" w:color="auto"/>
              <w:left w:val="single" w:sz="8" w:space="0" w:color="auto"/>
              <w:right w:val="single" w:sz="8" w:space="0" w:color="auto"/>
            </w:tcBorders>
            <w:shd w:val="clear" w:color="auto" w:fill="B8CCE4"/>
          </w:tcPr>
          <w:p w14:paraId="53A8A9FF" w14:textId="77777777" w:rsidR="00994604" w:rsidRPr="00C268BD" w:rsidRDefault="00994604" w:rsidP="00994604">
            <w:pPr>
              <w:spacing w:before="40" w:after="40" w:line="240" w:lineRule="auto"/>
              <w:rPr>
                <w:rFonts w:cs="Arial"/>
                <w:sz w:val="16"/>
                <w:szCs w:val="16"/>
                <w:lang w:val="fr-FR"/>
              </w:rPr>
            </w:pPr>
            <w:r w:rsidRPr="00C268BD">
              <w:rPr>
                <w:rFonts w:cs="Arial"/>
                <w:sz w:val="16"/>
                <w:szCs w:val="16"/>
                <w:lang w:val="fr-FR"/>
              </w:rPr>
              <w:t>Altération du réseau trophique (surpêche d’espèces proies préférentielles)</w:t>
            </w:r>
            <w:r w:rsidRPr="00C268BD">
              <w:rPr>
                <w:rFonts w:cs="Arial"/>
                <w:sz w:val="16"/>
                <w:szCs w:val="16"/>
                <w:vertAlign w:val="superscript"/>
                <w:lang w:val="fr-FR"/>
              </w:rPr>
              <w:footnoteReference w:id="9"/>
            </w:r>
            <w:r w:rsidRPr="00C268BD">
              <w:rPr>
                <w:rFonts w:cs="Arial"/>
                <w:sz w:val="16"/>
                <w:szCs w:val="16"/>
                <w:lang w:val="fr-FR"/>
              </w:rPr>
              <w:t>.</w:t>
            </w:r>
          </w:p>
        </w:tc>
        <w:tc>
          <w:tcPr>
            <w:tcW w:w="0" w:type="auto"/>
            <w:tcBorders>
              <w:top w:val="single" w:sz="8" w:space="0" w:color="auto"/>
              <w:left w:val="single" w:sz="8" w:space="0" w:color="auto"/>
              <w:right w:val="single" w:sz="8" w:space="0" w:color="auto"/>
            </w:tcBorders>
            <w:shd w:val="clear" w:color="auto" w:fill="FFFFA7"/>
          </w:tcPr>
          <w:p w14:paraId="088E6E96" w14:textId="77777777" w:rsidR="00994604" w:rsidRPr="00C268BD" w:rsidRDefault="00994604" w:rsidP="00994604">
            <w:pPr>
              <w:spacing w:before="40" w:after="40" w:line="240" w:lineRule="auto"/>
              <w:rPr>
                <w:rFonts w:cs="Arial"/>
                <w:sz w:val="16"/>
                <w:szCs w:val="16"/>
                <w:lang w:val="fr-FR"/>
              </w:rPr>
            </w:pPr>
            <w:r w:rsidRPr="00C268BD">
              <w:rPr>
                <w:rFonts w:eastAsia="Arial" w:cs="Arial"/>
                <w:color w:val="000000"/>
                <w:sz w:val="16"/>
                <w:szCs w:val="16"/>
                <w:lang w:val="fr-FR"/>
              </w:rPr>
              <w:t>Pêche fantôme</w:t>
            </w:r>
          </w:p>
        </w:tc>
        <w:tc>
          <w:tcPr>
            <w:tcW w:w="0" w:type="auto"/>
            <w:vMerge w:val="restart"/>
            <w:tcBorders>
              <w:top w:val="single" w:sz="8" w:space="0" w:color="auto"/>
              <w:left w:val="single" w:sz="8" w:space="0" w:color="auto"/>
              <w:right w:val="single" w:sz="8" w:space="0" w:color="auto"/>
            </w:tcBorders>
            <w:shd w:val="clear" w:color="auto" w:fill="E5B8B7"/>
          </w:tcPr>
          <w:p w14:paraId="5B3526E4" w14:textId="77777777" w:rsidR="00994604" w:rsidRPr="00C268BD" w:rsidRDefault="00994604" w:rsidP="00994604">
            <w:pPr>
              <w:spacing w:before="40" w:after="40" w:line="240" w:lineRule="auto"/>
              <w:rPr>
                <w:rFonts w:cs="Arial"/>
                <w:sz w:val="16"/>
                <w:szCs w:val="16"/>
                <w:lang w:val="fr-FR"/>
              </w:rPr>
            </w:pPr>
          </w:p>
        </w:tc>
        <w:tc>
          <w:tcPr>
            <w:tcW w:w="0" w:type="auto"/>
            <w:vMerge w:val="restart"/>
            <w:tcBorders>
              <w:top w:val="single" w:sz="8" w:space="0" w:color="auto"/>
              <w:left w:val="single" w:sz="8" w:space="0" w:color="auto"/>
              <w:right w:val="single" w:sz="8" w:space="0" w:color="auto"/>
            </w:tcBorders>
            <w:shd w:val="clear" w:color="auto" w:fill="E5B8B7"/>
          </w:tcPr>
          <w:p w14:paraId="2121CDB9" w14:textId="77777777" w:rsidR="00994604" w:rsidRPr="00C268BD" w:rsidRDefault="00994604" w:rsidP="00994604">
            <w:pPr>
              <w:spacing w:before="40" w:after="40" w:line="240" w:lineRule="auto"/>
              <w:rPr>
                <w:rFonts w:cs="Arial"/>
                <w:sz w:val="16"/>
                <w:szCs w:val="16"/>
                <w:lang w:val="fr-FR"/>
              </w:rPr>
            </w:pPr>
            <w:r w:rsidRPr="00C268BD">
              <w:rPr>
                <w:rFonts w:cs="Arial"/>
                <w:sz w:val="16"/>
                <w:szCs w:val="16"/>
                <w:lang w:val="fr-FR"/>
              </w:rPr>
              <w:t xml:space="preserve">Pêcheries ciblées/INN ou prises accessoires retenues sur les navires lors de </w:t>
            </w:r>
            <w:r w:rsidRPr="00C268BD">
              <w:rPr>
                <w:rFonts w:eastAsia="Arial" w:cs="Arial"/>
                <w:color w:val="000000"/>
                <w:sz w:val="16"/>
                <w:szCs w:val="16"/>
                <w:lang w:val="fr-FR"/>
              </w:rPr>
              <w:t>pêches côtières à petite échelle.</w:t>
            </w:r>
          </w:p>
        </w:tc>
      </w:tr>
      <w:tr w:rsidR="00994604" w:rsidRPr="00C268BD" w14:paraId="52A602CB" w14:textId="77777777" w:rsidTr="001D4D6D">
        <w:trPr>
          <w:cnfStyle w:val="000000010000" w:firstRow="0" w:lastRow="0" w:firstColumn="0" w:lastColumn="0" w:oddVBand="0" w:evenVBand="0" w:oddHBand="0" w:evenHBand="1" w:firstRowFirstColumn="0" w:firstRowLastColumn="0" w:lastRowFirstColumn="0" w:lastRowLastColumn="0"/>
        </w:trPr>
        <w:tc>
          <w:tcPr>
            <w:tcW w:w="0" w:type="auto"/>
            <w:vMerge/>
            <w:tcBorders>
              <w:right w:val="single" w:sz="8" w:space="0" w:color="auto"/>
            </w:tcBorders>
          </w:tcPr>
          <w:p w14:paraId="6858E75A"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bottom w:val="single" w:sz="8" w:space="0" w:color="auto"/>
              <w:right w:val="single" w:sz="8" w:space="0" w:color="auto"/>
            </w:tcBorders>
          </w:tcPr>
          <w:p w14:paraId="35B0438F" w14:textId="77777777" w:rsidR="00994604" w:rsidRPr="00C268BD" w:rsidRDefault="00994604" w:rsidP="00994604">
            <w:pPr>
              <w:spacing w:before="40" w:after="40" w:line="240" w:lineRule="auto"/>
              <w:rPr>
                <w:rFonts w:eastAsia="Arial" w:cs="Arial"/>
                <w:b/>
                <w:color w:val="000000"/>
                <w:sz w:val="16"/>
                <w:szCs w:val="16"/>
                <w:lang w:val="fr-FR"/>
              </w:rPr>
            </w:pPr>
          </w:p>
        </w:tc>
        <w:tc>
          <w:tcPr>
            <w:tcW w:w="0" w:type="auto"/>
            <w:tcBorders>
              <w:left w:val="single" w:sz="8" w:space="0" w:color="auto"/>
              <w:bottom w:val="single" w:sz="8" w:space="0" w:color="auto"/>
              <w:right w:val="single" w:sz="8" w:space="0" w:color="auto"/>
            </w:tcBorders>
            <w:shd w:val="clear" w:color="auto" w:fill="DDFFDD"/>
          </w:tcPr>
          <w:p w14:paraId="461C92F3" w14:textId="77777777" w:rsidR="00994604" w:rsidRPr="00C268BD" w:rsidRDefault="00994604" w:rsidP="00994604">
            <w:pPr>
              <w:pBdr>
                <w:top w:val="nil"/>
                <w:left w:val="nil"/>
                <w:bottom w:val="nil"/>
                <w:right w:val="nil"/>
                <w:between w:val="nil"/>
              </w:pBdr>
              <w:spacing w:before="40" w:after="40" w:line="240" w:lineRule="auto"/>
              <w:rPr>
                <w:rFonts w:eastAsia="Arial" w:cs="Arial"/>
                <w:sz w:val="16"/>
                <w:szCs w:val="16"/>
                <w:lang w:val="fr-FR"/>
              </w:rPr>
            </w:pPr>
            <w:r w:rsidRPr="00C268BD">
              <w:rPr>
                <w:rFonts w:eastAsia="Arial" w:cs="Arial"/>
                <w:sz w:val="16"/>
                <w:szCs w:val="16"/>
                <w:lang w:val="fr-FR"/>
              </w:rPr>
              <w:t>Perturbations ou concurrence causées par des espèces non indigènes</w:t>
            </w:r>
          </w:p>
        </w:tc>
        <w:tc>
          <w:tcPr>
            <w:tcW w:w="0" w:type="auto"/>
            <w:vMerge/>
            <w:tcBorders>
              <w:left w:val="single" w:sz="8" w:space="0" w:color="auto"/>
              <w:bottom w:val="single" w:sz="8" w:space="0" w:color="auto"/>
              <w:right w:val="single" w:sz="8" w:space="0" w:color="auto"/>
            </w:tcBorders>
            <w:shd w:val="clear" w:color="auto" w:fill="B8CCE4"/>
          </w:tcPr>
          <w:p w14:paraId="513E517D" w14:textId="77777777" w:rsidR="00994604" w:rsidRPr="00C268BD" w:rsidRDefault="00994604" w:rsidP="00994604">
            <w:pPr>
              <w:spacing w:before="40" w:after="40" w:line="240" w:lineRule="auto"/>
              <w:rPr>
                <w:rFonts w:cs="Arial"/>
                <w:sz w:val="16"/>
                <w:szCs w:val="16"/>
                <w:lang w:val="fr-FR"/>
              </w:rPr>
            </w:pPr>
          </w:p>
        </w:tc>
        <w:tc>
          <w:tcPr>
            <w:tcW w:w="0" w:type="auto"/>
            <w:tcBorders>
              <w:left w:val="single" w:sz="8" w:space="0" w:color="auto"/>
              <w:bottom w:val="single" w:sz="8" w:space="0" w:color="auto"/>
              <w:right w:val="single" w:sz="8" w:space="0" w:color="auto"/>
            </w:tcBorders>
            <w:shd w:val="clear" w:color="auto" w:fill="FFFFA7"/>
          </w:tcPr>
          <w:p w14:paraId="5EC900C0"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Hypoxie</w:t>
            </w:r>
          </w:p>
        </w:tc>
        <w:tc>
          <w:tcPr>
            <w:tcW w:w="0" w:type="auto"/>
            <w:vMerge/>
            <w:tcBorders>
              <w:left w:val="single" w:sz="8" w:space="0" w:color="auto"/>
              <w:bottom w:val="single" w:sz="8" w:space="0" w:color="auto"/>
              <w:right w:val="single" w:sz="8" w:space="0" w:color="auto"/>
            </w:tcBorders>
            <w:shd w:val="clear" w:color="auto" w:fill="E5B8B7"/>
          </w:tcPr>
          <w:p w14:paraId="602EA582" w14:textId="77777777" w:rsidR="00994604" w:rsidRPr="00C268BD" w:rsidRDefault="00994604" w:rsidP="00994604">
            <w:pPr>
              <w:spacing w:before="40" w:after="40" w:line="240" w:lineRule="auto"/>
              <w:rPr>
                <w:rFonts w:cs="Arial"/>
                <w:sz w:val="16"/>
                <w:szCs w:val="16"/>
                <w:lang w:val="fr-FR"/>
              </w:rPr>
            </w:pPr>
          </w:p>
        </w:tc>
        <w:tc>
          <w:tcPr>
            <w:tcW w:w="0" w:type="auto"/>
            <w:vMerge/>
            <w:tcBorders>
              <w:left w:val="single" w:sz="8" w:space="0" w:color="auto"/>
              <w:bottom w:val="single" w:sz="8" w:space="0" w:color="auto"/>
              <w:right w:val="single" w:sz="8" w:space="0" w:color="auto"/>
            </w:tcBorders>
            <w:shd w:val="clear" w:color="auto" w:fill="E5B8B7"/>
          </w:tcPr>
          <w:p w14:paraId="78904B4F" w14:textId="77777777" w:rsidR="00994604" w:rsidRPr="00C268BD" w:rsidRDefault="00994604" w:rsidP="00994604">
            <w:pPr>
              <w:spacing w:before="40" w:after="40" w:line="240" w:lineRule="auto"/>
              <w:rPr>
                <w:rFonts w:cs="Arial"/>
                <w:sz w:val="16"/>
                <w:szCs w:val="16"/>
                <w:lang w:val="fr-FR"/>
              </w:rPr>
            </w:pPr>
          </w:p>
        </w:tc>
      </w:tr>
      <w:tr w:rsidR="00994604" w:rsidRPr="00C268BD" w14:paraId="5CBF8C41" w14:textId="77777777" w:rsidTr="001D4D6D">
        <w:trPr>
          <w:cnfStyle w:val="000000100000" w:firstRow="0" w:lastRow="0" w:firstColumn="0" w:lastColumn="0" w:oddVBand="0" w:evenVBand="0" w:oddHBand="1" w:evenHBand="0" w:firstRowFirstColumn="0" w:firstRowLastColumn="0" w:lastRowFirstColumn="0" w:lastRowLastColumn="0"/>
        </w:trPr>
        <w:tc>
          <w:tcPr>
            <w:tcW w:w="0" w:type="auto"/>
            <w:tcBorders>
              <w:right w:val="single" w:sz="8" w:space="0" w:color="auto"/>
            </w:tcBorders>
          </w:tcPr>
          <w:p w14:paraId="45C61191"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tcPr>
          <w:p w14:paraId="5A9CD020" w14:textId="77777777" w:rsidR="00994604" w:rsidRPr="00C268BD" w:rsidRDefault="00994604" w:rsidP="00994604">
            <w:pPr>
              <w:spacing w:before="40" w:after="40" w:line="240" w:lineRule="auto"/>
              <w:rPr>
                <w:rFonts w:cs="Arial"/>
                <w:sz w:val="16"/>
                <w:szCs w:val="16"/>
                <w:lang w:val="fr-FR"/>
              </w:rPr>
            </w:pPr>
            <w:r w:rsidRPr="00C268BD">
              <w:rPr>
                <w:rFonts w:eastAsia="Arial" w:cs="Arial"/>
                <w:b/>
                <w:color w:val="000000"/>
                <w:sz w:val="16"/>
                <w:szCs w:val="16"/>
                <w:lang w:val="fr-FR"/>
              </w:rPr>
              <w:t>Peu probable</w:t>
            </w:r>
          </w:p>
        </w:tc>
        <w:tc>
          <w:tcPr>
            <w:tcW w:w="0" w:type="auto"/>
            <w:tcBorders>
              <w:top w:val="single" w:sz="8" w:space="0" w:color="auto"/>
              <w:left w:val="single" w:sz="8" w:space="0" w:color="auto"/>
              <w:bottom w:val="single" w:sz="8" w:space="0" w:color="auto"/>
              <w:right w:val="single" w:sz="8" w:space="0" w:color="auto"/>
            </w:tcBorders>
            <w:shd w:val="clear" w:color="auto" w:fill="DDFFDD"/>
          </w:tcPr>
          <w:p w14:paraId="4CE93D68"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DDFFDD"/>
          </w:tcPr>
          <w:p w14:paraId="2AE59A32"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B8CCE4"/>
          </w:tcPr>
          <w:p w14:paraId="45593AB8"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FFFFA7"/>
          </w:tcPr>
          <w:p w14:paraId="0B2E746C"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8" w:space="0" w:color="auto"/>
              <w:right w:val="single" w:sz="8" w:space="0" w:color="auto"/>
            </w:tcBorders>
            <w:shd w:val="clear" w:color="auto" w:fill="E5B8B7"/>
          </w:tcPr>
          <w:p w14:paraId="103502F8" w14:textId="77777777" w:rsidR="00994604" w:rsidRPr="00C268BD" w:rsidRDefault="00994604" w:rsidP="00994604">
            <w:pPr>
              <w:spacing w:before="40" w:after="40" w:line="240" w:lineRule="auto"/>
              <w:rPr>
                <w:rFonts w:cs="Arial"/>
                <w:sz w:val="16"/>
                <w:szCs w:val="16"/>
                <w:lang w:val="fr-FR"/>
              </w:rPr>
            </w:pPr>
          </w:p>
        </w:tc>
      </w:tr>
      <w:tr w:rsidR="00994604" w:rsidRPr="00C268BD" w14:paraId="72039324" w14:textId="77777777" w:rsidTr="001D4D6D">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auto"/>
              <w:right w:val="single" w:sz="8" w:space="0" w:color="auto"/>
            </w:tcBorders>
          </w:tcPr>
          <w:p w14:paraId="3B74813D"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4" w:space="0" w:color="auto"/>
              <w:right w:val="single" w:sz="8" w:space="0" w:color="auto"/>
            </w:tcBorders>
          </w:tcPr>
          <w:p w14:paraId="7F8EE303" w14:textId="77777777" w:rsidR="00994604" w:rsidRPr="00C268BD" w:rsidRDefault="00994604" w:rsidP="00994604">
            <w:pPr>
              <w:spacing w:before="40" w:after="40" w:line="240" w:lineRule="auto"/>
              <w:rPr>
                <w:rFonts w:eastAsia="Arial" w:cs="Arial"/>
                <w:b/>
                <w:color w:val="000000"/>
                <w:sz w:val="16"/>
                <w:szCs w:val="16"/>
                <w:lang w:val="fr-FR"/>
              </w:rPr>
            </w:pPr>
            <w:r w:rsidRPr="00C268BD">
              <w:rPr>
                <w:rFonts w:eastAsia="Arial" w:cs="Arial"/>
                <w:b/>
                <w:color w:val="000000"/>
                <w:sz w:val="16"/>
                <w:szCs w:val="16"/>
                <w:lang w:val="fr-FR"/>
              </w:rPr>
              <w:t>Rare/Inconnue</w:t>
            </w:r>
          </w:p>
        </w:tc>
        <w:tc>
          <w:tcPr>
            <w:tcW w:w="0" w:type="auto"/>
            <w:tcBorders>
              <w:top w:val="single" w:sz="8" w:space="0" w:color="auto"/>
              <w:left w:val="single" w:sz="8" w:space="0" w:color="auto"/>
              <w:bottom w:val="single" w:sz="4" w:space="0" w:color="auto"/>
              <w:right w:val="single" w:sz="8" w:space="0" w:color="auto"/>
            </w:tcBorders>
            <w:shd w:val="clear" w:color="auto" w:fill="DDFFDD"/>
          </w:tcPr>
          <w:p w14:paraId="27A7F2D6"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4" w:space="0" w:color="auto"/>
              <w:right w:val="single" w:sz="8" w:space="0" w:color="auto"/>
            </w:tcBorders>
            <w:shd w:val="clear" w:color="auto" w:fill="DDFFDD"/>
          </w:tcPr>
          <w:p w14:paraId="711BC23F"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4" w:space="0" w:color="auto"/>
              <w:right w:val="single" w:sz="8" w:space="0" w:color="auto"/>
            </w:tcBorders>
            <w:shd w:val="clear" w:color="auto" w:fill="B8CCE4"/>
          </w:tcPr>
          <w:p w14:paraId="50F7E82B" w14:textId="77777777" w:rsidR="00994604" w:rsidRPr="00C268BD" w:rsidRDefault="00994604" w:rsidP="00994604">
            <w:pPr>
              <w:spacing w:before="40" w:after="40" w:line="240" w:lineRule="auto"/>
              <w:rPr>
                <w:rFonts w:cs="Arial"/>
                <w:sz w:val="16"/>
                <w:szCs w:val="16"/>
                <w:lang w:val="fr-FR"/>
              </w:rPr>
            </w:pPr>
            <w:r w:rsidRPr="00C268BD">
              <w:rPr>
                <w:rFonts w:eastAsia="Arial" w:cs="Arial"/>
                <w:sz w:val="16"/>
                <w:szCs w:val="16"/>
                <w:lang w:val="fr-FR"/>
              </w:rPr>
              <w:t>Déversements d’hydrocarbures</w:t>
            </w:r>
          </w:p>
        </w:tc>
        <w:tc>
          <w:tcPr>
            <w:tcW w:w="0" w:type="auto"/>
            <w:tcBorders>
              <w:top w:val="single" w:sz="8" w:space="0" w:color="auto"/>
              <w:left w:val="single" w:sz="8" w:space="0" w:color="auto"/>
              <w:bottom w:val="single" w:sz="4" w:space="0" w:color="auto"/>
              <w:right w:val="single" w:sz="8" w:space="0" w:color="auto"/>
            </w:tcBorders>
            <w:shd w:val="clear" w:color="auto" w:fill="FFFFA7"/>
          </w:tcPr>
          <w:p w14:paraId="51928812" w14:textId="77777777" w:rsidR="00994604" w:rsidRPr="00C268BD" w:rsidRDefault="00994604" w:rsidP="00994604">
            <w:pPr>
              <w:spacing w:before="40" w:after="40" w:line="240" w:lineRule="auto"/>
              <w:rPr>
                <w:rFonts w:cs="Arial"/>
                <w:sz w:val="16"/>
                <w:szCs w:val="16"/>
                <w:lang w:val="fr-FR"/>
              </w:rPr>
            </w:pPr>
          </w:p>
        </w:tc>
        <w:tc>
          <w:tcPr>
            <w:tcW w:w="0" w:type="auto"/>
            <w:tcBorders>
              <w:top w:val="single" w:sz="8" w:space="0" w:color="auto"/>
              <w:left w:val="single" w:sz="8" w:space="0" w:color="auto"/>
              <w:bottom w:val="single" w:sz="4" w:space="0" w:color="auto"/>
              <w:right w:val="single" w:sz="8" w:space="0" w:color="auto"/>
            </w:tcBorders>
            <w:shd w:val="clear" w:color="auto" w:fill="E5B8B7"/>
          </w:tcPr>
          <w:p w14:paraId="7D7AFB31" w14:textId="77777777" w:rsidR="00994604" w:rsidRPr="00C268BD" w:rsidRDefault="00994604" w:rsidP="00994604">
            <w:pPr>
              <w:spacing w:before="40" w:after="40" w:line="240" w:lineRule="auto"/>
              <w:rPr>
                <w:rFonts w:cs="Arial"/>
                <w:sz w:val="16"/>
                <w:szCs w:val="16"/>
                <w:lang w:val="fr-FR"/>
              </w:rPr>
            </w:pPr>
          </w:p>
        </w:tc>
      </w:tr>
    </w:tbl>
    <w:p w14:paraId="0E30AE2A" w14:textId="77777777" w:rsidR="00994604" w:rsidRDefault="00994604" w:rsidP="00994604"/>
    <w:p w14:paraId="3858B901" w14:textId="77777777" w:rsidR="0003602D" w:rsidRDefault="0003602D">
      <w:pPr>
        <w:autoSpaceDE w:val="0"/>
        <w:autoSpaceDN w:val="0"/>
        <w:adjustRightInd w:val="0"/>
        <w:spacing w:after="0" w:line="240" w:lineRule="auto"/>
        <w:jc w:val="center"/>
        <w:rPr>
          <w:rFonts w:ascii="Arial" w:hAnsi="Arial" w:cs="Arial"/>
          <w:b/>
          <w:bCs/>
          <w:color w:val="000000"/>
          <w:u w:val="single"/>
          <w:lang w:val="fr-FR" w:eastAsia="en-AU"/>
        </w:rPr>
      </w:pPr>
    </w:p>
    <w:p w14:paraId="165C06CB" w14:textId="77777777" w:rsidR="00923B2C" w:rsidRDefault="00923B2C">
      <w:pPr>
        <w:autoSpaceDE w:val="0"/>
        <w:autoSpaceDN w:val="0"/>
        <w:adjustRightInd w:val="0"/>
        <w:spacing w:after="0" w:line="240" w:lineRule="auto"/>
        <w:jc w:val="both"/>
        <w:rPr>
          <w:rFonts w:ascii="Arial" w:hAnsi="Arial" w:cs="Arial"/>
          <w:b/>
          <w:bCs/>
          <w:color w:val="000000"/>
          <w:u w:val="single"/>
          <w:lang w:val="fr-FR" w:eastAsia="en-AU"/>
        </w:rPr>
        <w:sectPr w:rsidR="00923B2C">
          <w:endnotePr>
            <w:numFmt w:val="decimal"/>
          </w:endnotePr>
          <w:pgSz w:w="16837" w:h="11905" w:orient="landscape" w:code="9"/>
          <w:pgMar w:top="1134" w:right="1134" w:bottom="1134" w:left="1134" w:header="510" w:footer="510" w:gutter="0"/>
          <w:cols w:space="720"/>
          <w:noEndnote/>
          <w:titlePg/>
          <w:docGrid w:linePitch="299"/>
        </w:sectPr>
      </w:pPr>
    </w:p>
    <w:p w14:paraId="637D5F81" w14:textId="77777777" w:rsidR="00923B2C" w:rsidRDefault="009C7B40">
      <w:pPr>
        <w:pStyle w:val="Heading1"/>
        <w:rPr>
          <w:sz w:val="22"/>
          <w:szCs w:val="22"/>
          <w:lang w:val="fr-FR"/>
        </w:rPr>
      </w:pPr>
      <w:bookmarkStart w:id="35" w:name="_Toc212501832"/>
      <w:r>
        <w:rPr>
          <w:sz w:val="22"/>
          <w:szCs w:val="22"/>
          <w:lang w:val="fr-FR"/>
        </w:rPr>
        <w:lastRenderedPageBreak/>
        <w:t>ANNEXE 2 – POLITIQUES ET LÉGISLATION APPLICABLES À LA GESTION</w:t>
      </w:r>
      <w:bookmarkEnd w:id="35"/>
    </w:p>
    <w:p w14:paraId="5BC5B5D2" w14:textId="77777777" w:rsidR="00923B2C" w:rsidRDefault="00923B2C">
      <w:pPr>
        <w:pStyle w:val="Heading2"/>
        <w:rPr>
          <w:lang w:val="fr-FR"/>
        </w:rPr>
      </w:pPr>
    </w:p>
    <w:p w14:paraId="4ADD30F3" w14:textId="77777777" w:rsidR="00923B2C" w:rsidRDefault="009C7B40">
      <w:pPr>
        <w:pStyle w:val="Heading2"/>
        <w:rPr>
          <w:sz w:val="22"/>
          <w:szCs w:val="22"/>
          <w:lang w:val="fr-FR"/>
        </w:rPr>
      </w:pPr>
      <w:bookmarkStart w:id="36" w:name="_Toc212501833"/>
      <w:r>
        <w:rPr>
          <w:sz w:val="22"/>
          <w:szCs w:val="22"/>
          <w:lang w:val="fr-FR"/>
        </w:rPr>
        <w:t>Annexe 2.1 Conservation et statut juridique</w:t>
      </w:r>
      <w:bookmarkEnd w:id="36"/>
    </w:p>
    <w:p w14:paraId="22ABB731" w14:textId="77777777" w:rsidR="00923B2C" w:rsidRDefault="00923B2C">
      <w:pPr>
        <w:widowControl w:val="0"/>
        <w:autoSpaceDE w:val="0"/>
        <w:autoSpaceDN w:val="0"/>
        <w:adjustRightInd w:val="0"/>
        <w:spacing w:after="0" w:line="240" w:lineRule="auto"/>
        <w:rPr>
          <w:rFonts w:ascii="Arial" w:eastAsia="Times New Roman" w:hAnsi="Arial" w:cs="Arial"/>
          <w:b/>
          <w:bCs/>
          <w:i/>
          <w:iCs/>
          <w:snapToGrid w:val="0"/>
          <w:sz w:val="24"/>
          <w:szCs w:val="24"/>
          <w:lang w:val="fr-FR" w:eastAsia="en-AU"/>
        </w:rPr>
      </w:pPr>
    </w:p>
    <w:p w14:paraId="309F8F45" w14:textId="77777777" w:rsidR="00923B2C" w:rsidRDefault="009C7B40">
      <w:pPr>
        <w:widowControl w:val="0"/>
        <w:autoSpaceDE w:val="0"/>
        <w:autoSpaceDN w:val="0"/>
        <w:adjustRightInd w:val="0"/>
        <w:spacing w:after="0" w:line="240" w:lineRule="auto"/>
        <w:jc w:val="both"/>
        <w:rPr>
          <w:rFonts w:ascii="Arial" w:eastAsia="Times New Roman" w:hAnsi="Arial" w:cs="Arial"/>
          <w:b/>
          <w:bCs/>
          <w:i/>
          <w:iCs/>
          <w:snapToGrid w:val="0"/>
          <w:lang w:val="fr-FR" w:eastAsia="en-AU"/>
        </w:rPr>
      </w:pPr>
      <w:r>
        <w:rPr>
          <w:rFonts w:ascii="Arial" w:eastAsia="Times New Roman" w:hAnsi="Arial" w:cs="Arial"/>
          <w:snapToGrid w:val="0"/>
          <w:lang w:val="fr-FR" w:eastAsia="en-AU"/>
        </w:rPr>
        <w:t>Ce tableau résume les principaux accords et règlements internationaux qui régissent la conservation et la gestion de l’anguille européenne. Il inclut des listes établies dans des cadres tels que la Liste rouge de l’UICN, la CITES, le règlement de l’Union européenne sur l'anguille, les décisions de la CGPM, les actions de l’HELCOM, ainsi que les conventions OSPAR et de Barcelone, et décrit les mesures de protection propres à chaque instrument.</w:t>
      </w:r>
    </w:p>
    <w:p w14:paraId="744813F1" w14:textId="77777777" w:rsidR="00923B2C" w:rsidRDefault="00923B2C">
      <w:pPr>
        <w:widowControl w:val="0"/>
        <w:autoSpaceDE w:val="0"/>
        <w:autoSpaceDN w:val="0"/>
        <w:adjustRightInd w:val="0"/>
        <w:spacing w:after="0" w:line="240" w:lineRule="auto"/>
        <w:rPr>
          <w:rFonts w:ascii="Arial" w:eastAsia="Times New Roman" w:hAnsi="Arial" w:cs="Arial"/>
          <w:b/>
          <w:bCs/>
          <w:i/>
          <w:iCs/>
          <w:snapToGrid w:val="0"/>
          <w:sz w:val="24"/>
          <w:szCs w:val="24"/>
          <w:lang w:val="fr-FR" w:eastAsia="en-A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6954"/>
      </w:tblGrid>
      <w:tr w:rsidR="00923B2C" w14:paraId="315F53D0" w14:textId="77777777">
        <w:trPr>
          <w:tblHeader/>
        </w:trPr>
        <w:tc>
          <w:tcPr>
            <w:tcW w:w="2113" w:type="dxa"/>
            <w:shd w:val="clear" w:color="auto" w:fill="D9D9D9"/>
          </w:tcPr>
          <w:p w14:paraId="0C320881" w14:textId="77777777" w:rsidR="00923B2C" w:rsidRDefault="009C7B40">
            <w:pPr>
              <w:widowControl w:val="0"/>
              <w:spacing w:before="40" w:after="40" w:line="240" w:lineRule="auto"/>
              <w:rPr>
                <w:rFonts w:ascii="Arial" w:hAnsi="Arial" w:cs="Arial"/>
                <w:b/>
                <w:snapToGrid w:val="0"/>
                <w:sz w:val="20"/>
                <w:szCs w:val="20"/>
                <w:lang w:val="fr-FR" w:eastAsia="en-AU"/>
              </w:rPr>
            </w:pPr>
            <w:r>
              <w:rPr>
                <w:rFonts w:ascii="Arial" w:hAnsi="Arial" w:cs="Arial"/>
                <w:b/>
                <w:bCs/>
                <w:snapToGrid w:val="0"/>
                <w:sz w:val="20"/>
                <w:szCs w:val="20"/>
                <w:lang w:val="fr-FR" w:eastAsia="en-AU"/>
              </w:rPr>
              <w:t>Instruments juridiques et non juridiques internationaux</w:t>
            </w:r>
          </w:p>
        </w:tc>
        <w:tc>
          <w:tcPr>
            <w:tcW w:w="6954" w:type="dxa"/>
            <w:shd w:val="clear" w:color="auto" w:fill="D9D9D9"/>
          </w:tcPr>
          <w:p w14:paraId="767CEB64" w14:textId="77777777" w:rsidR="00923B2C" w:rsidRDefault="009C7B40">
            <w:pPr>
              <w:widowControl w:val="0"/>
              <w:spacing w:before="40" w:after="40" w:line="240" w:lineRule="auto"/>
              <w:rPr>
                <w:rFonts w:ascii="Arial" w:hAnsi="Arial" w:cs="Arial"/>
                <w:b/>
                <w:snapToGrid w:val="0"/>
                <w:sz w:val="20"/>
                <w:szCs w:val="20"/>
                <w:lang w:val="fr-FR" w:eastAsia="en-AU"/>
              </w:rPr>
            </w:pPr>
            <w:r>
              <w:rPr>
                <w:rFonts w:ascii="Arial" w:hAnsi="Arial" w:cs="Arial"/>
                <w:b/>
                <w:snapToGrid w:val="0"/>
                <w:sz w:val="20"/>
                <w:szCs w:val="20"/>
                <w:lang w:val="fr-FR" w:eastAsia="en-AU"/>
              </w:rPr>
              <w:t>Mesure de protection / évaluation</w:t>
            </w:r>
          </w:p>
        </w:tc>
      </w:tr>
      <w:tr w:rsidR="00923B2C" w:rsidRPr="0003602D" w14:paraId="2CB3147C" w14:textId="77777777">
        <w:tc>
          <w:tcPr>
            <w:tcW w:w="2113" w:type="dxa"/>
          </w:tcPr>
          <w:p w14:paraId="311F2F66" w14:textId="77777777" w:rsidR="00923B2C" w:rsidRDefault="009C7B40">
            <w:pPr>
              <w:widowControl w:val="0"/>
              <w:spacing w:before="40" w:after="40" w:line="240" w:lineRule="auto"/>
              <w:rPr>
                <w:rFonts w:ascii="Arial" w:hAnsi="Arial" w:cs="Arial"/>
                <w:snapToGrid w:val="0"/>
                <w:sz w:val="20"/>
                <w:szCs w:val="20"/>
                <w:lang w:val="fr-FR" w:eastAsia="en-AU"/>
              </w:rPr>
            </w:pPr>
            <w:r>
              <w:rPr>
                <w:rFonts w:ascii="Arial" w:hAnsi="Arial" w:cs="Arial"/>
                <w:snapToGrid w:val="0"/>
                <w:sz w:val="20"/>
                <w:szCs w:val="20"/>
                <w:lang w:val="fr-FR" w:eastAsia="en-AU"/>
              </w:rPr>
              <w:t>Union européenne</w:t>
            </w:r>
          </w:p>
        </w:tc>
        <w:tc>
          <w:tcPr>
            <w:tcW w:w="6954" w:type="dxa"/>
          </w:tcPr>
          <w:p w14:paraId="146A37EB" w14:textId="77777777" w:rsidR="00923B2C" w:rsidRDefault="009C7B40">
            <w:pPr>
              <w:spacing w:before="40" w:after="40" w:line="240" w:lineRule="auto"/>
              <w:jc w:val="both"/>
              <w:rPr>
                <w:rFonts w:ascii="Arial" w:hAnsi="Arial" w:cs="Arial"/>
                <w:b/>
                <w:bCs/>
                <w:sz w:val="20"/>
                <w:szCs w:val="20"/>
                <w:lang w:val="fr-FR" w:eastAsia="en-AU"/>
              </w:rPr>
            </w:pPr>
            <w:r>
              <w:rPr>
                <w:rFonts w:ascii="Arial" w:hAnsi="Arial" w:cs="Arial"/>
                <w:b/>
                <w:bCs/>
                <w:sz w:val="20"/>
                <w:szCs w:val="20"/>
                <w:lang w:val="fr-FR" w:eastAsia="en-AU"/>
              </w:rPr>
              <w:t>Règlement (CE) nº 1100/2007 du Conseil – Établissant des mesures pour la reconstitution du stock d’anguilles européennes.</w:t>
            </w:r>
          </w:p>
          <w:p w14:paraId="49F0005F" w14:textId="77777777" w:rsidR="00923B2C" w:rsidRDefault="009C7B40">
            <w:pPr>
              <w:widowControl w:val="0"/>
              <w:autoSpaceDE w:val="0"/>
              <w:autoSpaceDN w:val="0"/>
              <w:adjustRightInd w:val="0"/>
              <w:spacing w:before="40" w:after="40" w:line="240" w:lineRule="auto"/>
              <w:jc w:val="both"/>
              <w:rPr>
                <w:rFonts w:ascii="Arial" w:hAnsi="Arial" w:cs="Arial"/>
                <w:i/>
                <w:iCs/>
                <w:snapToGrid w:val="0"/>
                <w:spacing w:val="-4"/>
                <w:sz w:val="20"/>
                <w:szCs w:val="20"/>
                <w:lang w:val="fr-FR" w:eastAsia="en-AU"/>
              </w:rPr>
            </w:pPr>
            <w:r>
              <w:rPr>
                <w:rFonts w:ascii="Arial" w:hAnsi="Arial" w:cs="Arial"/>
                <w:i/>
                <w:iCs/>
                <w:snapToGrid w:val="0"/>
                <w:spacing w:val="-4"/>
                <w:sz w:val="20"/>
                <w:szCs w:val="20"/>
                <w:lang w:val="fr-FR" w:eastAsia="en-AU"/>
              </w:rPr>
              <w:t>Le règlement a été élaboré pour mettre en place des mesures visant à reconstituer le stock d’anguilles européennes. Les plans de gestion de l’anguille (PGE) sont élaborés par les États membres afin de mettre en œuvre des mesures visant à rétablir l’anguille européenne au sein des unités de gestion de l’anguille (UGE) définies au niveau national.</w:t>
            </w:r>
          </w:p>
          <w:p w14:paraId="174B19BA" w14:textId="77777777" w:rsidR="00923B2C" w:rsidRDefault="00923B2C">
            <w:pPr>
              <w:widowControl w:val="0"/>
              <w:autoSpaceDE w:val="0"/>
              <w:autoSpaceDN w:val="0"/>
              <w:adjustRightInd w:val="0"/>
              <w:spacing w:before="40" w:after="40" w:line="240" w:lineRule="auto"/>
              <w:jc w:val="both"/>
              <w:rPr>
                <w:rFonts w:ascii="Arial" w:hAnsi="Arial" w:cs="Arial"/>
                <w:i/>
                <w:iCs/>
                <w:snapToGrid w:val="0"/>
                <w:spacing w:val="-4"/>
                <w:sz w:val="20"/>
                <w:szCs w:val="20"/>
                <w:lang w:val="fr-FR" w:eastAsia="en-AU"/>
              </w:rPr>
            </w:pPr>
          </w:p>
          <w:p w14:paraId="3726A68C" w14:textId="77777777" w:rsidR="00923B2C" w:rsidRDefault="009C7B40">
            <w:pPr>
              <w:spacing w:before="40" w:after="40" w:line="240" w:lineRule="auto"/>
              <w:jc w:val="both"/>
              <w:rPr>
                <w:rFonts w:ascii="Arial" w:hAnsi="Arial" w:cs="Arial"/>
                <w:b/>
                <w:bCs/>
                <w:sz w:val="20"/>
                <w:szCs w:val="20"/>
                <w:lang w:val="fr-FR" w:eastAsia="en-AU"/>
              </w:rPr>
            </w:pPr>
            <w:r>
              <w:rPr>
                <w:rFonts w:ascii="Arial" w:hAnsi="Arial" w:cs="Arial"/>
                <w:b/>
                <w:bCs/>
                <w:sz w:val="20"/>
                <w:szCs w:val="20"/>
                <w:lang w:val="fr-FR" w:eastAsia="en-AU"/>
              </w:rPr>
              <w:t>Mesures concernant la pêche de l’anguille européenne</w:t>
            </w:r>
          </w:p>
          <w:p w14:paraId="60D0289E" w14:textId="77777777" w:rsidR="00923B2C" w:rsidRDefault="009C7B40">
            <w:pPr>
              <w:widowControl w:val="0"/>
              <w:autoSpaceDE w:val="0"/>
              <w:autoSpaceDN w:val="0"/>
              <w:adjustRightInd w:val="0"/>
              <w:spacing w:before="40" w:after="40" w:line="240" w:lineRule="auto"/>
              <w:jc w:val="both"/>
              <w:rPr>
                <w:rFonts w:ascii="Arial" w:hAnsi="Arial" w:cs="Arial"/>
                <w:snapToGrid w:val="0"/>
                <w:spacing w:val="-4"/>
                <w:sz w:val="20"/>
                <w:szCs w:val="20"/>
                <w:lang w:val="fr-FR" w:eastAsia="en-AU"/>
              </w:rPr>
            </w:pPr>
            <w:r>
              <w:rPr>
                <w:rFonts w:ascii="Arial" w:hAnsi="Arial" w:cs="Arial"/>
                <w:i/>
                <w:iCs/>
                <w:snapToGrid w:val="0"/>
                <w:spacing w:val="-4"/>
                <w:sz w:val="20"/>
                <w:szCs w:val="20"/>
                <w:lang w:val="fr-FR" w:eastAsia="en-AU"/>
              </w:rPr>
              <w:t xml:space="preserve">Mesures annuelles de pêche dans les eaux de l’UE, établies par la réglementation des possibilités de pêche dans les eaux du CIEM et de la Méditerranée. Actuellement, une période de fermeture de six mois est en vigueur pour la pêche commerciale, tandis que la pêche récréative est interdite. </w:t>
            </w:r>
            <w:r>
              <w:rPr>
                <w:rFonts w:ascii="Arial" w:hAnsi="Arial" w:cs="Arial"/>
                <w:sz w:val="20"/>
                <w:szCs w:val="20"/>
                <w:lang w:val="fr-FR"/>
              </w:rPr>
              <w:t>La</w:t>
            </w:r>
            <w:r>
              <w:rPr>
                <w:rFonts w:ascii="Arial" w:hAnsi="Arial" w:cs="Arial"/>
                <w:i/>
                <w:iCs/>
                <w:snapToGrid w:val="0"/>
                <w:spacing w:val="-4"/>
                <w:sz w:val="20"/>
                <w:szCs w:val="20"/>
                <w:lang w:val="fr-FR" w:eastAsia="en-AU"/>
              </w:rPr>
              <w:t xml:space="preserve"> fermeture doit couvrir la ou les principales périodes de migration, y compris leurs pics.</w:t>
            </w:r>
          </w:p>
        </w:tc>
      </w:tr>
      <w:tr w:rsidR="00923B2C" w:rsidRPr="0003602D" w14:paraId="3760AFF6" w14:textId="77777777">
        <w:tc>
          <w:tcPr>
            <w:tcW w:w="2113" w:type="dxa"/>
          </w:tcPr>
          <w:p w14:paraId="6D259FC7" w14:textId="77777777" w:rsidR="00923B2C" w:rsidRDefault="009C7B40">
            <w:pPr>
              <w:pStyle w:val="NoSpacing"/>
              <w:spacing w:before="40" w:after="40"/>
              <w:rPr>
                <w:rFonts w:ascii="Arial" w:hAnsi="Arial" w:cs="Arial"/>
                <w:sz w:val="20"/>
                <w:szCs w:val="20"/>
                <w:lang w:val="fr-FR" w:eastAsia="en-AU"/>
              </w:rPr>
            </w:pPr>
            <w:r>
              <w:rPr>
                <w:rFonts w:ascii="Arial" w:hAnsi="Arial" w:cs="Arial"/>
                <w:sz w:val="20"/>
                <w:szCs w:val="20"/>
                <w:lang w:val="fr-FR" w:eastAsia="en-AU"/>
              </w:rPr>
              <w:t>Convention sur le commerce international des espèces de faune et de flore sauvages menacées d'extinction</w:t>
            </w:r>
          </w:p>
          <w:p w14:paraId="576F811D" w14:textId="77777777" w:rsidR="00923B2C" w:rsidRDefault="009C7B40">
            <w:pPr>
              <w:widowControl w:val="0"/>
              <w:spacing w:before="40" w:after="40" w:line="240" w:lineRule="auto"/>
              <w:rPr>
                <w:rFonts w:ascii="Arial" w:hAnsi="Arial" w:cs="Arial"/>
                <w:snapToGrid w:val="0"/>
                <w:sz w:val="20"/>
                <w:szCs w:val="20"/>
                <w:lang w:eastAsia="en-AU"/>
              </w:rPr>
            </w:pPr>
            <w:r>
              <w:rPr>
                <w:rFonts w:ascii="Arial" w:hAnsi="Arial" w:cs="Arial"/>
                <w:snapToGrid w:val="0"/>
                <w:sz w:val="20"/>
                <w:szCs w:val="20"/>
                <w:lang w:eastAsia="en-AU"/>
              </w:rPr>
              <w:t>(CITES)</w:t>
            </w:r>
          </w:p>
        </w:tc>
        <w:tc>
          <w:tcPr>
            <w:tcW w:w="6954" w:type="dxa"/>
          </w:tcPr>
          <w:p w14:paraId="6BB91E0F" w14:textId="77777777" w:rsidR="00923B2C" w:rsidRDefault="009C7B40">
            <w:pPr>
              <w:widowControl w:val="0"/>
              <w:autoSpaceDE w:val="0"/>
              <w:autoSpaceDN w:val="0"/>
              <w:adjustRightInd w:val="0"/>
              <w:spacing w:before="40" w:after="40" w:line="240" w:lineRule="auto"/>
              <w:jc w:val="both"/>
              <w:rPr>
                <w:rFonts w:ascii="Arial" w:hAnsi="Arial" w:cs="Arial"/>
                <w:i/>
                <w:iCs/>
                <w:snapToGrid w:val="0"/>
                <w:spacing w:val="-4"/>
                <w:sz w:val="20"/>
                <w:szCs w:val="20"/>
                <w:lang w:val="fr-FR" w:eastAsia="en-AU"/>
              </w:rPr>
            </w:pPr>
            <w:r>
              <w:rPr>
                <w:rFonts w:ascii="Arial" w:hAnsi="Arial" w:cs="Arial"/>
                <w:i/>
                <w:iCs/>
                <w:snapToGrid w:val="0"/>
                <w:spacing w:val="-4"/>
                <w:sz w:val="20"/>
                <w:szCs w:val="20"/>
                <w:lang w:val="fr-FR" w:eastAsia="en-AU"/>
              </w:rPr>
              <w:t>L’anguille européenne a été inscrite à l’Annexe II de la CITES en 2007, bien que cette inscription ne soit entrée en vigueur qu’en mars 2009.</w:t>
            </w:r>
          </w:p>
          <w:p w14:paraId="37C30E33" w14:textId="77777777" w:rsidR="00923B2C" w:rsidRDefault="00923B2C">
            <w:pPr>
              <w:widowControl w:val="0"/>
              <w:autoSpaceDE w:val="0"/>
              <w:autoSpaceDN w:val="0"/>
              <w:adjustRightInd w:val="0"/>
              <w:spacing w:before="40" w:after="40" w:line="240" w:lineRule="auto"/>
              <w:jc w:val="both"/>
              <w:rPr>
                <w:rFonts w:ascii="Arial" w:hAnsi="Arial" w:cs="Arial"/>
                <w:i/>
                <w:iCs/>
                <w:snapToGrid w:val="0"/>
                <w:spacing w:val="-4"/>
                <w:sz w:val="20"/>
                <w:szCs w:val="20"/>
                <w:lang w:val="fr-FR" w:eastAsia="en-AU"/>
              </w:rPr>
            </w:pPr>
          </w:p>
          <w:p w14:paraId="510491F8" w14:textId="77777777" w:rsidR="00923B2C" w:rsidRDefault="009C7B40">
            <w:pPr>
              <w:widowControl w:val="0"/>
              <w:autoSpaceDE w:val="0"/>
              <w:autoSpaceDN w:val="0"/>
              <w:adjustRightInd w:val="0"/>
              <w:spacing w:before="40" w:after="40" w:line="240" w:lineRule="auto"/>
              <w:jc w:val="both"/>
              <w:rPr>
                <w:rFonts w:ascii="Arial" w:hAnsi="Arial" w:cs="Arial"/>
                <w:i/>
                <w:iCs/>
                <w:snapToGrid w:val="0"/>
                <w:spacing w:val="-4"/>
                <w:sz w:val="20"/>
                <w:szCs w:val="20"/>
                <w:lang w:val="fr-FR" w:eastAsia="en-AU"/>
              </w:rPr>
            </w:pPr>
            <w:r>
              <w:rPr>
                <w:rFonts w:ascii="Arial" w:hAnsi="Arial" w:cs="Arial"/>
                <w:i/>
                <w:iCs/>
                <w:snapToGrid w:val="0"/>
                <w:spacing w:val="-4"/>
                <w:sz w:val="20"/>
                <w:szCs w:val="20"/>
                <w:lang w:val="fr-FR" w:eastAsia="en-AU"/>
              </w:rPr>
              <w:t>Le commerce international des spécimens des espèces inscrites à l’Annexe II peut être autorisé et doit dans ce cas être couvert par un permis d’exportation ou un certificat de réexportation. Il s’agit d’une preuve indiquant que cette exportation ne portera pas atteinte à la survie de l’espèce concernée – cette preuve est présentée sous la forme d’un avis de commerce non préjudiciable.</w:t>
            </w:r>
          </w:p>
        </w:tc>
      </w:tr>
      <w:tr w:rsidR="00923B2C" w:rsidRPr="0003602D" w14:paraId="536855A2" w14:textId="77777777">
        <w:tc>
          <w:tcPr>
            <w:tcW w:w="2113" w:type="dxa"/>
          </w:tcPr>
          <w:p w14:paraId="134B342E" w14:textId="77777777" w:rsidR="00923B2C" w:rsidRDefault="009C7B40">
            <w:pPr>
              <w:pStyle w:val="NoSpacing"/>
              <w:spacing w:before="40" w:after="40"/>
              <w:rPr>
                <w:rFonts w:ascii="Arial" w:hAnsi="Arial" w:cs="Arial"/>
                <w:snapToGrid w:val="0"/>
                <w:sz w:val="20"/>
                <w:szCs w:val="20"/>
                <w:lang w:val="fr-FR" w:eastAsia="en-AU"/>
              </w:rPr>
            </w:pPr>
            <w:r>
              <w:rPr>
                <w:rFonts w:ascii="Arial" w:hAnsi="Arial" w:cs="Arial"/>
                <w:sz w:val="20"/>
                <w:szCs w:val="20"/>
                <w:lang w:val="fr-FR" w:eastAsia="en-AU"/>
              </w:rPr>
              <w:t>Convention sur la conservation des espèces migratrices appartenant à la faune sauvage (CMS)</w:t>
            </w:r>
          </w:p>
        </w:tc>
        <w:tc>
          <w:tcPr>
            <w:tcW w:w="6954" w:type="dxa"/>
          </w:tcPr>
          <w:p w14:paraId="471D8AF3" w14:textId="77777777" w:rsidR="00923B2C" w:rsidRDefault="009C7B40">
            <w:pPr>
              <w:widowControl w:val="0"/>
              <w:autoSpaceDE w:val="0"/>
              <w:autoSpaceDN w:val="0"/>
              <w:adjustRightInd w:val="0"/>
              <w:spacing w:before="40" w:after="40" w:line="240" w:lineRule="auto"/>
              <w:jc w:val="both"/>
              <w:rPr>
                <w:rFonts w:ascii="Arial" w:hAnsi="Arial" w:cs="Arial"/>
                <w:i/>
                <w:iCs/>
                <w:snapToGrid w:val="0"/>
                <w:spacing w:val="-4"/>
                <w:sz w:val="20"/>
                <w:szCs w:val="20"/>
                <w:lang w:val="fr-FR" w:eastAsia="en-AU"/>
              </w:rPr>
            </w:pPr>
            <w:r>
              <w:rPr>
                <w:rFonts w:ascii="Arial" w:hAnsi="Arial" w:cs="Arial"/>
                <w:snapToGrid w:val="0"/>
                <w:spacing w:val="-4"/>
                <w:sz w:val="20"/>
                <w:szCs w:val="20"/>
                <w:lang w:val="fr-FR" w:eastAsia="en-AU"/>
              </w:rPr>
              <w:t xml:space="preserve">Anguille européenne inscrite à l’Annexe II — </w:t>
            </w:r>
            <w:r>
              <w:rPr>
                <w:rFonts w:ascii="Arial" w:hAnsi="Arial" w:cs="Arial"/>
                <w:i/>
                <w:iCs/>
                <w:snapToGrid w:val="0"/>
                <w:spacing w:val="-4"/>
                <w:sz w:val="20"/>
                <w:szCs w:val="20"/>
                <w:lang w:val="fr-FR" w:eastAsia="en-AU"/>
              </w:rPr>
              <w:t>espèces migratrices dont l’état de conservation est défavorable et qui nécessitent des accords internationaux pour leur conservation et leur gestion, ainsi que celles dont l’état de conservation bénéficierait de manière significative de la coopération internationale qui pourrait être obtenue par un accord international.</w:t>
            </w:r>
          </w:p>
        </w:tc>
      </w:tr>
      <w:tr w:rsidR="00923B2C" w:rsidRPr="0003602D" w14:paraId="448B34C9" w14:textId="77777777">
        <w:tc>
          <w:tcPr>
            <w:tcW w:w="2113" w:type="dxa"/>
            <w:tcBorders>
              <w:bottom w:val="single" w:sz="4" w:space="0" w:color="auto"/>
            </w:tcBorders>
          </w:tcPr>
          <w:p w14:paraId="64A9FB05" w14:textId="77777777" w:rsidR="00923B2C" w:rsidRDefault="009C7B40">
            <w:pPr>
              <w:pStyle w:val="NoSpacing"/>
              <w:spacing w:before="40" w:after="40"/>
              <w:rPr>
                <w:rFonts w:ascii="Arial" w:hAnsi="Arial" w:cs="Arial"/>
                <w:sz w:val="20"/>
                <w:szCs w:val="20"/>
                <w:lang w:val="fr-FR" w:eastAsia="en-AU"/>
              </w:rPr>
            </w:pPr>
            <w:r>
              <w:rPr>
                <w:rFonts w:ascii="Arial" w:hAnsi="Arial" w:cs="Arial"/>
                <w:snapToGrid w:val="0"/>
                <w:sz w:val="20"/>
                <w:szCs w:val="20"/>
                <w:lang w:val="fr-FR" w:eastAsia="en-AU"/>
              </w:rPr>
              <w:t>Liste rouge des espèces menacées de l’Union internationale pour la conservation de la nature et de ses ressources (UICN)</w:t>
            </w:r>
          </w:p>
        </w:tc>
        <w:tc>
          <w:tcPr>
            <w:tcW w:w="6954" w:type="dxa"/>
            <w:tcBorders>
              <w:bottom w:val="single" w:sz="4" w:space="0" w:color="auto"/>
            </w:tcBorders>
          </w:tcPr>
          <w:p w14:paraId="680FE07B" w14:textId="77777777" w:rsidR="00923B2C" w:rsidRDefault="009C7B40">
            <w:pPr>
              <w:widowControl w:val="0"/>
              <w:spacing w:before="40" w:after="40" w:line="240" w:lineRule="auto"/>
              <w:jc w:val="both"/>
              <w:rPr>
                <w:rFonts w:ascii="Arial" w:hAnsi="Arial" w:cs="Arial"/>
                <w:snapToGrid w:val="0"/>
                <w:sz w:val="20"/>
                <w:szCs w:val="20"/>
                <w:lang w:val="fr-FR" w:eastAsia="en-AU"/>
              </w:rPr>
            </w:pPr>
            <w:r>
              <w:rPr>
                <w:rFonts w:ascii="Arial" w:hAnsi="Arial" w:cs="Arial"/>
                <w:snapToGrid w:val="0"/>
                <w:sz w:val="20"/>
                <w:szCs w:val="20"/>
                <w:lang w:val="fr-FR" w:eastAsia="en-AU"/>
              </w:rPr>
              <w:t xml:space="preserve">En danger critique d’extinction : </w:t>
            </w:r>
            <w:r>
              <w:rPr>
                <w:rFonts w:ascii="Arial" w:hAnsi="Arial" w:cs="Arial"/>
                <w:sz w:val="20"/>
                <w:szCs w:val="20"/>
                <w:lang w:val="fr-FR"/>
              </w:rPr>
              <w:t>A2bd+A4bd (2018)</w:t>
            </w:r>
            <w:r>
              <w:rPr>
                <w:rFonts w:ascii="Arial" w:hAnsi="Arial" w:cs="Arial"/>
                <w:snapToGrid w:val="0"/>
                <w:sz w:val="20"/>
                <w:szCs w:val="20"/>
                <w:lang w:val="fr-FR" w:eastAsia="en-AU"/>
              </w:rPr>
              <w:t xml:space="preserve"> :</w:t>
            </w:r>
          </w:p>
          <w:p w14:paraId="4423BD94" w14:textId="77777777" w:rsidR="00923B2C" w:rsidRDefault="00923B2C">
            <w:pPr>
              <w:widowControl w:val="0"/>
              <w:spacing w:before="40" w:after="40" w:line="240" w:lineRule="auto"/>
              <w:jc w:val="both"/>
              <w:rPr>
                <w:rFonts w:ascii="Arial" w:hAnsi="Arial" w:cs="Arial"/>
                <w:snapToGrid w:val="0"/>
                <w:sz w:val="20"/>
                <w:szCs w:val="20"/>
                <w:lang w:val="fr-FR" w:eastAsia="en-AU"/>
              </w:rPr>
            </w:pPr>
          </w:p>
          <w:p w14:paraId="2A2CAA03" w14:textId="77777777" w:rsidR="00923B2C" w:rsidRDefault="009C7B40">
            <w:pPr>
              <w:spacing w:before="40" w:after="40" w:line="240" w:lineRule="auto"/>
              <w:jc w:val="both"/>
              <w:rPr>
                <w:rFonts w:ascii="Arial" w:hAnsi="Arial" w:cs="Arial"/>
                <w:sz w:val="20"/>
                <w:szCs w:val="20"/>
                <w:lang w:val="fr-FR"/>
              </w:rPr>
            </w:pPr>
            <w:r>
              <w:rPr>
                <w:rFonts w:ascii="Arial" w:hAnsi="Arial" w:cs="Arial"/>
                <w:sz w:val="20"/>
                <w:szCs w:val="20"/>
                <w:lang w:val="fr-FR"/>
              </w:rPr>
              <w:t>Une réduction observée, estimée, déduite ou suspectée d’au moins 80 % de la population sur trois générations, sur la base des éléments suivants :</w:t>
            </w:r>
          </w:p>
          <w:p w14:paraId="0E83075D" w14:textId="77777777" w:rsidR="00923B2C" w:rsidRDefault="009C7B40">
            <w:pPr>
              <w:spacing w:before="40" w:after="40" w:line="240" w:lineRule="auto"/>
              <w:jc w:val="both"/>
              <w:rPr>
                <w:rFonts w:ascii="Arial" w:hAnsi="Arial" w:cs="Arial"/>
                <w:i/>
                <w:iCs/>
                <w:sz w:val="20"/>
                <w:szCs w:val="20"/>
                <w:lang w:val="fr-FR"/>
              </w:rPr>
            </w:pPr>
            <w:r>
              <w:rPr>
                <w:rFonts w:ascii="Arial" w:hAnsi="Arial" w:cs="Arial"/>
                <w:i/>
                <w:iCs/>
                <w:sz w:val="20"/>
                <w:szCs w:val="20"/>
                <w:lang w:val="fr-FR"/>
              </w:rPr>
              <w:t>b) un indice d’abondance approprié au taxon,</w:t>
            </w:r>
          </w:p>
          <w:p w14:paraId="53BE3F32" w14:textId="77777777" w:rsidR="00923B2C" w:rsidRDefault="009C7B40">
            <w:pPr>
              <w:spacing w:before="40" w:after="40" w:line="240" w:lineRule="auto"/>
              <w:jc w:val="both"/>
              <w:rPr>
                <w:rFonts w:ascii="Arial" w:hAnsi="Arial" w:cs="Arial"/>
                <w:sz w:val="20"/>
                <w:szCs w:val="20"/>
                <w:lang w:val="fr-FR"/>
              </w:rPr>
            </w:pPr>
            <w:r>
              <w:rPr>
                <w:rFonts w:ascii="Arial" w:hAnsi="Arial" w:cs="Arial"/>
                <w:i/>
                <w:iCs/>
                <w:sz w:val="20"/>
                <w:szCs w:val="20"/>
                <w:lang w:val="fr-FR"/>
              </w:rPr>
              <w:t>d) les niveaux réels ou potentiels d’exploitation.</w:t>
            </w:r>
          </w:p>
        </w:tc>
      </w:tr>
      <w:tr w:rsidR="00923B2C" w:rsidRPr="0003602D" w14:paraId="6D370DE3" w14:textId="77777777">
        <w:tc>
          <w:tcPr>
            <w:tcW w:w="2113" w:type="dxa"/>
            <w:tcBorders>
              <w:bottom w:val="single" w:sz="4" w:space="0" w:color="auto"/>
            </w:tcBorders>
          </w:tcPr>
          <w:p w14:paraId="2B74D1C5" w14:textId="77777777" w:rsidR="00923B2C" w:rsidRDefault="009C7B40">
            <w:pPr>
              <w:widowControl w:val="0"/>
              <w:spacing w:before="40" w:after="40" w:line="240" w:lineRule="auto"/>
              <w:rPr>
                <w:rFonts w:ascii="Arial" w:hAnsi="Arial" w:cs="Arial"/>
                <w:snapToGrid w:val="0"/>
                <w:sz w:val="20"/>
                <w:szCs w:val="20"/>
                <w:lang w:val="fr-FR" w:eastAsia="en-AU"/>
              </w:rPr>
            </w:pPr>
            <w:r>
              <w:rPr>
                <w:rFonts w:ascii="Arial" w:hAnsi="Arial" w:cs="Arial"/>
                <w:snapToGrid w:val="0"/>
                <w:sz w:val="20"/>
                <w:szCs w:val="20"/>
                <w:lang w:val="fr-FR" w:eastAsia="en-AU"/>
              </w:rPr>
              <w:t>La Convention pour la protection de la mer Méditerranée contre la pollution (</w:t>
            </w:r>
            <w:hyperlink r:id="rId46" w:tgtFrame="_blank" w:history="1">
              <w:r>
                <w:rPr>
                  <w:rStyle w:val="Hyperlink"/>
                  <w:rFonts w:ascii="Arial" w:hAnsi="Arial" w:cs="Arial"/>
                  <w:snapToGrid w:val="0"/>
                  <w:sz w:val="20"/>
                  <w:szCs w:val="20"/>
                  <w:lang w:val="fr-FR" w:eastAsia="en-AU"/>
                </w:rPr>
                <w:t>Convention de Barcelone</w:t>
              </w:r>
            </w:hyperlink>
            <w:r>
              <w:rPr>
                <w:rFonts w:ascii="Arial" w:hAnsi="Arial" w:cs="Arial"/>
                <w:snapToGrid w:val="0"/>
                <w:sz w:val="20"/>
                <w:szCs w:val="20"/>
                <w:lang w:val="fr-FR" w:eastAsia="en-AU"/>
              </w:rPr>
              <w:t>)</w:t>
            </w:r>
          </w:p>
        </w:tc>
        <w:tc>
          <w:tcPr>
            <w:tcW w:w="6954" w:type="dxa"/>
            <w:tcBorders>
              <w:bottom w:val="single" w:sz="4" w:space="0" w:color="auto"/>
            </w:tcBorders>
          </w:tcPr>
          <w:p w14:paraId="3BA048BC"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L’anguille européenne est inscrite à l’Annexe III – espèce dont l’exploitation est réglementée.</w:t>
            </w:r>
          </w:p>
          <w:p w14:paraId="0F1329CB" w14:textId="77777777" w:rsidR="00923B2C" w:rsidRDefault="00923B2C">
            <w:pPr>
              <w:widowControl w:val="0"/>
              <w:spacing w:before="40" w:after="40" w:line="240" w:lineRule="auto"/>
              <w:jc w:val="both"/>
              <w:rPr>
                <w:rFonts w:ascii="Arial" w:hAnsi="Arial" w:cs="Arial"/>
                <w:snapToGrid w:val="0"/>
                <w:sz w:val="20"/>
                <w:szCs w:val="20"/>
                <w:lang w:val="fr-FR" w:eastAsia="en-AU"/>
              </w:rPr>
            </w:pPr>
          </w:p>
        </w:tc>
      </w:tr>
      <w:tr w:rsidR="00923B2C" w:rsidRPr="0003602D" w14:paraId="7F17C5F1" w14:textId="77777777">
        <w:tc>
          <w:tcPr>
            <w:tcW w:w="2113" w:type="dxa"/>
            <w:tcBorders>
              <w:top w:val="nil"/>
            </w:tcBorders>
          </w:tcPr>
          <w:p w14:paraId="1AFEE6AA" w14:textId="77777777" w:rsidR="00923B2C" w:rsidRDefault="009C7B40">
            <w:pPr>
              <w:widowControl w:val="0"/>
              <w:spacing w:before="40" w:after="40" w:line="240" w:lineRule="auto"/>
              <w:rPr>
                <w:rFonts w:ascii="Arial" w:hAnsi="Arial" w:cs="Arial"/>
                <w:snapToGrid w:val="0"/>
                <w:sz w:val="20"/>
                <w:szCs w:val="20"/>
                <w:lang w:val="fr-FR" w:eastAsia="en-AU"/>
              </w:rPr>
            </w:pPr>
            <w:r>
              <w:rPr>
                <w:rFonts w:ascii="Arial" w:hAnsi="Arial" w:cs="Arial"/>
                <w:snapToGrid w:val="0"/>
                <w:sz w:val="20"/>
                <w:szCs w:val="20"/>
                <w:lang w:val="fr-FR" w:eastAsia="en-AU"/>
              </w:rPr>
              <w:lastRenderedPageBreak/>
              <w:t>Commission générale des pêches pour la Méditerranée (CGPM)</w:t>
            </w:r>
          </w:p>
          <w:p w14:paraId="3FE3BE88" w14:textId="77777777" w:rsidR="00923B2C" w:rsidRDefault="00923B2C">
            <w:pPr>
              <w:pStyle w:val="NoSpacing"/>
              <w:spacing w:before="40" w:after="40"/>
              <w:rPr>
                <w:rFonts w:ascii="Arial" w:hAnsi="Arial" w:cs="Arial"/>
                <w:sz w:val="20"/>
                <w:szCs w:val="20"/>
                <w:lang w:val="fr-FR" w:eastAsia="en-AU"/>
              </w:rPr>
            </w:pPr>
          </w:p>
        </w:tc>
        <w:tc>
          <w:tcPr>
            <w:tcW w:w="6954" w:type="dxa"/>
            <w:tcBorders>
              <w:top w:val="nil"/>
            </w:tcBorders>
          </w:tcPr>
          <w:p w14:paraId="1F1138C8" w14:textId="77777777" w:rsidR="00923B2C" w:rsidRPr="003068BD" w:rsidRDefault="009C7B40">
            <w:pPr>
              <w:widowControl w:val="0"/>
              <w:spacing w:before="40" w:after="40" w:line="240" w:lineRule="auto"/>
              <w:jc w:val="both"/>
              <w:rPr>
                <w:rFonts w:ascii="Arial" w:hAnsi="Arial" w:cs="Arial"/>
                <w:snapToGrid w:val="0"/>
                <w:sz w:val="20"/>
                <w:szCs w:val="20"/>
                <w:lang w:val="fr-FR" w:eastAsia="en-AU"/>
              </w:rPr>
            </w:pPr>
            <w:r w:rsidRPr="003068BD">
              <w:rPr>
                <w:rFonts w:ascii="Arial" w:hAnsi="Arial" w:cs="Arial"/>
                <w:snapToGrid w:val="0"/>
                <w:sz w:val="20"/>
                <w:szCs w:val="20"/>
                <w:lang w:val="fr-FR" w:eastAsia="en-AU"/>
              </w:rPr>
              <w:t>GFCM/46/2023/16</w:t>
            </w:r>
          </w:p>
          <w:p w14:paraId="72BC0E2B" w14:textId="77777777" w:rsidR="00923B2C" w:rsidRDefault="00923B2C">
            <w:pPr>
              <w:widowControl w:val="0"/>
              <w:spacing w:before="40" w:after="40" w:line="240" w:lineRule="auto"/>
              <w:jc w:val="both"/>
              <w:rPr>
                <w:rFonts w:ascii="Arial" w:hAnsi="Arial" w:cs="Arial"/>
                <w:snapToGrid w:val="0"/>
                <w:sz w:val="20"/>
                <w:szCs w:val="20"/>
                <w:lang w:val="fr-FR" w:eastAsia="en-AU"/>
              </w:rPr>
            </w:pPr>
          </w:p>
          <w:p w14:paraId="33788CB2"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En novembre 2021, la CGPM a prolongé les périodes de fermeture de 3 à 6 mois et a interdit la pêche récréative</w:t>
            </w:r>
            <w:r>
              <w:rPr>
                <w:rFonts w:ascii="Arial" w:hAnsi="Arial" w:cs="Arial"/>
                <w:i/>
                <w:iCs/>
                <w:color w:val="000000"/>
                <w:sz w:val="20"/>
                <w:szCs w:val="20"/>
                <w:lang w:val="fr-FR" w:eastAsia="en-GB"/>
              </w:rPr>
              <w:t xml:space="preserve"> à tous les stades du cycle de vie</w:t>
            </w:r>
            <w:r>
              <w:rPr>
                <w:rFonts w:ascii="Arial" w:hAnsi="Arial" w:cs="Arial"/>
                <w:i/>
                <w:iCs/>
                <w:snapToGrid w:val="0"/>
                <w:sz w:val="20"/>
                <w:szCs w:val="20"/>
                <w:lang w:val="fr-FR" w:eastAsia="en-AU"/>
              </w:rPr>
              <w:t xml:space="preserve"> de l’anguille européenne dans toutes les eaux (y compris les eaux intérieures). </w:t>
            </w:r>
          </w:p>
          <w:p w14:paraId="32BA52EB"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En 2024, la CGPM a adopté de nouvelles mesures de conservation visant la pêche à la civelle, prolongeant la période de fermeture à 10 mois et gelant le niveau d’effort et de capacité, tout en limitant la période de pêche à seulement 2 mois pour la civelle.</w:t>
            </w:r>
          </w:p>
          <w:p w14:paraId="310BDB70"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Ces décisions sont mises en œuvre dans le droit de l’Union européenne à travers le règlement susmentionné sur les possibilités de pêche.</w:t>
            </w:r>
          </w:p>
          <w:p w14:paraId="2EEE17E7"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Quelques mesures pour lutter contre la pêche INN : enregistrement des captures, contrôle et traçabilité.</w:t>
            </w:r>
          </w:p>
        </w:tc>
      </w:tr>
      <w:tr w:rsidR="00923B2C" w:rsidRPr="0003602D" w14:paraId="38DC1660" w14:textId="77777777">
        <w:tc>
          <w:tcPr>
            <w:tcW w:w="2113" w:type="dxa"/>
          </w:tcPr>
          <w:p w14:paraId="4E11A443" w14:textId="77777777" w:rsidR="00923B2C" w:rsidRDefault="009C7B40">
            <w:pPr>
              <w:widowControl w:val="0"/>
              <w:spacing w:before="40" w:after="40" w:line="240" w:lineRule="auto"/>
              <w:rPr>
                <w:rFonts w:ascii="Arial" w:hAnsi="Arial" w:cs="Arial"/>
                <w:snapToGrid w:val="0"/>
                <w:sz w:val="20"/>
                <w:szCs w:val="20"/>
                <w:lang w:val="fr-FR" w:eastAsia="en-AU"/>
              </w:rPr>
            </w:pPr>
            <w:r>
              <w:rPr>
                <w:rFonts w:ascii="Arial" w:hAnsi="Arial" w:cs="Arial"/>
                <w:snapToGrid w:val="0"/>
                <w:sz w:val="20"/>
                <w:szCs w:val="20"/>
                <w:lang w:val="fr-FR" w:eastAsia="en-AU"/>
              </w:rPr>
              <w:t>Commission pour la protection de l'environnement marin de la mer Baltique – HELCOM.</w:t>
            </w:r>
          </w:p>
        </w:tc>
        <w:tc>
          <w:tcPr>
            <w:tcW w:w="6954" w:type="dxa"/>
          </w:tcPr>
          <w:p w14:paraId="15D785F8" w14:textId="77777777" w:rsidR="00923B2C" w:rsidRDefault="009C7B40">
            <w:pPr>
              <w:widowControl w:val="0"/>
              <w:spacing w:before="40" w:after="40" w:line="240" w:lineRule="auto"/>
              <w:jc w:val="both"/>
              <w:rPr>
                <w:rFonts w:ascii="Arial" w:hAnsi="Arial" w:cs="Arial"/>
                <w:snapToGrid w:val="0"/>
                <w:sz w:val="20"/>
                <w:szCs w:val="20"/>
                <w:lang w:val="fr-FR" w:eastAsia="en-AU"/>
              </w:rPr>
            </w:pPr>
            <w:r>
              <w:rPr>
                <w:rFonts w:ascii="Arial" w:hAnsi="Arial" w:cs="Arial"/>
                <w:snapToGrid w:val="0"/>
                <w:sz w:val="20"/>
                <w:szCs w:val="20"/>
                <w:lang w:val="fr-FR" w:eastAsia="en-AU"/>
              </w:rPr>
              <w:t xml:space="preserve">En 2021, HELCOM a publié une mise à jour du plan d’action en adoptant le calendrier : </w:t>
            </w:r>
          </w:p>
          <w:p w14:paraId="083B3697" w14:textId="77777777" w:rsidR="00923B2C" w:rsidRDefault="00923B2C">
            <w:pPr>
              <w:widowControl w:val="0"/>
              <w:spacing w:before="40" w:after="40" w:line="240" w:lineRule="auto"/>
              <w:jc w:val="both"/>
              <w:rPr>
                <w:rFonts w:ascii="Arial" w:hAnsi="Arial" w:cs="Arial"/>
                <w:snapToGrid w:val="0"/>
                <w:sz w:val="20"/>
                <w:szCs w:val="20"/>
                <w:lang w:val="fr-FR" w:eastAsia="en-AU"/>
              </w:rPr>
            </w:pPr>
          </w:p>
          <w:p w14:paraId="62A9FADF"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D’ici 2023, identifier les rivières où les mesures de gestion des espèces de poissons migrateurs, notamment l’anguille, auront l’impact positif le plus significatif.</w:t>
            </w:r>
          </w:p>
          <w:p w14:paraId="2E0A29CF" w14:textId="77777777" w:rsidR="00923B2C" w:rsidRDefault="00923B2C">
            <w:pPr>
              <w:widowControl w:val="0"/>
              <w:spacing w:before="40" w:after="40" w:line="240" w:lineRule="auto"/>
              <w:jc w:val="both"/>
              <w:rPr>
                <w:rFonts w:ascii="Arial" w:hAnsi="Arial" w:cs="Arial"/>
                <w:i/>
                <w:iCs/>
                <w:snapToGrid w:val="0"/>
                <w:sz w:val="20"/>
                <w:szCs w:val="20"/>
                <w:lang w:val="fr-FR" w:eastAsia="en-AU"/>
              </w:rPr>
            </w:pPr>
          </w:p>
          <w:p w14:paraId="56F2BA26" w14:textId="77777777" w:rsidR="00923B2C" w:rsidRDefault="009C7B40">
            <w:pPr>
              <w:widowControl w:val="0"/>
              <w:spacing w:before="40" w:after="40" w:line="240" w:lineRule="auto"/>
              <w:jc w:val="both"/>
              <w:rPr>
                <w:rFonts w:ascii="Arial" w:hAnsi="Arial" w:cs="Arial"/>
                <w:snapToGrid w:val="0"/>
                <w:sz w:val="20"/>
                <w:szCs w:val="20"/>
                <w:lang w:val="fr-FR" w:eastAsia="en-AU"/>
              </w:rPr>
            </w:pPr>
            <w:r>
              <w:rPr>
                <w:rFonts w:ascii="Arial" w:hAnsi="Arial" w:cs="Arial"/>
                <w:i/>
                <w:iCs/>
                <w:snapToGrid w:val="0"/>
                <w:sz w:val="20"/>
                <w:szCs w:val="20"/>
                <w:lang w:val="fr-FR" w:eastAsia="en-AU"/>
              </w:rPr>
              <w:t>Dans le but de protéger et de restaurer les populations d’anguilles, déterminer quelles mesures prévues par la Convention sur la conservation des espèces migratrices appartenant à la faune sauvage (CMS), le règlement de l’UE sur les anguilles et d’autres instruments pertinents bénéficieraient d’une coopération régionale à l’échelle de la Baltique.</w:t>
            </w:r>
          </w:p>
        </w:tc>
      </w:tr>
      <w:tr w:rsidR="00923B2C" w:rsidRPr="0003602D" w14:paraId="434F38D5" w14:textId="77777777">
        <w:tc>
          <w:tcPr>
            <w:tcW w:w="2113" w:type="dxa"/>
          </w:tcPr>
          <w:p w14:paraId="6E534128" w14:textId="77777777" w:rsidR="00923B2C" w:rsidRDefault="009C7B40">
            <w:pPr>
              <w:widowControl w:val="0"/>
              <w:spacing w:before="40" w:after="40" w:line="240" w:lineRule="auto"/>
              <w:rPr>
                <w:rFonts w:ascii="Arial" w:hAnsi="Arial" w:cs="Arial"/>
                <w:snapToGrid w:val="0"/>
                <w:sz w:val="20"/>
                <w:szCs w:val="20"/>
                <w:lang w:val="fr-FR" w:eastAsia="en-AU"/>
              </w:rPr>
            </w:pPr>
            <w:r>
              <w:rPr>
                <w:rFonts w:ascii="Arial" w:hAnsi="Arial" w:cs="Arial"/>
                <w:snapToGrid w:val="0"/>
                <w:sz w:val="20"/>
                <w:szCs w:val="20"/>
                <w:lang w:val="fr-FR" w:eastAsia="en-AU"/>
              </w:rPr>
              <w:t>Convention pour la protection du milieu marin de l’Atlantique du Nord-Est</w:t>
            </w:r>
          </w:p>
        </w:tc>
        <w:tc>
          <w:tcPr>
            <w:tcW w:w="6954" w:type="dxa"/>
          </w:tcPr>
          <w:p w14:paraId="0AF78509"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 xml:space="preserve">L’anguille européenne a été inscrite sur la liste OSPAR des espèces et habitats menacés ou en déclin en 2008 (Accord OSPAR 2008-6). </w:t>
            </w:r>
          </w:p>
          <w:p w14:paraId="54B75427" w14:textId="77777777" w:rsidR="00923B2C" w:rsidRDefault="009C7B40">
            <w:pPr>
              <w:widowControl w:val="0"/>
              <w:spacing w:before="40" w:after="40" w:line="240" w:lineRule="auto"/>
              <w:jc w:val="both"/>
              <w:rPr>
                <w:rFonts w:ascii="Arial" w:hAnsi="Arial" w:cs="Arial"/>
                <w:i/>
                <w:iCs/>
                <w:snapToGrid w:val="0"/>
                <w:sz w:val="20"/>
                <w:szCs w:val="20"/>
                <w:lang w:val="fr-FR" w:eastAsia="en-AU"/>
              </w:rPr>
            </w:pPr>
            <w:r>
              <w:rPr>
                <w:rFonts w:ascii="Arial" w:hAnsi="Arial" w:cs="Arial"/>
                <w:i/>
                <w:iCs/>
                <w:snapToGrid w:val="0"/>
                <w:sz w:val="20"/>
                <w:szCs w:val="20"/>
                <w:lang w:val="fr-FR" w:eastAsia="en-AU"/>
              </w:rPr>
              <w:t>En 2014, OSPAR a émis une recommandation (Recommandation OSPAR 2014/15) visant à renforcer la protection de l’anguille européenne à tous les stades de sa vie afin de reconstituer sa population.</w:t>
            </w:r>
          </w:p>
          <w:p w14:paraId="18244A9D" w14:textId="77777777" w:rsidR="00923B2C" w:rsidRDefault="009C7B40">
            <w:pPr>
              <w:widowControl w:val="0"/>
              <w:spacing w:before="40" w:after="40" w:line="240" w:lineRule="auto"/>
              <w:jc w:val="both"/>
              <w:rPr>
                <w:rFonts w:ascii="Arial" w:hAnsi="Arial" w:cs="Arial"/>
                <w:snapToGrid w:val="0"/>
                <w:sz w:val="20"/>
                <w:szCs w:val="20"/>
                <w:highlight w:val="yellow"/>
                <w:lang w:val="fr-FR" w:eastAsia="en-AU"/>
              </w:rPr>
            </w:pPr>
            <w:r>
              <w:rPr>
                <w:rFonts w:ascii="Arial" w:hAnsi="Arial" w:cs="Arial"/>
                <w:i/>
                <w:iCs/>
                <w:snapToGrid w:val="0"/>
                <w:sz w:val="20"/>
                <w:szCs w:val="20"/>
                <w:lang w:val="fr-FR" w:eastAsia="en-AU"/>
              </w:rPr>
              <w:t>En 2022, OSPAR a mis à jour son évaluation de l’état de l’anguille européenne, la qualifiant de « médiocre ».</w:t>
            </w:r>
          </w:p>
        </w:tc>
      </w:tr>
    </w:tbl>
    <w:p w14:paraId="51442E60" w14:textId="77777777" w:rsidR="00923B2C" w:rsidRDefault="00923B2C">
      <w:pPr>
        <w:widowControl w:val="0"/>
        <w:autoSpaceDE w:val="0"/>
        <w:autoSpaceDN w:val="0"/>
        <w:adjustRightInd w:val="0"/>
        <w:spacing w:after="0" w:line="240" w:lineRule="auto"/>
        <w:rPr>
          <w:rFonts w:ascii="Arial" w:eastAsia="Times New Roman" w:hAnsi="Arial" w:cs="Arial"/>
          <w:snapToGrid w:val="0"/>
          <w:lang w:val="fr-FR" w:eastAsia="en-AU"/>
        </w:rPr>
      </w:pPr>
    </w:p>
    <w:p w14:paraId="3FB40166" w14:textId="77777777" w:rsidR="00923B2C" w:rsidRDefault="009C7B40">
      <w:pPr>
        <w:autoSpaceDE w:val="0"/>
        <w:autoSpaceDN w:val="0"/>
        <w:adjustRightInd w:val="0"/>
        <w:spacing w:after="0" w:line="240" w:lineRule="auto"/>
        <w:jc w:val="both"/>
        <w:rPr>
          <w:rFonts w:ascii="Arial" w:hAnsi="Arial" w:cs="Arial"/>
          <w:color w:val="000000"/>
          <w:lang w:val="fr-FR" w:eastAsia="en-AU"/>
        </w:rPr>
      </w:pPr>
      <w:r>
        <w:rPr>
          <w:rFonts w:ascii="Arial" w:hAnsi="Arial" w:cs="Arial"/>
          <w:color w:val="000000"/>
          <w:lang w:val="fr-FR" w:eastAsia="en-AU"/>
        </w:rPr>
        <w:br w:type="page"/>
      </w:r>
    </w:p>
    <w:p w14:paraId="77A68ECD" w14:textId="77777777" w:rsidR="00923B2C" w:rsidRDefault="009C7B40">
      <w:pPr>
        <w:pStyle w:val="Heading2"/>
        <w:rPr>
          <w:sz w:val="22"/>
          <w:szCs w:val="22"/>
          <w:lang w:val="fr-FR"/>
        </w:rPr>
      </w:pPr>
      <w:bookmarkStart w:id="37" w:name="_Toc212501834"/>
      <w:r>
        <w:rPr>
          <w:sz w:val="22"/>
          <w:szCs w:val="22"/>
          <w:lang w:val="fr-FR"/>
        </w:rPr>
        <w:lastRenderedPageBreak/>
        <w:t xml:space="preserve">Annexe 2.2 </w:t>
      </w:r>
      <w:r>
        <w:rPr>
          <w:sz w:val="22"/>
          <w:szCs w:val="22"/>
          <w:lang w:val="fr-FR" w:eastAsia="en-AU"/>
        </w:rPr>
        <w:t>Conventions internationales ratifiées</w:t>
      </w:r>
      <w:r>
        <w:rPr>
          <w:sz w:val="22"/>
          <w:szCs w:val="22"/>
          <w:lang w:val="fr-FR"/>
        </w:rPr>
        <w:t xml:space="preserve"> par les États de l’aire de répartition et leur affiliation aux organisations concernées</w:t>
      </w:r>
      <w:bookmarkEnd w:id="37"/>
    </w:p>
    <w:p w14:paraId="4BC14C21" w14:textId="77777777" w:rsidR="00923B2C" w:rsidRDefault="00923B2C">
      <w:pPr>
        <w:widowControl w:val="0"/>
        <w:spacing w:after="0" w:line="240" w:lineRule="auto"/>
        <w:rPr>
          <w:rFonts w:ascii="Arial" w:eastAsia="Times New Roman" w:hAnsi="Arial" w:cs="Arial"/>
          <w:snapToGrid w:val="0"/>
          <w:lang w:val="fr-FR"/>
        </w:rPr>
      </w:pPr>
    </w:p>
    <w:p w14:paraId="519258FE" w14:textId="77777777" w:rsidR="00923B2C" w:rsidRDefault="009C7B40">
      <w:pPr>
        <w:widowControl w:val="0"/>
        <w:spacing w:after="0" w:line="240" w:lineRule="auto"/>
        <w:jc w:val="both"/>
        <w:rPr>
          <w:rFonts w:ascii="Arial" w:eastAsia="Times New Roman" w:hAnsi="Arial" w:cs="Arial"/>
          <w:snapToGrid w:val="0"/>
          <w:lang w:val="fr-FR"/>
        </w:rPr>
      </w:pPr>
      <w:r>
        <w:rPr>
          <w:rFonts w:ascii="Arial" w:eastAsia="Times New Roman" w:hAnsi="Arial" w:cs="Arial"/>
          <w:snapToGrid w:val="0"/>
          <w:lang w:val="fr-FR"/>
        </w:rPr>
        <w:t>Ce tableau offre un aperçu exhaustif de tous les États de l’aire de répartition</w:t>
      </w:r>
      <w:r>
        <w:rPr>
          <w:rStyle w:val="FootnoteReference"/>
          <w:rFonts w:ascii="Arial" w:eastAsia="Times New Roman" w:hAnsi="Arial" w:cs="Arial"/>
          <w:snapToGrid w:val="0"/>
          <w:vertAlign w:val="superscript"/>
          <w:lang w:val="fr-FR"/>
        </w:rPr>
        <w:footnoteReference w:id="10"/>
      </w:r>
      <w:r>
        <w:rPr>
          <w:rFonts w:ascii="Arial" w:eastAsia="Times New Roman" w:hAnsi="Arial" w:cs="Arial"/>
          <w:snapToGrid w:val="0"/>
          <w:lang w:val="fr-FR"/>
        </w:rPr>
        <w:t xml:space="preserve"> de l’anguille européenne, en précisant leur statut de membre des principales conventions mondiales,</w:t>
      </w:r>
      <w:r>
        <w:rPr>
          <w:rStyle w:val="FootnoteReference"/>
          <w:rFonts w:ascii="Arial" w:eastAsia="Times New Roman" w:hAnsi="Arial" w:cs="Arial"/>
          <w:snapToGrid w:val="0"/>
          <w:vertAlign w:val="superscript"/>
          <w:lang w:val="fr-FR"/>
        </w:rPr>
        <w:footnoteReference w:id="11"/>
      </w:r>
      <w:r>
        <w:rPr>
          <w:rFonts w:ascii="Arial" w:eastAsia="Times New Roman" w:hAnsi="Arial" w:cs="Arial"/>
          <w:snapToGrid w:val="0"/>
          <w:lang w:val="fr-FR"/>
        </w:rPr>
        <w:t xml:space="preserve"> ainsi que leur participation aux principales organisations régionales de pêche et de protection de l’environnement.</w:t>
      </w:r>
    </w:p>
    <w:p w14:paraId="766CDB4A" w14:textId="77777777" w:rsidR="00923B2C" w:rsidRDefault="00923B2C">
      <w:pPr>
        <w:widowControl w:val="0"/>
        <w:spacing w:after="0" w:line="240" w:lineRule="auto"/>
        <w:rPr>
          <w:rFonts w:ascii="Arial" w:eastAsia="Times New Roman" w:hAnsi="Arial" w:cs="Arial"/>
          <w:snapToGrid w:val="0"/>
          <w:lang w:val="fr-FR"/>
        </w:rPr>
      </w:pPr>
    </w:p>
    <w:tbl>
      <w:tblPr>
        <w:tblStyle w:val="PlainTable21"/>
        <w:tblW w:w="0" w:type="auto"/>
        <w:tblLook w:val="04A0" w:firstRow="1" w:lastRow="0" w:firstColumn="1" w:lastColumn="0" w:noHBand="0" w:noVBand="1"/>
      </w:tblPr>
      <w:tblGrid>
        <w:gridCol w:w="2246"/>
        <w:gridCol w:w="694"/>
        <w:gridCol w:w="849"/>
        <w:gridCol w:w="726"/>
        <w:gridCol w:w="1019"/>
        <w:gridCol w:w="852"/>
        <w:gridCol w:w="1148"/>
        <w:gridCol w:w="726"/>
        <w:gridCol w:w="981"/>
      </w:tblGrid>
      <w:tr w:rsidR="00923B2C" w14:paraId="6F44B1D7" w14:textId="77777777" w:rsidTr="000067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6" w:type="dxa"/>
            <w:hideMark/>
          </w:tcPr>
          <w:p w14:paraId="4925AFFA" w14:textId="77777777" w:rsidR="00923B2C" w:rsidRDefault="009C7B40">
            <w:pPr>
              <w:spacing w:after="0" w:line="240" w:lineRule="auto"/>
              <w:jc w:val="center"/>
              <w:rPr>
                <w:rFonts w:ascii="Arial" w:eastAsia="Times New Roman" w:hAnsi="Arial" w:cs="Arial"/>
                <w:b w:val="0"/>
                <w:sz w:val="20"/>
                <w:szCs w:val="20"/>
                <w:lang w:val="fr-FR"/>
              </w:rPr>
            </w:pPr>
            <w:bookmarkStart w:id="38" w:name="_Hlk213140907"/>
            <w:r>
              <w:rPr>
                <w:rFonts w:ascii="Arial" w:eastAsia="Times New Roman" w:hAnsi="Arial" w:cs="Arial"/>
                <w:sz w:val="20"/>
                <w:szCs w:val="20"/>
                <w:lang w:val="fr-FR"/>
              </w:rPr>
              <w:t>État de l'aire de répartition</w:t>
            </w:r>
          </w:p>
        </w:tc>
        <w:tc>
          <w:tcPr>
            <w:tcW w:w="694" w:type="dxa"/>
          </w:tcPr>
          <w:p w14:paraId="45DCDAAB"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n-AU"/>
              </w:rPr>
            </w:pPr>
            <w:r>
              <w:rPr>
                <w:rFonts w:ascii="Arial" w:hAnsi="Arial" w:cs="Arial"/>
                <w:snapToGrid w:val="0"/>
                <w:sz w:val="20"/>
                <w:szCs w:val="20"/>
                <w:lang w:eastAsia="en-AU"/>
              </w:rPr>
              <w:t>CMS</w:t>
            </w:r>
          </w:p>
        </w:tc>
        <w:tc>
          <w:tcPr>
            <w:tcW w:w="849" w:type="dxa"/>
          </w:tcPr>
          <w:p w14:paraId="44BDAB96"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n-AU"/>
              </w:rPr>
            </w:pPr>
            <w:r>
              <w:rPr>
                <w:rFonts w:ascii="Arial" w:hAnsi="Arial" w:cs="Arial"/>
                <w:snapToGrid w:val="0"/>
                <w:sz w:val="20"/>
                <w:szCs w:val="20"/>
                <w:lang w:eastAsia="en-AU"/>
              </w:rPr>
              <w:t>CITES</w:t>
            </w:r>
          </w:p>
        </w:tc>
        <w:tc>
          <w:tcPr>
            <w:tcW w:w="726" w:type="dxa"/>
          </w:tcPr>
          <w:p w14:paraId="3B6C6EB0"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val="fr-FR" w:eastAsia="en-AU"/>
              </w:rPr>
            </w:pPr>
            <w:r>
              <w:rPr>
                <w:rFonts w:ascii="Arial" w:hAnsi="Arial" w:cs="Arial"/>
                <w:snapToGrid w:val="0"/>
                <w:sz w:val="20"/>
                <w:szCs w:val="20"/>
                <w:lang w:val="fr-FR" w:eastAsia="en-AU"/>
              </w:rPr>
              <w:t>CDB</w:t>
            </w:r>
          </w:p>
        </w:tc>
        <w:tc>
          <w:tcPr>
            <w:tcW w:w="1019" w:type="dxa"/>
          </w:tcPr>
          <w:p w14:paraId="49DF1D92"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fr-FR"/>
              </w:rPr>
            </w:pPr>
            <w:r>
              <w:rPr>
                <w:rFonts w:ascii="Arial" w:hAnsi="Arial" w:cs="Arial"/>
                <w:snapToGrid w:val="0"/>
                <w:sz w:val="20"/>
                <w:szCs w:val="20"/>
                <w:lang w:val="fr-FR" w:eastAsia="en-AU"/>
              </w:rPr>
              <w:t>CECPAI</w:t>
            </w:r>
          </w:p>
        </w:tc>
        <w:tc>
          <w:tcPr>
            <w:tcW w:w="852" w:type="dxa"/>
          </w:tcPr>
          <w:p w14:paraId="0F7E3665"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fr-FR"/>
              </w:rPr>
            </w:pPr>
            <w:r>
              <w:rPr>
                <w:rFonts w:ascii="Arial" w:hAnsi="Arial" w:cs="Arial"/>
                <w:snapToGrid w:val="0"/>
                <w:sz w:val="20"/>
                <w:szCs w:val="20"/>
                <w:lang w:val="fr-FR" w:eastAsia="en-AU"/>
              </w:rPr>
              <w:t>CGPM</w:t>
            </w:r>
          </w:p>
        </w:tc>
        <w:tc>
          <w:tcPr>
            <w:tcW w:w="1148" w:type="dxa"/>
          </w:tcPr>
          <w:p w14:paraId="77F977B0"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Pr>
                <w:rFonts w:ascii="Arial" w:hAnsi="Arial" w:cs="Arial"/>
                <w:snapToGrid w:val="0"/>
                <w:sz w:val="20"/>
                <w:szCs w:val="20"/>
                <w:lang w:eastAsia="en-AU"/>
              </w:rPr>
              <w:t>HELCOM</w:t>
            </w:r>
          </w:p>
        </w:tc>
        <w:tc>
          <w:tcPr>
            <w:tcW w:w="726" w:type="dxa"/>
          </w:tcPr>
          <w:p w14:paraId="38718137"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val="fr-FR"/>
              </w:rPr>
            </w:pPr>
            <w:r>
              <w:rPr>
                <w:rFonts w:ascii="Arial" w:hAnsi="Arial" w:cs="Arial"/>
                <w:snapToGrid w:val="0"/>
                <w:sz w:val="20"/>
                <w:szCs w:val="20"/>
                <w:lang w:val="fr-FR" w:eastAsia="en-AU"/>
              </w:rPr>
              <w:t>CIEM</w:t>
            </w:r>
          </w:p>
        </w:tc>
        <w:tc>
          <w:tcPr>
            <w:tcW w:w="981" w:type="dxa"/>
          </w:tcPr>
          <w:p w14:paraId="7576F292" w14:textId="77777777" w:rsidR="00923B2C" w:rsidRDefault="009C7B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Pr>
                <w:rFonts w:ascii="Arial" w:hAnsi="Arial" w:cs="Arial"/>
                <w:snapToGrid w:val="0"/>
                <w:sz w:val="20"/>
                <w:szCs w:val="20"/>
                <w:lang w:eastAsia="en-AU"/>
              </w:rPr>
              <w:t>OSPAR</w:t>
            </w:r>
          </w:p>
        </w:tc>
      </w:tr>
      <w:tr w:rsidR="00006728" w14:paraId="6C874413"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3967670A" w14:textId="77777777" w:rsidR="00006728" w:rsidRDefault="00006728" w:rsidP="00006728">
            <w:pPr>
              <w:spacing w:after="0" w:line="240" w:lineRule="auto"/>
              <w:rPr>
                <w:rFonts w:ascii="Arial" w:eastAsia="Times New Roman" w:hAnsi="Arial" w:cs="Arial"/>
                <w:sz w:val="20"/>
                <w:szCs w:val="20"/>
                <w:lang w:val="fr-FR"/>
              </w:rPr>
            </w:pPr>
            <w:bookmarkStart w:id="39" w:name="_Hlk213141084"/>
            <w:r>
              <w:rPr>
                <w:rFonts w:ascii="Arial" w:eastAsia="Times New Roman" w:hAnsi="Arial" w:cs="Arial"/>
                <w:sz w:val="20"/>
                <w:szCs w:val="20"/>
                <w:lang w:val="fr-FR"/>
              </w:rPr>
              <w:t>Albanie</w:t>
            </w:r>
          </w:p>
        </w:tc>
        <w:tc>
          <w:tcPr>
            <w:tcW w:w="694" w:type="dxa"/>
          </w:tcPr>
          <w:p w14:paraId="4EE8ADB1" w14:textId="293BEC2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F5C4EF1" w14:textId="673EA366"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234D661E" w14:textId="0F9359D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B535C52" w14:textId="329C941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7809A44E" w14:textId="41E8FC4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24F1418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566C390D"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10D59379"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66DD0244"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1C4B72CF"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Algérie</w:t>
            </w:r>
          </w:p>
        </w:tc>
        <w:tc>
          <w:tcPr>
            <w:tcW w:w="694" w:type="dxa"/>
          </w:tcPr>
          <w:p w14:paraId="158023E0" w14:textId="5AA4EE5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FED1673" w14:textId="5CC57FC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5831DF4" w14:textId="44C6320E"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221144C"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0A148ECA" w14:textId="47EF035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51B6936E"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6442B7B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6E8E5EF0"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1EC75CAE"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47ACC5E4"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Autriche</w:t>
            </w:r>
          </w:p>
        </w:tc>
        <w:tc>
          <w:tcPr>
            <w:tcW w:w="694" w:type="dxa"/>
          </w:tcPr>
          <w:p w14:paraId="4A3097D7" w14:textId="5CF148C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53DEF0B" w14:textId="424FA1F9"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4084DF6" w14:textId="659CDB0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7DA3D5D1" w14:textId="1DEC061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14EB215"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13128C8C"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49A6A42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18F58A4D"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79809425"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613B353C"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Bélarus</w:t>
            </w:r>
          </w:p>
        </w:tc>
        <w:tc>
          <w:tcPr>
            <w:tcW w:w="694" w:type="dxa"/>
          </w:tcPr>
          <w:p w14:paraId="37761737" w14:textId="346B8CB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8655958" w14:textId="0D5A9E9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3215FEE" w14:textId="5530CACF"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26A1AEE"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1B9804D7"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31FE608E"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06CB0720"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35DCFA71"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2556708B"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4C03A23"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Belgique</w:t>
            </w:r>
          </w:p>
        </w:tc>
        <w:tc>
          <w:tcPr>
            <w:tcW w:w="694" w:type="dxa"/>
          </w:tcPr>
          <w:p w14:paraId="6D8343BA" w14:textId="1BD3AAF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5FCA2FCD" w14:textId="35617611"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A98C7C7" w14:textId="21D74ED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02350440" w14:textId="5514293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46F0AE64"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1A5F1371"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4C7989C0" w14:textId="6AF9CAEB"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6DA67153" w14:textId="3E4125A9"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6165BFC4"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002853D9"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Bosnie-Herzégovine</w:t>
            </w:r>
          </w:p>
        </w:tc>
        <w:tc>
          <w:tcPr>
            <w:tcW w:w="694" w:type="dxa"/>
          </w:tcPr>
          <w:p w14:paraId="26256D06" w14:textId="352DAB9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4D433B6" w14:textId="3ECFA01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BD07547" w14:textId="62D1D18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7300C6B" w14:textId="6DBF2A7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395946BA"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30FB2FF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2F6B6A13"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46D12ADA"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3DFF44BF"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177AA27D"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Bulgarie</w:t>
            </w:r>
          </w:p>
        </w:tc>
        <w:tc>
          <w:tcPr>
            <w:tcW w:w="694" w:type="dxa"/>
          </w:tcPr>
          <w:p w14:paraId="56B8588B" w14:textId="3837A2A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7929C31B" w14:textId="506A54C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22ED141" w14:textId="134BBC4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91E7A8F" w14:textId="21EE401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150B8E2" w14:textId="13C34DB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20D19663"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2383171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771A10B1"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11E1FF2E"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04FD2357"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Croatie</w:t>
            </w:r>
          </w:p>
        </w:tc>
        <w:tc>
          <w:tcPr>
            <w:tcW w:w="694" w:type="dxa"/>
          </w:tcPr>
          <w:p w14:paraId="7E416CCF" w14:textId="7DA468A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2EF847D9" w14:textId="14DDB28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5E9130C" w14:textId="4CD68FC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98C6436" w14:textId="39692C73"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79ED55F0" w14:textId="79C6C5F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2106CEBA"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1D3576D6"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271CAB3D"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4C41B896"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26074E25"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Chypre</w:t>
            </w:r>
          </w:p>
        </w:tc>
        <w:tc>
          <w:tcPr>
            <w:tcW w:w="694" w:type="dxa"/>
          </w:tcPr>
          <w:p w14:paraId="014DB165" w14:textId="6274BD3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1C9B1BE7" w14:textId="154594E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58A26D8" w14:textId="653920C0"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000D4BF" w14:textId="3130492B"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AEE5BEB" w14:textId="0AE2E71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0549353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648BD4F9"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63764BA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6E38ECC7"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105327B0"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Tchéquie</w:t>
            </w:r>
          </w:p>
        </w:tc>
        <w:tc>
          <w:tcPr>
            <w:tcW w:w="694" w:type="dxa"/>
          </w:tcPr>
          <w:p w14:paraId="61265291" w14:textId="51515CB5"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163A7765" w14:textId="7507AE6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C0314B0" w14:textId="1D3D00A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7D3D8A36" w14:textId="683D50C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3CEC377F"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4D19E2F8"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75252A25"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2DCEB66B"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6E905C28"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18E07A31"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Danemark</w:t>
            </w:r>
          </w:p>
        </w:tc>
        <w:tc>
          <w:tcPr>
            <w:tcW w:w="694" w:type="dxa"/>
          </w:tcPr>
          <w:p w14:paraId="76BC72DA" w14:textId="1E25754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68F1938" w14:textId="342CBB91"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2AC75548" w14:textId="176F37D0"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C1F8020" w14:textId="0B1BFFB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F8324B8"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05245933" w14:textId="3D6D758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E7EAF66" w14:textId="5EF7078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3D1BCCE6" w14:textId="118DE81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3C8FF0B9"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332C6B1C"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Égypte</w:t>
            </w:r>
          </w:p>
        </w:tc>
        <w:tc>
          <w:tcPr>
            <w:tcW w:w="694" w:type="dxa"/>
          </w:tcPr>
          <w:p w14:paraId="4A15DF52" w14:textId="70D5624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42537F0" w14:textId="4A4B8F0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2DFC249" w14:textId="67E04E81"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D2D4B07"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0DA42396" w14:textId="192E8A3E"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6CF5F560"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32D3537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703501B8"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1CEEBBD2"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7912ACDD"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Estonie</w:t>
            </w:r>
          </w:p>
        </w:tc>
        <w:tc>
          <w:tcPr>
            <w:tcW w:w="694" w:type="dxa"/>
          </w:tcPr>
          <w:p w14:paraId="5C7E9B4F" w14:textId="5126E3C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0191DD0" w14:textId="01631396"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E996E8E" w14:textId="18BA5CC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F332E0E" w14:textId="0949655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297AA8D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61AC7DE6" w14:textId="04287079"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166BE11" w14:textId="38DFF3AB"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4D966007"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21CF68E9" w14:textId="77777777" w:rsidTr="00006728">
        <w:tc>
          <w:tcPr>
            <w:cnfStyle w:val="001000000000" w:firstRow="0" w:lastRow="0" w:firstColumn="1" w:lastColumn="0" w:oddVBand="0" w:evenVBand="0" w:oddHBand="0" w:evenHBand="0" w:firstRowFirstColumn="0" w:firstRowLastColumn="0" w:lastRowFirstColumn="0" w:lastRowLastColumn="0"/>
            <w:tcW w:w="2246" w:type="dxa"/>
          </w:tcPr>
          <w:p w14:paraId="0DA82183"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Union européenne</w:t>
            </w:r>
          </w:p>
        </w:tc>
        <w:tc>
          <w:tcPr>
            <w:tcW w:w="694" w:type="dxa"/>
          </w:tcPr>
          <w:p w14:paraId="061A573D" w14:textId="770889F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B917EED" w14:textId="36911D3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7BF13AD" w14:textId="4A68E0A4"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862BBEC" w14:textId="7FC391B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ED03209" w14:textId="6E80399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741C7349" w14:textId="4332C7C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27FA691"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7625C3A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52E11782"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2CF886A4"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Finlande</w:t>
            </w:r>
          </w:p>
        </w:tc>
        <w:tc>
          <w:tcPr>
            <w:tcW w:w="694" w:type="dxa"/>
          </w:tcPr>
          <w:p w14:paraId="55520CCE" w14:textId="20442C4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7C222C3" w14:textId="4F34C77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DBC6A34" w14:textId="2B43FD3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0434527" w14:textId="1DA1B97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6FC0B12C"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4E59D42D" w14:textId="253C7F4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72DB177" w14:textId="37B4F9F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5EFE0A61" w14:textId="1592A68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5F8D7D84"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204FC220" w14:textId="77777777" w:rsidR="00006728" w:rsidRDefault="00006728" w:rsidP="00006728">
            <w:pPr>
              <w:spacing w:after="0" w:line="240" w:lineRule="auto"/>
              <w:rPr>
                <w:rFonts w:ascii="Arial" w:eastAsia="Times New Roman" w:hAnsi="Arial" w:cs="Arial"/>
                <w:sz w:val="20"/>
                <w:szCs w:val="20"/>
              </w:rPr>
            </w:pPr>
            <w:r>
              <w:rPr>
                <w:rFonts w:ascii="Arial" w:eastAsia="Times New Roman" w:hAnsi="Arial" w:cs="Arial"/>
                <w:sz w:val="20"/>
                <w:szCs w:val="20"/>
              </w:rPr>
              <w:t>France</w:t>
            </w:r>
          </w:p>
        </w:tc>
        <w:tc>
          <w:tcPr>
            <w:tcW w:w="694" w:type="dxa"/>
          </w:tcPr>
          <w:p w14:paraId="2ED70EAE" w14:textId="0B2BB83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B5B06E0" w14:textId="01F66B3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E2374CD" w14:textId="7CB69A0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7144A381" w14:textId="38A681B1"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71416D31" w14:textId="77957FE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7606EF3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03138838" w14:textId="69443D1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1F5D763B" w14:textId="758EBC6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3E4F500B"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21517C1"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Géorgie</w:t>
            </w:r>
          </w:p>
        </w:tc>
        <w:tc>
          <w:tcPr>
            <w:tcW w:w="694" w:type="dxa"/>
          </w:tcPr>
          <w:p w14:paraId="0E3D290C" w14:textId="3C58806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5B5C7458" w14:textId="40715CB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4E83CA6" w14:textId="09EAEEB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C6B5643"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1CD93DC1"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5522E0C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361690C2"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1ABC211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19896FE4"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03BE8F2A"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Allemagne</w:t>
            </w:r>
          </w:p>
        </w:tc>
        <w:tc>
          <w:tcPr>
            <w:tcW w:w="694" w:type="dxa"/>
          </w:tcPr>
          <w:p w14:paraId="4086F794" w14:textId="4021294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14D4C0E2" w14:textId="52DE965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0F868F5" w14:textId="3CBEDC3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14DF4417" w14:textId="65A57935"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443EBF7"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4CC032C1" w14:textId="4ACFD58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467EFA8" w14:textId="716A580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2261B5D5" w14:textId="3D887971"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5479B7C1"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48964A8E"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Grèce</w:t>
            </w:r>
          </w:p>
        </w:tc>
        <w:tc>
          <w:tcPr>
            <w:tcW w:w="694" w:type="dxa"/>
          </w:tcPr>
          <w:p w14:paraId="48B7036D" w14:textId="36BCE191"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00B3E45" w14:textId="600A150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A60B675" w14:textId="29637A6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B4474BB" w14:textId="040568A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7C3EF5AF" w14:textId="698D6A0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16642CE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1C1BEE0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7687D816"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1CDCD49E"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5C8B5961"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Hongrie</w:t>
            </w:r>
          </w:p>
        </w:tc>
        <w:tc>
          <w:tcPr>
            <w:tcW w:w="694" w:type="dxa"/>
          </w:tcPr>
          <w:p w14:paraId="68F0B826" w14:textId="7311065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75D588CE" w14:textId="511A0B8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1BEE4278" w14:textId="7BF6142F"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1E78C459" w14:textId="571532E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A113A2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21F02636"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14F6A2C3"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54CECEB5"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09BEA069"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ED56339"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Islande</w:t>
            </w:r>
          </w:p>
        </w:tc>
        <w:tc>
          <w:tcPr>
            <w:tcW w:w="694" w:type="dxa"/>
          </w:tcPr>
          <w:p w14:paraId="3B4C79E5" w14:textId="424599A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7FED0727" w14:textId="2E686C9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3384F84" w14:textId="5561648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24F479A" w14:textId="7CEF2E8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67AD82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01C43282"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5ED257E0" w14:textId="73FF539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4682247D" w14:textId="4188FA7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115E1F59"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711C9D2E"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Irlande</w:t>
            </w:r>
          </w:p>
        </w:tc>
        <w:tc>
          <w:tcPr>
            <w:tcW w:w="694" w:type="dxa"/>
          </w:tcPr>
          <w:p w14:paraId="71C6E106" w14:textId="423323C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75B391FF" w14:textId="07D26933"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4F4D65B" w14:textId="4A23368F"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FD01822" w14:textId="0D52D50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2D3A973C"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3BC8AC31"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1C82B403" w14:textId="1FB7965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5D409341" w14:textId="38257443"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6DB955D0"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62E56109"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Israël</w:t>
            </w:r>
          </w:p>
        </w:tc>
        <w:tc>
          <w:tcPr>
            <w:tcW w:w="694" w:type="dxa"/>
          </w:tcPr>
          <w:p w14:paraId="14C88FF5" w14:textId="1C9CA8A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D475CE1" w14:textId="2B92E23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5C30A63" w14:textId="39ABD92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0672727A" w14:textId="74A3295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6F9E651E" w14:textId="54F773A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2A9A35F2"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79145D1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1D44A6A2"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42227F38"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7A1DF8E8"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Italie</w:t>
            </w:r>
          </w:p>
        </w:tc>
        <w:tc>
          <w:tcPr>
            <w:tcW w:w="694" w:type="dxa"/>
          </w:tcPr>
          <w:p w14:paraId="6AE2CF4B" w14:textId="6F5DED4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1A37698F" w14:textId="662D9E1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AD9496C" w14:textId="0112C02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CE29018" w14:textId="3E177B6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7ABEDD14" w14:textId="0194779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07344BD8"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7C4E4F71"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634AA82C"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672393D2"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40775C03"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Lettonie</w:t>
            </w:r>
          </w:p>
        </w:tc>
        <w:tc>
          <w:tcPr>
            <w:tcW w:w="694" w:type="dxa"/>
          </w:tcPr>
          <w:p w14:paraId="3E11C2AC" w14:textId="76108546"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A660352" w14:textId="0F64EE9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69A3B87" w14:textId="73981E86"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5EA829C" w14:textId="4F1460A1"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30A168F9"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3B44EB2E" w14:textId="34FF8BA6"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DFF0B91" w14:textId="09B7D3D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1C6B9AE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74A412E2"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5AEAC6B0"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Liban</w:t>
            </w:r>
          </w:p>
        </w:tc>
        <w:tc>
          <w:tcPr>
            <w:tcW w:w="694" w:type="dxa"/>
          </w:tcPr>
          <w:p w14:paraId="7BD54140" w14:textId="18957C6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F3522FF" w14:textId="52C7B18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48C5618" w14:textId="79494BB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6CFBF2B"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2AE5B68E" w14:textId="3D76FEA4"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4999289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13B651B8"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5469A9CD"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6B6BF475"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5755A24"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Libye</w:t>
            </w:r>
          </w:p>
        </w:tc>
        <w:tc>
          <w:tcPr>
            <w:tcW w:w="694" w:type="dxa"/>
          </w:tcPr>
          <w:p w14:paraId="1210029A" w14:textId="250A73B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B409A87" w14:textId="7DD1DA6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874D295" w14:textId="6CD39A3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4BF780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006D16A4" w14:textId="1188E4A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740A407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4858A3A6"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0B8AEB27"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3051E263"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278E1CAC"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Lituanie</w:t>
            </w:r>
          </w:p>
        </w:tc>
        <w:tc>
          <w:tcPr>
            <w:tcW w:w="694" w:type="dxa"/>
          </w:tcPr>
          <w:p w14:paraId="11EEC92E" w14:textId="33D057A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10A8A342" w14:textId="52A05A5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08BE1A3" w14:textId="3EF5A4D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015BE8B6" w14:textId="330A148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3DFB2DF6"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681F17C6" w14:textId="2E5F9DC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BDFF155" w14:textId="7B957D9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2939FAA9"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7EF7D2D2"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066C442" w14:textId="77777777" w:rsidR="00006728" w:rsidRDefault="00006728" w:rsidP="00006728">
            <w:pPr>
              <w:spacing w:after="0" w:line="240" w:lineRule="auto"/>
              <w:rPr>
                <w:rFonts w:ascii="Arial" w:eastAsia="Times New Roman" w:hAnsi="Arial" w:cs="Arial"/>
                <w:sz w:val="20"/>
                <w:szCs w:val="20"/>
              </w:rPr>
            </w:pPr>
            <w:r>
              <w:rPr>
                <w:rFonts w:ascii="Arial" w:eastAsia="Times New Roman" w:hAnsi="Arial" w:cs="Arial"/>
                <w:sz w:val="20"/>
                <w:szCs w:val="20"/>
              </w:rPr>
              <w:t>Luxembourg</w:t>
            </w:r>
          </w:p>
        </w:tc>
        <w:tc>
          <w:tcPr>
            <w:tcW w:w="694" w:type="dxa"/>
          </w:tcPr>
          <w:p w14:paraId="1183FF15" w14:textId="06EE60E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FDD79B6" w14:textId="7380223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E92ED9F" w14:textId="4296EA96"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5B2B093" w14:textId="0086D6F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32CB9A3"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75DA91E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5D1D50F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48B91217" w14:textId="71F2A51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423775D5"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045FB3A9"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Malte</w:t>
            </w:r>
          </w:p>
        </w:tc>
        <w:tc>
          <w:tcPr>
            <w:tcW w:w="694" w:type="dxa"/>
          </w:tcPr>
          <w:p w14:paraId="667C0720" w14:textId="430FBF5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F2A4153" w14:textId="30D1A474"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318D9CE" w14:textId="64FD2BA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7B6886B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7404A38B" w14:textId="3B5E11E1"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71030AF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1CC7E51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3BABA075"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6FE238FA"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64B0313C"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Mauritanie</w:t>
            </w:r>
          </w:p>
        </w:tc>
        <w:tc>
          <w:tcPr>
            <w:tcW w:w="694" w:type="dxa"/>
          </w:tcPr>
          <w:p w14:paraId="565DC83A" w14:textId="23FEB9C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6D73574" w14:textId="4644C6B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92AA1EB" w14:textId="43F2595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3929B1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4A54E90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367D3878"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7CEC1587"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0802D641"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40F720AD"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54B0C5F5"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Moldavie</w:t>
            </w:r>
          </w:p>
        </w:tc>
        <w:tc>
          <w:tcPr>
            <w:tcW w:w="694" w:type="dxa"/>
          </w:tcPr>
          <w:p w14:paraId="1CA71AA7" w14:textId="794AE70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51B6398E" w14:textId="6671AB9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6CAE1F6" w14:textId="5164F508"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04B915B"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2E14149F"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5367D2F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5114C783"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2536C38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2B73A7E1"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63AD6D81" w14:textId="77777777" w:rsidR="00006728" w:rsidRDefault="00006728" w:rsidP="00006728">
            <w:pPr>
              <w:spacing w:after="0" w:line="240" w:lineRule="auto"/>
              <w:rPr>
                <w:rFonts w:ascii="Arial" w:eastAsia="Times New Roman" w:hAnsi="Arial" w:cs="Arial"/>
                <w:sz w:val="20"/>
                <w:szCs w:val="20"/>
              </w:rPr>
            </w:pPr>
            <w:r>
              <w:rPr>
                <w:rFonts w:ascii="Arial" w:eastAsia="Times New Roman" w:hAnsi="Arial" w:cs="Arial"/>
                <w:sz w:val="20"/>
                <w:szCs w:val="20"/>
              </w:rPr>
              <w:t>Monaco</w:t>
            </w:r>
          </w:p>
        </w:tc>
        <w:tc>
          <w:tcPr>
            <w:tcW w:w="694" w:type="dxa"/>
          </w:tcPr>
          <w:p w14:paraId="0F4ED3D8" w14:textId="42C677D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5E21C11C" w14:textId="4FDCE4E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FFA3F7D" w14:textId="06CACCA4"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E6282F7"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34470E6E" w14:textId="425E7D3B"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25015D7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406C61D9"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18F288B8"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2F8D7D28"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0EFC1C96"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Monténégro</w:t>
            </w:r>
          </w:p>
        </w:tc>
        <w:tc>
          <w:tcPr>
            <w:tcW w:w="694" w:type="dxa"/>
          </w:tcPr>
          <w:p w14:paraId="78E162A8" w14:textId="4D0811F8"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7992C1C3" w14:textId="0A1A16B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E204410" w14:textId="6ABB43D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06DFD4C9"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53F2D49F" w14:textId="577AF72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25D3BB0B"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46BB625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1DB7CF0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2BCC6D09"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620743EB"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Maroc</w:t>
            </w:r>
          </w:p>
        </w:tc>
        <w:tc>
          <w:tcPr>
            <w:tcW w:w="694" w:type="dxa"/>
          </w:tcPr>
          <w:p w14:paraId="4BC566C9" w14:textId="76562C7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F0513BE" w14:textId="736FDBB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0D3615A" w14:textId="31E2920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84A80F4"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1D41E084" w14:textId="6CF8249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034EF38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06E272F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38623D0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1C7F61E8"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5C7FB69A"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Pays-Bas</w:t>
            </w:r>
          </w:p>
        </w:tc>
        <w:tc>
          <w:tcPr>
            <w:tcW w:w="694" w:type="dxa"/>
          </w:tcPr>
          <w:p w14:paraId="2A8D24F6" w14:textId="09E2BC3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3CFC43E" w14:textId="740D5FD4"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4A82DF4" w14:textId="7A98E7C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2F7C2A8" w14:textId="5C23335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05F378C8"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686D4AA6"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43D5B2C6" w14:textId="3BB859D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7838220E" w14:textId="1D83E294"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7E9BF53C"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DDBCDA2"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Macédoine du Nord</w:t>
            </w:r>
          </w:p>
        </w:tc>
        <w:tc>
          <w:tcPr>
            <w:tcW w:w="694" w:type="dxa"/>
          </w:tcPr>
          <w:p w14:paraId="546C9D36" w14:textId="4DFB5AC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5D806E4" w14:textId="37635D90"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2B8D56B6" w14:textId="4E70468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8443D96"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1CFB898C"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78D88278"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251221CB"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43A72750"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5A0D7B57"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401C0272"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Norvège</w:t>
            </w:r>
          </w:p>
        </w:tc>
        <w:tc>
          <w:tcPr>
            <w:tcW w:w="694" w:type="dxa"/>
          </w:tcPr>
          <w:p w14:paraId="0D96AECD" w14:textId="09B9949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8BCAAB6" w14:textId="5601928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28EE09D2" w14:textId="7FD1378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EFB80E0" w14:textId="2130B58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218BE51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0EDFB943"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37D2EB06" w14:textId="7C75163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318F1B0C" w14:textId="3B3A5B5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2C224842"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5241AC98"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lastRenderedPageBreak/>
              <w:t>Pologne</w:t>
            </w:r>
          </w:p>
        </w:tc>
        <w:tc>
          <w:tcPr>
            <w:tcW w:w="694" w:type="dxa"/>
          </w:tcPr>
          <w:p w14:paraId="3C8723F4" w14:textId="291A406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277B0E3A" w14:textId="339EAA0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6DD7E98" w14:textId="26B15004"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A4E578C" w14:textId="6441095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A8176E4"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33BAEB49" w14:textId="50988C8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24E11CEC" w14:textId="1C51F91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6B1F558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3A85936E"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3A3AE8D0" w14:textId="77777777" w:rsidR="00006728" w:rsidRDefault="00006728" w:rsidP="00006728">
            <w:pPr>
              <w:spacing w:after="0" w:line="240" w:lineRule="auto"/>
              <w:rPr>
                <w:rFonts w:ascii="Arial" w:eastAsia="Times New Roman" w:hAnsi="Arial" w:cs="Arial"/>
                <w:sz w:val="20"/>
                <w:szCs w:val="20"/>
              </w:rPr>
            </w:pPr>
            <w:r>
              <w:rPr>
                <w:rFonts w:ascii="Arial" w:eastAsia="Times New Roman" w:hAnsi="Arial" w:cs="Arial"/>
                <w:sz w:val="20"/>
                <w:szCs w:val="20"/>
              </w:rPr>
              <w:t>Portugal</w:t>
            </w:r>
          </w:p>
        </w:tc>
        <w:tc>
          <w:tcPr>
            <w:tcW w:w="694" w:type="dxa"/>
          </w:tcPr>
          <w:p w14:paraId="01024F6E" w14:textId="4B5B02A1"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50ADD699" w14:textId="4C061E0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80E88CB" w14:textId="20AB2543"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0A2B78E" w14:textId="6FE885AE"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D6873F7"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4B35991B"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623F7A7F" w14:textId="04B1ACF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384B443C" w14:textId="2D6E71F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7B997254"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3175B070"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Roumanie</w:t>
            </w:r>
          </w:p>
        </w:tc>
        <w:tc>
          <w:tcPr>
            <w:tcW w:w="694" w:type="dxa"/>
          </w:tcPr>
          <w:p w14:paraId="0AFE8B7D" w14:textId="76CA611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239E2DF" w14:textId="564715A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1C16225" w14:textId="5E470E60"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2DF1D2D" w14:textId="6F03540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46F2B3A" w14:textId="557ADE3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47DA2EC8"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184178E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22C85CB6"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2C56593A"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48C3F3E8"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Fédération de Russie</w:t>
            </w:r>
          </w:p>
        </w:tc>
        <w:tc>
          <w:tcPr>
            <w:tcW w:w="694" w:type="dxa"/>
          </w:tcPr>
          <w:p w14:paraId="2070DAA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49" w:type="dxa"/>
          </w:tcPr>
          <w:p w14:paraId="24803A0B" w14:textId="6E7A200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63F6C85" w14:textId="4CF0A8B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A3310D2"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04190E5A"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50483FCD" w14:textId="7FD2E41D"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EC482A5" w14:textId="2BAEE02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53D4F8B7"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49E8BAA9"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07A9CA42"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Serbie</w:t>
            </w:r>
          </w:p>
        </w:tc>
        <w:tc>
          <w:tcPr>
            <w:tcW w:w="694" w:type="dxa"/>
          </w:tcPr>
          <w:p w14:paraId="17C104B2" w14:textId="540AD565"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2DDD569" w14:textId="034AB28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351188C" w14:textId="4BB57E4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0927B949"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53FBD3E6"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7EFD0919"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4C530F86"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298762D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39CECFF1"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004DC156"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Slovaquie</w:t>
            </w:r>
          </w:p>
        </w:tc>
        <w:tc>
          <w:tcPr>
            <w:tcW w:w="694" w:type="dxa"/>
          </w:tcPr>
          <w:p w14:paraId="41FEAED9" w14:textId="4C493B4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28693EC" w14:textId="74BDFC1E"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FE5ABD6" w14:textId="795D178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08FE0830" w14:textId="1E765108"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48CCBF1"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7878A05C"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46ACD206"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6F01F988"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6DF3761D"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4E0C1C01"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Slovénie</w:t>
            </w:r>
          </w:p>
        </w:tc>
        <w:tc>
          <w:tcPr>
            <w:tcW w:w="694" w:type="dxa"/>
          </w:tcPr>
          <w:p w14:paraId="419B28D5" w14:textId="330747E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787A3E61" w14:textId="57495D1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04B808A0" w14:textId="2096E774"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232F9F7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7506758B" w14:textId="461C493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13D84E5C"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6C42D272"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5A905400"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2DE64E9B"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300728E1"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Espagne</w:t>
            </w:r>
          </w:p>
        </w:tc>
        <w:tc>
          <w:tcPr>
            <w:tcW w:w="694" w:type="dxa"/>
          </w:tcPr>
          <w:p w14:paraId="1DB7FA69" w14:textId="7765A0F3"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60E4A3D" w14:textId="7868BA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D42D38F" w14:textId="273C248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7BB0723" w14:textId="66BF41F3"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0D0DC307" w14:textId="2B41618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63FF99F0"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5FC18771" w14:textId="1019340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1E75F28A" w14:textId="2205B414"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1D92F6FE"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77626C2B"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Suède</w:t>
            </w:r>
          </w:p>
        </w:tc>
        <w:tc>
          <w:tcPr>
            <w:tcW w:w="694" w:type="dxa"/>
          </w:tcPr>
          <w:p w14:paraId="15DCA1FD" w14:textId="00D1B8B8"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C3F1DD5" w14:textId="3566588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2C6853B0" w14:textId="1406BD4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95F6293" w14:textId="4BAF29A4"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1B5580DD"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3A3D617F" w14:textId="5D50464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5FD21C5A" w14:textId="35D5BF23"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1A969305" w14:textId="3500BDE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426E2DF3"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2A1A2F63"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Suisse</w:t>
            </w:r>
          </w:p>
        </w:tc>
        <w:tc>
          <w:tcPr>
            <w:tcW w:w="694" w:type="dxa"/>
          </w:tcPr>
          <w:p w14:paraId="4998BCE2" w14:textId="40F3A598"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039314BB" w14:textId="3DAD87F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C8EE941" w14:textId="3D7B2BE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5197399B" w14:textId="50CADF0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3189C4BA"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0D4CF01C"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5BA42229"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42BF5D61" w14:textId="2F92C242"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tr w:rsidR="00006728" w14:paraId="7B8E0C31"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17E5A9B5"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République arabe syrienne</w:t>
            </w:r>
          </w:p>
        </w:tc>
        <w:tc>
          <w:tcPr>
            <w:tcW w:w="694" w:type="dxa"/>
          </w:tcPr>
          <w:p w14:paraId="60AC43D8" w14:textId="40A9C45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4BB38D0F" w14:textId="41001F7A"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2375F40" w14:textId="522DCCD0"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614DFC2E"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52" w:type="dxa"/>
          </w:tcPr>
          <w:p w14:paraId="07D05A10" w14:textId="0BFC030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5F1BDA1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4A8BCDF3"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7068B253"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0F27239F"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13769F53"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Tunisie</w:t>
            </w:r>
          </w:p>
        </w:tc>
        <w:tc>
          <w:tcPr>
            <w:tcW w:w="694" w:type="dxa"/>
          </w:tcPr>
          <w:p w14:paraId="48CAFFCE" w14:textId="114A72E9"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2EC454B5" w14:textId="252196EB"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3CF2798C" w14:textId="775108C6"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3D2DC8E0"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20800B20" w14:textId="484B71FA"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6B37849E"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4BE791DE"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0DD3BDDB"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56037D56"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6B8E52EA" w14:textId="77777777" w:rsidR="00006728" w:rsidRDefault="00006728" w:rsidP="00006728">
            <w:pPr>
              <w:spacing w:after="0" w:line="240" w:lineRule="auto"/>
              <w:rPr>
                <w:rFonts w:ascii="Arial" w:eastAsia="Times New Roman" w:hAnsi="Arial" w:cs="Arial"/>
                <w:sz w:val="20"/>
                <w:szCs w:val="20"/>
                <w:lang w:val="fr-FR"/>
              </w:rPr>
            </w:pPr>
            <w:r>
              <w:rPr>
                <w:rFonts w:ascii="Arial" w:eastAsia="Times New Roman" w:hAnsi="Arial" w:cs="Arial"/>
                <w:sz w:val="20"/>
                <w:szCs w:val="20"/>
                <w:lang w:val="fr-FR"/>
              </w:rPr>
              <w:t>Turquie</w:t>
            </w:r>
          </w:p>
        </w:tc>
        <w:tc>
          <w:tcPr>
            <w:tcW w:w="694" w:type="dxa"/>
          </w:tcPr>
          <w:p w14:paraId="4E0FD823"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849" w:type="dxa"/>
          </w:tcPr>
          <w:p w14:paraId="50E39DBE" w14:textId="3B3A93F1"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4727527F" w14:textId="2EBD60DC"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A94AF1F" w14:textId="6AE9918F"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450F220F" w14:textId="239D75D0"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148" w:type="dxa"/>
          </w:tcPr>
          <w:p w14:paraId="709A8591"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73030FFF"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981" w:type="dxa"/>
          </w:tcPr>
          <w:p w14:paraId="5789A172"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r>
      <w:tr w:rsidR="00006728" w14:paraId="0E922233" w14:textId="77777777" w:rsidTr="00006728">
        <w:tc>
          <w:tcPr>
            <w:cnfStyle w:val="001000000000" w:firstRow="0" w:lastRow="0" w:firstColumn="1" w:lastColumn="0" w:oddVBand="0" w:evenVBand="0" w:oddHBand="0" w:evenHBand="0" w:firstRowFirstColumn="0" w:firstRowLastColumn="0" w:lastRowFirstColumn="0" w:lastRowLastColumn="0"/>
            <w:tcW w:w="2246" w:type="dxa"/>
            <w:hideMark/>
          </w:tcPr>
          <w:p w14:paraId="5EEC2DCC" w14:textId="77777777" w:rsidR="00006728" w:rsidRDefault="00006728" w:rsidP="00006728">
            <w:pPr>
              <w:spacing w:after="0" w:line="240" w:lineRule="auto"/>
              <w:rPr>
                <w:rFonts w:ascii="Arial" w:eastAsia="Times New Roman" w:hAnsi="Arial" w:cs="Arial"/>
                <w:sz w:val="20"/>
                <w:szCs w:val="20"/>
              </w:rPr>
            </w:pPr>
            <w:r>
              <w:rPr>
                <w:rFonts w:ascii="Arial" w:eastAsia="Times New Roman" w:hAnsi="Arial" w:cs="Arial"/>
                <w:sz w:val="20"/>
                <w:szCs w:val="20"/>
              </w:rPr>
              <w:t>Ukraine</w:t>
            </w:r>
          </w:p>
        </w:tc>
        <w:tc>
          <w:tcPr>
            <w:tcW w:w="694" w:type="dxa"/>
          </w:tcPr>
          <w:p w14:paraId="25A5D7FB" w14:textId="01812A20"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665B8F19" w14:textId="6678D93C"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618DA6E5" w14:textId="44C23321"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12487FDA"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852" w:type="dxa"/>
          </w:tcPr>
          <w:p w14:paraId="025D8DD0"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1148" w:type="dxa"/>
          </w:tcPr>
          <w:p w14:paraId="5A162034"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726" w:type="dxa"/>
          </w:tcPr>
          <w:p w14:paraId="1DDE5B36"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c>
          <w:tcPr>
            <w:tcW w:w="981" w:type="dxa"/>
          </w:tcPr>
          <w:p w14:paraId="765DFBCF" w14:textId="77777777" w:rsidR="00006728" w:rsidRDefault="00006728" w:rsidP="000067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fr-FR"/>
              </w:rPr>
            </w:pPr>
          </w:p>
        </w:tc>
      </w:tr>
      <w:tr w:rsidR="00006728" w14:paraId="2D63E8F6" w14:textId="77777777" w:rsidTr="0000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hideMark/>
          </w:tcPr>
          <w:p w14:paraId="1736A485" w14:textId="77777777" w:rsidR="00006728" w:rsidRDefault="00006728" w:rsidP="00006728">
            <w:pPr>
              <w:spacing w:after="0" w:line="240" w:lineRule="auto"/>
              <w:rPr>
                <w:rFonts w:ascii="Arial" w:eastAsia="Times New Roman" w:hAnsi="Arial" w:cs="Arial"/>
                <w:sz w:val="20"/>
                <w:szCs w:val="20"/>
                <w:lang w:val="fr-FR"/>
              </w:rPr>
            </w:pPr>
            <w:r>
              <w:rPr>
                <w:rFonts w:ascii="Arial" w:hAnsi="Arial" w:cs="Arial"/>
                <w:sz w:val="20"/>
                <w:szCs w:val="20"/>
                <w:lang w:val="fr-FR"/>
              </w:rPr>
              <w:t xml:space="preserve">Royaume-Uni </w:t>
            </w:r>
          </w:p>
        </w:tc>
        <w:tc>
          <w:tcPr>
            <w:tcW w:w="694" w:type="dxa"/>
          </w:tcPr>
          <w:p w14:paraId="26523951" w14:textId="7B45BEF2"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49" w:type="dxa"/>
          </w:tcPr>
          <w:p w14:paraId="3B6D9857" w14:textId="55CF2A5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726" w:type="dxa"/>
          </w:tcPr>
          <w:p w14:paraId="767A191E" w14:textId="1CD1950E"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1019" w:type="dxa"/>
          </w:tcPr>
          <w:p w14:paraId="45229A18" w14:textId="2CC32C29"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852" w:type="dxa"/>
          </w:tcPr>
          <w:p w14:paraId="5B7E70D8"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1148" w:type="dxa"/>
          </w:tcPr>
          <w:p w14:paraId="1CBBFE6A" w14:textId="77777777"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p>
        </w:tc>
        <w:tc>
          <w:tcPr>
            <w:tcW w:w="726" w:type="dxa"/>
          </w:tcPr>
          <w:p w14:paraId="731BEA38" w14:textId="522C7F19"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c>
          <w:tcPr>
            <w:tcW w:w="981" w:type="dxa"/>
          </w:tcPr>
          <w:p w14:paraId="10F54BA6" w14:textId="09AD598D" w:rsidR="00006728" w:rsidRDefault="00006728" w:rsidP="000067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fr-FR"/>
              </w:rPr>
            </w:pPr>
            <w:r>
              <w:rPr>
                <w:rFonts w:ascii="Arial" w:eastAsia="Times New Roman" w:hAnsi="Arial" w:cs="Arial"/>
                <w:lang w:val="fr-FR"/>
              </w:rPr>
              <w:t>Oui</w:t>
            </w:r>
          </w:p>
        </w:tc>
      </w:tr>
      <w:bookmarkEnd w:id="38"/>
      <w:bookmarkEnd w:id="39"/>
    </w:tbl>
    <w:p w14:paraId="6CECEE0C" w14:textId="77777777" w:rsidR="00923B2C" w:rsidRDefault="00923B2C">
      <w:pPr>
        <w:widowControl w:val="0"/>
        <w:spacing w:after="0" w:line="240" w:lineRule="auto"/>
        <w:ind w:right="283"/>
        <w:rPr>
          <w:rFonts w:ascii="Arial" w:eastAsia="Times New Roman" w:hAnsi="Arial" w:cs="Arial"/>
          <w:b/>
          <w:snapToGrid w:val="0"/>
          <w:sz w:val="24"/>
          <w:szCs w:val="24"/>
          <w:lang w:val="fr-FR"/>
        </w:rPr>
      </w:pPr>
    </w:p>
    <w:p w14:paraId="5875238A" w14:textId="77777777" w:rsidR="00923B2C" w:rsidRDefault="00923B2C">
      <w:pPr>
        <w:widowControl w:val="0"/>
        <w:spacing w:after="0" w:line="240" w:lineRule="auto"/>
        <w:ind w:right="283"/>
        <w:rPr>
          <w:rFonts w:ascii="Arial" w:eastAsia="Times New Roman" w:hAnsi="Arial" w:cs="Arial"/>
          <w:b/>
          <w:snapToGrid w:val="0"/>
          <w:sz w:val="24"/>
          <w:szCs w:val="24"/>
          <w:lang w:val="fr-FR"/>
        </w:rPr>
      </w:pPr>
    </w:p>
    <w:p w14:paraId="20E1559A" w14:textId="77777777" w:rsidR="00923B2C" w:rsidRDefault="00923B2C">
      <w:pPr>
        <w:widowControl w:val="0"/>
        <w:autoSpaceDE w:val="0"/>
        <w:autoSpaceDN w:val="0"/>
        <w:adjustRightInd w:val="0"/>
        <w:spacing w:after="0" w:line="240" w:lineRule="auto"/>
        <w:rPr>
          <w:rFonts w:ascii="Arial" w:hAnsi="Arial" w:cs="Arial"/>
          <w:color w:val="000000"/>
          <w:lang w:val="fr-FR" w:eastAsia="en-AU"/>
        </w:rPr>
      </w:pPr>
    </w:p>
    <w:sectPr w:rsidR="00923B2C" w:rsidSect="00923B2C">
      <w:headerReference w:type="first" r:id="rId47"/>
      <w:endnotePr>
        <w:numFmt w:val="decimal"/>
      </w:endnotePr>
      <w:pgSz w:w="11905" w:h="16837" w:code="9"/>
      <w:pgMar w:top="1440" w:right="1440" w:bottom="1440" w:left="1440" w:header="51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83EBE" w14:textId="77777777" w:rsidR="00442218" w:rsidRDefault="00442218">
      <w:pPr>
        <w:spacing w:after="0" w:line="240" w:lineRule="auto"/>
        <w:rPr>
          <w:lang w:val="fr-FR"/>
        </w:rPr>
      </w:pPr>
      <w:r>
        <w:rPr>
          <w:lang w:val="fr-FR"/>
        </w:rPr>
        <w:separator/>
      </w:r>
    </w:p>
  </w:endnote>
  <w:endnote w:type="continuationSeparator" w:id="0">
    <w:p w14:paraId="4478D436" w14:textId="77777777" w:rsidR="00442218" w:rsidRDefault="00442218">
      <w:pPr>
        <w:spacing w:after="0" w:line="240" w:lineRule="auto"/>
        <w:rPr>
          <w:lang w:val="fr-FR"/>
        </w:rPr>
      </w:pPr>
      <w:r>
        <w:rPr>
          <w:lang w:val="fr-FR"/>
        </w:rPr>
        <w:continuationSeparator/>
      </w:r>
    </w:p>
  </w:endnote>
  <w:endnote w:type="continuationNotice" w:id="1">
    <w:p w14:paraId="2FA069A9" w14:textId="77777777" w:rsidR="00442218" w:rsidRDefault="00442218">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98958244"/>
      <w:docPartObj>
        <w:docPartGallery w:val="Page Numbers (Bottom of Page)"/>
        <w:docPartUnique/>
      </w:docPartObj>
    </w:sdtPr>
    <w:sdtEndPr>
      <w:rPr>
        <w:noProof/>
      </w:rPr>
    </w:sdtEndPr>
    <w:sdtContent>
      <w:p w14:paraId="4651A3A2" w14:textId="743D88B8" w:rsidR="00426031" w:rsidRPr="00426031" w:rsidRDefault="00426031" w:rsidP="00426031">
        <w:pPr>
          <w:pStyle w:val="Footer"/>
          <w:jc w:val="center"/>
          <w:rPr>
            <w:rFonts w:ascii="Arial" w:hAnsi="Arial" w:cs="Arial"/>
            <w:sz w:val="18"/>
            <w:szCs w:val="18"/>
          </w:rPr>
        </w:pPr>
        <w:r w:rsidRPr="00426031">
          <w:rPr>
            <w:rFonts w:ascii="Arial" w:hAnsi="Arial" w:cs="Arial"/>
            <w:sz w:val="18"/>
            <w:szCs w:val="18"/>
          </w:rPr>
          <w:fldChar w:fldCharType="begin"/>
        </w:r>
        <w:r w:rsidRPr="00426031">
          <w:rPr>
            <w:rFonts w:ascii="Arial" w:hAnsi="Arial" w:cs="Arial"/>
            <w:sz w:val="18"/>
            <w:szCs w:val="18"/>
          </w:rPr>
          <w:instrText xml:space="preserve"> PAGE   \* MERGEFORMAT </w:instrText>
        </w:r>
        <w:r w:rsidRPr="00426031">
          <w:rPr>
            <w:rFonts w:ascii="Arial" w:hAnsi="Arial" w:cs="Arial"/>
            <w:sz w:val="18"/>
            <w:szCs w:val="18"/>
          </w:rPr>
          <w:fldChar w:fldCharType="separate"/>
        </w:r>
        <w:r w:rsidRPr="00426031">
          <w:rPr>
            <w:rFonts w:ascii="Arial" w:hAnsi="Arial" w:cs="Arial"/>
            <w:noProof/>
            <w:sz w:val="18"/>
            <w:szCs w:val="18"/>
          </w:rPr>
          <w:t>2</w:t>
        </w:r>
        <w:r w:rsidRPr="00426031">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8043332"/>
      <w:docPartObj>
        <w:docPartGallery w:val="Page Numbers (Bottom of Page)"/>
        <w:docPartUnique/>
      </w:docPartObj>
    </w:sdtPr>
    <w:sdtEndPr>
      <w:rPr>
        <w:noProof/>
      </w:rPr>
    </w:sdtEndPr>
    <w:sdtContent>
      <w:p w14:paraId="152F97D1" w14:textId="6FF311B7" w:rsidR="00426031" w:rsidRPr="00426031" w:rsidRDefault="00426031" w:rsidP="00426031">
        <w:pPr>
          <w:pStyle w:val="Footer"/>
          <w:jc w:val="center"/>
          <w:rPr>
            <w:rFonts w:ascii="Arial" w:hAnsi="Arial" w:cs="Arial"/>
            <w:sz w:val="18"/>
            <w:szCs w:val="18"/>
          </w:rPr>
        </w:pPr>
        <w:r w:rsidRPr="00426031">
          <w:rPr>
            <w:rFonts w:ascii="Arial" w:hAnsi="Arial" w:cs="Arial"/>
            <w:sz w:val="18"/>
            <w:szCs w:val="18"/>
          </w:rPr>
          <w:fldChar w:fldCharType="begin"/>
        </w:r>
        <w:r w:rsidRPr="00426031">
          <w:rPr>
            <w:rFonts w:ascii="Arial" w:hAnsi="Arial" w:cs="Arial"/>
            <w:sz w:val="18"/>
            <w:szCs w:val="18"/>
          </w:rPr>
          <w:instrText xml:space="preserve"> PAGE   \* MERGEFORMAT </w:instrText>
        </w:r>
        <w:r w:rsidRPr="00426031">
          <w:rPr>
            <w:rFonts w:ascii="Arial" w:hAnsi="Arial" w:cs="Arial"/>
            <w:sz w:val="18"/>
            <w:szCs w:val="18"/>
          </w:rPr>
          <w:fldChar w:fldCharType="separate"/>
        </w:r>
        <w:r w:rsidRPr="00426031">
          <w:rPr>
            <w:rFonts w:ascii="Arial" w:hAnsi="Arial" w:cs="Arial"/>
            <w:noProof/>
            <w:sz w:val="18"/>
            <w:szCs w:val="18"/>
          </w:rPr>
          <w:t>2</w:t>
        </w:r>
        <w:r w:rsidRPr="00426031">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199D" w14:textId="77777777" w:rsidR="00033D1F" w:rsidRPr="002C2B97" w:rsidRDefault="00923B2C" w:rsidP="00033D1F">
    <w:pPr>
      <w:pStyle w:val="Footer"/>
      <w:jc w:val="center"/>
      <w:rPr>
        <w:rFonts w:ascii="Arial" w:hAnsi="Arial" w:cs="Arial"/>
        <w:sz w:val="18"/>
        <w:szCs w:val="18"/>
      </w:rPr>
    </w:pPr>
    <w:r w:rsidRPr="002C2B97">
      <w:rPr>
        <w:rFonts w:ascii="Arial" w:hAnsi="Arial" w:cs="Arial"/>
        <w:sz w:val="18"/>
        <w:szCs w:val="18"/>
      </w:rPr>
      <w:fldChar w:fldCharType="begin"/>
    </w:r>
    <w:r w:rsidR="008D5CA9" w:rsidRPr="002C2B97">
      <w:rPr>
        <w:rFonts w:ascii="Arial" w:hAnsi="Arial" w:cs="Arial"/>
        <w:sz w:val="18"/>
        <w:szCs w:val="18"/>
      </w:rPr>
      <w:instrText xml:space="preserve"> PAGE   \* MERGEFORMAT </w:instrText>
    </w:r>
    <w:r w:rsidRPr="002C2B97">
      <w:rPr>
        <w:rFonts w:ascii="Arial" w:hAnsi="Arial" w:cs="Arial"/>
        <w:sz w:val="18"/>
        <w:szCs w:val="18"/>
      </w:rPr>
      <w:fldChar w:fldCharType="separate"/>
    </w:r>
    <w:r w:rsidR="003068BD">
      <w:rPr>
        <w:rFonts w:ascii="Arial" w:hAnsi="Arial" w:cs="Arial"/>
        <w:noProof/>
        <w:sz w:val="18"/>
        <w:szCs w:val="18"/>
      </w:rPr>
      <w:t>18</w:t>
    </w:r>
    <w:r w:rsidRPr="002C2B97">
      <w:rP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537995583"/>
      <w:docPartObj>
        <w:docPartGallery w:val="Page Numbers (Bottom of Page)"/>
        <w:docPartUnique/>
      </w:docPartObj>
    </w:sdtPr>
    <w:sdtEndPr>
      <w:rPr>
        <w:noProof/>
      </w:rPr>
    </w:sdtEndPr>
    <w:sdtContent>
      <w:p w14:paraId="7574B3E4" w14:textId="77777777" w:rsidR="008179FB" w:rsidRPr="00241FAA" w:rsidRDefault="00923B2C" w:rsidP="00241FAA">
        <w:pPr>
          <w:pStyle w:val="Footer"/>
          <w:jc w:val="center"/>
          <w:rPr>
            <w:rFonts w:ascii="Arial" w:hAnsi="Arial" w:cs="Arial"/>
            <w:sz w:val="18"/>
            <w:szCs w:val="18"/>
          </w:rPr>
        </w:pPr>
        <w:r w:rsidRPr="00241FAA">
          <w:rPr>
            <w:rFonts w:ascii="Arial" w:hAnsi="Arial" w:cs="Arial"/>
            <w:sz w:val="18"/>
            <w:szCs w:val="18"/>
          </w:rPr>
          <w:fldChar w:fldCharType="begin"/>
        </w:r>
        <w:r w:rsidR="00241FAA" w:rsidRPr="00241FAA">
          <w:rPr>
            <w:rFonts w:ascii="Arial" w:hAnsi="Arial" w:cs="Arial"/>
            <w:sz w:val="18"/>
            <w:szCs w:val="18"/>
          </w:rPr>
          <w:instrText xml:space="preserve"> PAGE   \* MERGEFORMAT </w:instrText>
        </w:r>
        <w:r w:rsidRPr="00241FAA">
          <w:rPr>
            <w:rFonts w:ascii="Arial" w:hAnsi="Arial" w:cs="Arial"/>
            <w:sz w:val="18"/>
            <w:szCs w:val="18"/>
          </w:rPr>
          <w:fldChar w:fldCharType="separate"/>
        </w:r>
        <w:r w:rsidR="003068BD">
          <w:rPr>
            <w:rFonts w:ascii="Arial" w:hAnsi="Arial" w:cs="Arial"/>
            <w:noProof/>
            <w:sz w:val="18"/>
            <w:szCs w:val="18"/>
          </w:rPr>
          <w:t>34</w:t>
        </w:r>
        <w:r w:rsidRPr="00241FAA">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F49A" w14:textId="77777777" w:rsidR="008179FB" w:rsidRPr="00241FAA" w:rsidRDefault="00923B2C">
    <w:pPr>
      <w:pStyle w:val="Footer"/>
      <w:jc w:val="center"/>
      <w:rPr>
        <w:rFonts w:ascii="Arial" w:hAnsi="Arial" w:cs="Arial"/>
        <w:sz w:val="18"/>
        <w:szCs w:val="18"/>
      </w:rPr>
    </w:pPr>
    <w:r w:rsidRPr="00241FAA">
      <w:rPr>
        <w:rFonts w:ascii="Arial" w:hAnsi="Arial" w:cs="Arial"/>
        <w:sz w:val="18"/>
        <w:szCs w:val="18"/>
      </w:rPr>
      <w:fldChar w:fldCharType="begin"/>
    </w:r>
    <w:r w:rsidR="008179FB" w:rsidRPr="00241FAA">
      <w:rPr>
        <w:rFonts w:ascii="Arial" w:hAnsi="Arial" w:cs="Arial"/>
        <w:sz w:val="18"/>
        <w:szCs w:val="18"/>
      </w:rPr>
      <w:instrText xml:space="preserve"> PAGE   \* MERGEFORMAT </w:instrText>
    </w:r>
    <w:r w:rsidRPr="00241FAA">
      <w:rPr>
        <w:rFonts w:ascii="Arial" w:hAnsi="Arial" w:cs="Arial"/>
        <w:sz w:val="18"/>
        <w:szCs w:val="18"/>
      </w:rPr>
      <w:fldChar w:fldCharType="separate"/>
    </w:r>
    <w:r w:rsidR="003068BD">
      <w:rPr>
        <w:rFonts w:ascii="Arial" w:hAnsi="Arial" w:cs="Arial"/>
        <w:noProof/>
        <w:sz w:val="18"/>
        <w:szCs w:val="18"/>
      </w:rPr>
      <w:t>33</w:t>
    </w:r>
    <w:r w:rsidRPr="00241FAA">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90B9" w14:textId="77777777" w:rsidR="008179FB" w:rsidRPr="00241FAA" w:rsidRDefault="00923B2C" w:rsidP="00033D1F">
    <w:pPr>
      <w:pStyle w:val="Footer"/>
      <w:jc w:val="center"/>
      <w:rPr>
        <w:rFonts w:ascii="Arial" w:hAnsi="Arial" w:cs="Arial"/>
        <w:sz w:val="18"/>
        <w:szCs w:val="18"/>
      </w:rPr>
    </w:pPr>
    <w:r w:rsidRPr="00241FAA">
      <w:rPr>
        <w:rFonts w:ascii="Arial" w:hAnsi="Arial" w:cs="Arial"/>
        <w:sz w:val="18"/>
        <w:szCs w:val="18"/>
      </w:rPr>
      <w:fldChar w:fldCharType="begin"/>
    </w:r>
    <w:r w:rsidR="008179FB" w:rsidRPr="00241FAA">
      <w:rPr>
        <w:rFonts w:ascii="Arial" w:hAnsi="Arial" w:cs="Arial"/>
        <w:sz w:val="18"/>
        <w:szCs w:val="18"/>
      </w:rPr>
      <w:instrText xml:space="preserve"> PAGE   \* MERGEFORMAT </w:instrText>
    </w:r>
    <w:r w:rsidRPr="00241FAA">
      <w:rPr>
        <w:rFonts w:ascii="Arial" w:hAnsi="Arial" w:cs="Arial"/>
        <w:sz w:val="18"/>
        <w:szCs w:val="18"/>
      </w:rPr>
      <w:fldChar w:fldCharType="separate"/>
    </w:r>
    <w:r w:rsidR="003068BD">
      <w:rPr>
        <w:rFonts w:ascii="Arial" w:hAnsi="Arial" w:cs="Arial"/>
        <w:noProof/>
        <w:sz w:val="18"/>
        <w:szCs w:val="18"/>
      </w:rPr>
      <w:t>27</w:t>
    </w:r>
    <w:r w:rsidRPr="00241FAA">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08CFA" w14:textId="77777777" w:rsidR="00442218" w:rsidRDefault="00442218">
      <w:pPr>
        <w:spacing w:after="0" w:line="240" w:lineRule="auto"/>
        <w:rPr>
          <w:lang w:val="fr-FR"/>
        </w:rPr>
      </w:pPr>
      <w:r>
        <w:rPr>
          <w:lang w:val="fr-FR"/>
        </w:rPr>
        <w:separator/>
      </w:r>
    </w:p>
  </w:footnote>
  <w:footnote w:type="continuationSeparator" w:id="0">
    <w:p w14:paraId="1BD76DB0" w14:textId="77777777" w:rsidR="00442218" w:rsidRDefault="00442218">
      <w:pPr>
        <w:spacing w:after="0" w:line="240" w:lineRule="auto"/>
        <w:rPr>
          <w:lang w:val="fr-FR"/>
        </w:rPr>
      </w:pPr>
      <w:r>
        <w:rPr>
          <w:lang w:val="fr-FR"/>
        </w:rPr>
        <w:continuationSeparator/>
      </w:r>
    </w:p>
  </w:footnote>
  <w:footnote w:type="continuationNotice" w:id="1">
    <w:p w14:paraId="00060CF3" w14:textId="77777777" w:rsidR="00442218" w:rsidRDefault="00442218">
      <w:pPr>
        <w:spacing w:after="0" w:line="240" w:lineRule="auto"/>
        <w:rPr>
          <w:lang w:val="fr-FR"/>
        </w:rPr>
      </w:pPr>
    </w:p>
  </w:footnote>
  <w:footnote w:id="2">
    <w:p w14:paraId="1FE036DB" w14:textId="3A98B3F2" w:rsidR="00923B2C" w:rsidRPr="00994604" w:rsidRDefault="009C7B40" w:rsidP="00CF4B33">
      <w:pPr>
        <w:pStyle w:val="FootnoteText"/>
        <w:spacing w:after="0" w:line="240" w:lineRule="auto"/>
        <w:jc w:val="both"/>
        <w:rPr>
          <w:rFonts w:ascii="Arial" w:hAnsi="Arial" w:cs="Arial"/>
          <w:sz w:val="16"/>
          <w:szCs w:val="16"/>
          <w:lang w:val="fr-FR"/>
        </w:rPr>
      </w:pPr>
      <w:r w:rsidRPr="00CF4B33">
        <w:rPr>
          <w:rStyle w:val="FootnoteReference"/>
          <w:rFonts w:ascii="Arial" w:hAnsi="Arial" w:cs="Arial"/>
          <w:sz w:val="16"/>
          <w:szCs w:val="16"/>
          <w:vertAlign w:val="superscript"/>
          <w:lang w:val="fr-FR"/>
        </w:rPr>
        <w:footnoteRef/>
      </w:r>
      <w:r w:rsidRPr="00CF4B33">
        <w:rPr>
          <w:rFonts w:ascii="Arial" w:hAnsi="Arial" w:cs="Arial"/>
          <w:sz w:val="16"/>
          <w:szCs w:val="16"/>
          <w:vertAlign w:val="superscript"/>
          <w:lang w:val="de-DE"/>
        </w:rPr>
        <w:t xml:space="preserve"> </w:t>
      </w:r>
      <w:r w:rsidRPr="00CF4B33">
        <w:rPr>
          <w:rFonts w:ascii="Arial" w:hAnsi="Arial" w:cs="Arial"/>
          <w:sz w:val="16"/>
          <w:szCs w:val="16"/>
          <w:lang w:val="de-DE"/>
        </w:rPr>
        <w:t xml:space="preserve">Fricke, R., Eschmeyer, W. N. &amp; R. van der Laan (éds) 2025. </w:t>
      </w:r>
      <w:r w:rsidRPr="00CF4B33">
        <w:rPr>
          <w:rFonts w:ascii="Arial" w:hAnsi="Arial" w:cs="Arial"/>
          <w:sz w:val="16"/>
          <w:szCs w:val="16"/>
          <w:lang w:val="en-US"/>
        </w:rPr>
        <w:t>ESCHMEYER'S CATALOG OF FISHES: GENERA, SPECIES, REFERENCES.</w:t>
      </w:r>
      <w:r w:rsidRPr="00CF4B33">
        <w:rPr>
          <w:rFonts w:ascii="Arial" w:hAnsi="Arial" w:cs="Arial"/>
          <w:sz w:val="16"/>
          <w:szCs w:val="16"/>
        </w:rPr>
        <w:t>(</w:t>
      </w:r>
      <w:hyperlink r:id="rId1" w:history="1">
        <w:r w:rsidRPr="00994604">
          <w:rPr>
            <w:rStyle w:val="Hyperlink"/>
            <w:rFonts w:ascii="Arial" w:hAnsi="Arial" w:cs="Arial"/>
            <w:sz w:val="16"/>
            <w:szCs w:val="16"/>
            <w:lang w:val="fr-FR"/>
          </w:rPr>
          <w:t>http://researcharchive.calacademy.org/research/ichthyology/catalog/fishcatmain.asp</w:t>
        </w:r>
      </w:hyperlink>
      <w:r w:rsidRPr="00994604">
        <w:rPr>
          <w:rFonts w:ascii="Arial" w:hAnsi="Arial" w:cs="Arial"/>
          <w:sz w:val="16"/>
          <w:szCs w:val="16"/>
          <w:lang w:val="fr-FR"/>
        </w:rPr>
        <w:t>). </w:t>
      </w:r>
    </w:p>
    <w:p w14:paraId="77A545CD" w14:textId="77777777" w:rsidR="00923B2C" w:rsidRPr="00CF4B33" w:rsidRDefault="009C7B40" w:rsidP="00CF4B33">
      <w:pPr>
        <w:pStyle w:val="FootnoteText"/>
        <w:spacing w:after="0" w:line="240" w:lineRule="auto"/>
        <w:jc w:val="both"/>
        <w:rPr>
          <w:rFonts w:ascii="Arial" w:hAnsi="Arial" w:cs="Arial"/>
          <w:sz w:val="16"/>
          <w:szCs w:val="16"/>
          <w:lang w:val="fr-FR"/>
        </w:rPr>
      </w:pPr>
      <w:r w:rsidRPr="00CF4B33">
        <w:rPr>
          <w:rFonts w:ascii="Arial" w:hAnsi="Arial" w:cs="Arial"/>
          <w:sz w:val="16"/>
          <w:szCs w:val="16"/>
          <w:lang w:val="fr-FR"/>
        </w:rPr>
        <w:t>La version électronique consultée le 14 octobre 2025 mentionne 17 espèces. Toutefois, en raison de changements taxonomiques récents, le nombre d’espèces devrait être réduit à 16.</w:t>
      </w:r>
    </w:p>
  </w:footnote>
  <w:footnote w:id="3">
    <w:p w14:paraId="1A73BCF1" w14:textId="77777777" w:rsidR="00923B2C" w:rsidRDefault="009C7B40">
      <w:pPr>
        <w:pStyle w:val="FootnoteText"/>
        <w:rPr>
          <w:rFonts w:ascii="Arial" w:hAnsi="Arial" w:cs="Arial"/>
          <w:sz w:val="16"/>
          <w:szCs w:val="16"/>
          <w:lang w:val="fr-FR"/>
        </w:rPr>
      </w:pPr>
      <w:r>
        <w:rPr>
          <w:rStyle w:val="FootnoteReference"/>
          <w:rFonts w:ascii="Arial" w:hAnsi="Arial" w:cs="Arial"/>
          <w:sz w:val="16"/>
          <w:szCs w:val="16"/>
          <w:vertAlign w:val="superscript"/>
          <w:lang w:val="fr-FR"/>
        </w:rPr>
        <w:footnoteRef/>
      </w:r>
      <w:r>
        <w:rPr>
          <w:rFonts w:ascii="Arial" w:hAnsi="Arial" w:cs="Arial"/>
          <w:sz w:val="16"/>
          <w:szCs w:val="16"/>
          <w:vertAlign w:val="superscript"/>
          <w:lang w:val="fr-FR"/>
        </w:rPr>
        <w:t xml:space="preserve"> </w:t>
      </w:r>
      <w:r>
        <w:rPr>
          <w:rFonts w:ascii="Arial" w:hAnsi="Arial" w:cs="Arial"/>
          <w:sz w:val="16"/>
          <w:szCs w:val="16"/>
          <w:lang w:val="fr-FR"/>
        </w:rPr>
        <w:t xml:space="preserve">Voir </w:t>
      </w:r>
      <w:hyperlink r:id="rId2" w:history="1">
        <w:r>
          <w:rPr>
            <w:rStyle w:val="Hyperlink"/>
            <w:rFonts w:ascii="Arial" w:hAnsi="Arial" w:cs="Arial"/>
            <w:sz w:val="16"/>
            <w:szCs w:val="16"/>
            <w:lang w:val="fr-FR"/>
          </w:rPr>
          <w:t xml:space="preserve">UNEP/CMS/COP11/Doc.24.1.18.Rev.1 </w:t>
        </w:r>
      </w:hyperlink>
      <w:r>
        <w:rPr>
          <w:rFonts w:ascii="Arial" w:hAnsi="Arial" w:cs="Arial"/>
          <w:sz w:val="16"/>
          <w:szCs w:val="16"/>
          <w:lang w:val="fr-FR"/>
        </w:rPr>
        <w:t>Proposition d’inscription de l’</w:t>
      </w:r>
      <w:hyperlink r:id="rId3" w:history="1">
        <w:r>
          <w:rPr>
            <w:rStyle w:val="Hyperlink"/>
            <w:rFonts w:ascii="Arial" w:hAnsi="Arial" w:cs="Arial"/>
            <w:sz w:val="16"/>
            <w:szCs w:val="16"/>
            <w:lang w:val="fr-FR"/>
          </w:rPr>
          <w:t>anguille européenne (</w:t>
        </w:r>
        <w:r>
          <w:rPr>
            <w:rStyle w:val="Hyperlink"/>
            <w:rFonts w:ascii="Arial" w:hAnsi="Arial" w:cs="Arial"/>
            <w:i/>
            <w:sz w:val="16"/>
            <w:szCs w:val="16"/>
            <w:u w:val="none"/>
            <w:lang w:val="fr-FR"/>
          </w:rPr>
          <w:t xml:space="preserve">Anguilla </w:t>
        </w:r>
        <w:proofErr w:type="spellStart"/>
        <w:r>
          <w:rPr>
            <w:rStyle w:val="Hyperlink"/>
            <w:rFonts w:ascii="Arial" w:hAnsi="Arial" w:cs="Arial"/>
            <w:i/>
            <w:sz w:val="16"/>
            <w:szCs w:val="16"/>
            <w:u w:val="none"/>
            <w:lang w:val="fr-FR"/>
          </w:rPr>
          <w:t>anguilla</w:t>
        </w:r>
        <w:proofErr w:type="spellEnd"/>
        <w:r>
          <w:rPr>
            <w:rStyle w:val="Hyperlink"/>
            <w:rFonts w:ascii="Arial" w:hAnsi="Arial" w:cs="Arial"/>
            <w:sz w:val="16"/>
            <w:szCs w:val="16"/>
            <w:lang w:val="fr-FR"/>
          </w:rPr>
          <w:t>) à l’Annexe II de la CMS</w:t>
        </w:r>
      </w:hyperlink>
    </w:p>
  </w:footnote>
  <w:footnote w:id="4">
    <w:p w14:paraId="65241994" w14:textId="77777777" w:rsidR="00923B2C" w:rsidRDefault="009C7B40">
      <w:pPr>
        <w:pStyle w:val="FootnoteText"/>
        <w:spacing w:after="0" w:line="240" w:lineRule="auto"/>
        <w:rPr>
          <w:rFonts w:ascii="Arial" w:hAnsi="Arial" w:cs="Arial"/>
          <w:sz w:val="16"/>
          <w:szCs w:val="16"/>
          <w:lang w:val="fr-FR"/>
        </w:rPr>
      </w:pPr>
      <w:r>
        <w:rPr>
          <w:rStyle w:val="FootnoteReference"/>
          <w:rFonts w:ascii="Arial" w:hAnsi="Arial" w:cs="Arial"/>
          <w:sz w:val="16"/>
          <w:szCs w:val="16"/>
          <w:vertAlign w:val="superscript"/>
          <w:lang w:val="fr-FR"/>
        </w:rPr>
        <w:footnoteRef/>
      </w:r>
      <w:r>
        <w:rPr>
          <w:rFonts w:ascii="Arial" w:hAnsi="Arial" w:cs="Arial"/>
          <w:sz w:val="16"/>
          <w:szCs w:val="16"/>
          <w:lang w:val="fr-FR"/>
        </w:rPr>
        <w:t xml:space="preserve"> Voir l’annexe 2.2 pour la liste des États de l’aire de répartition.</w:t>
      </w:r>
    </w:p>
  </w:footnote>
  <w:footnote w:id="5">
    <w:p w14:paraId="34F62D2A" w14:textId="77777777" w:rsidR="00923B2C" w:rsidRDefault="009C7B40">
      <w:pPr>
        <w:pStyle w:val="FootnoteText"/>
        <w:spacing w:after="0" w:line="240" w:lineRule="auto"/>
        <w:rPr>
          <w:rFonts w:ascii="Arial" w:hAnsi="Arial" w:cs="Arial"/>
          <w:sz w:val="16"/>
          <w:szCs w:val="16"/>
          <w:lang w:val="fr-FR"/>
        </w:rPr>
      </w:pPr>
      <w:r>
        <w:rPr>
          <w:rStyle w:val="FootnoteReference"/>
          <w:rFonts w:ascii="Arial" w:hAnsi="Arial" w:cs="Arial"/>
          <w:sz w:val="16"/>
          <w:szCs w:val="16"/>
          <w:vertAlign w:val="superscript"/>
          <w:lang w:val="fr-FR"/>
        </w:rPr>
        <w:footnoteRef/>
      </w:r>
      <w:r>
        <w:rPr>
          <w:rFonts w:ascii="Arial" w:hAnsi="Arial" w:cs="Arial"/>
          <w:sz w:val="16"/>
          <w:szCs w:val="16"/>
          <w:vertAlign w:val="superscript"/>
          <w:lang w:val="fr-FR"/>
        </w:rPr>
        <w:t xml:space="preserve"> </w:t>
      </w:r>
      <w:r>
        <w:rPr>
          <w:rFonts w:ascii="Arial" w:hAnsi="Arial" w:cs="Arial"/>
          <w:sz w:val="16"/>
          <w:szCs w:val="16"/>
          <w:lang w:val="fr-FR"/>
        </w:rPr>
        <w:t>Cette matrice est appliquée dans les plans d’action par espèce dans le cadre de la CMS.</w:t>
      </w:r>
    </w:p>
  </w:footnote>
  <w:footnote w:id="6">
    <w:p w14:paraId="632F7B66" w14:textId="77777777" w:rsidR="00923B2C" w:rsidRDefault="009C7B40">
      <w:pPr>
        <w:pStyle w:val="FootnoteText"/>
        <w:spacing w:after="0" w:line="240" w:lineRule="auto"/>
        <w:rPr>
          <w:rFonts w:ascii="Arial" w:hAnsi="Arial" w:cs="Arial"/>
          <w:sz w:val="16"/>
          <w:szCs w:val="16"/>
          <w:lang w:val="fr-FR"/>
        </w:rPr>
      </w:pPr>
      <w:r>
        <w:rPr>
          <w:rStyle w:val="FootnoteReference"/>
          <w:rFonts w:ascii="Arial" w:hAnsi="Arial" w:cs="Arial"/>
          <w:sz w:val="16"/>
          <w:szCs w:val="16"/>
          <w:vertAlign w:val="superscript"/>
          <w:lang w:val="fr-FR"/>
        </w:rPr>
        <w:footnoteRef/>
      </w:r>
      <w:r>
        <w:rPr>
          <w:rFonts w:ascii="Arial" w:hAnsi="Arial" w:cs="Arial"/>
          <w:sz w:val="16"/>
          <w:szCs w:val="16"/>
          <w:lang w:val="fr-FR"/>
        </w:rPr>
        <w:t xml:space="preserve"> Les activités essentielles sont généralement considérées comme cruciales et ne doivent pas être déclassées par une Partie.</w:t>
      </w:r>
    </w:p>
  </w:footnote>
  <w:footnote w:id="7">
    <w:p w14:paraId="7C962BE3" w14:textId="77777777" w:rsidR="00994604" w:rsidRPr="00D2367E" w:rsidRDefault="00994604" w:rsidP="00A00063">
      <w:pPr>
        <w:pStyle w:val="FootnoteText"/>
        <w:spacing w:after="0" w:line="240" w:lineRule="auto"/>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La mortalité due aux prises accessoires comprend la proportion de spécimens morts lorsque l’engin est récupéré (mortalité à bord du navire) et la proportion de spécimens relâchés vivants mais qui meurent par la suite en raison du processus de capture (mortalité après remise à l’eau).</w:t>
      </w:r>
    </w:p>
  </w:footnote>
  <w:footnote w:id="8">
    <w:p w14:paraId="281EB13B" w14:textId="77777777" w:rsidR="00994604" w:rsidRPr="00C867C5" w:rsidRDefault="00994604" w:rsidP="00A00063">
      <w:pPr>
        <w:pStyle w:val="FootnoteText"/>
        <w:spacing w:after="0" w:line="240" w:lineRule="auto"/>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À l’heure actuelle, l’incidence de la pollution plastique n’est pas bien comprise. Des recherches supplémentaires sont nécessaires et la catégorie de risque pourrait être révisée à la lumière de nouvelles informations.</w:t>
      </w:r>
    </w:p>
  </w:footnote>
  <w:footnote w:id="9">
    <w:p w14:paraId="3C81F163" w14:textId="77777777" w:rsidR="00994604" w:rsidRPr="00C867C5" w:rsidRDefault="00994604" w:rsidP="00A00063">
      <w:pPr>
        <w:pStyle w:val="FootnoteText"/>
        <w:spacing w:after="0" w:line="240" w:lineRule="auto"/>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Toute surpêche localisée est susceptible d’entraîner une plus grande menace à l’échelle locale.</w:t>
      </w:r>
    </w:p>
  </w:footnote>
  <w:footnote w:id="10">
    <w:p w14:paraId="2F9DDB69" w14:textId="77777777" w:rsidR="00923B2C" w:rsidRDefault="009C7B40">
      <w:pPr>
        <w:pStyle w:val="FootnoteText"/>
        <w:spacing w:after="0" w:line="240" w:lineRule="auto"/>
        <w:rPr>
          <w:rFonts w:ascii="Arial" w:hAnsi="Arial" w:cs="Arial"/>
          <w:lang w:val="fr-FR"/>
        </w:rPr>
      </w:pPr>
      <w:r>
        <w:rPr>
          <w:rStyle w:val="FootnoteReference"/>
          <w:rFonts w:ascii="Arial" w:hAnsi="Arial" w:cs="Arial"/>
          <w:vertAlign w:val="superscript"/>
          <w:lang w:val="fr-FR"/>
        </w:rPr>
        <w:footnoteRef/>
      </w:r>
      <w:r>
        <w:rPr>
          <w:rFonts w:ascii="Arial" w:hAnsi="Arial" w:cs="Arial"/>
          <w:vertAlign w:val="superscript"/>
          <w:lang w:val="fr-FR"/>
        </w:rPr>
        <w:t xml:space="preserve"> </w:t>
      </w:r>
      <w:r>
        <w:rPr>
          <w:rFonts w:ascii="Arial" w:hAnsi="Arial" w:cs="Arial"/>
          <w:lang w:val="fr-FR" w:eastAsia="en-GB"/>
        </w:rPr>
        <w:t>Liste des États de l’aire de répartition identifiés par le CIEM, 2023.</w:t>
      </w:r>
    </w:p>
  </w:footnote>
  <w:footnote w:id="11">
    <w:p w14:paraId="55F71F70" w14:textId="77777777" w:rsidR="00923B2C" w:rsidRDefault="009C7B40">
      <w:pPr>
        <w:pStyle w:val="FootnoteText"/>
        <w:spacing w:after="0" w:line="240" w:lineRule="auto"/>
        <w:rPr>
          <w:rFonts w:ascii="Arial" w:hAnsi="Arial" w:cs="Arial"/>
          <w:lang w:val="fr-FR"/>
        </w:rPr>
      </w:pPr>
      <w:r>
        <w:rPr>
          <w:rStyle w:val="FootnoteReference"/>
          <w:rFonts w:ascii="Arial" w:hAnsi="Arial" w:cs="Arial"/>
          <w:vertAlign w:val="superscript"/>
          <w:lang w:val="fr-FR"/>
        </w:rPr>
        <w:footnoteRef/>
      </w:r>
      <w:r>
        <w:rPr>
          <w:rFonts w:ascii="Arial" w:hAnsi="Arial" w:cs="Arial"/>
          <w:vertAlign w:val="superscript"/>
          <w:lang w:val="fr-FR"/>
        </w:rPr>
        <w:t xml:space="preserve"> </w:t>
      </w:r>
      <w:r>
        <w:rPr>
          <w:rFonts w:ascii="Arial" w:hAnsi="Arial" w:cs="Arial"/>
          <w:lang w:val="fr-FR"/>
        </w:rPr>
        <w:t>L’Accord sur la diversité biologique marine des zones ne relevant pas de la juridiction nationale n’étant pas encore en vigueur, il sera ajouté ultérieurement.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52FAB" w14:textId="77777777" w:rsidR="00A11378" w:rsidRPr="00A11378" w:rsidRDefault="00A11378" w:rsidP="00BF21B6">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Arial" w:eastAsia="Arial" w:hAnsi="Arial" w:cs="Arial"/>
        <w:i/>
        <w:iCs/>
        <w:sz w:val="18"/>
        <w:szCs w:val="18"/>
        <w:lang w:val="fr-FR"/>
      </w:rPr>
    </w:pPr>
    <w:r w:rsidRPr="00A11378">
      <w:rPr>
        <w:rFonts w:ascii="Arial" w:eastAsia="Arial" w:hAnsi="Arial" w:cs="Arial"/>
        <w:i/>
        <w:iCs/>
        <w:sz w:val="18"/>
        <w:szCs w:val="18"/>
        <w:lang w:val="fr-FR"/>
      </w:rPr>
      <w:t>UNEP/CMS/COP15/Doc.25.6.2/Annexe 2</w:t>
    </w:r>
  </w:p>
  <w:p w14:paraId="6059169B" w14:textId="77777777" w:rsidR="00A11378" w:rsidRDefault="00A113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350C" w14:textId="77777777" w:rsidR="00923B2C" w:rsidRDefault="009C7B40">
    <w:pPr>
      <w:pStyle w:val="Header"/>
      <w:pBdr>
        <w:bottom w:val="single" w:sz="4" w:space="1" w:color="auto"/>
      </w:pBdr>
      <w:tabs>
        <w:tab w:val="left" w:pos="12758"/>
      </w:tabs>
      <w:ind w:right="65"/>
      <w:jc w:val="right"/>
      <w:rPr>
        <w:rFonts w:ascii="Arial" w:hAnsi="Arial" w:cs="Arial"/>
        <w:i/>
        <w:sz w:val="18"/>
        <w:szCs w:val="18"/>
        <w:lang w:val="fr-FR"/>
      </w:rPr>
    </w:pPr>
    <w:r>
      <w:rPr>
        <w:rFonts w:ascii="Arial" w:hAnsi="Arial" w:cs="Arial"/>
        <w:i/>
        <w:sz w:val="18"/>
        <w:szCs w:val="18"/>
        <w:lang w:val="fr-FR"/>
      </w:rPr>
      <w:t>UNEP/CMS/COP15/Doc.25.6.2/Annexe 2</w:t>
    </w:r>
  </w:p>
  <w:p w14:paraId="0715ED6C" w14:textId="77777777" w:rsidR="00923B2C" w:rsidRDefault="00923B2C">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A6D5" w14:textId="77777777" w:rsidR="00BF21B6" w:rsidRPr="00A11378" w:rsidRDefault="00BF21B6" w:rsidP="00BF21B6">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Arial" w:eastAsia="Arial" w:hAnsi="Arial" w:cs="Arial"/>
        <w:i/>
        <w:iCs/>
        <w:sz w:val="18"/>
        <w:szCs w:val="18"/>
        <w:lang w:val="fr-FR"/>
      </w:rPr>
    </w:pPr>
    <w:r w:rsidRPr="00A11378">
      <w:rPr>
        <w:rFonts w:ascii="Arial" w:eastAsia="Arial" w:hAnsi="Arial" w:cs="Arial"/>
        <w:i/>
        <w:iCs/>
        <w:sz w:val="18"/>
        <w:szCs w:val="18"/>
        <w:lang w:val="fr-FR"/>
      </w:rPr>
      <w:t>UNEP/CMS/COP15/Doc.25.6.2/Annexe 2</w:t>
    </w:r>
  </w:p>
  <w:p w14:paraId="6D9D6D1B" w14:textId="77777777" w:rsidR="00923B2C" w:rsidRPr="00BF21B6" w:rsidRDefault="00923B2C" w:rsidP="00BF2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D325" w14:textId="77777777" w:rsidR="00A11378" w:rsidRPr="00FF59D5" w:rsidRDefault="00A11378" w:rsidP="00A11378">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sz w:val="18"/>
        <w:szCs w:val="20"/>
      </w:rPr>
    </w:pPr>
    <w:bookmarkStart w:id="29" w:name="_Hlk208560916"/>
    <w:bookmarkStart w:id="30" w:name="_Hlk208560917"/>
    <w:r>
      <w:rPr>
        <w:noProof/>
      </w:rPr>
      <w:drawing>
        <wp:anchor distT="0" distB="0" distL="114300" distR="114300" simplePos="0" relativeHeight="251658752" behindDoc="0" locked="0" layoutInCell="1" allowOverlap="1" wp14:anchorId="5C0308D5" wp14:editId="7B76BDC6">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noProof/>
        <w:sz w:val="18"/>
        <w:szCs w:val="20"/>
      </w:rPr>
      <w:drawing>
        <wp:anchor distT="0" distB="0" distL="114300" distR="114300" simplePos="0" relativeHeight="251656704" behindDoc="0" locked="0" layoutInCell="1" allowOverlap="1" wp14:anchorId="155B5270" wp14:editId="6032F8E9">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noProof/>
        <w:sz w:val="4"/>
        <w:szCs w:val="4"/>
      </w:rPr>
      <w:drawing>
        <wp:anchor distT="0" distB="0" distL="114300" distR="114300" simplePos="0" relativeHeight="251657728" behindDoc="0" locked="0" layoutInCell="1" allowOverlap="1" wp14:anchorId="34DE7A61" wp14:editId="56099801">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9"/>
    <w:bookmarkEnd w:id="30"/>
  </w:p>
  <w:p w14:paraId="14EF17B4" w14:textId="7EE1E4FC" w:rsidR="00923B2C" w:rsidRPr="00D440C1" w:rsidRDefault="00923B2C" w:rsidP="00D440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012F" w14:textId="77777777" w:rsidR="00923B2C" w:rsidRDefault="009C7B40">
    <w:pPr>
      <w:pStyle w:val="Header"/>
      <w:pBdr>
        <w:bottom w:val="single" w:sz="4" w:space="1" w:color="auto"/>
      </w:pBdr>
      <w:ind w:right="65"/>
      <w:rPr>
        <w:rFonts w:ascii="Arial" w:hAnsi="Arial" w:cs="Arial"/>
        <w:i/>
        <w:sz w:val="18"/>
        <w:szCs w:val="18"/>
        <w:lang w:val="fr-FR"/>
      </w:rPr>
    </w:pPr>
    <w:r>
      <w:rPr>
        <w:rFonts w:ascii="Arial" w:hAnsi="Arial" w:cs="Arial"/>
        <w:i/>
        <w:sz w:val="18"/>
        <w:szCs w:val="18"/>
        <w:lang w:val="fr-FR"/>
      </w:rPr>
      <w:t>UNEP/CMS/COP15/Doc.25.6.2/Annexe 2</w:t>
    </w:r>
  </w:p>
  <w:p w14:paraId="28245339" w14:textId="77777777" w:rsidR="00923B2C" w:rsidRDefault="00923B2C">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9C58" w14:textId="77777777" w:rsidR="00923B2C" w:rsidRDefault="009C7B40">
    <w:pPr>
      <w:pStyle w:val="Header"/>
      <w:pBdr>
        <w:bottom w:val="single" w:sz="4" w:space="1" w:color="auto"/>
      </w:pBdr>
      <w:tabs>
        <w:tab w:val="left" w:pos="12758"/>
      </w:tabs>
      <w:ind w:right="65"/>
      <w:jc w:val="right"/>
      <w:rPr>
        <w:rFonts w:ascii="Arial" w:hAnsi="Arial" w:cs="Arial"/>
        <w:i/>
        <w:sz w:val="18"/>
        <w:szCs w:val="18"/>
        <w:lang w:val="fr-FR"/>
      </w:rPr>
    </w:pPr>
    <w:r>
      <w:rPr>
        <w:rFonts w:ascii="Arial" w:hAnsi="Arial" w:cs="Arial"/>
        <w:i/>
        <w:sz w:val="18"/>
        <w:szCs w:val="18"/>
        <w:lang w:val="fr-FR"/>
      </w:rPr>
      <w:t>UNEP/CMS/COP15/Doc.25.6.2/Annexe 2</w:t>
    </w:r>
  </w:p>
  <w:p w14:paraId="381BB403" w14:textId="77777777" w:rsidR="00923B2C" w:rsidRDefault="00923B2C">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3207" w14:textId="77777777" w:rsidR="00923B2C" w:rsidRDefault="009C7B40" w:rsidP="00565A6C">
    <w:pPr>
      <w:pStyle w:val="Header"/>
      <w:pBdr>
        <w:bottom w:val="single" w:sz="4" w:space="1" w:color="auto"/>
      </w:pBdr>
      <w:ind w:right="65"/>
      <w:rPr>
        <w:rFonts w:ascii="Arial" w:hAnsi="Arial" w:cs="Arial"/>
        <w:i/>
        <w:sz w:val="18"/>
        <w:szCs w:val="18"/>
        <w:lang w:val="fr-FR"/>
      </w:rPr>
    </w:pPr>
    <w:r>
      <w:rPr>
        <w:rFonts w:ascii="Arial" w:hAnsi="Arial" w:cs="Arial"/>
        <w:i/>
        <w:sz w:val="18"/>
        <w:szCs w:val="18"/>
        <w:lang w:val="fr-FR"/>
      </w:rPr>
      <w:t>UNEP/CMS/COP15/Doc.25.6.2/Annexe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D4D6" w14:textId="77777777" w:rsidR="00923B2C" w:rsidRDefault="009C7B40">
    <w:pPr>
      <w:pStyle w:val="Header"/>
      <w:pBdr>
        <w:bottom w:val="single" w:sz="4" w:space="1" w:color="auto"/>
      </w:pBdr>
      <w:tabs>
        <w:tab w:val="left" w:pos="12758"/>
      </w:tabs>
      <w:ind w:right="65"/>
      <w:rPr>
        <w:rFonts w:ascii="Arial" w:hAnsi="Arial" w:cs="Arial"/>
        <w:i/>
        <w:sz w:val="18"/>
        <w:szCs w:val="18"/>
        <w:lang w:val="fr-FR"/>
      </w:rPr>
    </w:pPr>
    <w:r>
      <w:rPr>
        <w:rFonts w:ascii="Arial" w:hAnsi="Arial" w:cs="Arial"/>
        <w:i/>
        <w:sz w:val="18"/>
        <w:szCs w:val="18"/>
        <w:lang w:val="fr-FR"/>
      </w:rPr>
      <w:t>UNEP/CMS/COP15/Doc.25.6.2/Annexe 2</w:t>
    </w:r>
  </w:p>
  <w:p w14:paraId="00A303E4" w14:textId="77777777" w:rsidR="00923B2C" w:rsidRDefault="00923B2C">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81FA" w14:textId="77777777" w:rsidR="00923B2C" w:rsidRDefault="009C7B40">
    <w:pPr>
      <w:pStyle w:val="Header"/>
      <w:pBdr>
        <w:bottom w:val="single" w:sz="4" w:space="1" w:color="auto"/>
      </w:pBdr>
      <w:tabs>
        <w:tab w:val="left" w:pos="12758"/>
      </w:tabs>
      <w:ind w:right="65"/>
      <w:jc w:val="right"/>
      <w:rPr>
        <w:rFonts w:ascii="Arial" w:hAnsi="Arial" w:cs="Arial"/>
        <w:i/>
        <w:sz w:val="18"/>
        <w:szCs w:val="18"/>
        <w:lang w:val="fr-FR"/>
      </w:rPr>
    </w:pPr>
    <w:r>
      <w:rPr>
        <w:rFonts w:ascii="Arial" w:hAnsi="Arial" w:cs="Arial"/>
        <w:i/>
        <w:sz w:val="18"/>
        <w:szCs w:val="18"/>
        <w:lang w:val="fr-FR"/>
      </w:rPr>
      <w:t>UNEP/CMS/COP15/Doc.25.6.2/Annexe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7652" w14:textId="77777777" w:rsidR="00923B2C" w:rsidRDefault="009C7B40">
    <w:pPr>
      <w:pStyle w:val="Header"/>
      <w:pBdr>
        <w:bottom w:val="single" w:sz="4" w:space="1" w:color="auto"/>
      </w:pBdr>
      <w:tabs>
        <w:tab w:val="left" w:pos="12758"/>
      </w:tabs>
      <w:ind w:right="65"/>
      <w:rPr>
        <w:rFonts w:ascii="Arial" w:hAnsi="Arial" w:cs="Arial"/>
        <w:i/>
        <w:sz w:val="18"/>
        <w:szCs w:val="18"/>
        <w:lang w:val="fr-FR"/>
      </w:rPr>
    </w:pPr>
    <w:r>
      <w:rPr>
        <w:rFonts w:ascii="Arial" w:hAnsi="Arial" w:cs="Arial"/>
        <w:i/>
        <w:sz w:val="18"/>
        <w:szCs w:val="18"/>
        <w:lang w:val="fr-FR"/>
      </w:rPr>
      <w:t>UNEP/CMS/COP15/Doc.25.6.2/Annexe 2</w:t>
    </w:r>
  </w:p>
  <w:p w14:paraId="5E09FC88" w14:textId="77777777" w:rsidR="00923B2C" w:rsidRDefault="00923B2C">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133E6139"/>
    <w:multiLevelType w:val="hybridMultilevel"/>
    <w:tmpl w:val="2BFCE140"/>
    <w:lvl w:ilvl="0" w:tplc="AC40AEA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343FE4"/>
    <w:multiLevelType w:val="hybridMultilevel"/>
    <w:tmpl w:val="8B328562"/>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2C7F51"/>
    <w:multiLevelType w:val="multilevel"/>
    <w:tmpl w:val="2F427D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E00F19"/>
    <w:multiLevelType w:val="hybridMultilevel"/>
    <w:tmpl w:val="E1201FDC"/>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8F314E"/>
    <w:multiLevelType w:val="hybridMultilevel"/>
    <w:tmpl w:val="94643E3A"/>
    <w:lvl w:ilvl="0" w:tplc="92B4692C">
      <w:start w:val="1"/>
      <w:numFmt w:val="decimal"/>
      <w:lvlText w:val="%1."/>
      <w:lvlJc w:val="left"/>
      <w:pPr>
        <w:ind w:left="360" w:hanging="360"/>
      </w:pPr>
      <w:rPr>
        <w:rFonts w:ascii="Arial" w:hAnsi="Arial" w:cs="Arial"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EB14E3"/>
    <w:multiLevelType w:val="multilevel"/>
    <w:tmpl w:val="EA009FE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BB1BE4"/>
    <w:multiLevelType w:val="hybridMultilevel"/>
    <w:tmpl w:val="6E2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7370127">
    <w:abstractNumId w:val="1"/>
  </w:num>
  <w:num w:numId="2" w16cid:durableId="973871796">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1393044017">
    <w:abstractNumId w:val="8"/>
  </w:num>
  <w:num w:numId="4" w16cid:durableId="1310597542">
    <w:abstractNumId w:val="6"/>
  </w:num>
  <w:num w:numId="5" w16cid:durableId="1584991963">
    <w:abstractNumId w:val="2"/>
  </w:num>
  <w:num w:numId="6" w16cid:durableId="79299654">
    <w:abstractNumId w:val="3"/>
  </w:num>
  <w:num w:numId="7" w16cid:durableId="1301692672">
    <w:abstractNumId w:val="4"/>
  </w:num>
  <w:num w:numId="8" w16cid:durableId="2119908166">
    <w:abstractNumId w:val="7"/>
  </w:num>
  <w:num w:numId="9" w16cid:durableId="101399558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8D5CA9"/>
    <w:rsid w:val="00000098"/>
    <w:rsid w:val="00000745"/>
    <w:rsid w:val="00000ACD"/>
    <w:rsid w:val="0000175C"/>
    <w:rsid w:val="0000199D"/>
    <w:rsid w:val="00001D1B"/>
    <w:rsid w:val="00002530"/>
    <w:rsid w:val="00002595"/>
    <w:rsid w:val="00003ABA"/>
    <w:rsid w:val="00003D03"/>
    <w:rsid w:val="0000400A"/>
    <w:rsid w:val="0000431A"/>
    <w:rsid w:val="00004344"/>
    <w:rsid w:val="000056ED"/>
    <w:rsid w:val="00006728"/>
    <w:rsid w:val="00006775"/>
    <w:rsid w:val="00006AF4"/>
    <w:rsid w:val="00006D46"/>
    <w:rsid w:val="000070B8"/>
    <w:rsid w:val="000101A9"/>
    <w:rsid w:val="00011ABD"/>
    <w:rsid w:val="00011FD2"/>
    <w:rsid w:val="00012CFE"/>
    <w:rsid w:val="000139CA"/>
    <w:rsid w:val="00014062"/>
    <w:rsid w:val="00014594"/>
    <w:rsid w:val="0001465F"/>
    <w:rsid w:val="000147AE"/>
    <w:rsid w:val="00014B72"/>
    <w:rsid w:val="0001506A"/>
    <w:rsid w:val="00015219"/>
    <w:rsid w:val="000154B1"/>
    <w:rsid w:val="0001569C"/>
    <w:rsid w:val="0001584E"/>
    <w:rsid w:val="00015967"/>
    <w:rsid w:val="00016316"/>
    <w:rsid w:val="00016D78"/>
    <w:rsid w:val="0001748E"/>
    <w:rsid w:val="00017883"/>
    <w:rsid w:val="00017933"/>
    <w:rsid w:val="00017B98"/>
    <w:rsid w:val="0002045A"/>
    <w:rsid w:val="000207B6"/>
    <w:rsid w:val="00020C21"/>
    <w:rsid w:val="00021EEB"/>
    <w:rsid w:val="00022611"/>
    <w:rsid w:val="00022F14"/>
    <w:rsid w:val="0002308B"/>
    <w:rsid w:val="00023525"/>
    <w:rsid w:val="00023CD2"/>
    <w:rsid w:val="00023D1B"/>
    <w:rsid w:val="0002412E"/>
    <w:rsid w:val="00024309"/>
    <w:rsid w:val="0002435C"/>
    <w:rsid w:val="000246F3"/>
    <w:rsid w:val="00024CE6"/>
    <w:rsid w:val="00025426"/>
    <w:rsid w:val="00025F8A"/>
    <w:rsid w:val="00025F9E"/>
    <w:rsid w:val="000261B0"/>
    <w:rsid w:val="000265AA"/>
    <w:rsid w:val="00027997"/>
    <w:rsid w:val="00027A33"/>
    <w:rsid w:val="00027AEA"/>
    <w:rsid w:val="00027D36"/>
    <w:rsid w:val="000301E5"/>
    <w:rsid w:val="00030A6E"/>
    <w:rsid w:val="00031094"/>
    <w:rsid w:val="00031725"/>
    <w:rsid w:val="0003211E"/>
    <w:rsid w:val="00032A9E"/>
    <w:rsid w:val="00032D21"/>
    <w:rsid w:val="00032D4D"/>
    <w:rsid w:val="00032E07"/>
    <w:rsid w:val="00032E57"/>
    <w:rsid w:val="00033399"/>
    <w:rsid w:val="00033442"/>
    <w:rsid w:val="00033857"/>
    <w:rsid w:val="00033D1F"/>
    <w:rsid w:val="00033ED8"/>
    <w:rsid w:val="000344FE"/>
    <w:rsid w:val="00034CDD"/>
    <w:rsid w:val="00034DD8"/>
    <w:rsid w:val="00035C36"/>
    <w:rsid w:val="00035D99"/>
    <w:rsid w:val="00035E32"/>
    <w:rsid w:val="0003602D"/>
    <w:rsid w:val="000367D0"/>
    <w:rsid w:val="000376EC"/>
    <w:rsid w:val="00037786"/>
    <w:rsid w:val="000378E9"/>
    <w:rsid w:val="00037B16"/>
    <w:rsid w:val="00037E96"/>
    <w:rsid w:val="00037EB1"/>
    <w:rsid w:val="00037F29"/>
    <w:rsid w:val="0004049E"/>
    <w:rsid w:val="00040A1A"/>
    <w:rsid w:val="00040A27"/>
    <w:rsid w:val="00040A7D"/>
    <w:rsid w:val="00040EF1"/>
    <w:rsid w:val="000412C4"/>
    <w:rsid w:val="00041BA3"/>
    <w:rsid w:val="0004258D"/>
    <w:rsid w:val="000429E6"/>
    <w:rsid w:val="0004369C"/>
    <w:rsid w:val="00044463"/>
    <w:rsid w:val="00044D4D"/>
    <w:rsid w:val="00044F20"/>
    <w:rsid w:val="00045654"/>
    <w:rsid w:val="00045A21"/>
    <w:rsid w:val="000465AB"/>
    <w:rsid w:val="00046FD0"/>
    <w:rsid w:val="00047282"/>
    <w:rsid w:val="0004768E"/>
    <w:rsid w:val="00052395"/>
    <w:rsid w:val="00052D78"/>
    <w:rsid w:val="00053B65"/>
    <w:rsid w:val="00053B9F"/>
    <w:rsid w:val="00054005"/>
    <w:rsid w:val="00055138"/>
    <w:rsid w:val="000552DF"/>
    <w:rsid w:val="00055772"/>
    <w:rsid w:val="00055854"/>
    <w:rsid w:val="00055949"/>
    <w:rsid w:val="00055C12"/>
    <w:rsid w:val="00055DAC"/>
    <w:rsid w:val="00055FD3"/>
    <w:rsid w:val="000565FA"/>
    <w:rsid w:val="00056807"/>
    <w:rsid w:val="00056E86"/>
    <w:rsid w:val="00057066"/>
    <w:rsid w:val="00057335"/>
    <w:rsid w:val="0005788C"/>
    <w:rsid w:val="00061D45"/>
    <w:rsid w:val="0006228E"/>
    <w:rsid w:val="000622D4"/>
    <w:rsid w:val="00062369"/>
    <w:rsid w:val="0006247C"/>
    <w:rsid w:val="0006340C"/>
    <w:rsid w:val="00063879"/>
    <w:rsid w:val="00063B18"/>
    <w:rsid w:val="00063F34"/>
    <w:rsid w:val="000642AB"/>
    <w:rsid w:val="00064BBF"/>
    <w:rsid w:val="000657B6"/>
    <w:rsid w:val="00065ABA"/>
    <w:rsid w:val="00065B1A"/>
    <w:rsid w:val="0006607C"/>
    <w:rsid w:val="00066601"/>
    <w:rsid w:val="00066BEB"/>
    <w:rsid w:val="00067478"/>
    <w:rsid w:val="000676C4"/>
    <w:rsid w:val="00070439"/>
    <w:rsid w:val="00070EF4"/>
    <w:rsid w:val="0007118D"/>
    <w:rsid w:val="00071A1C"/>
    <w:rsid w:val="00071DE9"/>
    <w:rsid w:val="00072249"/>
    <w:rsid w:val="000729CF"/>
    <w:rsid w:val="00072A5F"/>
    <w:rsid w:val="00073536"/>
    <w:rsid w:val="00073FE0"/>
    <w:rsid w:val="00075706"/>
    <w:rsid w:val="00075D0D"/>
    <w:rsid w:val="0007694F"/>
    <w:rsid w:val="0007747F"/>
    <w:rsid w:val="00077C83"/>
    <w:rsid w:val="00081175"/>
    <w:rsid w:val="0008141E"/>
    <w:rsid w:val="000817D5"/>
    <w:rsid w:val="00081EDC"/>
    <w:rsid w:val="00082C82"/>
    <w:rsid w:val="0008316A"/>
    <w:rsid w:val="0008465B"/>
    <w:rsid w:val="0008482E"/>
    <w:rsid w:val="00084922"/>
    <w:rsid w:val="00085108"/>
    <w:rsid w:val="00087033"/>
    <w:rsid w:val="000875EC"/>
    <w:rsid w:val="000876CA"/>
    <w:rsid w:val="000901C6"/>
    <w:rsid w:val="000902FE"/>
    <w:rsid w:val="000908D8"/>
    <w:rsid w:val="00091244"/>
    <w:rsid w:val="00092155"/>
    <w:rsid w:val="00092635"/>
    <w:rsid w:val="00092AB4"/>
    <w:rsid w:val="00092CED"/>
    <w:rsid w:val="00093092"/>
    <w:rsid w:val="0009318B"/>
    <w:rsid w:val="00093D1F"/>
    <w:rsid w:val="00094561"/>
    <w:rsid w:val="00095A17"/>
    <w:rsid w:val="00095DCF"/>
    <w:rsid w:val="0009630D"/>
    <w:rsid w:val="0009691D"/>
    <w:rsid w:val="0009731E"/>
    <w:rsid w:val="000976CD"/>
    <w:rsid w:val="000A054E"/>
    <w:rsid w:val="000A059A"/>
    <w:rsid w:val="000A082E"/>
    <w:rsid w:val="000A15B9"/>
    <w:rsid w:val="000A2162"/>
    <w:rsid w:val="000A2C9E"/>
    <w:rsid w:val="000A31E8"/>
    <w:rsid w:val="000A3A0E"/>
    <w:rsid w:val="000A45C8"/>
    <w:rsid w:val="000A48A2"/>
    <w:rsid w:val="000A49B2"/>
    <w:rsid w:val="000A4D50"/>
    <w:rsid w:val="000A56B3"/>
    <w:rsid w:val="000A5B14"/>
    <w:rsid w:val="000A5E4B"/>
    <w:rsid w:val="000A6D6F"/>
    <w:rsid w:val="000A7045"/>
    <w:rsid w:val="000A77A4"/>
    <w:rsid w:val="000A7BF4"/>
    <w:rsid w:val="000B0FA6"/>
    <w:rsid w:val="000B1837"/>
    <w:rsid w:val="000B2343"/>
    <w:rsid w:val="000B26F2"/>
    <w:rsid w:val="000B3AAF"/>
    <w:rsid w:val="000B4D4D"/>
    <w:rsid w:val="000B4F51"/>
    <w:rsid w:val="000B4FDE"/>
    <w:rsid w:val="000B69E5"/>
    <w:rsid w:val="000B7255"/>
    <w:rsid w:val="000B78DD"/>
    <w:rsid w:val="000B7ADA"/>
    <w:rsid w:val="000C06E1"/>
    <w:rsid w:val="000C0F24"/>
    <w:rsid w:val="000C20B1"/>
    <w:rsid w:val="000C2451"/>
    <w:rsid w:val="000C2576"/>
    <w:rsid w:val="000C2C4F"/>
    <w:rsid w:val="000C326C"/>
    <w:rsid w:val="000C3ECB"/>
    <w:rsid w:val="000C55C0"/>
    <w:rsid w:val="000C58E4"/>
    <w:rsid w:val="000C6133"/>
    <w:rsid w:val="000C6B9C"/>
    <w:rsid w:val="000C6F25"/>
    <w:rsid w:val="000C713A"/>
    <w:rsid w:val="000D009E"/>
    <w:rsid w:val="000D08CD"/>
    <w:rsid w:val="000D290D"/>
    <w:rsid w:val="000D2CCA"/>
    <w:rsid w:val="000D37A1"/>
    <w:rsid w:val="000D3BF9"/>
    <w:rsid w:val="000D4780"/>
    <w:rsid w:val="000D48B6"/>
    <w:rsid w:val="000D6338"/>
    <w:rsid w:val="000D663C"/>
    <w:rsid w:val="000D6749"/>
    <w:rsid w:val="000D695B"/>
    <w:rsid w:val="000D75C2"/>
    <w:rsid w:val="000D76AD"/>
    <w:rsid w:val="000D7B87"/>
    <w:rsid w:val="000E04A4"/>
    <w:rsid w:val="000E0543"/>
    <w:rsid w:val="000E0A37"/>
    <w:rsid w:val="000E19FF"/>
    <w:rsid w:val="000E1A8A"/>
    <w:rsid w:val="000E26ED"/>
    <w:rsid w:val="000E2D7F"/>
    <w:rsid w:val="000E2F2C"/>
    <w:rsid w:val="000E3097"/>
    <w:rsid w:val="000E3101"/>
    <w:rsid w:val="000E3419"/>
    <w:rsid w:val="000E36A5"/>
    <w:rsid w:val="000E4066"/>
    <w:rsid w:val="000E4864"/>
    <w:rsid w:val="000E48C1"/>
    <w:rsid w:val="000E4A0D"/>
    <w:rsid w:val="000E4A1E"/>
    <w:rsid w:val="000E568A"/>
    <w:rsid w:val="000E5873"/>
    <w:rsid w:val="000E632A"/>
    <w:rsid w:val="000E70E1"/>
    <w:rsid w:val="000E7246"/>
    <w:rsid w:val="000E78CD"/>
    <w:rsid w:val="000E795F"/>
    <w:rsid w:val="000E7A83"/>
    <w:rsid w:val="000EA576"/>
    <w:rsid w:val="000F0A43"/>
    <w:rsid w:val="000F0AC1"/>
    <w:rsid w:val="000F113E"/>
    <w:rsid w:val="000F19D5"/>
    <w:rsid w:val="000F1B2A"/>
    <w:rsid w:val="000F2127"/>
    <w:rsid w:val="000F3502"/>
    <w:rsid w:val="000F3B06"/>
    <w:rsid w:val="000F4ECA"/>
    <w:rsid w:val="000F545B"/>
    <w:rsid w:val="000F5516"/>
    <w:rsid w:val="000F57A5"/>
    <w:rsid w:val="000F6078"/>
    <w:rsid w:val="000F6AC4"/>
    <w:rsid w:val="000F7655"/>
    <w:rsid w:val="000F7A2E"/>
    <w:rsid w:val="000F7BF4"/>
    <w:rsid w:val="001008DF"/>
    <w:rsid w:val="00100938"/>
    <w:rsid w:val="00100A1D"/>
    <w:rsid w:val="00101139"/>
    <w:rsid w:val="0010258F"/>
    <w:rsid w:val="001028E1"/>
    <w:rsid w:val="00102F2C"/>
    <w:rsid w:val="001041D9"/>
    <w:rsid w:val="00104270"/>
    <w:rsid w:val="0010443B"/>
    <w:rsid w:val="001045E8"/>
    <w:rsid w:val="00104D06"/>
    <w:rsid w:val="0010541F"/>
    <w:rsid w:val="001064AD"/>
    <w:rsid w:val="00106FBA"/>
    <w:rsid w:val="001070B7"/>
    <w:rsid w:val="00107F95"/>
    <w:rsid w:val="001103AD"/>
    <w:rsid w:val="00111269"/>
    <w:rsid w:val="00111293"/>
    <w:rsid w:val="0011233C"/>
    <w:rsid w:val="00113191"/>
    <w:rsid w:val="00113897"/>
    <w:rsid w:val="00113A40"/>
    <w:rsid w:val="0011408C"/>
    <w:rsid w:val="0011467E"/>
    <w:rsid w:val="001149EF"/>
    <w:rsid w:val="00114BD3"/>
    <w:rsid w:val="00114EF0"/>
    <w:rsid w:val="001155EB"/>
    <w:rsid w:val="00115883"/>
    <w:rsid w:val="00115FC5"/>
    <w:rsid w:val="0011657F"/>
    <w:rsid w:val="00116E87"/>
    <w:rsid w:val="0011705D"/>
    <w:rsid w:val="0011784E"/>
    <w:rsid w:val="00120789"/>
    <w:rsid w:val="00120820"/>
    <w:rsid w:val="001212E8"/>
    <w:rsid w:val="00121705"/>
    <w:rsid w:val="001228DF"/>
    <w:rsid w:val="00122CD9"/>
    <w:rsid w:val="00122E24"/>
    <w:rsid w:val="00123BBD"/>
    <w:rsid w:val="00123E31"/>
    <w:rsid w:val="001249F6"/>
    <w:rsid w:val="00124DF4"/>
    <w:rsid w:val="001251C2"/>
    <w:rsid w:val="00126931"/>
    <w:rsid w:val="001300E5"/>
    <w:rsid w:val="0013020E"/>
    <w:rsid w:val="00130996"/>
    <w:rsid w:val="00130E5D"/>
    <w:rsid w:val="00131979"/>
    <w:rsid w:val="001327EC"/>
    <w:rsid w:val="00133AEE"/>
    <w:rsid w:val="00135A67"/>
    <w:rsid w:val="00136C31"/>
    <w:rsid w:val="00136F43"/>
    <w:rsid w:val="0013732B"/>
    <w:rsid w:val="0013744E"/>
    <w:rsid w:val="0013781F"/>
    <w:rsid w:val="00137996"/>
    <w:rsid w:val="00137A4D"/>
    <w:rsid w:val="00137B31"/>
    <w:rsid w:val="00137BBB"/>
    <w:rsid w:val="00137CF7"/>
    <w:rsid w:val="00140011"/>
    <w:rsid w:val="00140069"/>
    <w:rsid w:val="00141590"/>
    <w:rsid w:val="00141793"/>
    <w:rsid w:val="00141D0B"/>
    <w:rsid w:val="0014287A"/>
    <w:rsid w:val="00142B4B"/>
    <w:rsid w:val="00143664"/>
    <w:rsid w:val="00144068"/>
    <w:rsid w:val="001457A4"/>
    <w:rsid w:val="00147A27"/>
    <w:rsid w:val="00147A70"/>
    <w:rsid w:val="00152274"/>
    <w:rsid w:val="001522B2"/>
    <w:rsid w:val="00152CF5"/>
    <w:rsid w:val="00152EB1"/>
    <w:rsid w:val="00153265"/>
    <w:rsid w:val="00153A1A"/>
    <w:rsid w:val="00153DBA"/>
    <w:rsid w:val="0015488A"/>
    <w:rsid w:val="00155971"/>
    <w:rsid w:val="00156019"/>
    <w:rsid w:val="00156514"/>
    <w:rsid w:val="001569C0"/>
    <w:rsid w:val="00156A91"/>
    <w:rsid w:val="00157060"/>
    <w:rsid w:val="00160484"/>
    <w:rsid w:val="00160645"/>
    <w:rsid w:val="0016094F"/>
    <w:rsid w:val="00160E95"/>
    <w:rsid w:val="00161123"/>
    <w:rsid w:val="0016225F"/>
    <w:rsid w:val="001629BB"/>
    <w:rsid w:val="00162D15"/>
    <w:rsid w:val="00163994"/>
    <w:rsid w:val="00163E8E"/>
    <w:rsid w:val="00164521"/>
    <w:rsid w:val="00166D93"/>
    <w:rsid w:val="00167463"/>
    <w:rsid w:val="00167561"/>
    <w:rsid w:val="00167A60"/>
    <w:rsid w:val="00167DCC"/>
    <w:rsid w:val="00170BB4"/>
    <w:rsid w:val="00170FC9"/>
    <w:rsid w:val="00171BE8"/>
    <w:rsid w:val="00172854"/>
    <w:rsid w:val="00173EB5"/>
    <w:rsid w:val="00175103"/>
    <w:rsid w:val="001765B6"/>
    <w:rsid w:val="00177080"/>
    <w:rsid w:val="001773A9"/>
    <w:rsid w:val="0017788F"/>
    <w:rsid w:val="00177A04"/>
    <w:rsid w:val="00180D60"/>
    <w:rsid w:val="00180DD8"/>
    <w:rsid w:val="00181839"/>
    <w:rsid w:val="00182289"/>
    <w:rsid w:val="00182B15"/>
    <w:rsid w:val="00182F43"/>
    <w:rsid w:val="001847F7"/>
    <w:rsid w:val="0018554F"/>
    <w:rsid w:val="00185CB5"/>
    <w:rsid w:val="00185CCF"/>
    <w:rsid w:val="00185F0B"/>
    <w:rsid w:val="00186109"/>
    <w:rsid w:val="0018610A"/>
    <w:rsid w:val="0018757B"/>
    <w:rsid w:val="001917BD"/>
    <w:rsid w:val="001923E7"/>
    <w:rsid w:val="00192A39"/>
    <w:rsid w:val="00193302"/>
    <w:rsid w:val="00193894"/>
    <w:rsid w:val="00193918"/>
    <w:rsid w:val="0019451B"/>
    <w:rsid w:val="001965F4"/>
    <w:rsid w:val="001A0B74"/>
    <w:rsid w:val="001A1954"/>
    <w:rsid w:val="001A392E"/>
    <w:rsid w:val="001A3F13"/>
    <w:rsid w:val="001A416E"/>
    <w:rsid w:val="001A422B"/>
    <w:rsid w:val="001A460A"/>
    <w:rsid w:val="001A4A1E"/>
    <w:rsid w:val="001A5DB2"/>
    <w:rsid w:val="001A630D"/>
    <w:rsid w:val="001A67F9"/>
    <w:rsid w:val="001A7714"/>
    <w:rsid w:val="001A77E7"/>
    <w:rsid w:val="001B02F0"/>
    <w:rsid w:val="001B0C91"/>
    <w:rsid w:val="001B0F1C"/>
    <w:rsid w:val="001B0FEE"/>
    <w:rsid w:val="001B1026"/>
    <w:rsid w:val="001B13F0"/>
    <w:rsid w:val="001B1F01"/>
    <w:rsid w:val="001B27ED"/>
    <w:rsid w:val="001B2AEA"/>
    <w:rsid w:val="001B2B34"/>
    <w:rsid w:val="001B3FFC"/>
    <w:rsid w:val="001B67A1"/>
    <w:rsid w:val="001C046A"/>
    <w:rsid w:val="001C07B0"/>
    <w:rsid w:val="001C0E0A"/>
    <w:rsid w:val="001C15CE"/>
    <w:rsid w:val="001C1A69"/>
    <w:rsid w:val="001C1BB0"/>
    <w:rsid w:val="001C24ED"/>
    <w:rsid w:val="001C2EF1"/>
    <w:rsid w:val="001C2FE0"/>
    <w:rsid w:val="001C35F4"/>
    <w:rsid w:val="001C40A8"/>
    <w:rsid w:val="001C46ED"/>
    <w:rsid w:val="001C4AA4"/>
    <w:rsid w:val="001C4B99"/>
    <w:rsid w:val="001C4FE1"/>
    <w:rsid w:val="001C5017"/>
    <w:rsid w:val="001C62F6"/>
    <w:rsid w:val="001C7668"/>
    <w:rsid w:val="001C792F"/>
    <w:rsid w:val="001C7AE8"/>
    <w:rsid w:val="001D011D"/>
    <w:rsid w:val="001D0A77"/>
    <w:rsid w:val="001D1790"/>
    <w:rsid w:val="001D2065"/>
    <w:rsid w:val="001D2101"/>
    <w:rsid w:val="001D2A19"/>
    <w:rsid w:val="001D35EA"/>
    <w:rsid w:val="001D405F"/>
    <w:rsid w:val="001D4C62"/>
    <w:rsid w:val="001D4D6D"/>
    <w:rsid w:val="001D61B9"/>
    <w:rsid w:val="001D6356"/>
    <w:rsid w:val="001D63A2"/>
    <w:rsid w:val="001D6A7E"/>
    <w:rsid w:val="001D7526"/>
    <w:rsid w:val="001D7777"/>
    <w:rsid w:val="001D7F43"/>
    <w:rsid w:val="001E05D3"/>
    <w:rsid w:val="001E12BB"/>
    <w:rsid w:val="001E1341"/>
    <w:rsid w:val="001E168F"/>
    <w:rsid w:val="001E1CDA"/>
    <w:rsid w:val="001E2178"/>
    <w:rsid w:val="001E220C"/>
    <w:rsid w:val="001E2739"/>
    <w:rsid w:val="001E3427"/>
    <w:rsid w:val="001E381E"/>
    <w:rsid w:val="001E38C6"/>
    <w:rsid w:val="001E3E91"/>
    <w:rsid w:val="001E4762"/>
    <w:rsid w:val="001E47B5"/>
    <w:rsid w:val="001E4D93"/>
    <w:rsid w:val="001E5230"/>
    <w:rsid w:val="001E5B65"/>
    <w:rsid w:val="001E6668"/>
    <w:rsid w:val="001E6964"/>
    <w:rsid w:val="001E6A1F"/>
    <w:rsid w:val="001F0060"/>
    <w:rsid w:val="001F0B38"/>
    <w:rsid w:val="001F0F5B"/>
    <w:rsid w:val="001F1D33"/>
    <w:rsid w:val="001F1ED9"/>
    <w:rsid w:val="001F21B3"/>
    <w:rsid w:val="001F364C"/>
    <w:rsid w:val="001F3A3F"/>
    <w:rsid w:val="001F3C38"/>
    <w:rsid w:val="001F3E60"/>
    <w:rsid w:val="001F4826"/>
    <w:rsid w:val="001F49CA"/>
    <w:rsid w:val="001F4B72"/>
    <w:rsid w:val="001F4D47"/>
    <w:rsid w:val="001F6065"/>
    <w:rsid w:val="001F7192"/>
    <w:rsid w:val="001F75F0"/>
    <w:rsid w:val="001F7644"/>
    <w:rsid w:val="001F7A56"/>
    <w:rsid w:val="002001DB"/>
    <w:rsid w:val="002003AA"/>
    <w:rsid w:val="00200554"/>
    <w:rsid w:val="00200703"/>
    <w:rsid w:val="00200E79"/>
    <w:rsid w:val="00200F1D"/>
    <w:rsid w:val="00202834"/>
    <w:rsid w:val="00203768"/>
    <w:rsid w:val="002038C1"/>
    <w:rsid w:val="00203C17"/>
    <w:rsid w:val="00203C56"/>
    <w:rsid w:val="00203D44"/>
    <w:rsid w:val="002042AC"/>
    <w:rsid w:val="00205A65"/>
    <w:rsid w:val="002061B5"/>
    <w:rsid w:val="0020724F"/>
    <w:rsid w:val="0020729A"/>
    <w:rsid w:val="00207335"/>
    <w:rsid w:val="0020743D"/>
    <w:rsid w:val="002075F9"/>
    <w:rsid w:val="002076EC"/>
    <w:rsid w:val="00207AD4"/>
    <w:rsid w:val="00207C8A"/>
    <w:rsid w:val="00210150"/>
    <w:rsid w:val="00210DED"/>
    <w:rsid w:val="002113A9"/>
    <w:rsid w:val="00211CFE"/>
    <w:rsid w:val="002127B7"/>
    <w:rsid w:val="002133DC"/>
    <w:rsid w:val="00213E8B"/>
    <w:rsid w:val="002142E7"/>
    <w:rsid w:val="002143BF"/>
    <w:rsid w:val="00214853"/>
    <w:rsid w:val="002161AA"/>
    <w:rsid w:val="00216571"/>
    <w:rsid w:val="00216FF4"/>
    <w:rsid w:val="00217942"/>
    <w:rsid w:val="00217CDE"/>
    <w:rsid w:val="002209A7"/>
    <w:rsid w:val="00220B7C"/>
    <w:rsid w:val="00221162"/>
    <w:rsid w:val="0022139F"/>
    <w:rsid w:val="002217A3"/>
    <w:rsid w:val="00221B69"/>
    <w:rsid w:val="00222C56"/>
    <w:rsid w:val="0022306A"/>
    <w:rsid w:val="00223301"/>
    <w:rsid w:val="00223320"/>
    <w:rsid w:val="00223616"/>
    <w:rsid w:val="00223ACC"/>
    <w:rsid w:val="00224354"/>
    <w:rsid w:val="002245FA"/>
    <w:rsid w:val="002246E8"/>
    <w:rsid w:val="00224C65"/>
    <w:rsid w:val="00225AED"/>
    <w:rsid w:val="00225EEE"/>
    <w:rsid w:val="00227E60"/>
    <w:rsid w:val="002302B0"/>
    <w:rsid w:val="00230316"/>
    <w:rsid w:val="002306EA"/>
    <w:rsid w:val="002308E5"/>
    <w:rsid w:val="002311D8"/>
    <w:rsid w:val="00232462"/>
    <w:rsid w:val="0023253E"/>
    <w:rsid w:val="00233BF9"/>
    <w:rsid w:val="0023456D"/>
    <w:rsid w:val="00234F27"/>
    <w:rsid w:val="002350B6"/>
    <w:rsid w:val="00235310"/>
    <w:rsid w:val="002353CD"/>
    <w:rsid w:val="00235592"/>
    <w:rsid w:val="00235729"/>
    <w:rsid w:val="00235A6A"/>
    <w:rsid w:val="00235AC1"/>
    <w:rsid w:val="00235E0B"/>
    <w:rsid w:val="0023634F"/>
    <w:rsid w:val="002369B0"/>
    <w:rsid w:val="002370EC"/>
    <w:rsid w:val="00237B2F"/>
    <w:rsid w:val="0024031D"/>
    <w:rsid w:val="0024065D"/>
    <w:rsid w:val="00240B83"/>
    <w:rsid w:val="00241BF3"/>
    <w:rsid w:val="00241FAA"/>
    <w:rsid w:val="002420DA"/>
    <w:rsid w:val="0024286F"/>
    <w:rsid w:val="00242C87"/>
    <w:rsid w:val="0024407A"/>
    <w:rsid w:val="00244C77"/>
    <w:rsid w:val="00244E36"/>
    <w:rsid w:val="00244ED0"/>
    <w:rsid w:val="0024524F"/>
    <w:rsid w:val="002459CA"/>
    <w:rsid w:val="00245C9D"/>
    <w:rsid w:val="00245F97"/>
    <w:rsid w:val="002467FF"/>
    <w:rsid w:val="002470C1"/>
    <w:rsid w:val="002470EE"/>
    <w:rsid w:val="002476DD"/>
    <w:rsid w:val="002506EC"/>
    <w:rsid w:val="002509EE"/>
    <w:rsid w:val="00251F56"/>
    <w:rsid w:val="002528D6"/>
    <w:rsid w:val="00252CF0"/>
    <w:rsid w:val="00253970"/>
    <w:rsid w:val="002541B2"/>
    <w:rsid w:val="00254A72"/>
    <w:rsid w:val="00254CAE"/>
    <w:rsid w:val="00254FAB"/>
    <w:rsid w:val="002553CD"/>
    <w:rsid w:val="00255813"/>
    <w:rsid w:val="00256B7C"/>
    <w:rsid w:val="00256D79"/>
    <w:rsid w:val="00256E35"/>
    <w:rsid w:val="00256EDE"/>
    <w:rsid w:val="0025727F"/>
    <w:rsid w:val="002572A7"/>
    <w:rsid w:val="002579ED"/>
    <w:rsid w:val="00257BE9"/>
    <w:rsid w:val="00257D76"/>
    <w:rsid w:val="00260157"/>
    <w:rsid w:val="00261204"/>
    <w:rsid w:val="002626C3"/>
    <w:rsid w:val="00262878"/>
    <w:rsid w:val="00264C9B"/>
    <w:rsid w:val="00264D5A"/>
    <w:rsid w:val="00265D55"/>
    <w:rsid w:val="00265EE0"/>
    <w:rsid w:val="0026672D"/>
    <w:rsid w:val="002668FB"/>
    <w:rsid w:val="002671B2"/>
    <w:rsid w:val="002674E5"/>
    <w:rsid w:val="00267583"/>
    <w:rsid w:val="002709A5"/>
    <w:rsid w:val="00270B3C"/>
    <w:rsid w:val="00270BA2"/>
    <w:rsid w:val="00271D7D"/>
    <w:rsid w:val="00271DF3"/>
    <w:rsid w:val="002726C7"/>
    <w:rsid w:val="00272AB3"/>
    <w:rsid w:val="00272DB7"/>
    <w:rsid w:val="0027325A"/>
    <w:rsid w:val="00273BA4"/>
    <w:rsid w:val="00273E38"/>
    <w:rsid w:val="00274059"/>
    <w:rsid w:val="00274D32"/>
    <w:rsid w:val="002757AC"/>
    <w:rsid w:val="0027618C"/>
    <w:rsid w:val="0027626F"/>
    <w:rsid w:val="0027729E"/>
    <w:rsid w:val="002772E4"/>
    <w:rsid w:val="002774E6"/>
    <w:rsid w:val="00277A20"/>
    <w:rsid w:val="00277D56"/>
    <w:rsid w:val="00277DE7"/>
    <w:rsid w:val="0028009E"/>
    <w:rsid w:val="00282F3C"/>
    <w:rsid w:val="00285941"/>
    <w:rsid w:val="002874D4"/>
    <w:rsid w:val="002875F5"/>
    <w:rsid w:val="002904D2"/>
    <w:rsid w:val="00290596"/>
    <w:rsid w:val="00290B63"/>
    <w:rsid w:val="0029183F"/>
    <w:rsid w:val="00291BDB"/>
    <w:rsid w:val="002925B8"/>
    <w:rsid w:val="0029298E"/>
    <w:rsid w:val="00292F8F"/>
    <w:rsid w:val="002936BB"/>
    <w:rsid w:val="0029378A"/>
    <w:rsid w:val="00294235"/>
    <w:rsid w:val="0029581D"/>
    <w:rsid w:val="002959B2"/>
    <w:rsid w:val="0029647A"/>
    <w:rsid w:val="002974C3"/>
    <w:rsid w:val="00297635"/>
    <w:rsid w:val="002978DF"/>
    <w:rsid w:val="002A0384"/>
    <w:rsid w:val="002A073B"/>
    <w:rsid w:val="002A08B4"/>
    <w:rsid w:val="002A2824"/>
    <w:rsid w:val="002A345D"/>
    <w:rsid w:val="002A34B1"/>
    <w:rsid w:val="002A373E"/>
    <w:rsid w:val="002A46F5"/>
    <w:rsid w:val="002A6154"/>
    <w:rsid w:val="002B0421"/>
    <w:rsid w:val="002B0996"/>
    <w:rsid w:val="002B0F36"/>
    <w:rsid w:val="002B192C"/>
    <w:rsid w:val="002B1A13"/>
    <w:rsid w:val="002B1ADE"/>
    <w:rsid w:val="002B1F3B"/>
    <w:rsid w:val="002B1FAB"/>
    <w:rsid w:val="002B22BC"/>
    <w:rsid w:val="002B2721"/>
    <w:rsid w:val="002B3408"/>
    <w:rsid w:val="002B3823"/>
    <w:rsid w:val="002B4F9B"/>
    <w:rsid w:val="002B6FD9"/>
    <w:rsid w:val="002C0AC8"/>
    <w:rsid w:val="002C21FE"/>
    <w:rsid w:val="002C2B97"/>
    <w:rsid w:val="002C3477"/>
    <w:rsid w:val="002C5294"/>
    <w:rsid w:val="002C63AA"/>
    <w:rsid w:val="002C6D38"/>
    <w:rsid w:val="002C6E47"/>
    <w:rsid w:val="002C791D"/>
    <w:rsid w:val="002C7C67"/>
    <w:rsid w:val="002C7DEC"/>
    <w:rsid w:val="002D02D8"/>
    <w:rsid w:val="002D0674"/>
    <w:rsid w:val="002D08ED"/>
    <w:rsid w:val="002D127A"/>
    <w:rsid w:val="002D2335"/>
    <w:rsid w:val="002D2338"/>
    <w:rsid w:val="002D2914"/>
    <w:rsid w:val="002D2A28"/>
    <w:rsid w:val="002D3E5A"/>
    <w:rsid w:val="002D47A2"/>
    <w:rsid w:val="002D4834"/>
    <w:rsid w:val="002D4DF4"/>
    <w:rsid w:val="002D5365"/>
    <w:rsid w:val="002D5464"/>
    <w:rsid w:val="002D5C3D"/>
    <w:rsid w:val="002D5E20"/>
    <w:rsid w:val="002D6B0C"/>
    <w:rsid w:val="002D6DB2"/>
    <w:rsid w:val="002D7C6A"/>
    <w:rsid w:val="002E014B"/>
    <w:rsid w:val="002E0CC4"/>
    <w:rsid w:val="002E1E39"/>
    <w:rsid w:val="002E1EFF"/>
    <w:rsid w:val="002E2829"/>
    <w:rsid w:val="002E2F48"/>
    <w:rsid w:val="002E31FF"/>
    <w:rsid w:val="002E3F49"/>
    <w:rsid w:val="002E441B"/>
    <w:rsid w:val="002E4A18"/>
    <w:rsid w:val="002E4B45"/>
    <w:rsid w:val="002E4ECC"/>
    <w:rsid w:val="002E5C9D"/>
    <w:rsid w:val="002E6054"/>
    <w:rsid w:val="002E61E1"/>
    <w:rsid w:val="002E6965"/>
    <w:rsid w:val="002E7307"/>
    <w:rsid w:val="002E733C"/>
    <w:rsid w:val="002E79E6"/>
    <w:rsid w:val="002F0DC9"/>
    <w:rsid w:val="002F20D9"/>
    <w:rsid w:val="002F2111"/>
    <w:rsid w:val="002F2D81"/>
    <w:rsid w:val="002F3BE8"/>
    <w:rsid w:val="002F4948"/>
    <w:rsid w:val="002F5069"/>
    <w:rsid w:val="002F52B1"/>
    <w:rsid w:val="002F5B05"/>
    <w:rsid w:val="002F5E4D"/>
    <w:rsid w:val="002F6BDA"/>
    <w:rsid w:val="002F6EF2"/>
    <w:rsid w:val="002F760C"/>
    <w:rsid w:val="00300784"/>
    <w:rsid w:val="003012B0"/>
    <w:rsid w:val="00301866"/>
    <w:rsid w:val="00301AA8"/>
    <w:rsid w:val="00302088"/>
    <w:rsid w:val="00302712"/>
    <w:rsid w:val="0030275B"/>
    <w:rsid w:val="00302F59"/>
    <w:rsid w:val="00303118"/>
    <w:rsid w:val="00303C7E"/>
    <w:rsid w:val="00305A9F"/>
    <w:rsid w:val="00305C25"/>
    <w:rsid w:val="00305E27"/>
    <w:rsid w:val="0030600B"/>
    <w:rsid w:val="003068BD"/>
    <w:rsid w:val="00306BB6"/>
    <w:rsid w:val="0030768B"/>
    <w:rsid w:val="00307B22"/>
    <w:rsid w:val="003108FF"/>
    <w:rsid w:val="00310A89"/>
    <w:rsid w:val="00311085"/>
    <w:rsid w:val="00311299"/>
    <w:rsid w:val="003113E0"/>
    <w:rsid w:val="00311AFC"/>
    <w:rsid w:val="00311F33"/>
    <w:rsid w:val="0031211F"/>
    <w:rsid w:val="003121F9"/>
    <w:rsid w:val="003123A5"/>
    <w:rsid w:val="00312CCD"/>
    <w:rsid w:val="00313469"/>
    <w:rsid w:val="00314332"/>
    <w:rsid w:val="0031451B"/>
    <w:rsid w:val="00314DEE"/>
    <w:rsid w:val="0031563E"/>
    <w:rsid w:val="0031572C"/>
    <w:rsid w:val="00315FDA"/>
    <w:rsid w:val="00316174"/>
    <w:rsid w:val="00316298"/>
    <w:rsid w:val="00316A9D"/>
    <w:rsid w:val="00316BAE"/>
    <w:rsid w:val="0031738E"/>
    <w:rsid w:val="003173E7"/>
    <w:rsid w:val="003174F6"/>
    <w:rsid w:val="0032026B"/>
    <w:rsid w:val="00320296"/>
    <w:rsid w:val="00320315"/>
    <w:rsid w:val="00320C79"/>
    <w:rsid w:val="00321E5E"/>
    <w:rsid w:val="00322053"/>
    <w:rsid w:val="00324138"/>
    <w:rsid w:val="00324757"/>
    <w:rsid w:val="00324990"/>
    <w:rsid w:val="003250C9"/>
    <w:rsid w:val="00325285"/>
    <w:rsid w:val="00325310"/>
    <w:rsid w:val="0032629B"/>
    <w:rsid w:val="003263B8"/>
    <w:rsid w:val="0032772D"/>
    <w:rsid w:val="00330309"/>
    <w:rsid w:val="003334B9"/>
    <w:rsid w:val="003334BB"/>
    <w:rsid w:val="00333794"/>
    <w:rsid w:val="003337E9"/>
    <w:rsid w:val="00334129"/>
    <w:rsid w:val="003347D6"/>
    <w:rsid w:val="0033509B"/>
    <w:rsid w:val="00335120"/>
    <w:rsid w:val="00335876"/>
    <w:rsid w:val="00336046"/>
    <w:rsid w:val="00336249"/>
    <w:rsid w:val="003362D4"/>
    <w:rsid w:val="003364FD"/>
    <w:rsid w:val="0033659C"/>
    <w:rsid w:val="003371C3"/>
    <w:rsid w:val="003379D2"/>
    <w:rsid w:val="00337B27"/>
    <w:rsid w:val="00340533"/>
    <w:rsid w:val="0034093E"/>
    <w:rsid w:val="00341A63"/>
    <w:rsid w:val="00341C66"/>
    <w:rsid w:val="003447F3"/>
    <w:rsid w:val="0034485E"/>
    <w:rsid w:val="00344A62"/>
    <w:rsid w:val="003452DF"/>
    <w:rsid w:val="00345615"/>
    <w:rsid w:val="00345725"/>
    <w:rsid w:val="00345BC0"/>
    <w:rsid w:val="00346064"/>
    <w:rsid w:val="00347327"/>
    <w:rsid w:val="00347F48"/>
    <w:rsid w:val="00350167"/>
    <w:rsid w:val="00350E7B"/>
    <w:rsid w:val="003514F5"/>
    <w:rsid w:val="00352A3D"/>
    <w:rsid w:val="00352BC9"/>
    <w:rsid w:val="00353016"/>
    <w:rsid w:val="003538A0"/>
    <w:rsid w:val="0035495D"/>
    <w:rsid w:val="003553FB"/>
    <w:rsid w:val="003554C3"/>
    <w:rsid w:val="00355E16"/>
    <w:rsid w:val="003563FC"/>
    <w:rsid w:val="00356503"/>
    <w:rsid w:val="00357E72"/>
    <w:rsid w:val="00360264"/>
    <w:rsid w:val="0036080E"/>
    <w:rsid w:val="0036088A"/>
    <w:rsid w:val="00361580"/>
    <w:rsid w:val="003615EF"/>
    <w:rsid w:val="00361F28"/>
    <w:rsid w:val="00363DA4"/>
    <w:rsid w:val="00363DC2"/>
    <w:rsid w:val="00364906"/>
    <w:rsid w:val="00364E73"/>
    <w:rsid w:val="00365DF3"/>
    <w:rsid w:val="00365F66"/>
    <w:rsid w:val="00367020"/>
    <w:rsid w:val="00367751"/>
    <w:rsid w:val="00367990"/>
    <w:rsid w:val="003701B8"/>
    <w:rsid w:val="0037310D"/>
    <w:rsid w:val="00373426"/>
    <w:rsid w:val="003737B1"/>
    <w:rsid w:val="00374329"/>
    <w:rsid w:val="003745F3"/>
    <w:rsid w:val="00374FF6"/>
    <w:rsid w:val="0037565B"/>
    <w:rsid w:val="003758BC"/>
    <w:rsid w:val="003759CD"/>
    <w:rsid w:val="00375D91"/>
    <w:rsid w:val="00376996"/>
    <w:rsid w:val="00376A7B"/>
    <w:rsid w:val="00376C47"/>
    <w:rsid w:val="00380087"/>
    <w:rsid w:val="003803AC"/>
    <w:rsid w:val="0038049E"/>
    <w:rsid w:val="00380EB4"/>
    <w:rsid w:val="00381555"/>
    <w:rsid w:val="00381C65"/>
    <w:rsid w:val="00382613"/>
    <w:rsid w:val="00382E4A"/>
    <w:rsid w:val="0038301C"/>
    <w:rsid w:val="00383C4E"/>
    <w:rsid w:val="00383C97"/>
    <w:rsid w:val="00383D7D"/>
    <w:rsid w:val="003846E2"/>
    <w:rsid w:val="003847CA"/>
    <w:rsid w:val="00384B27"/>
    <w:rsid w:val="00384D10"/>
    <w:rsid w:val="003854D8"/>
    <w:rsid w:val="00386F00"/>
    <w:rsid w:val="00387689"/>
    <w:rsid w:val="003900B6"/>
    <w:rsid w:val="0039077D"/>
    <w:rsid w:val="00392664"/>
    <w:rsid w:val="003929C9"/>
    <w:rsid w:val="00392CBB"/>
    <w:rsid w:val="00393944"/>
    <w:rsid w:val="00394E10"/>
    <w:rsid w:val="00394FD8"/>
    <w:rsid w:val="003952C0"/>
    <w:rsid w:val="00395B37"/>
    <w:rsid w:val="00396631"/>
    <w:rsid w:val="003967FD"/>
    <w:rsid w:val="0039686A"/>
    <w:rsid w:val="003969E8"/>
    <w:rsid w:val="00396E82"/>
    <w:rsid w:val="003A082C"/>
    <w:rsid w:val="003A0E88"/>
    <w:rsid w:val="003A1BB7"/>
    <w:rsid w:val="003A2906"/>
    <w:rsid w:val="003A2970"/>
    <w:rsid w:val="003A32AF"/>
    <w:rsid w:val="003A3BE0"/>
    <w:rsid w:val="003A3DB5"/>
    <w:rsid w:val="003A47A4"/>
    <w:rsid w:val="003A6DEB"/>
    <w:rsid w:val="003A7AD2"/>
    <w:rsid w:val="003B022C"/>
    <w:rsid w:val="003B0C0E"/>
    <w:rsid w:val="003B1610"/>
    <w:rsid w:val="003B1674"/>
    <w:rsid w:val="003B16CF"/>
    <w:rsid w:val="003B298D"/>
    <w:rsid w:val="003B36E4"/>
    <w:rsid w:val="003B407A"/>
    <w:rsid w:val="003B6AF0"/>
    <w:rsid w:val="003B6B57"/>
    <w:rsid w:val="003B6E08"/>
    <w:rsid w:val="003B6F63"/>
    <w:rsid w:val="003B7117"/>
    <w:rsid w:val="003B7DA7"/>
    <w:rsid w:val="003B7DB6"/>
    <w:rsid w:val="003C03A1"/>
    <w:rsid w:val="003C0451"/>
    <w:rsid w:val="003C1F97"/>
    <w:rsid w:val="003C20E6"/>
    <w:rsid w:val="003C22EC"/>
    <w:rsid w:val="003C3238"/>
    <w:rsid w:val="003C416F"/>
    <w:rsid w:val="003C45F9"/>
    <w:rsid w:val="003C57B9"/>
    <w:rsid w:val="003C597B"/>
    <w:rsid w:val="003C5F11"/>
    <w:rsid w:val="003C636E"/>
    <w:rsid w:val="003C6667"/>
    <w:rsid w:val="003C7344"/>
    <w:rsid w:val="003D053C"/>
    <w:rsid w:val="003D08F2"/>
    <w:rsid w:val="003D1000"/>
    <w:rsid w:val="003D1334"/>
    <w:rsid w:val="003D1BAE"/>
    <w:rsid w:val="003D25C7"/>
    <w:rsid w:val="003D3BEB"/>
    <w:rsid w:val="003D3FC7"/>
    <w:rsid w:val="003D4A6C"/>
    <w:rsid w:val="003D4D52"/>
    <w:rsid w:val="003D57E2"/>
    <w:rsid w:val="003D620D"/>
    <w:rsid w:val="003D7245"/>
    <w:rsid w:val="003D75BB"/>
    <w:rsid w:val="003E0DB7"/>
    <w:rsid w:val="003E0E10"/>
    <w:rsid w:val="003E1D33"/>
    <w:rsid w:val="003E2337"/>
    <w:rsid w:val="003E3789"/>
    <w:rsid w:val="003E3C3E"/>
    <w:rsid w:val="003E3EC0"/>
    <w:rsid w:val="003E4264"/>
    <w:rsid w:val="003E5505"/>
    <w:rsid w:val="003E580E"/>
    <w:rsid w:val="003E588A"/>
    <w:rsid w:val="003E61C4"/>
    <w:rsid w:val="003E7174"/>
    <w:rsid w:val="003E7AAF"/>
    <w:rsid w:val="003E7D3A"/>
    <w:rsid w:val="003E7F5D"/>
    <w:rsid w:val="003F2880"/>
    <w:rsid w:val="003F2D1B"/>
    <w:rsid w:val="003F3EDF"/>
    <w:rsid w:val="003F4040"/>
    <w:rsid w:val="003F4F49"/>
    <w:rsid w:val="003F5B5C"/>
    <w:rsid w:val="003F6EB6"/>
    <w:rsid w:val="003F7A63"/>
    <w:rsid w:val="004008BB"/>
    <w:rsid w:val="00400CB5"/>
    <w:rsid w:val="004024ED"/>
    <w:rsid w:val="00402E09"/>
    <w:rsid w:val="004031CB"/>
    <w:rsid w:val="00403427"/>
    <w:rsid w:val="00403971"/>
    <w:rsid w:val="00403CC8"/>
    <w:rsid w:val="004041F5"/>
    <w:rsid w:val="0040444F"/>
    <w:rsid w:val="0040525A"/>
    <w:rsid w:val="004053DA"/>
    <w:rsid w:val="00405E3C"/>
    <w:rsid w:val="00406295"/>
    <w:rsid w:val="00406760"/>
    <w:rsid w:val="004068E7"/>
    <w:rsid w:val="00406EDC"/>
    <w:rsid w:val="00407371"/>
    <w:rsid w:val="004104E6"/>
    <w:rsid w:val="00410588"/>
    <w:rsid w:val="00410A27"/>
    <w:rsid w:val="00411301"/>
    <w:rsid w:val="00411B7C"/>
    <w:rsid w:val="00412170"/>
    <w:rsid w:val="00412453"/>
    <w:rsid w:val="00413330"/>
    <w:rsid w:val="00413CBE"/>
    <w:rsid w:val="004140F2"/>
    <w:rsid w:val="00414DF3"/>
    <w:rsid w:val="00415622"/>
    <w:rsid w:val="0041612C"/>
    <w:rsid w:val="00416852"/>
    <w:rsid w:val="00416BBC"/>
    <w:rsid w:val="00417B37"/>
    <w:rsid w:val="00417E3A"/>
    <w:rsid w:val="00420E45"/>
    <w:rsid w:val="004210D9"/>
    <w:rsid w:val="00422C2F"/>
    <w:rsid w:val="004238F7"/>
    <w:rsid w:val="00423F84"/>
    <w:rsid w:val="004251FD"/>
    <w:rsid w:val="00425827"/>
    <w:rsid w:val="00426031"/>
    <w:rsid w:val="004262D2"/>
    <w:rsid w:val="004262D7"/>
    <w:rsid w:val="004264F6"/>
    <w:rsid w:val="004267D2"/>
    <w:rsid w:val="00426CD8"/>
    <w:rsid w:val="00427037"/>
    <w:rsid w:val="004275AF"/>
    <w:rsid w:val="00427E4C"/>
    <w:rsid w:val="00427E91"/>
    <w:rsid w:val="0043043E"/>
    <w:rsid w:val="00430DB2"/>
    <w:rsid w:val="004314A4"/>
    <w:rsid w:val="0043191C"/>
    <w:rsid w:val="00432985"/>
    <w:rsid w:val="00434A8D"/>
    <w:rsid w:val="0043534A"/>
    <w:rsid w:val="0043741A"/>
    <w:rsid w:val="004375E9"/>
    <w:rsid w:val="0044144F"/>
    <w:rsid w:val="00441593"/>
    <w:rsid w:val="00441D08"/>
    <w:rsid w:val="00442218"/>
    <w:rsid w:val="004422A5"/>
    <w:rsid w:val="00442CD2"/>
    <w:rsid w:val="00443233"/>
    <w:rsid w:val="004444C1"/>
    <w:rsid w:val="00444665"/>
    <w:rsid w:val="004449B7"/>
    <w:rsid w:val="00444FB5"/>
    <w:rsid w:val="00445378"/>
    <w:rsid w:val="004454DA"/>
    <w:rsid w:val="0044647E"/>
    <w:rsid w:val="00446574"/>
    <w:rsid w:val="004478DA"/>
    <w:rsid w:val="00447E17"/>
    <w:rsid w:val="004504BE"/>
    <w:rsid w:val="004508AD"/>
    <w:rsid w:val="00450C41"/>
    <w:rsid w:val="00450E4E"/>
    <w:rsid w:val="0045202F"/>
    <w:rsid w:val="00452CFD"/>
    <w:rsid w:val="0045385C"/>
    <w:rsid w:val="00453EF3"/>
    <w:rsid w:val="00453F29"/>
    <w:rsid w:val="00454AC0"/>
    <w:rsid w:val="0045505D"/>
    <w:rsid w:val="0045579F"/>
    <w:rsid w:val="00456BFC"/>
    <w:rsid w:val="00457DDD"/>
    <w:rsid w:val="004603C9"/>
    <w:rsid w:val="00460B87"/>
    <w:rsid w:val="00461A3F"/>
    <w:rsid w:val="00461C0C"/>
    <w:rsid w:val="00461D68"/>
    <w:rsid w:val="00462031"/>
    <w:rsid w:val="00462508"/>
    <w:rsid w:val="00462E52"/>
    <w:rsid w:val="00463177"/>
    <w:rsid w:val="004634BB"/>
    <w:rsid w:val="00463516"/>
    <w:rsid w:val="00463C8E"/>
    <w:rsid w:val="004656DC"/>
    <w:rsid w:val="00465B84"/>
    <w:rsid w:val="00466690"/>
    <w:rsid w:val="004666AF"/>
    <w:rsid w:val="00466A6D"/>
    <w:rsid w:val="00466BE5"/>
    <w:rsid w:val="00467838"/>
    <w:rsid w:val="00467987"/>
    <w:rsid w:val="00467A84"/>
    <w:rsid w:val="0047082B"/>
    <w:rsid w:val="004708B8"/>
    <w:rsid w:val="00470CD8"/>
    <w:rsid w:val="0047165C"/>
    <w:rsid w:val="00471BAD"/>
    <w:rsid w:val="00471F31"/>
    <w:rsid w:val="0047297B"/>
    <w:rsid w:val="004745AF"/>
    <w:rsid w:val="0047533E"/>
    <w:rsid w:val="0047596B"/>
    <w:rsid w:val="004766DD"/>
    <w:rsid w:val="00476EBF"/>
    <w:rsid w:val="00476EC3"/>
    <w:rsid w:val="00477761"/>
    <w:rsid w:val="00477AFC"/>
    <w:rsid w:val="00477BAD"/>
    <w:rsid w:val="0048109D"/>
    <w:rsid w:val="0048147B"/>
    <w:rsid w:val="004816EA"/>
    <w:rsid w:val="0048283A"/>
    <w:rsid w:val="0048333F"/>
    <w:rsid w:val="004833A7"/>
    <w:rsid w:val="00483F31"/>
    <w:rsid w:val="00484BFF"/>
    <w:rsid w:val="0048511E"/>
    <w:rsid w:val="004861CA"/>
    <w:rsid w:val="0048646F"/>
    <w:rsid w:val="00486D16"/>
    <w:rsid w:val="0048769A"/>
    <w:rsid w:val="00487CF8"/>
    <w:rsid w:val="00487E97"/>
    <w:rsid w:val="004900DF"/>
    <w:rsid w:val="004901E8"/>
    <w:rsid w:val="00490535"/>
    <w:rsid w:val="00490562"/>
    <w:rsid w:val="004906CF"/>
    <w:rsid w:val="004910BD"/>
    <w:rsid w:val="00491228"/>
    <w:rsid w:val="0049122E"/>
    <w:rsid w:val="00492BF6"/>
    <w:rsid w:val="00492F66"/>
    <w:rsid w:val="00493161"/>
    <w:rsid w:val="004935C5"/>
    <w:rsid w:val="004947DA"/>
    <w:rsid w:val="004947E3"/>
    <w:rsid w:val="004962B7"/>
    <w:rsid w:val="004966D5"/>
    <w:rsid w:val="00496821"/>
    <w:rsid w:val="00496F64"/>
    <w:rsid w:val="00496F9A"/>
    <w:rsid w:val="004972C6"/>
    <w:rsid w:val="00497906"/>
    <w:rsid w:val="00497DA3"/>
    <w:rsid w:val="00497F5D"/>
    <w:rsid w:val="004A0CC9"/>
    <w:rsid w:val="004A0E6A"/>
    <w:rsid w:val="004A0FB5"/>
    <w:rsid w:val="004A15D6"/>
    <w:rsid w:val="004A16A1"/>
    <w:rsid w:val="004A1BE0"/>
    <w:rsid w:val="004A22E7"/>
    <w:rsid w:val="004A25C1"/>
    <w:rsid w:val="004A2D3D"/>
    <w:rsid w:val="004A3256"/>
    <w:rsid w:val="004A41C0"/>
    <w:rsid w:val="004A4A72"/>
    <w:rsid w:val="004A5C29"/>
    <w:rsid w:val="004A6B3E"/>
    <w:rsid w:val="004A6DF5"/>
    <w:rsid w:val="004A7CF5"/>
    <w:rsid w:val="004B0B93"/>
    <w:rsid w:val="004B0F37"/>
    <w:rsid w:val="004B14EA"/>
    <w:rsid w:val="004B1669"/>
    <w:rsid w:val="004B2019"/>
    <w:rsid w:val="004B2142"/>
    <w:rsid w:val="004B21BE"/>
    <w:rsid w:val="004B268C"/>
    <w:rsid w:val="004B3088"/>
    <w:rsid w:val="004B3400"/>
    <w:rsid w:val="004B4180"/>
    <w:rsid w:val="004B4219"/>
    <w:rsid w:val="004B51B2"/>
    <w:rsid w:val="004B5BC1"/>
    <w:rsid w:val="004B62CE"/>
    <w:rsid w:val="004B6A45"/>
    <w:rsid w:val="004B7674"/>
    <w:rsid w:val="004B7BC1"/>
    <w:rsid w:val="004C0126"/>
    <w:rsid w:val="004C031F"/>
    <w:rsid w:val="004C0B20"/>
    <w:rsid w:val="004C0C2C"/>
    <w:rsid w:val="004C166C"/>
    <w:rsid w:val="004C1A29"/>
    <w:rsid w:val="004C1A8A"/>
    <w:rsid w:val="004C1FDD"/>
    <w:rsid w:val="004C2118"/>
    <w:rsid w:val="004C22BA"/>
    <w:rsid w:val="004C2D68"/>
    <w:rsid w:val="004C2E34"/>
    <w:rsid w:val="004C2E53"/>
    <w:rsid w:val="004C2F88"/>
    <w:rsid w:val="004C348F"/>
    <w:rsid w:val="004C36A6"/>
    <w:rsid w:val="004C3890"/>
    <w:rsid w:val="004C4446"/>
    <w:rsid w:val="004C52F3"/>
    <w:rsid w:val="004C601E"/>
    <w:rsid w:val="004C7282"/>
    <w:rsid w:val="004C734D"/>
    <w:rsid w:val="004D07E5"/>
    <w:rsid w:val="004D0DF7"/>
    <w:rsid w:val="004D262D"/>
    <w:rsid w:val="004D2D5A"/>
    <w:rsid w:val="004D2DB6"/>
    <w:rsid w:val="004D3252"/>
    <w:rsid w:val="004D3692"/>
    <w:rsid w:val="004D3E34"/>
    <w:rsid w:val="004D40F1"/>
    <w:rsid w:val="004D4F9E"/>
    <w:rsid w:val="004D58DF"/>
    <w:rsid w:val="004D5966"/>
    <w:rsid w:val="004D63F1"/>
    <w:rsid w:val="004D6B26"/>
    <w:rsid w:val="004D780C"/>
    <w:rsid w:val="004D7CCC"/>
    <w:rsid w:val="004D7D9F"/>
    <w:rsid w:val="004D7FF5"/>
    <w:rsid w:val="004E0BA7"/>
    <w:rsid w:val="004E199E"/>
    <w:rsid w:val="004E1B6A"/>
    <w:rsid w:val="004E1BAD"/>
    <w:rsid w:val="004E232D"/>
    <w:rsid w:val="004E23B3"/>
    <w:rsid w:val="004E25B2"/>
    <w:rsid w:val="004E26A3"/>
    <w:rsid w:val="004E2E17"/>
    <w:rsid w:val="004E304C"/>
    <w:rsid w:val="004E4165"/>
    <w:rsid w:val="004E43BE"/>
    <w:rsid w:val="004E55E6"/>
    <w:rsid w:val="004E5A54"/>
    <w:rsid w:val="004E6379"/>
    <w:rsid w:val="004E6398"/>
    <w:rsid w:val="004E65D0"/>
    <w:rsid w:val="004E6B4E"/>
    <w:rsid w:val="004E6EFD"/>
    <w:rsid w:val="004E7AC0"/>
    <w:rsid w:val="004E7B30"/>
    <w:rsid w:val="004E7C8E"/>
    <w:rsid w:val="004E7E06"/>
    <w:rsid w:val="004E7E7A"/>
    <w:rsid w:val="004E7F70"/>
    <w:rsid w:val="004F039A"/>
    <w:rsid w:val="004F06C4"/>
    <w:rsid w:val="004F0D3D"/>
    <w:rsid w:val="004F140F"/>
    <w:rsid w:val="004F2267"/>
    <w:rsid w:val="004F2BF7"/>
    <w:rsid w:val="004F3D2C"/>
    <w:rsid w:val="004F3F24"/>
    <w:rsid w:val="004F4017"/>
    <w:rsid w:val="004F4103"/>
    <w:rsid w:val="004F4A02"/>
    <w:rsid w:val="004F4D65"/>
    <w:rsid w:val="004F5AA1"/>
    <w:rsid w:val="004F5B0F"/>
    <w:rsid w:val="004F5B36"/>
    <w:rsid w:val="004F5DC9"/>
    <w:rsid w:val="004F6174"/>
    <w:rsid w:val="004F64A6"/>
    <w:rsid w:val="004F718A"/>
    <w:rsid w:val="004F759E"/>
    <w:rsid w:val="004F7C5A"/>
    <w:rsid w:val="00500549"/>
    <w:rsid w:val="005008EF"/>
    <w:rsid w:val="005010BD"/>
    <w:rsid w:val="00501549"/>
    <w:rsid w:val="005018B2"/>
    <w:rsid w:val="00502573"/>
    <w:rsid w:val="00502723"/>
    <w:rsid w:val="005030C1"/>
    <w:rsid w:val="005030D7"/>
    <w:rsid w:val="005033A6"/>
    <w:rsid w:val="00504F12"/>
    <w:rsid w:val="0050513E"/>
    <w:rsid w:val="005055A9"/>
    <w:rsid w:val="005055C9"/>
    <w:rsid w:val="005064B6"/>
    <w:rsid w:val="005072C5"/>
    <w:rsid w:val="00507F98"/>
    <w:rsid w:val="005107BE"/>
    <w:rsid w:val="0051146A"/>
    <w:rsid w:val="00512325"/>
    <w:rsid w:val="005124E1"/>
    <w:rsid w:val="00512878"/>
    <w:rsid w:val="00513C44"/>
    <w:rsid w:val="00514410"/>
    <w:rsid w:val="005144F4"/>
    <w:rsid w:val="00514C52"/>
    <w:rsid w:val="00515C73"/>
    <w:rsid w:val="0051624F"/>
    <w:rsid w:val="0051631A"/>
    <w:rsid w:val="00516451"/>
    <w:rsid w:val="00516F84"/>
    <w:rsid w:val="00520299"/>
    <w:rsid w:val="005218E0"/>
    <w:rsid w:val="00522D32"/>
    <w:rsid w:val="00522E47"/>
    <w:rsid w:val="00523C5E"/>
    <w:rsid w:val="00524795"/>
    <w:rsid w:val="00525156"/>
    <w:rsid w:val="005254F9"/>
    <w:rsid w:val="00526966"/>
    <w:rsid w:val="0052696C"/>
    <w:rsid w:val="00526E1F"/>
    <w:rsid w:val="00527467"/>
    <w:rsid w:val="00530856"/>
    <w:rsid w:val="005318E1"/>
    <w:rsid w:val="00531E71"/>
    <w:rsid w:val="00532FAF"/>
    <w:rsid w:val="00533DA8"/>
    <w:rsid w:val="00534FB7"/>
    <w:rsid w:val="005362DA"/>
    <w:rsid w:val="005366B7"/>
    <w:rsid w:val="005367E2"/>
    <w:rsid w:val="005368CC"/>
    <w:rsid w:val="00536E81"/>
    <w:rsid w:val="005371C3"/>
    <w:rsid w:val="0054051B"/>
    <w:rsid w:val="0054082A"/>
    <w:rsid w:val="00541513"/>
    <w:rsid w:val="00542991"/>
    <w:rsid w:val="00543FDE"/>
    <w:rsid w:val="00544247"/>
    <w:rsid w:val="005442A3"/>
    <w:rsid w:val="00544789"/>
    <w:rsid w:val="00544B2A"/>
    <w:rsid w:val="00545E7E"/>
    <w:rsid w:val="00546409"/>
    <w:rsid w:val="005479B1"/>
    <w:rsid w:val="00547FE5"/>
    <w:rsid w:val="00552540"/>
    <w:rsid w:val="0055321E"/>
    <w:rsid w:val="0055349F"/>
    <w:rsid w:val="00553BC2"/>
    <w:rsid w:val="00553D20"/>
    <w:rsid w:val="00553D74"/>
    <w:rsid w:val="005540F2"/>
    <w:rsid w:val="00555207"/>
    <w:rsid w:val="0055526F"/>
    <w:rsid w:val="00555273"/>
    <w:rsid w:val="00555747"/>
    <w:rsid w:val="00555822"/>
    <w:rsid w:val="00555DBC"/>
    <w:rsid w:val="00555EFC"/>
    <w:rsid w:val="00556369"/>
    <w:rsid w:val="005579A2"/>
    <w:rsid w:val="00557B0A"/>
    <w:rsid w:val="005601A3"/>
    <w:rsid w:val="00562093"/>
    <w:rsid w:val="00562251"/>
    <w:rsid w:val="005624DE"/>
    <w:rsid w:val="00562C6E"/>
    <w:rsid w:val="0056376B"/>
    <w:rsid w:val="005637C9"/>
    <w:rsid w:val="005647DE"/>
    <w:rsid w:val="00565240"/>
    <w:rsid w:val="005653DA"/>
    <w:rsid w:val="00565A6C"/>
    <w:rsid w:val="00565CCA"/>
    <w:rsid w:val="00566048"/>
    <w:rsid w:val="005667E1"/>
    <w:rsid w:val="005679AC"/>
    <w:rsid w:val="005704E7"/>
    <w:rsid w:val="005707E3"/>
    <w:rsid w:val="00570C80"/>
    <w:rsid w:val="00570D43"/>
    <w:rsid w:val="00570FFC"/>
    <w:rsid w:val="005714CB"/>
    <w:rsid w:val="00571AD5"/>
    <w:rsid w:val="00572181"/>
    <w:rsid w:val="00573CCA"/>
    <w:rsid w:val="00573D43"/>
    <w:rsid w:val="0057402D"/>
    <w:rsid w:val="00574403"/>
    <w:rsid w:val="00574DC0"/>
    <w:rsid w:val="00574FD5"/>
    <w:rsid w:val="0057568E"/>
    <w:rsid w:val="00575D08"/>
    <w:rsid w:val="00575EAA"/>
    <w:rsid w:val="0057647E"/>
    <w:rsid w:val="00577161"/>
    <w:rsid w:val="00577568"/>
    <w:rsid w:val="005775B1"/>
    <w:rsid w:val="005777A9"/>
    <w:rsid w:val="005803B5"/>
    <w:rsid w:val="005803E6"/>
    <w:rsid w:val="00580A71"/>
    <w:rsid w:val="00581081"/>
    <w:rsid w:val="00582143"/>
    <w:rsid w:val="0058218E"/>
    <w:rsid w:val="00582D9C"/>
    <w:rsid w:val="00583095"/>
    <w:rsid w:val="0058396E"/>
    <w:rsid w:val="00584FC2"/>
    <w:rsid w:val="005854FA"/>
    <w:rsid w:val="005866DC"/>
    <w:rsid w:val="00586D04"/>
    <w:rsid w:val="00590011"/>
    <w:rsid w:val="0059020C"/>
    <w:rsid w:val="005903B6"/>
    <w:rsid w:val="00591437"/>
    <w:rsid w:val="00592078"/>
    <w:rsid w:val="00592D1D"/>
    <w:rsid w:val="0059373D"/>
    <w:rsid w:val="0059415E"/>
    <w:rsid w:val="0059466E"/>
    <w:rsid w:val="00594F8F"/>
    <w:rsid w:val="005951D9"/>
    <w:rsid w:val="00595528"/>
    <w:rsid w:val="00596622"/>
    <w:rsid w:val="00597265"/>
    <w:rsid w:val="0059746A"/>
    <w:rsid w:val="00597AA1"/>
    <w:rsid w:val="005A0FDD"/>
    <w:rsid w:val="005A0FFD"/>
    <w:rsid w:val="005A1F7E"/>
    <w:rsid w:val="005A2407"/>
    <w:rsid w:val="005A2A0B"/>
    <w:rsid w:val="005A313A"/>
    <w:rsid w:val="005A3BD4"/>
    <w:rsid w:val="005A4DA9"/>
    <w:rsid w:val="005A67AF"/>
    <w:rsid w:val="005A67C0"/>
    <w:rsid w:val="005A7310"/>
    <w:rsid w:val="005B0289"/>
    <w:rsid w:val="005B0B41"/>
    <w:rsid w:val="005B0EBD"/>
    <w:rsid w:val="005B10FE"/>
    <w:rsid w:val="005B1C79"/>
    <w:rsid w:val="005B2CB1"/>
    <w:rsid w:val="005B2FB1"/>
    <w:rsid w:val="005B319A"/>
    <w:rsid w:val="005B3696"/>
    <w:rsid w:val="005B3F12"/>
    <w:rsid w:val="005B502C"/>
    <w:rsid w:val="005B54D5"/>
    <w:rsid w:val="005B59F6"/>
    <w:rsid w:val="005B61B7"/>
    <w:rsid w:val="005B6F63"/>
    <w:rsid w:val="005B6FC1"/>
    <w:rsid w:val="005B76B7"/>
    <w:rsid w:val="005B78B4"/>
    <w:rsid w:val="005C049A"/>
    <w:rsid w:val="005C0899"/>
    <w:rsid w:val="005C1A0B"/>
    <w:rsid w:val="005C1B98"/>
    <w:rsid w:val="005C21AF"/>
    <w:rsid w:val="005C2B4C"/>
    <w:rsid w:val="005C2C03"/>
    <w:rsid w:val="005C2C27"/>
    <w:rsid w:val="005C319E"/>
    <w:rsid w:val="005C3237"/>
    <w:rsid w:val="005C3809"/>
    <w:rsid w:val="005C3FEE"/>
    <w:rsid w:val="005C4166"/>
    <w:rsid w:val="005C4596"/>
    <w:rsid w:val="005C48E0"/>
    <w:rsid w:val="005C5D51"/>
    <w:rsid w:val="005C5DC4"/>
    <w:rsid w:val="005C672D"/>
    <w:rsid w:val="005C6B7A"/>
    <w:rsid w:val="005C7C9E"/>
    <w:rsid w:val="005C7DFC"/>
    <w:rsid w:val="005D0BA6"/>
    <w:rsid w:val="005D1F76"/>
    <w:rsid w:val="005D2F39"/>
    <w:rsid w:val="005D3209"/>
    <w:rsid w:val="005D379A"/>
    <w:rsid w:val="005D3CC5"/>
    <w:rsid w:val="005D3E74"/>
    <w:rsid w:val="005D4C8C"/>
    <w:rsid w:val="005D4E0B"/>
    <w:rsid w:val="005D53E0"/>
    <w:rsid w:val="005D5674"/>
    <w:rsid w:val="005D578A"/>
    <w:rsid w:val="005D779E"/>
    <w:rsid w:val="005D7F70"/>
    <w:rsid w:val="005D7FFE"/>
    <w:rsid w:val="005E0517"/>
    <w:rsid w:val="005E05B7"/>
    <w:rsid w:val="005E06F2"/>
    <w:rsid w:val="005E16DB"/>
    <w:rsid w:val="005E1F61"/>
    <w:rsid w:val="005E250D"/>
    <w:rsid w:val="005E30B9"/>
    <w:rsid w:val="005E3755"/>
    <w:rsid w:val="005E39DF"/>
    <w:rsid w:val="005E4EE7"/>
    <w:rsid w:val="005E5396"/>
    <w:rsid w:val="005E7156"/>
    <w:rsid w:val="005F0444"/>
    <w:rsid w:val="005F082B"/>
    <w:rsid w:val="005F14D4"/>
    <w:rsid w:val="005F1889"/>
    <w:rsid w:val="005F1C3B"/>
    <w:rsid w:val="005F2318"/>
    <w:rsid w:val="005F27EF"/>
    <w:rsid w:val="005F2BEF"/>
    <w:rsid w:val="005F35EC"/>
    <w:rsid w:val="005F3997"/>
    <w:rsid w:val="005F47F5"/>
    <w:rsid w:val="005F4A11"/>
    <w:rsid w:val="005F4A62"/>
    <w:rsid w:val="005F4C29"/>
    <w:rsid w:val="005F5138"/>
    <w:rsid w:val="005F51F3"/>
    <w:rsid w:val="005F560F"/>
    <w:rsid w:val="005F67A4"/>
    <w:rsid w:val="005F6952"/>
    <w:rsid w:val="005F6FDB"/>
    <w:rsid w:val="005F717B"/>
    <w:rsid w:val="005F7A0B"/>
    <w:rsid w:val="006003D0"/>
    <w:rsid w:val="00600B4E"/>
    <w:rsid w:val="0060161B"/>
    <w:rsid w:val="00602AE6"/>
    <w:rsid w:val="00602F75"/>
    <w:rsid w:val="0060428E"/>
    <w:rsid w:val="006042CD"/>
    <w:rsid w:val="00604C5A"/>
    <w:rsid w:val="006056BF"/>
    <w:rsid w:val="00605FE4"/>
    <w:rsid w:val="006061CC"/>
    <w:rsid w:val="0060646E"/>
    <w:rsid w:val="00606589"/>
    <w:rsid w:val="00607432"/>
    <w:rsid w:val="00610574"/>
    <w:rsid w:val="00610E0B"/>
    <w:rsid w:val="00611170"/>
    <w:rsid w:val="006112B4"/>
    <w:rsid w:val="006116D1"/>
    <w:rsid w:val="00611902"/>
    <w:rsid w:val="006126D4"/>
    <w:rsid w:val="006128CA"/>
    <w:rsid w:val="00613C59"/>
    <w:rsid w:val="00613D82"/>
    <w:rsid w:val="00614B95"/>
    <w:rsid w:val="006156C2"/>
    <w:rsid w:val="00615DB6"/>
    <w:rsid w:val="00615ED2"/>
    <w:rsid w:val="00615FE5"/>
    <w:rsid w:val="00616807"/>
    <w:rsid w:val="00617B44"/>
    <w:rsid w:val="00620554"/>
    <w:rsid w:val="006210E1"/>
    <w:rsid w:val="00622168"/>
    <w:rsid w:val="00622361"/>
    <w:rsid w:val="00622F06"/>
    <w:rsid w:val="00623424"/>
    <w:rsid w:val="00624EB1"/>
    <w:rsid w:val="00624ECB"/>
    <w:rsid w:val="0062504B"/>
    <w:rsid w:val="00625285"/>
    <w:rsid w:val="00626501"/>
    <w:rsid w:val="00626C07"/>
    <w:rsid w:val="0062725A"/>
    <w:rsid w:val="00630B69"/>
    <w:rsid w:val="00631F43"/>
    <w:rsid w:val="00631FD7"/>
    <w:rsid w:val="00632183"/>
    <w:rsid w:val="00632CCB"/>
    <w:rsid w:val="00634A78"/>
    <w:rsid w:val="006350E8"/>
    <w:rsid w:val="006357DE"/>
    <w:rsid w:val="00635903"/>
    <w:rsid w:val="00635A10"/>
    <w:rsid w:val="00635BDA"/>
    <w:rsid w:val="00635CFB"/>
    <w:rsid w:val="00635E36"/>
    <w:rsid w:val="00636A9A"/>
    <w:rsid w:val="00636C92"/>
    <w:rsid w:val="00636E1A"/>
    <w:rsid w:val="00637945"/>
    <w:rsid w:val="006402F9"/>
    <w:rsid w:val="0064061E"/>
    <w:rsid w:val="00640E1E"/>
    <w:rsid w:val="006412A9"/>
    <w:rsid w:val="006417D3"/>
    <w:rsid w:val="00641B09"/>
    <w:rsid w:val="00641F29"/>
    <w:rsid w:val="0064248C"/>
    <w:rsid w:val="006424AC"/>
    <w:rsid w:val="00642EF0"/>
    <w:rsid w:val="0064481B"/>
    <w:rsid w:val="00644F5F"/>
    <w:rsid w:val="006453A6"/>
    <w:rsid w:val="006458B8"/>
    <w:rsid w:val="006467A7"/>
    <w:rsid w:val="00646B41"/>
    <w:rsid w:val="006476DE"/>
    <w:rsid w:val="00647C24"/>
    <w:rsid w:val="00647D2A"/>
    <w:rsid w:val="00650132"/>
    <w:rsid w:val="00650358"/>
    <w:rsid w:val="006508A9"/>
    <w:rsid w:val="00650C16"/>
    <w:rsid w:val="00651B06"/>
    <w:rsid w:val="00651EDF"/>
    <w:rsid w:val="0065339F"/>
    <w:rsid w:val="006536F0"/>
    <w:rsid w:val="00653AAF"/>
    <w:rsid w:val="00654582"/>
    <w:rsid w:val="00654E77"/>
    <w:rsid w:val="006551E7"/>
    <w:rsid w:val="00655E1A"/>
    <w:rsid w:val="006565E8"/>
    <w:rsid w:val="00657233"/>
    <w:rsid w:val="00662191"/>
    <w:rsid w:val="006641F6"/>
    <w:rsid w:val="00664572"/>
    <w:rsid w:val="00664BC9"/>
    <w:rsid w:val="00665009"/>
    <w:rsid w:val="0066532D"/>
    <w:rsid w:val="0066533A"/>
    <w:rsid w:val="00666429"/>
    <w:rsid w:val="00666CE4"/>
    <w:rsid w:val="00667A14"/>
    <w:rsid w:val="00667A6B"/>
    <w:rsid w:val="00667F49"/>
    <w:rsid w:val="00667F7A"/>
    <w:rsid w:val="00670847"/>
    <w:rsid w:val="0067271C"/>
    <w:rsid w:val="00672AD1"/>
    <w:rsid w:val="00672F88"/>
    <w:rsid w:val="006737E6"/>
    <w:rsid w:val="00673AE9"/>
    <w:rsid w:val="00673F02"/>
    <w:rsid w:val="00673F4E"/>
    <w:rsid w:val="00675063"/>
    <w:rsid w:val="00675AFD"/>
    <w:rsid w:val="0067755A"/>
    <w:rsid w:val="006775B8"/>
    <w:rsid w:val="00677752"/>
    <w:rsid w:val="00677DB0"/>
    <w:rsid w:val="006808D3"/>
    <w:rsid w:val="00681E2B"/>
    <w:rsid w:val="006822D0"/>
    <w:rsid w:val="00682738"/>
    <w:rsid w:val="0068273F"/>
    <w:rsid w:val="006828DB"/>
    <w:rsid w:val="00682C33"/>
    <w:rsid w:val="00682F15"/>
    <w:rsid w:val="00683C27"/>
    <w:rsid w:val="00683F60"/>
    <w:rsid w:val="0068409B"/>
    <w:rsid w:val="006847C2"/>
    <w:rsid w:val="006848B6"/>
    <w:rsid w:val="00684903"/>
    <w:rsid w:val="006853FE"/>
    <w:rsid w:val="006862E1"/>
    <w:rsid w:val="006863C9"/>
    <w:rsid w:val="00686F87"/>
    <w:rsid w:val="00687555"/>
    <w:rsid w:val="00687727"/>
    <w:rsid w:val="00687BB6"/>
    <w:rsid w:val="00690573"/>
    <w:rsid w:val="0069066F"/>
    <w:rsid w:val="00690714"/>
    <w:rsid w:val="0069169F"/>
    <w:rsid w:val="00691A11"/>
    <w:rsid w:val="006929CD"/>
    <w:rsid w:val="006936C8"/>
    <w:rsid w:val="006939DF"/>
    <w:rsid w:val="00693E9E"/>
    <w:rsid w:val="00693F4F"/>
    <w:rsid w:val="0069432F"/>
    <w:rsid w:val="00694A42"/>
    <w:rsid w:val="006954F1"/>
    <w:rsid w:val="00696104"/>
    <w:rsid w:val="00696276"/>
    <w:rsid w:val="00696320"/>
    <w:rsid w:val="00696A9B"/>
    <w:rsid w:val="00696C49"/>
    <w:rsid w:val="00696D3C"/>
    <w:rsid w:val="00696E3D"/>
    <w:rsid w:val="00697456"/>
    <w:rsid w:val="0069786D"/>
    <w:rsid w:val="00697957"/>
    <w:rsid w:val="006A0284"/>
    <w:rsid w:val="006A10AB"/>
    <w:rsid w:val="006A1405"/>
    <w:rsid w:val="006A2566"/>
    <w:rsid w:val="006A2D02"/>
    <w:rsid w:val="006A3007"/>
    <w:rsid w:val="006A33D2"/>
    <w:rsid w:val="006A37C1"/>
    <w:rsid w:val="006A3B89"/>
    <w:rsid w:val="006A3BE0"/>
    <w:rsid w:val="006A46E9"/>
    <w:rsid w:val="006A5201"/>
    <w:rsid w:val="006A5632"/>
    <w:rsid w:val="006A5E7E"/>
    <w:rsid w:val="006A61C8"/>
    <w:rsid w:val="006A624B"/>
    <w:rsid w:val="006A688B"/>
    <w:rsid w:val="006A6BF8"/>
    <w:rsid w:val="006A6CE7"/>
    <w:rsid w:val="006A7186"/>
    <w:rsid w:val="006A7759"/>
    <w:rsid w:val="006B027A"/>
    <w:rsid w:val="006B11DD"/>
    <w:rsid w:val="006B2081"/>
    <w:rsid w:val="006B3948"/>
    <w:rsid w:val="006B3C4F"/>
    <w:rsid w:val="006B3E6E"/>
    <w:rsid w:val="006B483F"/>
    <w:rsid w:val="006B545A"/>
    <w:rsid w:val="006B64FE"/>
    <w:rsid w:val="006B7438"/>
    <w:rsid w:val="006C0B05"/>
    <w:rsid w:val="006C103D"/>
    <w:rsid w:val="006C1305"/>
    <w:rsid w:val="006C163E"/>
    <w:rsid w:val="006C18FB"/>
    <w:rsid w:val="006C1C89"/>
    <w:rsid w:val="006C1E38"/>
    <w:rsid w:val="006C2AD1"/>
    <w:rsid w:val="006C2C81"/>
    <w:rsid w:val="006C2E56"/>
    <w:rsid w:val="006C3480"/>
    <w:rsid w:val="006C375E"/>
    <w:rsid w:val="006C42B3"/>
    <w:rsid w:val="006C4AFE"/>
    <w:rsid w:val="006C4C7A"/>
    <w:rsid w:val="006C62F1"/>
    <w:rsid w:val="006C65DC"/>
    <w:rsid w:val="006C75B0"/>
    <w:rsid w:val="006C767D"/>
    <w:rsid w:val="006C7795"/>
    <w:rsid w:val="006D02AD"/>
    <w:rsid w:val="006D1941"/>
    <w:rsid w:val="006D2038"/>
    <w:rsid w:val="006D23E5"/>
    <w:rsid w:val="006D25A1"/>
    <w:rsid w:val="006D4286"/>
    <w:rsid w:val="006D42B0"/>
    <w:rsid w:val="006D6145"/>
    <w:rsid w:val="006D64DC"/>
    <w:rsid w:val="006D7042"/>
    <w:rsid w:val="006D729C"/>
    <w:rsid w:val="006D746F"/>
    <w:rsid w:val="006D7676"/>
    <w:rsid w:val="006D7F67"/>
    <w:rsid w:val="006E0B7F"/>
    <w:rsid w:val="006E0BEB"/>
    <w:rsid w:val="006E0FCB"/>
    <w:rsid w:val="006E1662"/>
    <w:rsid w:val="006E1696"/>
    <w:rsid w:val="006E1E6C"/>
    <w:rsid w:val="006E1F5E"/>
    <w:rsid w:val="006E32AB"/>
    <w:rsid w:val="006E3EAC"/>
    <w:rsid w:val="006E47C8"/>
    <w:rsid w:val="006E545D"/>
    <w:rsid w:val="006E557D"/>
    <w:rsid w:val="006E6B52"/>
    <w:rsid w:val="006E711A"/>
    <w:rsid w:val="006E717B"/>
    <w:rsid w:val="006E725F"/>
    <w:rsid w:val="006E7691"/>
    <w:rsid w:val="006E789C"/>
    <w:rsid w:val="006F02CE"/>
    <w:rsid w:val="006F11A7"/>
    <w:rsid w:val="006F16DF"/>
    <w:rsid w:val="006F1F0D"/>
    <w:rsid w:val="006F2053"/>
    <w:rsid w:val="006F20E1"/>
    <w:rsid w:val="006F2C42"/>
    <w:rsid w:val="006F3114"/>
    <w:rsid w:val="006F3D43"/>
    <w:rsid w:val="006F3DED"/>
    <w:rsid w:val="006F40A9"/>
    <w:rsid w:val="006F4150"/>
    <w:rsid w:val="006F41E2"/>
    <w:rsid w:val="006F4966"/>
    <w:rsid w:val="006F4A72"/>
    <w:rsid w:val="006F4CF5"/>
    <w:rsid w:val="006F544F"/>
    <w:rsid w:val="006F5A39"/>
    <w:rsid w:val="006F62B0"/>
    <w:rsid w:val="006F631D"/>
    <w:rsid w:val="006F68C4"/>
    <w:rsid w:val="006F72E5"/>
    <w:rsid w:val="006F7E84"/>
    <w:rsid w:val="007008FB"/>
    <w:rsid w:val="00701B4C"/>
    <w:rsid w:val="007020D4"/>
    <w:rsid w:val="00702663"/>
    <w:rsid w:val="00702DAD"/>
    <w:rsid w:val="00703758"/>
    <w:rsid w:val="007039A3"/>
    <w:rsid w:val="00703AF4"/>
    <w:rsid w:val="00703B84"/>
    <w:rsid w:val="00704329"/>
    <w:rsid w:val="00705372"/>
    <w:rsid w:val="00706385"/>
    <w:rsid w:val="00707414"/>
    <w:rsid w:val="00707915"/>
    <w:rsid w:val="007122A2"/>
    <w:rsid w:val="007126DF"/>
    <w:rsid w:val="0071299C"/>
    <w:rsid w:val="00712F68"/>
    <w:rsid w:val="007132A5"/>
    <w:rsid w:val="00713B1D"/>
    <w:rsid w:val="00713F47"/>
    <w:rsid w:val="00713F92"/>
    <w:rsid w:val="007142E5"/>
    <w:rsid w:val="00714CCC"/>
    <w:rsid w:val="007152AB"/>
    <w:rsid w:val="00715CF2"/>
    <w:rsid w:val="00715D54"/>
    <w:rsid w:val="007162A0"/>
    <w:rsid w:val="007163C9"/>
    <w:rsid w:val="007163F3"/>
    <w:rsid w:val="00716670"/>
    <w:rsid w:val="00716C79"/>
    <w:rsid w:val="0071751E"/>
    <w:rsid w:val="0071763A"/>
    <w:rsid w:val="00717B24"/>
    <w:rsid w:val="0072018F"/>
    <w:rsid w:val="007203FE"/>
    <w:rsid w:val="0072047A"/>
    <w:rsid w:val="00720968"/>
    <w:rsid w:val="00720BED"/>
    <w:rsid w:val="00720CF2"/>
    <w:rsid w:val="00721168"/>
    <w:rsid w:val="00721340"/>
    <w:rsid w:val="00721EA3"/>
    <w:rsid w:val="00724FCB"/>
    <w:rsid w:val="00725413"/>
    <w:rsid w:val="00725FAB"/>
    <w:rsid w:val="00726063"/>
    <w:rsid w:val="00726221"/>
    <w:rsid w:val="00726824"/>
    <w:rsid w:val="00727691"/>
    <w:rsid w:val="0073033E"/>
    <w:rsid w:val="0073065E"/>
    <w:rsid w:val="00730B1B"/>
    <w:rsid w:val="00730C32"/>
    <w:rsid w:val="00730C9D"/>
    <w:rsid w:val="0073115A"/>
    <w:rsid w:val="007317CA"/>
    <w:rsid w:val="00731C90"/>
    <w:rsid w:val="007323E8"/>
    <w:rsid w:val="0073291C"/>
    <w:rsid w:val="00733714"/>
    <w:rsid w:val="00733EF9"/>
    <w:rsid w:val="0073572F"/>
    <w:rsid w:val="00736264"/>
    <w:rsid w:val="0073683C"/>
    <w:rsid w:val="0073698B"/>
    <w:rsid w:val="00737A87"/>
    <w:rsid w:val="0074070E"/>
    <w:rsid w:val="007412D5"/>
    <w:rsid w:val="007427E8"/>
    <w:rsid w:val="00742AC5"/>
    <w:rsid w:val="00742F9F"/>
    <w:rsid w:val="0074309F"/>
    <w:rsid w:val="00744342"/>
    <w:rsid w:val="00744711"/>
    <w:rsid w:val="00744870"/>
    <w:rsid w:val="00745394"/>
    <w:rsid w:val="00746C0E"/>
    <w:rsid w:val="00746E82"/>
    <w:rsid w:val="00747590"/>
    <w:rsid w:val="00747F21"/>
    <w:rsid w:val="00751363"/>
    <w:rsid w:val="00751BD0"/>
    <w:rsid w:val="00751DAE"/>
    <w:rsid w:val="00751FE6"/>
    <w:rsid w:val="00753A6C"/>
    <w:rsid w:val="00753D45"/>
    <w:rsid w:val="007542AF"/>
    <w:rsid w:val="00755336"/>
    <w:rsid w:val="007553E3"/>
    <w:rsid w:val="00755A77"/>
    <w:rsid w:val="00756254"/>
    <w:rsid w:val="007568B0"/>
    <w:rsid w:val="0075759A"/>
    <w:rsid w:val="00757DD3"/>
    <w:rsid w:val="00760285"/>
    <w:rsid w:val="007605E5"/>
    <w:rsid w:val="0076138B"/>
    <w:rsid w:val="0076148D"/>
    <w:rsid w:val="00761511"/>
    <w:rsid w:val="00761C72"/>
    <w:rsid w:val="00763834"/>
    <w:rsid w:val="00763A3A"/>
    <w:rsid w:val="00764185"/>
    <w:rsid w:val="00764255"/>
    <w:rsid w:val="007648F5"/>
    <w:rsid w:val="007650FE"/>
    <w:rsid w:val="0076575E"/>
    <w:rsid w:val="00765C24"/>
    <w:rsid w:val="00766537"/>
    <w:rsid w:val="00767AF2"/>
    <w:rsid w:val="00767FDD"/>
    <w:rsid w:val="00770282"/>
    <w:rsid w:val="007704DE"/>
    <w:rsid w:val="00770C00"/>
    <w:rsid w:val="0077141C"/>
    <w:rsid w:val="00771E69"/>
    <w:rsid w:val="007722D7"/>
    <w:rsid w:val="007726F5"/>
    <w:rsid w:val="007739DD"/>
    <w:rsid w:val="00773A98"/>
    <w:rsid w:val="00773E90"/>
    <w:rsid w:val="0077567B"/>
    <w:rsid w:val="007775E9"/>
    <w:rsid w:val="0078043C"/>
    <w:rsid w:val="00780989"/>
    <w:rsid w:val="00780E67"/>
    <w:rsid w:val="00780FF6"/>
    <w:rsid w:val="007817A8"/>
    <w:rsid w:val="00781AB4"/>
    <w:rsid w:val="00781D39"/>
    <w:rsid w:val="007827A4"/>
    <w:rsid w:val="00782806"/>
    <w:rsid w:val="00784631"/>
    <w:rsid w:val="00784EB4"/>
    <w:rsid w:val="0078503C"/>
    <w:rsid w:val="007855F1"/>
    <w:rsid w:val="00785D69"/>
    <w:rsid w:val="007861F5"/>
    <w:rsid w:val="007864B4"/>
    <w:rsid w:val="00787E0B"/>
    <w:rsid w:val="00791ECE"/>
    <w:rsid w:val="0079209E"/>
    <w:rsid w:val="00792BCA"/>
    <w:rsid w:val="00793157"/>
    <w:rsid w:val="00793C6C"/>
    <w:rsid w:val="00793ED6"/>
    <w:rsid w:val="00797516"/>
    <w:rsid w:val="007978FB"/>
    <w:rsid w:val="007979EF"/>
    <w:rsid w:val="00797CC4"/>
    <w:rsid w:val="007A0F87"/>
    <w:rsid w:val="007A1143"/>
    <w:rsid w:val="007A1A29"/>
    <w:rsid w:val="007A28A9"/>
    <w:rsid w:val="007A2A55"/>
    <w:rsid w:val="007A2BD2"/>
    <w:rsid w:val="007A321C"/>
    <w:rsid w:val="007A353B"/>
    <w:rsid w:val="007A37AA"/>
    <w:rsid w:val="007A3B31"/>
    <w:rsid w:val="007A3DB8"/>
    <w:rsid w:val="007A42B7"/>
    <w:rsid w:val="007A503A"/>
    <w:rsid w:val="007A5C8F"/>
    <w:rsid w:val="007A5E68"/>
    <w:rsid w:val="007A6540"/>
    <w:rsid w:val="007A6968"/>
    <w:rsid w:val="007A745C"/>
    <w:rsid w:val="007B025A"/>
    <w:rsid w:val="007B06CC"/>
    <w:rsid w:val="007B0A79"/>
    <w:rsid w:val="007B19B1"/>
    <w:rsid w:val="007B2DB8"/>
    <w:rsid w:val="007B4A01"/>
    <w:rsid w:val="007B4A60"/>
    <w:rsid w:val="007B5618"/>
    <w:rsid w:val="007B5841"/>
    <w:rsid w:val="007B58C8"/>
    <w:rsid w:val="007B62AD"/>
    <w:rsid w:val="007B62F8"/>
    <w:rsid w:val="007B63DE"/>
    <w:rsid w:val="007B6563"/>
    <w:rsid w:val="007B6BF3"/>
    <w:rsid w:val="007B71F6"/>
    <w:rsid w:val="007C0502"/>
    <w:rsid w:val="007C08E9"/>
    <w:rsid w:val="007C0BFD"/>
    <w:rsid w:val="007C1591"/>
    <w:rsid w:val="007C1FD4"/>
    <w:rsid w:val="007C24DB"/>
    <w:rsid w:val="007C2ABA"/>
    <w:rsid w:val="007C2C65"/>
    <w:rsid w:val="007C3B03"/>
    <w:rsid w:val="007C5536"/>
    <w:rsid w:val="007C58A5"/>
    <w:rsid w:val="007C5D16"/>
    <w:rsid w:val="007C63D1"/>
    <w:rsid w:val="007C6619"/>
    <w:rsid w:val="007C68F3"/>
    <w:rsid w:val="007C6FAD"/>
    <w:rsid w:val="007C7C18"/>
    <w:rsid w:val="007D028A"/>
    <w:rsid w:val="007D07E5"/>
    <w:rsid w:val="007D08D9"/>
    <w:rsid w:val="007D18A5"/>
    <w:rsid w:val="007D1BB1"/>
    <w:rsid w:val="007D224C"/>
    <w:rsid w:val="007D2467"/>
    <w:rsid w:val="007D2B5E"/>
    <w:rsid w:val="007D368C"/>
    <w:rsid w:val="007D44B1"/>
    <w:rsid w:val="007D46FD"/>
    <w:rsid w:val="007D4F33"/>
    <w:rsid w:val="007D4F65"/>
    <w:rsid w:val="007D4FD6"/>
    <w:rsid w:val="007D564C"/>
    <w:rsid w:val="007D58A1"/>
    <w:rsid w:val="007D597E"/>
    <w:rsid w:val="007D5C49"/>
    <w:rsid w:val="007D6378"/>
    <w:rsid w:val="007D6D59"/>
    <w:rsid w:val="007E0CA8"/>
    <w:rsid w:val="007E1947"/>
    <w:rsid w:val="007E1F43"/>
    <w:rsid w:val="007E2585"/>
    <w:rsid w:val="007E2EE5"/>
    <w:rsid w:val="007E305C"/>
    <w:rsid w:val="007E3108"/>
    <w:rsid w:val="007E4399"/>
    <w:rsid w:val="007E452D"/>
    <w:rsid w:val="007E5C63"/>
    <w:rsid w:val="007E5F22"/>
    <w:rsid w:val="007E6C97"/>
    <w:rsid w:val="007E6D10"/>
    <w:rsid w:val="007E700A"/>
    <w:rsid w:val="007E76BD"/>
    <w:rsid w:val="007E7D8D"/>
    <w:rsid w:val="007F052C"/>
    <w:rsid w:val="007F0D9A"/>
    <w:rsid w:val="007F0FF0"/>
    <w:rsid w:val="007F0FFC"/>
    <w:rsid w:val="007F1704"/>
    <w:rsid w:val="007F179A"/>
    <w:rsid w:val="007F1A8B"/>
    <w:rsid w:val="007F21AF"/>
    <w:rsid w:val="007F2A16"/>
    <w:rsid w:val="007F4EBA"/>
    <w:rsid w:val="007F580E"/>
    <w:rsid w:val="007F5E15"/>
    <w:rsid w:val="007F793C"/>
    <w:rsid w:val="007F7F1A"/>
    <w:rsid w:val="0080188B"/>
    <w:rsid w:val="00801DB0"/>
    <w:rsid w:val="00802342"/>
    <w:rsid w:val="0080299B"/>
    <w:rsid w:val="0080307E"/>
    <w:rsid w:val="0080662D"/>
    <w:rsid w:val="00806BF2"/>
    <w:rsid w:val="008075AB"/>
    <w:rsid w:val="00807B27"/>
    <w:rsid w:val="0081002B"/>
    <w:rsid w:val="00810429"/>
    <w:rsid w:val="00810F4E"/>
    <w:rsid w:val="0081111C"/>
    <w:rsid w:val="008111EB"/>
    <w:rsid w:val="00811CEF"/>
    <w:rsid w:val="00811FE7"/>
    <w:rsid w:val="00812462"/>
    <w:rsid w:val="0081286F"/>
    <w:rsid w:val="0081295E"/>
    <w:rsid w:val="008132F5"/>
    <w:rsid w:val="00813DF7"/>
    <w:rsid w:val="00814BF6"/>
    <w:rsid w:val="00814C35"/>
    <w:rsid w:val="0081531C"/>
    <w:rsid w:val="00815758"/>
    <w:rsid w:val="00815CE7"/>
    <w:rsid w:val="00816218"/>
    <w:rsid w:val="00816809"/>
    <w:rsid w:val="00816B20"/>
    <w:rsid w:val="00816F5E"/>
    <w:rsid w:val="0081722B"/>
    <w:rsid w:val="008179FB"/>
    <w:rsid w:val="00820345"/>
    <w:rsid w:val="0082050D"/>
    <w:rsid w:val="008205CE"/>
    <w:rsid w:val="00821A3E"/>
    <w:rsid w:val="00822091"/>
    <w:rsid w:val="00822206"/>
    <w:rsid w:val="008222CC"/>
    <w:rsid w:val="008225F7"/>
    <w:rsid w:val="008236B3"/>
    <w:rsid w:val="008253ED"/>
    <w:rsid w:val="00825680"/>
    <w:rsid w:val="00825F77"/>
    <w:rsid w:val="00826747"/>
    <w:rsid w:val="00826B9F"/>
    <w:rsid w:val="00827561"/>
    <w:rsid w:val="00827709"/>
    <w:rsid w:val="008301C0"/>
    <w:rsid w:val="008301FC"/>
    <w:rsid w:val="00830B45"/>
    <w:rsid w:val="00830CC2"/>
    <w:rsid w:val="00830D69"/>
    <w:rsid w:val="00830FDF"/>
    <w:rsid w:val="008313E1"/>
    <w:rsid w:val="00831DF6"/>
    <w:rsid w:val="0083270D"/>
    <w:rsid w:val="00832DE4"/>
    <w:rsid w:val="0083368F"/>
    <w:rsid w:val="00833C7B"/>
    <w:rsid w:val="00834A03"/>
    <w:rsid w:val="00834E14"/>
    <w:rsid w:val="00834E3F"/>
    <w:rsid w:val="0083518B"/>
    <w:rsid w:val="00835A6C"/>
    <w:rsid w:val="00835E12"/>
    <w:rsid w:val="008402AD"/>
    <w:rsid w:val="00840411"/>
    <w:rsid w:val="0084055C"/>
    <w:rsid w:val="00841C4B"/>
    <w:rsid w:val="00841F2E"/>
    <w:rsid w:val="008431B2"/>
    <w:rsid w:val="00843373"/>
    <w:rsid w:val="008436E6"/>
    <w:rsid w:val="00843B5C"/>
    <w:rsid w:val="00843C4B"/>
    <w:rsid w:val="008451B6"/>
    <w:rsid w:val="008454AE"/>
    <w:rsid w:val="00845743"/>
    <w:rsid w:val="00845E41"/>
    <w:rsid w:val="0084681D"/>
    <w:rsid w:val="00847162"/>
    <w:rsid w:val="00847684"/>
    <w:rsid w:val="00847E58"/>
    <w:rsid w:val="00850092"/>
    <w:rsid w:val="00850250"/>
    <w:rsid w:val="008502D5"/>
    <w:rsid w:val="00850B7B"/>
    <w:rsid w:val="00851AB4"/>
    <w:rsid w:val="00851E4F"/>
    <w:rsid w:val="00852803"/>
    <w:rsid w:val="008528F4"/>
    <w:rsid w:val="00853963"/>
    <w:rsid w:val="00854147"/>
    <w:rsid w:val="00855124"/>
    <w:rsid w:val="0085587E"/>
    <w:rsid w:val="00857ADD"/>
    <w:rsid w:val="00860A1C"/>
    <w:rsid w:val="00860BA6"/>
    <w:rsid w:val="00861D91"/>
    <w:rsid w:val="00861F2F"/>
    <w:rsid w:val="00862401"/>
    <w:rsid w:val="00862406"/>
    <w:rsid w:val="0086252F"/>
    <w:rsid w:val="008639E8"/>
    <w:rsid w:val="00863F4D"/>
    <w:rsid w:val="00863F63"/>
    <w:rsid w:val="008641DF"/>
    <w:rsid w:val="00864D3D"/>
    <w:rsid w:val="0086532A"/>
    <w:rsid w:val="00865932"/>
    <w:rsid w:val="00865936"/>
    <w:rsid w:val="00865A36"/>
    <w:rsid w:val="00865BEC"/>
    <w:rsid w:val="00865C8B"/>
    <w:rsid w:val="008709E9"/>
    <w:rsid w:val="00870BD6"/>
    <w:rsid w:val="008719CE"/>
    <w:rsid w:val="00872692"/>
    <w:rsid w:val="008746E0"/>
    <w:rsid w:val="00874FF1"/>
    <w:rsid w:val="00876A4E"/>
    <w:rsid w:val="008772EE"/>
    <w:rsid w:val="00877FEC"/>
    <w:rsid w:val="008803C6"/>
    <w:rsid w:val="0088122D"/>
    <w:rsid w:val="00881D41"/>
    <w:rsid w:val="00881E0B"/>
    <w:rsid w:val="0088295C"/>
    <w:rsid w:val="008836D1"/>
    <w:rsid w:val="008838F1"/>
    <w:rsid w:val="0088391B"/>
    <w:rsid w:val="00884015"/>
    <w:rsid w:val="00885478"/>
    <w:rsid w:val="00885A06"/>
    <w:rsid w:val="00885E20"/>
    <w:rsid w:val="00887111"/>
    <w:rsid w:val="00890165"/>
    <w:rsid w:val="00890267"/>
    <w:rsid w:val="00890308"/>
    <w:rsid w:val="00890455"/>
    <w:rsid w:val="008909C1"/>
    <w:rsid w:val="00890E93"/>
    <w:rsid w:val="00892043"/>
    <w:rsid w:val="00892169"/>
    <w:rsid w:val="008921C3"/>
    <w:rsid w:val="008926D1"/>
    <w:rsid w:val="008934FD"/>
    <w:rsid w:val="0089366E"/>
    <w:rsid w:val="008937AF"/>
    <w:rsid w:val="00893CA2"/>
    <w:rsid w:val="0089477A"/>
    <w:rsid w:val="00894EFF"/>
    <w:rsid w:val="00895204"/>
    <w:rsid w:val="00895667"/>
    <w:rsid w:val="00896441"/>
    <w:rsid w:val="008964D5"/>
    <w:rsid w:val="008A09D6"/>
    <w:rsid w:val="008A177F"/>
    <w:rsid w:val="008A252E"/>
    <w:rsid w:val="008A2653"/>
    <w:rsid w:val="008A3096"/>
    <w:rsid w:val="008A332C"/>
    <w:rsid w:val="008A3486"/>
    <w:rsid w:val="008A385D"/>
    <w:rsid w:val="008A3885"/>
    <w:rsid w:val="008A3B99"/>
    <w:rsid w:val="008A43A1"/>
    <w:rsid w:val="008A47FD"/>
    <w:rsid w:val="008A4A8C"/>
    <w:rsid w:val="008A5A9C"/>
    <w:rsid w:val="008A6490"/>
    <w:rsid w:val="008A6F26"/>
    <w:rsid w:val="008A6F6C"/>
    <w:rsid w:val="008A6FE0"/>
    <w:rsid w:val="008A7157"/>
    <w:rsid w:val="008A7D82"/>
    <w:rsid w:val="008B10AD"/>
    <w:rsid w:val="008B1802"/>
    <w:rsid w:val="008B37E7"/>
    <w:rsid w:val="008B51E2"/>
    <w:rsid w:val="008B681D"/>
    <w:rsid w:val="008B7119"/>
    <w:rsid w:val="008B745A"/>
    <w:rsid w:val="008B7591"/>
    <w:rsid w:val="008B7E32"/>
    <w:rsid w:val="008C0274"/>
    <w:rsid w:val="008C04D3"/>
    <w:rsid w:val="008C0B18"/>
    <w:rsid w:val="008C1204"/>
    <w:rsid w:val="008C15E6"/>
    <w:rsid w:val="008C2FDF"/>
    <w:rsid w:val="008C42BB"/>
    <w:rsid w:val="008C4D7A"/>
    <w:rsid w:val="008C527C"/>
    <w:rsid w:val="008C5594"/>
    <w:rsid w:val="008C5913"/>
    <w:rsid w:val="008C59A6"/>
    <w:rsid w:val="008C5D4C"/>
    <w:rsid w:val="008C681A"/>
    <w:rsid w:val="008C69D0"/>
    <w:rsid w:val="008C6C3C"/>
    <w:rsid w:val="008C7A22"/>
    <w:rsid w:val="008C7B42"/>
    <w:rsid w:val="008D000D"/>
    <w:rsid w:val="008D041F"/>
    <w:rsid w:val="008D0FAC"/>
    <w:rsid w:val="008D142E"/>
    <w:rsid w:val="008D1523"/>
    <w:rsid w:val="008D1684"/>
    <w:rsid w:val="008D1931"/>
    <w:rsid w:val="008D1ABC"/>
    <w:rsid w:val="008D1D97"/>
    <w:rsid w:val="008D3507"/>
    <w:rsid w:val="008D3EFC"/>
    <w:rsid w:val="008D44C3"/>
    <w:rsid w:val="008D4B3C"/>
    <w:rsid w:val="008D4D7E"/>
    <w:rsid w:val="008D54CD"/>
    <w:rsid w:val="008D5CA9"/>
    <w:rsid w:val="008D5EFA"/>
    <w:rsid w:val="008D5F70"/>
    <w:rsid w:val="008D615A"/>
    <w:rsid w:val="008D640C"/>
    <w:rsid w:val="008D66CA"/>
    <w:rsid w:val="008D726F"/>
    <w:rsid w:val="008D7439"/>
    <w:rsid w:val="008D74FE"/>
    <w:rsid w:val="008D7939"/>
    <w:rsid w:val="008D7D14"/>
    <w:rsid w:val="008E0215"/>
    <w:rsid w:val="008E02CD"/>
    <w:rsid w:val="008E05B4"/>
    <w:rsid w:val="008E165B"/>
    <w:rsid w:val="008E223E"/>
    <w:rsid w:val="008E268C"/>
    <w:rsid w:val="008E2E43"/>
    <w:rsid w:val="008E3654"/>
    <w:rsid w:val="008E3ADF"/>
    <w:rsid w:val="008E442E"/>
    <w:rsid w:val="008E44C7"/>
    <w:rsid w:val="008E4BCF"/>
    <w:rsid w:val="008E4D6D"/>
    <w:rsid w:val="008E56DD"/>
    <w:rsid w:val="008E5A23"/>
    <w:rsid w:val="008F000D"/>
    <w:rsid w:val="008F01DE"/>
    <w:rsid w:val="008F02B6"/>
    <w:rsid w:val="008F0313"/>
    <w:rsid w:val="008F05E8"/>
    <w:rsid w:val="008F090F"/>
    <w:rsid w:val="008F1629"/>
    <w:rsid w:val="008F1893"/>
    <w:rsid w:val="008F1C82"/>
    <w:rsid w:val="008F2413"/>
    <w:rsid w:val="008F3424"/>
    <w:rsid w:val="008F3B34"/>
    <w:rsid w:val="008F513B"/>
    <w:rsid w:val="008F589A"/>
    <w:rsid w:val="008F5905"/>
    <w:rsid w:val="008F6361"/>
    <w:rsid w:val="008F67FD"/>
    <w:rsid w:val="008F6921"/>
    <w:rsid w:val="008F69EE"/>
    <w:rsid w:val="008F6C35"/>
    <w:rsid w:val="008F6DB2"/>
    <w:rsid w:val="008F74C7"/>
    <w:rsid w:val="008F7A40"/>
    <w:rsid w:val="00900E99"/>
    <w:rsid w:val="009012D9"/>
    <w:rsid w:val="00901A4A"/>
    <w:rsid w:val="00902138"/>
    <w:rsid w:val="0090247F"/>
    <w:rsid w:val="0090267E"/>
    <w:rsid w:val="009040C5"/>
    <w:rsid w:val="0090463A"/>
    <w:rsid w:val="0090487D"/>
    <w:rsid w:val="009049BF"/>
    <w:rsid w:val="009049DB"/>
    <w:rsid w:val="00904AA1"/>
    <w:rsid w:val="009066F7"/>
    <w:rsid w:val="00906E6F"/>
    <w:rsid w:val="0090722F"/>
    <w:rsid w:val="009072D7"/>
    <w:rsid w:val="00907558"/>
    <w:rsid w:val="0090794C"/>
    <w:rsid w:val="00907B78"/>
    <w:rsid w:val="00907CA2"/>
    <w:rsid w:val="009106E4"/>
    <w:rsid w:val="009117A3"/>
    <w:rsid w:val="0091201B"/>
    <w:rsid w:val="009120F9"/>
    <w:rsid w:val="00913592"/>
    <w:rsid w:val="00914AA6"/>
    <w:rsid w:val="0091501A"/>
    <w:rsid w:val="0091504B"/>
    <w:rsid w:val="009156A1"/>
    <w:rsid w:val="009158F7"/>
    <w:rsid w:val="009158F9"/>
    <w:rsid w:val="00915CD3"/>
    <w:rsid w:val="0092020E"/>
    <w:rsid w:val="009207A9"/>
    <w:rsid w:val="009207DB"/>
    <w:rsid w:val="00920C39"/>
    <w:rsid w:val="0092142A"/>
    <w:rsid w:val="00921661"/>
    <w:rsid w:val="009219C9"/>
    <w:rsid w:val="00922574"/>
    <w:rsid w:val="00922602"/>
    <w:rsid w:val="00922839"/>
    <w:rsid w:val="00922F70"/>
    <w:rsid w:val="00923433"/>
    <w:rsid w:val="00923B2C"/>
    <w:rsid w:val="00924210"/>
    <w:rsid w:val="009247E4"/>
    <w:rsid w:val="0092663E"/>
    <w:rsid w:val="00926DD3"/>
    <w:rsid w:val="00927009"/>
    <w:rsid w:val="009276F9"/>
    <w:rsid w:val="00930DC7"/>
    <w:rsid w:val="00930DD1"/>
    <w:rsid w:val="009334E5"/>
    <w:rsid w:val="009337AA"/>
    <w:rsid w:val="00934115"/>
    <w:rsid w:val="009347EF"/>
    <w:rsid w:val="009348FB"/>
    <w:rsid w:val="00935693"/>
    <w:rsid w:val="009359EB"/>
    <w:rsid w:val="00935B5F"/>
    <w:rsid w:val="0093677A"/>
    <w:rsid w:val="00936854"/>
    <w:rsid w:val="009369A8"/>
    <w:rsid w:val="00936B01"/>
    <w:rsid w:val="0093733A"/>
    <w:rsid w:val="00937CC0"/>
    <w:rsid w:val="009404A0"/>
    <w:rsid w:val="00940E93"/>
    <w:rsid w:val="009423C3"/>
    <w:rsid w:val="00942B89"/>
    <w:rsid w:val="00942C69"/>
    <w:rsid w:val="009432BD"/>
    <w:rsid w:val="00943777"/>
    <w:rsid w:val="00943841"/>
    <w:rsid w:val="00944112"/>
    <w:rsid w:val="0094415A"/>
    <w:rsid w:val="0094434F"/>
    <w:rsid w:val="00944E02"/>
    <w:rsid w:val="009455D4"/>
    <w:rsid w:val="00945B40"/>
    <w:rsid w:val="00946430"/>
    <w:rsid w:val="00946E2C"/>
    <w:rsid w:val="009474FF"/>
    <w:rsid w:val="00947931"/>
    <w:rsid w:val="00947CBF"/>
    <w:rsid w:val="00950625"/>
    <w:rsid w:val="009508F9"/>
    <w:rsid w:val="00951576"/>
    <w:rsid w:val="0095190C"/>
    <w:rsid w:val="00951DB3"/>
    <w:rsid w:val="009528EE"/>
    <w:rsid w:val="00952B42"/>
    <w:rsid w:val="00952BC3"/>
    <w:rsid w:val="00952D0C"/>
    <w:rsid w:val="009537EF"/>
    <w:rsid w:val="00953B09"/>
    <w:rsid w:val="00953F80"/>
    <w:rsid w:val="0095411B"/>
    <w:rsid w:val="0095456F"/>
    <w:rsid w:val="00954E60"/>
    <w:rsid w:val="009551BC"/>
    <w:rsid w:val="0095520A"/>
    <w:rsid w:val="009558F8"/>
    <w:rsid w:val="00955ABA"/>
    <w:rsid w:val="00955B1A"/>
    <w:rsid w:val="00955F05"/>
    <w:rsid w:val="00956B2E"/>
    <w:rsid w:val="00957CE3"/>
    <w:rsid w:val="00957FDC"/>
    <w:rsid w:val="0096051B"/>
    <w:rsid w:val="00961895"/>
    <w:rsid w:val="00961FB6"/>
    <w:rsid w:val="00962226"/>
    <w:rsid w:val="009629C6"/>
    <w:rsid w:val="00963205"/>
    <w:rsid w:val="00963906"/>
    <w:rsid w:val="00963EA3"/>
    <w:rsid w:val="00964B0F"/>
    <w:rsid w:val="00964C2B"/>
    <w:rsid w:val="00964C70"/>
    <w:rsid w:val="0096531E"/>
    <w:rsid w:val="00965CB9"/>
    <w:rsid w:val="00965DC3"/>
    <w:rsid w:val="00966420"/>
    <w:rsid w:val="0096690F"/>
    <w:rsid w:val="009669AB"/>
    <w:rsid w:val="0097026D"/>
    <w:rsid w:val="009703C6"/>
    <w:rsid w:val="00970765"/>
    <w:rsid w:val="009709C6"/>
    <w:rsid w:val="00971074"/>
    <w:rsid w:val="00972F97"/>
    <w:rsid w:val="00973102"/>
    <w:rsid w:val="00973561"/>
    <w:rsid w:val="009737B0"/>
    <w:rsid w:val="00974678"/>
    <w:rsid w:val="009746D4"/>
    <w:rsid w:val="009749E1"/>
    <w:rsid w:val="009749EC"/>
    <w:rsid w:val="00974C2F"/>
    <w:rsid w:val="00974D48"/>
    <w:rsid w:val="00975613"/>
    <w:rsid w:val="00975D2B"/>
    <w:rsid w:val="00976ADC"/>
    <w:rsid w:val="00976E23"/>
    <w:rsid w:val="00980CB4"/>
    <w:rsid w:val="00980EB7"/>
    <w:rsid w:val="00982437"/>
    <w:rsid w:val="00983628"/>
    <w:rsid w:val="009838CF"/>
    <w:rsid w:val="00983E5F"/>
    <w:rsid w:val="00984224"/>
    <w:rsid w:val="00984242"/>
    <w:rsid w:val="00984870"/>
    <w:rsid w:val="00984BD7"/>
    <w:rsid w:val="00984E0F"/>
    <w:rsid w:val="00985195"/>
    <w:rsid w:val="009862A9"/>
    <w:rsid w:val="009865AC"/>
    <w:rsid w:val="00986904"/>
    <w:rsid w:val="009900E5"/>
    <w:rsid w:val="00990A8A"/>
    <w:rsid w:val="00990F30"/>
    <w:rsid w:val="0099268D"/>
    <w:rsid w:val="00992CE5"/>
    <w:rsid w:val="00992E90"/>
    <w:rsid w:val="00993C9D"/>
    <w:rsid w:val="00994007"/>
    <w:rsid w:val="00994604"/>
    <w:rsid w:val="00994CF8"/>
    <w:rsid w:val="009953FD"/>
    <w:rsid w:val="00995651"/>
    <w:rsid w:val="00996347"/>
    <w:rsid w:val="00996A29"/>
    <w:rsid w:val="00997C1D"/>
    <w:rsid w:val="00997EE0"/>
    <w:rsid w:val="009A05BB"/>
    <w:rsid w:val="009A0E5C"/>
    <w:rsid w:val="009A111F"/>
    <w:rsid w:val="009A1979"/>
    <w:rsid w:val="009A197D"/>
    <w:rsid w:val="009A1ECD"/>
    <w:rsid w:val="009A21AB"/>
    <w:rsid w:val="009A29DA"/>
    <w:rsid w:val="009A2B06"/>
    <w:rsid w:val="009A2D7B"/>
    <w:rsid w:val="009A2E91"/>
    <w:rsid w:val="009A3BFA"/>
    <w:rsid w:val="009A460C"/>
    <w:rsid w:val="009A4618"/>
    <w:rsid w:val="009A4A81"/>
    <w:rsid w:val="009A51E0"/>
    <w:rsid w:val="009A5748"/>
    <w:rsid w:val="009A5F16"/>
    <w:rsid w:val="009A628E"/>
    <w:rsid w:val="009A666B"/>
    <w:rsid w:val="009A6C02"/>
    <w:rsid w:val="009A6D83"/>
    <w:rsid w:val="009A717B"/>
    <w:rsid w:val="009A759A"/>
    <w:rsid w:val="009A794E"/>
    <w:rsid w:val="009B061E"/>
    <w:rsid w:val="009B06D3"/>
    <w:rsid w:val="009B0726"/>
    <w:rsid w:val="009B09CC"/>
    <w:rsid w:val="009B0A61"/>
    <w:rsid w:val="009B0B8A"/>
    <w:rsid w:val="009B0C45"/>
    <w:rsid w:val="009B0FC8"/>
    <w:rsid w:val="009B13CE"/>
    <w:rsid w:val="009B17BA"/>
    <w:rsid w:val="009B18BA"/>
    <w:rsid w:val="009B1AD2"/>
    <w:rsid w:val="009B27D0"/>
    <w:rsid w:val="009B2BC7"/>
    <w:rsid w:val="009B2FDF"/>
    <w:rsid w:val="009B3654"/>
    <w:rsid w:val="009B3C15"/>
    <w:rsid w:val="009B4608"/>
    <w:rsid w:val="009B5E88"/>
    <w:rsid w:val="009B61D8"/>
    <w:rsid w:val="009B6BD1"/>
    <w:rsid w:val="009B6F0E"/>
    <w:rsid w:val="009B700F"/>
    <w:rsid w:val="009B72FA"/>
    <w:rsid w:val="009B7D9C"/>
    <w:rsid w:val="009C03AF"/>
    <w:rsid w:val="009C0889"/>
    <w:rsid w:val="009C0E68"/>
    <w:rsid w:val="009C10C0"/>
    <w:rsid w:val="009C12FB"/>
    <w:rsid w:val="009C1AC9"/>
    <w:rsid w:val="009C25A7"/>
    <w:rsid w:val="009C302C"/>
    <w:rsid w:val="009C3716"/>
    <w:rsid w:val="009C3725"/>
    <w:rsid w:val="009C3A64"/>
    <w:rsid w:val="009C45CC"/>
    <w:rsid w:val="009C4720"/>
    <w:rsid w:val="009C534D"/>
    <w:rsid w:val="009C60CD"/>
    <w:rsid w:val="009C63E5"/>
    <w:rsid w:val="009C6851"/>
    <w:rsid w:val="009C7B40"/>
    <w:rsid w:val="009D0103"/>
    <w:rsid w:val="009D01F3"/>
    <w:rsid w:val="009D0446"/>
    <w:rsid w:val="009D092B"/>
    <w:rsid w:val="009D0E82"/>
    <w:rsid w:val="009D104C"/>
    <w:rsid w:val="009D10D6"/>
    <w:rsid w:val="009D1422"/>
    <w:rsid w:val="009D19C8"/>
    <w:rsid w:val="009D2300"/>
    <w:rsid w:val="009D2325"/>
    <w:rsid w:val="009D257C"/>
    <w:rsid w:val="009D26E4"/>
    <w:rsid w:val="009D293E"/>
    <w:rsid w:val="009D2B49"/>
    <w:rsid w:val="009D4A3E"/>
    <w:rsid w:val="009D55B3"/>
    <w:rsid w:val="009D6795"/>
    <w:rsid w:val="009D77C4"/>
    <w:rsid w:val="009E06F9"/>
    <w:rsid w:val="009E0774"/>
    <w:rsid w:val="009E112E"/>
    <w:rsid w:val="009E1254"/>
    <w:rsid w:val="009E1BAC"/>
    <w:rsid w:val="009E1DED"/>
    <w:rsid w:val="009E23E3"/>
    <w:rsid w:val="009E27D2"/>
    <w:rsid w:val="009E2836"/>
    <w:rsid w:val="009E287A"/>
    <w:rsid w:val="009E3AA0"/>
    <w:rsid w:val="009E3E93"/>
    <w:rsid w:val="009E42C8"/>
    <w:rsid w:val="009E4A75"/>
    <w:rsid w:val="009E4C7E"/>
    <w:rsid w:val="009E4CCA"/>
    <w:rsid w:val="009E5295"/>
    <w:rsid w:val="009E60AF"/>
    <w:rsid w:val="009E680F"/>
    <w:rsid w:val="009E6B8E"/>
    <w:rsid w:val="009E6F13"/>
    <w:rsid w:val="009E7CA1"/>
    <w:rsid w:val="009F045E"/>
    <w:rsid w:val="009F08E0"/>
    <w:rsid w:val="009F0C63"/>
    <w:rsid w:val="009F1BC0"/>
    <w:rsid w:val="009F1D3D"/>
    <w:rsid w:val="009F25C4"/>
    <w:rsid w:val="009F2659"/>
    <w:rsid w:val="009F3111"/>
    <w:rsid w:val="009F350E"/>
    <w:rsid w:val="009F3EAB"/>
    <w:rsid w:val="009F4154"/>
    <w:rsid w:val="009F4301"/>
    <w:rsid w:val="009F493E"/>
    <w:rsid w:val="009F5C06"/>
    <w:rsid w:val="009F5FE5"/>
    <w:rsid w:val="009F6F64"/>
    <w:rsid w:val="009F754D"/>
    <w:rsid w:val="009F7DE4"/>
    <w:rsid w:val="00A00063"/>
    <w:rsid w:val="00A005C7"/>
    <w:rsid w:val="00A009D9"/>
    <w:rsid w:val="00A010D0"/>
    <w:rsid w:val="00A015C8"/>
    <w:rsid w:val="00A01DEA"/>
    <w:rsid w:val="00A02080"/>
    <w:rsid w:val="00A02E07"/>
    <w:rsid w:val="00A0355C"/>
    <w:rsid w:val="00A03BE6"/>
    <w:rsid w:val="00A0455C"/>
    <w:rsid w:val="00A04F04"/>
    <w:rsid w:val="00A05289"/>
    <w:rsid w:val="00A05F6F"/>
    <w:rsid w:val="00A0631B"/>
    <w:rsid w:val="00A06504"/>
    <w:rsid w:val="00A0757A"/>
    <w:rsid w:val="00A07BEF"/>
    <w:rsid w:val="00A10384"/>
    <w:rsid w:val="00A1055E"/>
    <w:rsid w:val="00A1060F"/>
    <w:rsid w:val="00A10F17"/>
    <w:rsid w:val="00A11378"/>
    <w:rsid w:val="00A115BD"/>
    <w:rsid w:val="00A11687"/>
    <w:rsid w:val="00A11D3A"/>
    <w:rsid w:val="00A11E0E"/>
    <w:rsid w:val="00A125D8"/>
    <w:rsid w:val="00A125ED"/>
    <w:rsid w:val="00A126A5"/>
    <w:rsid w:val="00A1275E"/>
    <w:rsid w:val="00A131DB"/>
    <w:rsid w:val="00A1395D"/>
    <w:rsid w:val="00A14555"/>
    <w:rsid w:val="00A149FA"/>
    <w:rsid w:val="00A14F14"/>
    <w:rsid w:val="00A154ED"/>
    <w:rsid w:val="00A157B1"/>
    <w:rsid w:val="00A158C5"/>
    <w:rsid w:val="00A16503"/>
    <w:rsid w:val="00A169C3"/>
    <w:rsid w:val="00A20CC2"/>
    <w:rsid w:val="00A21308"/>
    <w:rsid w:val="00A23A73"/>
    <w:rsid w:val="00A23D21"/>
    <w:rsid w:val="00A242E4"/>
    <w:rsid w:val="00A250BD"/>
    <w:rsid w:val="00A260D5"/>
    <w:rsid w:val="00A26251"/>
    <w:rsid w:val="00A26CE6"/>
    <w:rsid w:val="00A2732B"/>
    <w:rsid w:val="00A27CA0"/>
    <w:rsid w:val="00A3033C"/>
    <w:rsid w:val="00A31198"/>
    <w:rsid w:val="00A319EC"/>
    <w:rsid w:val="00A31C2D"/>
    <w:rsid w:val="00A3276A"/>
    <w:rsid w:val="00A327CE"/>
    <w:rsid w:val="00A3395C"/>
    <w:rsid w:val="00A33B25"/>
    <w:rsid w:val="00A345ED"/>
    <w:rsid w:val="00A348B2"/>
    <w:rsid w:val="00A349F2"/>
    <w:rsid w:val="00A357DF"/>
    <w:rsid w:val="00A37330"/>
    <w:rsid w:val="00A37396"/>
    <w:rsid w:val="00A400E0"/>
    <w:rsid w:val="00A4170E"/>
    <w:rsid w:val="00A41725"/>
    <w:rsid w:val="00A41AB1"/>
    <w:rsid w:val="00A41BB2"/>
    <w:rsid w:val="00A42ED1"/>
    <w:rsid w:val="00A42FC3"/>
    <w:rsid w:val="00A433ED"/>
    <w:rsid w:val="00A44486"/>
    <w:rsid w:val="00A447B8"/>
    <w:rsid w:val="00A44D27"/>
    <w:rsid w:val="00A44ECC"/>
    <w:rsid w:val="00A4538B"/>
    <w:rsid w:val="00A4750F"/>
    <w:rsid w:val="00A50157"/>
    <w:rsid w:val="00A507B9"/>
    <w:rsid w:val="00A50CED"/>
    <w:rsid w:val="00A50FD4"/>
    <w:rsid w:val="00A518EC"/>
    <w:rsid w:val="00A52104"/>
    <w:rsid w:val="00A52289"/>
    <w:rsid w:val="00A52CEB"/>
    <w:rsid w:val="00A52E31"/>
    <w:rsid w:val="00A54FDA"/>
    <w:rsid w:val="00A55437"/>
    <w:rsid w:val="00A5663E"/>
    <w:rsid w:val="00A56E2C"/>
    <w:rsid w:val="00A56F22"/>
    <w:rsid w:val="00A57183"/>
    <w:rsid w:val="00A572D4"/>
    <w:rsid w:val="00A60221"/>
    <w:rsid w:val="00A60B4A"/>
    <w:rsid w:val="00A60FBA"/>
    <w:rsid w:val="00A613B7"/>
    <w:rsid w:val="00A61FD9"/>
    <w:rsid w:val="00A621F0"/>
    <w:rsid w:val="00A629C2"/>
    <w:rsid w:val="00A63A44"/>
    <w:rsid w:val="00A63DA0"/>
    <w:rsid w:val="00A63DF9"/>
    <w:rsid w:val="00A6493C"/>
    <w:rsid w:val="00A64CF0"/>
    <w:rsid w:val="00A659C6"/>
    <w:rsid w:val="00A65EA4"/>
    <w:rsid w:val="00A65ED3"/>
    <w:rsid w:val="00A664C9"/>
    <w:rsid w:val="00A6704B"/>
    <w:rsid w:val="00A67413"/>
    <w:rsid w:val="00A67E63"/>
    <w:rsid w:val="00A7031A"/>
    <w:rsid w:val="00A703B9"/>
    <w:rsid w:val="00A709E0"/>
    <w:rsid w:val="00A70D8D"/>
    <w:rsid w:val="00A71652"/>
    <w:rsid w:val="00A71877"/>
    <w:rsid w:val="00A73929"/>
    <w:rsid w:val="00A74349"/>
    <w:rsid w:val="00A7464F"/>
    <w:rsid w:val="00A74A48"/>
    <w:rsid w:val="00A74B75"/>
    <w:rsid w:val="00A74E7B"/>
    <w:rsid w:val="00A75209"/>
    <w:rsid w:val="00A7551A"/>
    <w:rsid w:val="00A7565E"/>
    <w:rsid w:val="00A75B77"/>
    <w:rsid w:val="00A763D9"/>
    <w:rsid w:val="00A77A25"/>
    <w:rsid w:val="00A77B6A"/>
    <w:rsid w:val="00A8018C"/>
    <w:rsid w:val="00A80195"/>
    <w:rsid w:val="00A808C3"/>
    <w:rsid w:val="00A812BA"/>
    <w:rsid w:val="00A81C0B"/>
    <w:rsid w:val="00A82135"/>
    <w:rsid w:val="00A82952"/>
    <w:rsid w:val="00A82EB1"/>
    <w:rsid w:val="00A83293"/>
    <w:rsid w:val="00A83D20"/>
    <w:rsid w:val="00A83F9A"/>
    <w:rsid w:val="00A84770"/>
    <w:rsid w:val="00A84843"/>
    <w:rsid w:val="00A85038"/>
    <w:rsid w:val="00A85A16"/>
    <w:rsid w:val="00A86387"/>
    <w:rsid w:val="00A8654B"/>
    <w:rsid w:val="00A86BB0"/>
    <w:rsid w:val="00A86F62"/>
    <w:rsid w:val="00A9137F"/>
    <w:rsid w:val="00A9143F"/>
    <w:rsid w:val="00A916F1"/>
    <w:rsid w:val="00A91A73"/>
    <w:rsid w:val="00A91B3C"/>
    <w:rsid w:val="00A91F6F"/>
    <w:rsid w:val="00A923E6"/>
    <w:rsid w:val="00A92478"/>
    <w:rsid w:val="00A931D7"/>
    <w:rsid w:val="00A93C7E"/>
    <w:rsid w:val="00A945F8"/>
    <w:rsid w:val="00A95173"/>
    <w:rsid w:val="00A9580C"/>
    <w:rsid w:val="00A95C0F"/>
    <w:rsid w:val="00A97018"/>
    <w:rsid w:val="00A974D4"/>
    <w:rsid w:val="00AA0171"/>
    <w:rsid w:val="00AA17F4"/>
    <w:rsid w:val="00AA2E49"/>
    <w:rsid w:val="00AA332E"/>
    <w:rsid w:val="00AA3AE1"/>
    <w:rsid w:val="00AA3BC9"/>
    <w:rsid w:val="00AA3ED6"/>
    <w:rsid w:val="00AA432B"/>
    <w:rsid w:val="00AA5404"/>
    <w:rsid w:val="00AA5C56"/>
    <w:rsid w:val="00AA5FB1"/>
    <w:rsid w:val="00AA63C2"/>
    <w:rsid w:val="00AA6B81"/>
    <w:rsid w:val="00AA6D59"/>
    <w:rsid w:val="00AA6D70"/>
    <w:rsid w:val="00AB05C3"/>
    <w:rsid w:val="00AB1706"/>
    <w:rsid w:val="00AB27C0"/>
    <w:rsid w:val="00AB2DAB"/>
    <w:rsid w:val="00AB2ED6"/>
    <w:rsid w:val="00AB30F0"/>
    <w:rsid w:val="00AB3A68"/>
    <w:rsid w:val="00AB455A"/>
    <w:rsid w:val="00AB4CC6"/>
    <w:rsid w:val="00AB6CBD"/>
    <w:rsid w:val="00AB6D45"/>
    <w:rsid w:val="00AB75BD"/>
    <w:rsid w:val="00AC08C7"/>
    <w:rsid w:val="00AC0F67"/>
    <w:rsid w:val="00AC1CF5"/>
    <w:rsid w:val="00AC1DB2"/>
    <w:rsid w:val="00AC28A2"/>
    <w:rsid w:val="00AC2C57"/>
    <w:rsid w:val="00AC2C79"/>
    <w:rsid w:val="00AC307E"/>
    <w:rsid w:val="00AC351A"/>
    <w:rsid w:val="00AC3CE1"/>
    <w:rsid w:val="00AC464C"/>
    <w:rsid w:val="00AC4A5C"/>
    <w:rsid w:val="00AC4AFC"/>
    <w:rsid w:val="00AC4BD6"/>
    <w:rsid w:val="00AC4E44"/>
    <w:rsid w:val="00AC52B0"/>
    <w:rsid w:val="00AC5908"/>
    <w:rsid w:val="00AC5A8F"/>
    <w:rsid w:val="00AC5F11"/>
    <w:rsid w:val="00AC6268"/>
    <w:rsid w:val="00AC7167"/>
    <w:rsid w:val="00AC7525"/>
    <w:rsid w:val="00AC756B"/>
    <w:rsid w:val="00AC7588"/>
    <w:rsid w:val="00AC7613"/>
    <w:rsid w:val="00AC7DB6"/>
    <w:rsid w:val="00AD043E"/>
    <w:rsid w:val="00AD139A"/>
    <w:rsid w:val="00AD24CD"/>
    <w:rsid w:val="00AD2BB4"/>
    <w:rsid w:val="00AD37D6"/>
    <w:rsid w:val="00AD4387"/>
    <w:rsid w:val="00AD45CA"/>
    <w:rsid w:val="00AD6692"/>
    <w:rsid w:val="00AD7B4C"/>
    <w:rsid w:val="00AE1545"/>
    <w:rsid w:val="00AE1AC6"/>
    <w:rsid w:val="00AE22AE"/>
    <w:rsid w:val="00AE2482"/>
    <w:rsid w:val="00AE24D1"/>
    <w:rsid w:val="00AE261B"/>
    <w:rsid w:val="00AE29B1"/>
    <w:rsid w:val="00AE3038"/>
    <w:rsid w:val="00AE36C6"/>
    <w:rsid w:val="00AE37FA"/>
    <w:rsid w:val="00AE3AF2"/>
    <w:rsid w:val="00AE4DD7"/>
    <w:rsid w:val="00AE5FEA"/>
    <w:rsid w:val="00AE6364"/>
    <w:rsid w:val="00AE6424"/>
    <w:rsid w:val="00AE75A9"/>
    <w:rsid w:val="00AE7815"/>
    <w:rsid w:val="00AE7DAC"/>
    <w:rsid w:val="00AF0552"/>
    <w:rsid w:val="00AF0BCE"/>
    <w:rsid w:val="00AF13DB"/>
    <w:rsid w:val="00AF1635"/>
    <w:rsid w:val="00AF1660"/>
    <w:rsid w:val="00AF3154"/>
    <w:rsid w:val="00AF321D"/>
    <w:rsid w:val="00AF3573"/>
    <w:rsid w:val="00AF3718"/>
    <w:rsid w:val="00AF3F8E"/>
    <w:rsid w:val="00AF4100"/>
    <w:rsid w:val="00AF4601"/>
    <w:rsid w:val="00AF4C95"/>
    <w:rsid w:val="00AF59A9"/>
    <w:rsid w:val="00AF5A60"/>
    <w:rsid w:val="00AF5BC1"/>
    <w:rsid w:val="00AF60C1"/>
    <w:rsid w:val="00AF63EF"/>
    <w:rsid w:val="00AF6A3D"/>
    <w:rsid w:val="00AF6D7F"/>
    <w:rsid w:val="00AF704B"/>
    <w:rsid w:val="00AF768D"/>
    <w:rsid w:val="00B001D8"/>
    <w:rsid w:val="00B00C45"/>
    <w:rsid w:val="00B00CEE"/>
    <w:rsid w:val="00B00ECC"/>
    <w:rsid w:val="00B0160F"/>
    <w:rsid w:val="00B02925"/>
    <w:rsid w:val="00B03623"/>
    <w:rsid w:val="00B03835"/>
    <w:rsid w:val="00B039E2"/>
    <w:rsid w:val="00B039FB"/>
    <w:rsid w:val="00B04767"/>
    <w:rsid w:val="00B04775"/>
    <w:rsid w:val="00B04A97"/>
    <w:rsid w:val="00B04B3A"/>
    <w:rsid w:val="00B04BF0"/>
    <w:rsid w:val="00B04C42"/>
    <w:rsid w:val="00B04F43"/>
    <w:rsid w:val="00B04FBA"/>
    <w:rsid w:val="00B05D29"/>
    <w:rsid w:val="00B05F52"/>
    <w:rsid w:val="00B06096"/>
    <w:rsid w:val="00B066D8"/>
    <w:rsid w:val="00B07BAE"/>
    <w:rsid w:val="00B10FD0"/>
    <w:rsid w:val="00B11BBC"/>
    <w:rsid w:val="00B12FA4"/>
    <w:rsid w:val="00B13BE6"/>
    <w:rsid w:val="00B147F6"/>
    <w:rsid w:val="00B14E0F"/>
    <w:rsid w:val="00B152B6"/>
    <w:rsid w:val="00B16812"/>
    <w:rsid w:val="00B16B63"/>
    <w:rsid w:val="00B177D0"/>
    <w:rsid w:val="00B17895"/>
    <w:rsid w:val="00B179D3"/>
    <w:rsid w:val="00B17ED9"/>
    <w:rsid w:val="00B20050"/>
    <w:rsid w:val="00B2035C"/>
    <w:rsid w:val="00B2080E"/>
    <w:rsid w:val="00B209D8"/>
    <w:rsid w:val="00B20DEB"/>
    <w:rsid w:val="00B21AB3"/>
    <w:rsid w:val="00B2217A"/>
    <w:rsid w:val="00B22A04"/>
    <w:rsid w:val="00B2459E"/>
    <w:rsid w:val="00B24A72"/>
    <w:rsid w:val="00B2526D"/>
    <w:rsid w:val="00B261C5"/>
    <w:rsid w:val="00B266EA"/>
    <w:rsid w:val="00B26B92"/>
    <w:rsid w:val="00B26F14"/>
    <w:rsid w:val="00B27370"/>
    <w:rsid w:val="00B27918"/>
    <w:rsid w:val="00B27FB6"/>
    <w:rsid w:val="00B300EA"/>
    <w:rsid w:val="00B3098E"/>
    <w:rsid w:val="00B319C3"/>
    <w:rsid w:val="00B32A88"/>
    <w:rsid w:val="00B32C96"/>
    <w:rsid w:val="00B3300E"/>
    <w:rsid w:val="00B333C5"/>
    <w:rsid w:val="00B33743"/>
    <w:rsid w:val="00B33AFE"/>
    <w:rsid w:val="00B34260"/>
    <w:rsid w:val="00B34410"/>
    <w:rsid w:val="00B34F60"/>
    <w:rsid w:val="00B364F7"/>
    <w:rsid w:val="00B3657C"/>
    <w:rsid w:val="00B36A15"/>
    <w:rsid w:val="00B36CD8"/>
    <w:rsid w:val="00B4091B"/>
    <w:rsid w:val="00B417C3"/>
    <w:rsid w:val="00B41A1C"/>
    <w:rsid w:val="00B42152"/>
    <w:rsid w:val="00B42D77"/>
    <w:rsid w:val="00B42F13"/>
    <w:rsid w:val="00B44645"/>
    <w:rsid w:val="00B446EC"/>
    <w:rsid w:val="00B4483A"/>
    <w:rsid w:val="00B44CB3"/>
    <w:rsid w:val="00B4555B"/>
    <w:rsid w:val="00B459A7"/>
    <w:rsid w:val="00B45B4B"/>
    <w:rsid w:val="00B46264"/>
    <w:rsid w:val="00B462EB"/>
    <w:rsid w:val="00B46660"/>
    <w:rsid w:val="00B5083E"/>
    <w:rsid w:val="00B51C52"/>
    <w:rsid w:val="00B532AC"/>
    <w:rsid w:val="00B54D1C"/>
    <w:rsid w:val="00B550B8"/>
    <w:rsid w:val="00B558E2"/>
    <w:rsid w:val="00B55ACC"/>
    <w:rsid w:val="00B55FC6"/>
    <w:rsid w:val="00B566AB"/>
    <w:rsid w:val="00B56DAD"/>
    <w:rsid w:val="00B5744B"/>
    <w:rsid w:val="00B60225"/>
    <w:rsid w:val="00B6044D"/>
    <w:rsid w:val="00B6071B"/>
    <w:rsid w:val="00B60779"/>
    <w:rsid w:val="00B63093"/>
    <w:rsid w:val="00B63D22"/>
    <w:rsid w:val="00B6453B"/>
    <w:rsid w:val="00B649A9"/>
    <w:rsid w:val="00B64B77"/>
    <w:rsid w:val="00B65F08"/>
    <w:rsid w:val="00B66412"/>
    <w:rsid w:val="00B70C66"/>
    <w:rsid w:val="00B710B7"/>
    <w:rsid w:val="00B71477"/>
    <w:rsid w:val="00B7173A"/>
    <w:rsid w:val="00B71EBC"/>
    <w:rsid w:val="00B721AB"/>
    <w:rsid w:val="00B722B0"/>
    <w:rsid w:val="00B72A81"/>
    <w:rsid w:val="00B73016"/>
    <w:rsid w:val="00B73798"/>
    <w:rsid w:val="00B73859"/>
    <w:rsid w:val="00B73933"/>
    <w:rsid w:val="00B73D06"/>
    <w:rsid w:val="00B73FBB"/>
    <w:rsid w:val="00B74546"/>
    <w:rsid w:val="00B745B6"/>
    <w:rsid w:val="00B74C0D"/>
    <w:rsid w:val="00B74C45"/>
    <w:rsid w:val="00B76409"/>
    <w:rsid w:val="00B76811"/>
    <w:rsid w:val="00B76904"/>
    <w:rsid w:val="00B80881"/>
    <w:rsid w:val="00B80D64"/>
    <w:rsid w:val="00B81749"/>
    <w:rsid w:val="00B819AB"/>
    <w:rsid w:val="00B819FA"/>
    <w:rsid w:val="00B8213B"/>
    <w:rsid w:val="00B8220D"/>
    <w:rsid w:val="00B8252C"/>
    <w:rsid w:val="00B82688"/>
    <w:rsid w:val="00B828DE"/>
    <w:rsid w:val="00B82DD2"/>
    <w:rsid w:val="00B83F0C"/>
    <w:rsid w:val="00B84321"/>
    <w:rsid w:val="00B846F1"/>
    <w:rsid w:val="00B8507B"/>
    <w:rsid w:val="00B85337"/>
    <w:rsid w:val="00B85451"/>
    <w:rsid w:val="00B85463"/>
    <w:rsid w:val="00B85783"/>
    <w:rsid w:val="00B85A14"/>
    <w:rsid w:val="00B85E4C"/>
    <w:rsid w:val="00B86811"/>
    <w:rsid w:val="00B87828"/>
    <w:rsid w:val="00B9002B"/>
    <w:rsid w:val="00B905AF"/>
    <w:rsid w:val="00B905BD"/>
    <w:rsid w:val="00B90631"/>
    <w:rsid w:val="00B90AFC"/>
    <w:rsid w:val="00B9108F"/>
    <w:rsid w:val="00B91133"/>
    <w:rsid w:val="00B91427"/>
    <w:rsid w:val="00B9239D"/>
    <w:rsid w:val="00B92A64"/>
    <w:rsid w:val="00B943FF"/>
    <w:rsid w:val="00B94968"/>
    <w:rsid w:val="00B94D7C"/>
    <w:rsid w:val="00B94EED"/>
    <w:rsid w:val="00B95691"/>
    <w:rsid w:val="00B97A34"/>
    <w:rsid w:val="00B97F37"/>
    <w:rsid w:val="00BA1962"/>
    <w:rsid w:val="00BA1A9A"/>
    <w:rsid w:val="00BA1EF3"/>
    <w:rsid w:val="00BA223E"/>
    <w:rsid w:val="00BA303E"/>
    <w:rsid w:val="00BA4006"/>
    <w:rsid w:val="00BA48BC"/>
    <w:rsid w:val="00BA4AEA"/>
    <w:rsid w:val="00BA5126"/>
    <w:rsid w:val="00BA5414"/>
    <w:rsid w:val="00BA59A7"/>
    <w:rsid w:val="00BA654E"/>
    <w:rsid w:val="00BB0294"/>
    <w:rsid w:val="00BB09E1"/>
    <w:rsid w:val="00BB1887"/>
    <w:rsid w:val="00BB1C0A"/>
    <w:rsid w:val="00BB2870"/>
    <w:rsid w:val="00BB2A6E"/>
    <w:rsid w:val="00BB355F"/>
    <w:rsid w:val="00BB4148"/>
    <w:rsid w:val="00BB4507"/>
    <w:rsid w:val="00BB48E4"/>
    <w:rsid w:val="00BB6002"/>
    <w:rsid w:val="00BB65BE"/>
    <w:rsid w:val="00BB68C9"/>
    <w:rsid w:val="00BB71B1"/>
    <w:rsid w:val="00BB75AE"/>
    <w:rsid w:val="00BB792F"/>
    <w:rsid w:val="00BB7B34"/>
    <w:rsid w:val="00BC0A2A"/>
    <w:rsid w:val="00BC12F4"/>
    <w:rsid w:val="00BC18BA"/>
    <w:rsid w:val="00BC2071"/>
    <w:rsid w:val="00BC22C1"/>
    <w:rsid w:val="00BC2361"/>
    <w:rsid w:val="00BC3F33"/>
    <w:rsid w:val="00BC403B"/>
    <w:rsid w:val="00BC4C95"/>
    <w:rsid w:val="00BC5078"/>
    <w:rsid w:val="00BC55F8"/>
    <w:rsid w:val="00BC56B1"/>
    <w:rsid w:val="00BC587B"/>
    <w:rsid w:val="00BC5D48"/>
    <w:rsid w:val="00BC6E9A"/>
    <w:rsid w:val="00BC7F44"/>
    <w:rsid w:val="00BD09A3"/>
    <w:rsid w:val="00BD0AE9"/>
    <w:rsid w:val="00BD1FC2"/>
    <w:rsid w:val="00BD341A"/>
    <w:rsid w:val="00BD3711"/>
    <w:rsid w:val="00BD3AC4"/>
    <w:rsid w:val="00BD3BB7"/>
    <w:rsid w:val="00BD4596"/>
    <w:rsid w:val="00BD4665"/>
    <w:rsid w:val="00BD4B07"/>
    <w:rsid w:val="00BD50D1"/>
    <w:rsid w:val="00BD54B1"/>
    <w:rsid w:val="00BD5B1F"/>
    <w:rsid w:val="00BE055E"/>
    <w:rsid w:val="00BE05B1"/>
    <w:rsid w:val="00BE05D4"/>
    <w:rsid w:val="00BE0E91"/>
    <w:rsid w:val="00BE1C89"/>
    <w:rsid w:val="00BE1D17"/>
    <w:rsid w:val="00BE2684"/>
    <w:rsid w:val="00BE2CBB"/>
    <w:rsid w:val="00BE3381"/>
    <w:rsid w:val="00BE4600"/>
    <w:rsid w:val="00BE610D"/>
    <w:rsid w:val="00BE657A"/>
    <w:rsid w:val="00BE69B8"/>
    <w:rsid w:val="00BE6B35"/>
    <w:rsid w:val="00BE6D30"/>
    <w:rsid w:val="00BE73DB"/>
    <w:rsid w:val="00BF043E"/>
    <w:rsid w:val="00BF0C09"/>
    <w:rsid w:val="00BF0E4C"/>
    <w:rsid w:val="00BF21B6"/>
    <w:rsid w:val="00BF2834"/>
    <w:rsid w:val="00BF29F6"/>
    <w:rsid w:val="00BF3C46"/>
    <w:rsid w:val="00BF590B"/>
    <w:rsid w:val="00BF59E7"/>
    <w:rsid w:val="00BF61D9"/>
    <w:rsid w:val="00BF62DB"/>
    <w:rsid w:val="00BF6CA1"/>
    <w:rsid w:val="00BF6EC2"/>
    <w:rsid w:val="00BF6F6F"/>
    <w:rsid w:val="00C00829"/>
    <w:rsid w:val="00C00A80"/>
    <w:rsid w:val="00C00FE3"/>
    <w:rsid w:val="00C011AC"/>
    <w:rsid w:val="00C01A90"/>
    <w:rsid w:val="00C01CFE"/>
    <w:rsid w:val="00C01E45"/>
    <w:rsid w:val="00C02FFB"/>
    <w:rsid w:val="00C03A09"/>
    <w:rsid w:val="00C042C8"/>
    <w:rsid w:val="00C04709"/>
    <w:rsid w:val="00C04A96"/>
    <w:rsid w:val="00C0557D"/>
    <w:rsid w:val="00C05715"/>
    <w:rsid w:val="00C058EE"/>
    <w:rsid w:val="00C05F86"/>
    <w:rsid w:val="00C05FC5"/>
    <w:rsid w:val="00C06DD2"/>
    <w:rsid w:val="00C06E78"/>
    <w:rsid w:val="00C07534"/>
    <w:rsid w:val="00C0766B"/>
    <w:rsid w:val="00C07CF1"/>
    <w:rsid w:val="00C07D5C"/>
    <w:rsid w:val="00C106C5"/>
    <w:rsid w:val="00C107BA"/>
    <w:rsid w:val="00C1093C"/>
    <w:rsid w:val="00C10BDB"/>
    <w:rsid w:val="00C10C19"/>
    <w:rsid w:val="00C10D72"/>
    <w:rsid w:val="00C111F5"/>
    <w:rsid w:val="00C112B1"/>
    <w:rsid w:val="00C11969"/>
    <w:rsid w:val="00C11C8D"/>
    <w:rsid w:val="00C12A18"/>
    <w:rsid w:val="00C12C45"/>
    <w:rsid w:val="00C13232"/>
    <w:rsid w:val="00C13406"/>
    <w:rsid w:val="00C14FA3"/>
    <w:rsid w:val="00C156C1"/>
    <w:rsid w:val="00C16064"/>
    <w:rsid w:val="00C174FB"/>
    <w:rsid w:val="00C178E8"/>
    <w:rsid w:val="00C179E0"/>
    <w:rsid w:val="00C17D84"/>
    <w:rsid w:val="00C17ECB"/>
    <w:rsid w:val="00C202D0"/>
    <w:rsid w:val="00C2060B"/>
    <w:rsid w:val="00C20B08"/>
    <w:rsid w:val="00C20C5C"/>
    <w:rsid w:val="00C213AF"/>
    <w:rsid w:val="00C217B4"/>
    <w:rsid w:val="00C21AE2"/>
    <w:rsid w:val="00C22313"/>
    <w:rsid w:val="00C2245A"/>
    <w:rsid w:val="00C235F6"/>
    <w:rsid w:val="00C241C4"/>
    <w:rsid w:val="00C2478E"/>
    <w:rsid w:val="00C24A66"/>
    <w:rsid w:val="00C24E50"/>
    <w:rsid w:val="00C25031"/>
    <w:rsid w:val="00C25B52"/>
    <w:rsid w:val="00C25E1B"/>
    <w:rsid w:val="00C269B4"/>
    <w:rsid w:val="00C2752A"/>
    <w:rsid w:val="00C30749"/>
    <w:rsid w:val="00C307A0"/>
    <w:rsid w:val="00C31548"/>
    <w:rsid w:val="00C31C66"/>
    <w:rsid w:val="00C31F51"/>
    <w:rsid w:val="00C332AC"/>
    <w:rsid w:val="00C338F8"/>
    <w:rsid w:val="00C33F75"/>
    <w:rsid w:val="00C3416B"/>
    <w:rsid w:val="00C347D1"/>
    <w:rsid w:val="00C349A9"/>
    <w:rsid w:val="00C35237"/>
    <w:rsid w:val="00C355F4"/>
    <w:rsid w:val="00C3571E"/>
    <w:rsid w:val="00C3636D"/>
    <w:rsid w:val="00C36E29"/>
    <w:rsid w:val="00C37429"/>
    <w:rsid w:val="00C374E4"/>
    <w:rsid w:val="00C405CB"/>
    <w:rsid w:val="00C40651"/>
    <w:rsid w:val="00C416C0"/>
    <w:rsid w:val="00C41AE0"/>
    <w:rsid w:val="00C41B34"/>
    <w:rsid w:val="00C42E85"/>
    <w:rsid w:val="00C431E3"/>
    <w:rsid w:val="00C433A9"/>
    <w:rsid w:val="00C448C0"/>
    <w:rsid w:val="00C44B34"/>
    <w:rsid w:val="00C45914"/>
    <w:rsid w:val="00C45D54"/>
    <w:rsid w:val="00C467C0"/>
    <w:rsid w:val="00C468A8"/>
    <w:rsid w:val="00C46B14"/>
    <w:rsid w:val="00C46CCC"/>
    <w:rsid w:val="00C472DE"/>
    <w:rsid w:val="00C47738"/>
    <w:rsid w:val="00C47882"/>
    <w:rsid w:val="00C512F9"/>
    <w:rsid w:val="00C5161A"/>
    <w:rsid w:val="00C5212B"/>
    <w:rsid w:val="00C545BC"/>
    <w:rsid w:val="00C5521A"/>
    <w:rsid w:val="00C55B29"/>
    <w:rsid w:val="00C55C4F"/>
    <w:rsid w:val="00C5617F"/>
    <w:rsid w:val="00C56550"/>
    <w:rsid w:val="00C56699"/>
    <w:rsid w:val="00C57163"/>
    <w:rsid w:val="00C5742B"/>
    <w:rsid w:val="00C57AB4"/>
    <w:rsid w:val="00C612FD"/>
    <w:rsid w:val="00C61398"/>
    <w:rsid w:val="00C61907"/>
    <w:rsid w:val="00C61A61"/>
    <w:rsid w:val="00C61EA4"/>
    <w:rsid w:val="00C62037"/>
    <w:rsid w:val="00C6425A"/>
    <w:rsid w:val="00C64AAD"/>
    <w:rsid w:val="00C64C51"/>
    <w:rsid w:val="00C64F99"/>
    <w:rsid w:val="00C6640D"/>
    <w:rsid w:val="00C67B6B"/>
    <w:rsid w:val="00C71503"/>
    <w:rsid w:val="00C71CE9"/>
    <w:rsid w:val="00C72161"/>
    <w:rsid w:val="00C73F5D"/>
    <w:rsid w:val="00C75630"/>
    <w:rsid w:val="00C76CCB"/>
    <w:rsid w:val="00C76D95"/>
    <w:rsid w:val="00C804D0"/>
    <w:rsid w:val="00C805B1"/>
    <w:rsid w:val="00C8141F"/>
    <w:rsid w:val="00C82153"/>
    <w:rsid w:val="00C824A8"/>
    <w:rsid w:val="00C82E57"/>
    <w:rsid w:val="00C83D4C"/>
    <w:rsid w:val="00C84099"/>
    <w:rsid w:val="00C843A8"/>
    <w:rsid w:val="00C85EE9"/>
    <w:rsid w:val="00C85FD5"/>
    <w:rsid w:val="00C863C4"/>
    <w:rsid w:val="00C87601"/>
    <w:rsid w:val="00C87E01"/>
    <w:rsid w:val="00C87E09"/>
    <w:rsid w:val="00C87FDB"/>
    <w:rsid w:val="00C90BA1"/>
    <w:rsid w:val="00C9109E"/>
    <w:rsid w:val="00C919E3"/>
    <w:rsid w:val="00C91A68"/>
    <w:rsid w:val="00C91B51"/>
    <w:rsid w:val="00C91F35"/>
    <w:rsid w:val="00C9239C"/>
    <w:rsid w:val="00C929FE"/>
    <w:rsid w:val="00C939A6"/>
    <w:rsid w:val="00C950E0"/>
    <w:rsid w:val="00C95112"/>
    <w:rsid w:val="00C95591"/>
    <w:rsid w:val="00C95631"/>
    <w:rsid w:val="00C9583E"/>
    <w:rsid w:val="00C95FAF"/>
    <w:rsid w:val="00C9603B"/>
    <w:rsid w:val="00CA02EF"/>
    <w:rsid w:val="00CA0903"/>
    <w:rsid w:val="00CA0A03"/>
    <w:rsid w:val="00CA0F3B"/>
    <w:rsid w:val="00CA10AA"/>
    <w:rsid w:val="00CA1535"/>
    <w:rsid w:val="00CA1804"/>
    <w:rsid w:val="00CA181E"/>
    <w:rsid w:val="00CA204B"/>
    <w:rsid w:val="00CA2DF8"/>
    <w:rsid w:val="00CA4BD7"/>
    <w:rsid w:val="00CA4C33"/>
    <w:rsid w:val="00CA4E41"/>
    <w:rsid w:val="00CA533C"/>
    <w:rsid w:val="00CA5AE6"/>
    <w:rsid w:val="00CA5E09"/>
    <w:rsid w:val="00CA67FA"/>
    <w:rsid w:val="00CA6EC7"/>
    <w:rsid w:val="00CA77AA"/>
    <w:rsid w:val="00CB02F6"/>
    <w:rsid w:val="00CB14D2"/>
    <w:rsid w:val="00CB16FA"/>
    <w:rsid w:val="00CB1CC8"/>
    <w:rsid w:val="00CB226A"/>
    <w:rsid w:val="00CB27A4"/>
    <w:rsid w:val="00CB308D"/>
    <w:rsid w:val="00CB3988"/>
    <w:rsid w:val="00CB3B00"/>
    <w:rsid w:val="00CB4965"/>
    <w:rsid w:val="00CB61CC"/>
    <w:rsid w:val="00CB6204"/>
    <w:rsid w:val="00CB6497"/>
    <w:rsid w:val="00CB6A8F"/>
    <w:rsid w:val="00CB72BB"/>
    <w:rsid w:val="00CB7349"/>
    <w:rsid w:val="00CB75EC"/>
    <w:rsid w:val="00CB770C"/>
    <w:rsid w:val="00CB7D4C"/>
    <w:rsid w:val="00CC03BB"/>
    <w:rsid w:val="00CC0627"/>
    <w:rsid w:val="00CC07B8"/>
    <w:rsid w:val="00CC0B52"/>
    <w:rsid w:val="00CC0B68"/>
    <w:rsid w:val="00CC0B85"/>
    <w:rsid w:val="00CC2125"/>
    <w:rsid w:val="00CC2331"/>
    <w:rsid w:val="00CC295C"/>
    <w:rsid w:val="00CC3B06"/>
    <w:rsid w:val="00CC424B"/>
    <w:rsid w:val="00CC43FF"/>
    <w:rsid w:val="00CC511A"/>
    <w:rsid w:val="00CC5976"/>
    <w:rsid w:val="00CC59A6"/>
    <w:rsid w:val="00CC5A3A"/>
    <w:rsid w:val="00CC5E0A"/>
    <w:rsid w:val="00CC5E80"/>
    <w:rsid w:val="00CC6020"/>
    <w:rsid w:val="00CC6128"/>
    <w:rsid w:val="00CC64EA"/>
    <w:rsid w:val="00CC75A9"/>
    <w:rsid w:val="00CD01BE"/>
    <w:rsid w:val="00CD0372"/>
    <w:rsid w:val="00CD057E"/>
    <w:rsid w:val="00CD0B87"/>
    <w:rsid w:val="00CD0F37"/>
    <w:rsid w:val="00CD1410"/>
    <w:rsid w:val="00CD29FE"/>
    <w:rsid w:val="00CD2A53"/>
    <w:rsid w:val="00CD2AE5"/>
    <w:rsid w:val="00CD2B82"/>
    <w:rsid w:val="00CD2DA5"/>
    <w:rsid w:val="00CD2E04"/>
    <w:rsid w:val="00CD36E7"/>
    <w:rsid w:val="00CD3EE8"/>
    <w:rsid w:val="00CD4073"/>
    <w:rsid w:val="00CD4117"/>
    <w:rsid w:val="00CD4532"/>
    <w:rsid w:val="00CD540F"/>
    <w:rsid w:val="00CD5794"/>
    <w:rsid w:val="00CD5A0A"/>
    <w:rsid w:val="00CD5D4F"/>
    <w:rsid w:val="00CD6878"/>
    <w:rsid w:val="00CD70C7"/>
    <w:rsid w:val="00CE0357"/>
    <w:rsid w:val="00CE03E2"/>
    <w:rsid w:val="00CE0760"/>
    <w:rsid w:val="00CE11B3"/>
    <w:rsid w:val="00CE1CDD"/>
    <w:rsid w:val="00CE240D"/>
    <w:rsid w:val="00CE26AF"/>
    <w:rsid w:val="00CE2873"/>
    <w:rsid w:val="00CE2970"/>
    <w:rsid w:val="00CE2A41"/>
    <w:rsid w:val="00CE3636"/>
    <w:rsid w:val="00CE3B12"/>
    <w:rsid w:val="00CE3BF2"/>
    <w:rsid w:val="00CE3E70"/>
    <w:rsid w:val="00CE4645"/>
    <w:rsid w:val="00CE4E79"/>
    <w:rsid w:val="00CE4ECF"/>
    <w:rsid w:val="00CE59E0"/>
    <w:rsid w:val="00CE5AA4"/>
    <w:rsid w:val="00CE60CB"/>
    <w:rsid w:val="00CE695B"/>
    <w:rsid w:val="00CE6D0C"/>
    <w:rsid w:val="00CE6FCF"/>
    <w:rsid w:val="00CE7169"/>
    <w:rsid w:val="00CE768E"/>
    <w:rsid w:val="00CF076F"/>
    <w:rsid w:val="00CF0DAF"/>
    <w:rsid w:val="00CF1C0F"/>
    <w:rsid w:val="00CF1F30"/>
    <w:rsid w:val="00CF2136"/>
    <w:rsid w:val="00CF2946"/>
    <w:rsid w:val="00CF30E9"/>
    <w:rsid w:val="00CF35C6"/>
    <w:rsid w:val="00CF3805"/>
    <w:rsid w:val="00CF3E8D"/>
    <w:rsid w:val="00CF4191"/>
    <w:rsid w:val="00CF49ED"/>
    <w:rsid w:val="00CF4B33"/>
    <w:rsid w:val="00CF510E"/>
    <w:rsid w:val="00CF51AD"/>
    <w:rsid w:val="00CF52ED"/>
    <w:rsid w:val="00CF73D9"/>
    <w:rsid w:val="00CF78C2"/>
    <w:rsid w:val="00D00826"/>
    <w:rsid w:val="00D008D3"/>
    <w:rsid w:val="00D00D71"/>
    <w:rsid w:val="00D0129D"/>
    <w:rsid w:val="00D01570"/>
    <w:rsid w:val="00D01D48"/>
    <w:rsid w:val="00D02610"/>
    <w:rsid w:val="00D0275E"/>
    <w:rsid w:val="00D03AAE"/>
    <w:rsid w:val="00D03EC3"/>
    <w:rsid w:val="00D04E01"/>
    <w:rsid w:val="00D054A1"/>
    <w:rsid w:val="00D059C3"/>
    <w:rsid w:val="00D06301"/>
    <w:rsid w:val="00D06D4E"/>
    <w:rsid w:val="00D07994"/>
    <w:rsid w:val="00D07FFE"/>
    <w:rsid w:val="00D10D2C"/>
    <w:rsid w:val="00D110D5"/>
    <w:rsid w:val="00D11C38"/>
    <w:rsid w:val="00D12B5F"/>
    <w:rsid w:val="00D13AA6"/>
    <w:rsid w:val="00D15EC2"/>
    <w:rsid w:val="00D1647D"/>
    <w:rsid w:val="00D17B71"/>
    <w:rsid w:val="00D20590"/>
    <w:rsid w:val="00D206B8"/>
    <w:rsid w:val="00D20786"/>
    <w:rsid w:val="00D20AB0"/>
    <w:rsid w:val="00D20BC0"/>
    <w:rsid w:val="00D218E8"/>
    <w:rsid w:val="00D21CC7"/>
    <w:rsid w:val="00D224CF"/>
    <w:rsid w:val="00D2259B"/>
    <w:rsid w:val="00D22E28"/>
    <w:rsid w:val="00D23E02"/>
    <w:rsid w:val="00D2451F"/>
    <w:rsid w:val="00D2486A"/>
    <w:rsid w:val="00D25346"/>
    <w:rsid w:val="00D25489"/>
    <w:rsid w:val="00D256B8"/>
    <w:rsid w:val="00D25C0C"/>
    <w:rsid w:val="00D25D57"/>
    <w:rsid w:val="00D262CA"/>
    <w:rsid w:val="00D26954"/>
    <w:rsid w:val="00D30D93"/>
    <w:rsid w:val="00D322B0"/>
    <w:rsid w:val="00D323DD"/>
    <w:rsid w:val="00D33289"/>
    <w:rsid w:val="00D3410E"/>
    <w:rsid w:val="00D346A3"/>
    <w:rsid w:val="00D347FD"/>
    <w:rsid w:val="00D34D9F"/>
    <w:rsid w:val="00D34DF7"/>
    <w:rsid w:val="00D35ABE"/>
    <w:rsid w:val="00D35F18"/>
    <w:rsid w:val="00D36A02"/>
    <w:rsid w:val="00D36BE4"/>
    <w:rsid w:val="00D36E65"/>
    <w:rsid w:val="00D3783C"/>
    <w:rsid w:val="00D40739"/>
    <w:rsid w:val="00D40A1B"/>
    <w:rsid w:val="00D40E95"/>
    <w:rsid w:val="00D416A7"/>
    <w:rsid w:val="00D416C5"/>
    <w:rsid w:val="00D41BEF"/>
    <w:rsid w:val="00D42781"/>
    <w:rsid w:val="00D42D01"/>
    <w:rsid w:val="00D430C4"/>
    <w:rsid w:val="00D43923"/>
    <w:rsid w:val="00D43F8F"/>
    <w:rsid w:val="00D440C1"/>
    <w:rsid w:val="00D4453A"/>
    <w:rsid w:val="00D44D7A"/>
    <w:rsid w:val="00D45292"/>
    <w:rsid w:val="00D4616A"/>
    <w:rsid w:val="00D47AE5"/>
    <w:rsid w:val="00D50045"/>
    <w:rsid w:val="00D50111"/>
    <w:rsid w:val="00D5039D"/>
    <w:rsid w:val="00D50AF0"/>
    <w:rsid w:val="00D511AA"/>
    <w:rsid w:val="00D5162E"/>
    <w:rsid w:val="00D516CC"/>
    <w:rsid w:val="00D51840"/>
    <w:rsid w:val="00D5356C"/>
    <w:rsid w:val="00D53907"/>
    <w:rsid w:val="00D53919"/>
    <w:rsid w:val="00D53988"/>
    <w:rsid w:val="00D53DE8"/>
    <w:rsid w:val="00D5453A"/>
    <w:rsid w:val="00D54DD6"/>
    <w:rsid w:val="00D551EC"/>
    <w:rsid w:val="00D5563B"/>
    <w:rsid w:val="00D55960"/>
    <w:rsid w:val="00D55A57"/>
    <w:rsid w:val="00D55F4E"/>
    <w:rsid w:val="00D56057"/>
    <w:rsid w:val="00D56157"/>
    <w:rsid w:val="00D57134"/>
    <w:rsid w:val="00D57BA2"/>
    <w:rsid w:val="00D60575"/>
    <w:rsid w:val="00D60A71"/>
    <w:rsid w:val="00D61646"/>
    <w:rsid w:val="00D62168"/>
    <w:rsid w:val="00D62A98"/>
    <w:rsid w:val="00D62FAD"/>
    <w:rsid w:val="00D64199"/>
    <w:rsid w:val="00D643B4"/>
    <w:rsid w:val="00D6642D"/>
    <w:rsid w:val="00D66E6D"/>
    <w:rsid w:val="00D67C70"/>
    <w:rsid w:val="00D67DF9"/>
    <w:rsid w:val="00D7079B"/>
    <w:rsid w:val="00D7216A"/>
    <w:rsid w:val="00D7223B"/>
    <w:rsid w:val="00D73796"/>
    <w:rsid w:val="00D73B56"/>
    <w:rsid w:val="00D73F6C"/>
    <w:rsid w:val="00D750AE"/>
    <w:rsid w:val="00D75177"/>
    <w:rsid w:val="00D75E86"/>
    <w:rsid w:val="00D76176"/>
    <w:rsid w:val="00D76873"/>
    <w:rsid w:val="00D7757F"/>
    <w:rsid w:val="00D77E4F"/>
    <w:rsid w:val="00D77EF6"/>
    <w:rsid w:val="00D77F12"/>
    <w:rsid w:val="00D8078C"/>
    <w:rsid w:val="00D80B14"/>
    <w:rsid w:val="00D8115C"/>
    <w:rsid w:val="00D81C2D"/>
    <w:rsid w:val="00D81E78"/>
    <w:rsid w:val="00D8246F"/>
    <w:rsid w:val="00D82C57"/>
    <w:rsid w:val="00D840AE"/>
    <w:rsid w:val="00D847AA"/>
    <w:rsid w:val="00D84DBC"/>
    <w:rsid w:val="00D84E9A"/>
    <w:rsid w:val="00D854D8"/>
    <w:rsid w:val="00D8575A"/>
    <w:rsid w:val="00D857F5"/>
    <w:rsid w:val="00D8582D"/>
    <w:rsid w:val="00D869C5"/>
    <w:rsid w:val="00D86D18"/>
    <w:rsid w:val="00D870D4"/>
    <w:rsid w:val="00D8737C"/>
    <w:rsid w:val="00D877E5"/>
    <w:rsid w:val="00D87CA7"/>
    <w:rsid w:val="00D90279"/>
    <w:rsid w:val="00D909D1"/>
    <w:rsid w:val="00D90A78"/>
    <w:rsid w:val="00D90FF6"/>
    <w:rsid w:val="00D91182"/>
    <w:rsid w:val="00D923F0"/>
    <w:rsid w:val="00D9370F"/>
    <w:rsid w:val="00D93D54"/>
    <w:rsid w:val="00D93DB7"/>
    <w:rsid w:val="00D945BD"/>
    <w:rsid w:val="00D9487F"/>
    <w:rsid w:val="00D94EA5"/>
    <w:rsid w:val="00D94F77"/>
    <w:rsid w:val="00D952CE"/>
    <w:rsid w:val="00D96679"/>
    <w:rsid w:val="00D9695F"/>
    <w:rsid w:val="00DA046C"/>
    <w:rsid w:val="00DA0F0C"/>
    <w:rsid w:val="00DA110F"/>
    <w:rsid w:val="00DA1520"/>
    <w:rsid w:val="00DA18AF"/>
    <w:rsid w:val="00DA199A"/>
    <w:rsid w:val="00DA1C86"/>
    <w:rsid w:val="00DA1F99"/>
    <w:rsid w:val="00DA296A"/>
    <w:rsid w:val="00DA2FB6"/>
    <w:rsid w:val="00DA32EF"/>
    <w:rsid w:val="00DA3A14"/>
    <w:rsid w:val="00DA3CA6"/>
    <w:rsid w:val="00DA43DD"/>
    <w:rsid w:val="00DA50CA"/>
    <w:rsid w:val="00DA527E"/>
    <w:rsid w:val="00DA59BD"/>
    <w:rsid w:val="00DA662F"/>
    <w:rsid w:val="00DA685D"/>
    <w:rsid w:val="00DA6E6C"/>
    <w:rsid w:val="00DA6F83"/>
    <w:rsid w:val="00DA725E"/>
    <w:rsid w:val="00DA79B9"/>
    <w:rsid w:val="00DB1081"/>
    <w:rsid w:val="00DB1B4B"/>
    <w:rsid w:val="00DB1E61"/>
    <w:rsid w:val="00DB2342"/>
    <w:rsid w:val="00DB2A92"/>
    <w:rsid w:val="00DB3910"/>
    <w:rsid w:val="00DB3AEA"/>
    <w:rsid w:val="00DB3B99"/>
    <w:rsid w:val="00DB408D"/>
    <w:rsid w:val="00DB4226"/>
    <w:rsid w:val="00DB53AD"/>
    <w:rsid w:val="00DB5B6B"/>
    <w:rsid w:val="00DB5CE6"/>
    <w:rsid w:val="00DB5D8C"/>
    <w:rsid w:val="00DB65DF"/>
    <w:rsid w:val="00DB6E07"/>
    <w:rsid w:val="00DB7D32"/>
    <w:rsid w:val="00DC01FF"/>
    <w:rsid w:val="00DC0340"/>
    <w:rsid w:val="00DC099E"/>
    <w:rsid w:val="00DC0C97"/>
    <w:rsid w:val="00DC1522"/>
    <w:rsid w:val="00DC1839"/>
    <w:rsid w:val="00DC223D"/>
    <w:rsid w:val="00DC2292"/>
    <w:rsid w:val="00DC26B8"/>
    <w:rsid w:val="00DC274A"/>
    <w:rsid w:val="00DC27AF"/>
    <w:rsid w:val="00DC2BB2"/>
    <w:rsid w:val="00DC3380"/>
    <w:rsid w:val="00DC3479"/>
    <w:rsid w:val="00DC4867"/>
    <w:rsid w:val="00DC509F"/>
    <w:rsid w:val="00DC5D50"/>
    <w:rsid w:val="00DD0456"/>
    <w:rsid w:val="00DD09D3"/>
    <w:rsid w:val="00DD1F5E"/>
    <w:rsid w:val="00DD2AB7"/>
    <w:rsid w:val="00DD2CF9"/>
    <w:rsid w:val="00DD2EF6"/>
    <w:rsid w:val="00DD32C4"/>
    <w:rsid w:val="00DD33DF"/>
    <w:rsid w:val="00DD3405"/>
    <w:rsid w:val="00DD3FF1"/>
    <w:rsid w:val="00DD412F"/>
    <w:rsid w:val="00DD434E"/>
    <w:rsid w:val="00DD4E02"/>
    <w:rsid w:val="00DD5A5A"/>
    <w:rsid w:val="00DD67E9"/>
    <w:rsid w:val="00DD6838"/>
    <w:rsid w:val="00DD7D1D"/>
    <w:rsid w:val="00DE0013"/>
    <w:rsid w:val="00DE0598"/>
    <w:rsid w:val="00DE0B95"/>
    <w:rsid w:val="00DE1E9D"/>
    <w:rsid w:val="00DE1FD7"/>
    <w:rsid w:val="00DE205A"/>
    <w:rsid w:val="00DE224B"/>
    <w:rsid w:val="00DE307C"/>
    <w:rsid w:val="00DE3E9A"/>
    <w:rsid w:val="00DE476D"/>
    <w:rsid w:val="00DE53AC"/>
    <w:rsid w:val="00DE5957"/>
    <w:rsid w:val="00DE6DBA"/>
    <w:rsid w:val="00DE6EC5"/>
    <w:rsid w:val="00DE7590"/>
    <w:rsid w:val="00DE7D6C"/>
    <w:rsid w:val="00DF29C1"/>
    <w:rsid w:val="00DF2FF0"/>
    <w:rsid w:val="00DF34BD"/>
    <w:rsid w:val="00DF3A31"/>
    <w:rsid w:val="00DF41FA"/>
    <w:rsid w:val="00DF4430"/>
    <w:rsid w:val="00DF4698"/>
    <w:rsid w:val="00DF4C53"/>
    <w:rsid w:val="00DF5455"/>
    <w:rsid w:val="00DF651D"/>
    <w:rsid w:val="00DF6B96"/>
    <w:rsid w:val="00DF6BE1"/>
    <w:rsid w:val="00DF706A"/>
    <w:rsid w:val="00DF7201"/>
    <w:rsid w:val="00DF790C"/>
    <w:rsid w:val="00DF79FE"/>
    <w:rsid w:val="00DF7D9C"/>
    <w:rsid w:val="00E0026E"/>
    <w:rsid w:val="00E010E9"/>
    <w:rsid w:val="00E01B08"/>
    <w:rsid w:val="00E02041"/>
    <w:rsid w:val="00E025B8"/>
    <w:rsid w:val="00E02699"/>
    <w:rsid w:val="00E02837"/>
    <w:rsid w:val="00E03746"/>
    <w:rsid w:val="00E03FED"/>
    <w:rsid w:val="00E04017"/>
    <w:rsid w:val="00E0492D"/>
    <w:rsid w:val="00E04990"/>
    <w:rsid w:val="00E04F17"/>
    <w:rsid w:val="00E05609"/>
    <w:rsid w:val="00E05EF7"/>
    <w:rsid w:val="00E06043"/>
    <w:rsid w:val="00E064CC"/>
    <w:rsid w:val="00E06A2C"/>
    <w:rsid w:val="00E070E5"/>
    <w:rsid w:val="00E0768A"/>
    <w:rsid w:val="00E10576"/>
    <w:rsid w:val="00E10AFC"/>
    <w:rsid w:val="00E10DC8"/>
    <w:rsid w:val="00E116DC"/>
    <w:rsid w:val="00E1307F"/>
    <w:rsid w:val="00E13705"/>
    <w:rsid w:val="00E141ED"/>
    <w:rsid w:val="00E1479D"/>
    <w:rsid w:val="00E15073"/>
    <w:rsid w:val="00E15435"/>
    <w:rsid w:val="00E16B69"/>
    <w:rsid w:val="00E17039"/>
    <w:rsid w:val="00E17265"/>
    <w:rsid w:val="00E172E3"/>
    <w:rsid w:val="00E17AC2"/>
    <w:rsid w:val="00E17B1D"/>
    <w:rsid w:val="00E20796"/>
    <w:rsid w:val="00E21963"/>
    <w:rsid w:val="00E21D29"/>
    <w:rsid w:val="00E230B9"/>
    <w:rsid w:val="00E23B23"/>
    <w:rsid w:val="00E23DCF"/>
    <w:rsid w:val="00E23F14"/>
    <w:rsid w:val="00E245C1"/>
    <w:rsid w:val="00E249D0"/>
    <w:rsid w:val="00E25B51"/>
    <w:rsid w:val="00E25CCD"/>
    <w:rsid w:val="00E26DBC"/>
    <w:rsid w:val="00E27472"/>
    <w:rsid w:val="00E30060"/>
    <w:rsid w:val="00E303DA"/>
    <w:rsid w:val="00E307D8"/>
    <w:rsid w:val="00E31F50"/>
    <w:rsid w:val="00E322A1"/>
    <w:rsid w:val="00E32306"/>
    <w:rsid w:val="00E32CA1"/>
    <w:rsid w:val="00E336FD"/>
    <w:rsid w:val="00E34414"/>
    <w:rsid w:val="00E3463B"/>
    <w:rsid w:val="00E34892"/>
    <w:rsid w:val="00E35E70"/>
    <w:rsid w:val="00E360FC"/>
    <w:rsid w:val="00E3618B"/>
    <w:rsid w:val="00E36A73"/>
    <w:rsid w:val="00E36DFB"/>
    <w:rsid w:val="00E37C88"/>
    <w:rsid w:val="00E40365"/>
    <w:rsid w:val="00E40780"/>
    <w:rsid w:val="00E40A07"/>
    <w:rsid w:val="00E40BC4"/>
    <w:rsid w:val="00E412EE"/>
    <w:rsid w:val="00E41488"/>
    <w:rsid w:val="00E41666"/>
    <w:rsid w:val="00E430F6"/>
    <w:rsid w:val="00E43A7E"/>
    <w:rsid w:val="00E43B8C"/>
    <w:rsid w:val="00E43BFF"/>
    <w:rsid w:val="00E43C46"/>
    <w:rsid w:val="00E43CB0"/>
    <w:rsid w:val="00E44737"/>
    <w:rsid w:val="00E449B7"/>
    <w:rsid w:val="00E4542D"/>
    <w:rsid w:val="00E457D4"/>
    <w:rsid w:val="00E45ABF"/>
    <w:rsid w:val="00E466E4"/>
    <w:rsid w:val="00E470CE"/>
    <w:rsid w:val="00E472FB"/>
    <w:rsid w:val="00E479C9"/>
    <w:rsid w:val="00E47C4C"/>
    <w:rsid w:val="00E47F66"/>
    <w:rsid w:val="00E47F70"/>
    <w:rsid w:val="00E5056D"/>
    <w:rsid w:val="00E50944"/>
    <w:rsid w:val="00E50A18"/>
    <w:rsid w:val="00E50ECF"/>
    <w:rsid w:val="00E50FA2"/>
    <w:rsid w:val="00E51B3A"/>
    <w:rsid w:val="00E51FFD"/>
    <w:rsid w:val="00E52DF7"/>
    <w:rsid w:val="00E53162"/>
    <w:rsid w:val="00E54521"/>
    <w:rsid w:val="00E55628"/>
    <w:rsid w:val="00E55F93"/>
    <w:rsid w:val="00E56593"/>
    <w:rsid w:val="00E56CA3"/>
    <w:rsid w:val="00E56E07"/>
    <w:rsid w:val="00E57688"/>
    <w:rsid w:val="00E57DA5"/>
    <w:rsid w:val="00E57ECF"/>
    <w:rsid w:val="00E608E0"/>
    <w:rsid w:val="00E609A0"/>
    <w:rsid w:val="00E61DCE"/>
    <w:rsid w:val="00E6233A"/>
    <w:rsid w:val="00E62868"/>
    <w:rsid w:val="00E63068"/>
    <w:rsid w:val="00E634B4"/>
    <w:rsid w:val="00E63D7E"/>
    <w:rsid w:val="00E64A5E"/>
    <w:rsid w:val="00E64FA2"/>
    <w:rsid w:val="00E6534D"/>
    <w:rsid w:val="00E65B2E"/>
    <w:rsid w:val="00E66433"/>
    <w:rsid w:val="00E66EE5"/>
    <w:rsid w:val="00E67416"/>
    <w:rsid w:val="00E67CD3"/>
    <w:rsid w:val="00E67EA3"/>
    <w:rsid w:val="00E7082C"/>
    <w:rsid w:val="00E70E2B"/>
    <w:rsid w:val="00E710A2"/>
    <w:rsid w:val="00E73338"/>
    <w:rsid w:val="00E7340F"/>
    <w:rsid w:val="00E73540"/>
    <w:rsid w:val="00E7415D"/>
    <w:rsid w:val="00E742CA"/>
    <w:rsid w:val="00E74DA2"/>
    <w:rsid w:val="00E75220"/>
    <w:rsid w:val="00E75CF9"/>
    <w:rsid w:val="00E76729"/>
    <w:rsid w:val="00E76A4F"/>
    <w:rsid w:val="00E77330"/>
    <w:rsid w:val="00E77609"/>
    <w:rsid w:val="00E77FC1"/>
    <w:rsid w:val="00E80CBC"/>
    <w:rsid w:val="00E80E41"/>
    <w:rsid w:val="00E81828"/>
    <w:rsid w:val="00E820CD"/>
    <w:rsid w:val="00E822C7"/>
    <w:rsid w:val="00E828EF"/>
    <w:rsid w:val="00E82D31"/>
    <w:rsid w:val="00E83D81"/>
    <w:rsid w:val="00E84554"/>
    <w:rsid w:val="00E84ADD"/>
    <w:rsid w:val="00E84AF6"/>
    <w:rsid w:val="00E84CC2"/>
    <w:rsid w:val="00E84F59"/>
    <w:rsid w:val="00E85115"/>
    <w:rsid w:val="00E85CBF"/>
    <w:rsid w:val="00E85CE0"/>
    <w:rsid w:val="00E85FC1"/>
    <w:rsid w:val="00E861A4"/>
    <w:rsid w:val="00E86C5D"/>
    <w:rsid w:val="00E86D97"/>
    <w:rsid w:val="00E8730A"/>
    <w:rsid w:val="00E87563"/>
    <w:rsid w:val="00E905A8"/>
    <w:rsid w:val="00E9098B"/>
    <w:rsid w:val="00E90EFC"/>
    <w:rsid w:val="00E91BE2"/>
    <w:rsid w:val="00E92898"/>
    <w:rsid w:val="00E93FBD"/>
    <w:rsid w:val="00E9491F"/>
    <w:rsid w:val="00E94A0D"/>
    <w:rsid w:val="00E94A83"/>
    <w:rsid w:val="00E94B79"/>
    <w:rsid w:val="00E94C8B"/>
    <w:rsid w:val="00E950FA"/>
    <w:rsid w:val="00E954B4"/>
    <w:rsid w:val="00E963D9"/>
    <w:rsid w:val="00E96A82"/>
    <w:rsid w:val="00E96FB8"/>
    <w:rsid w:val="00E97871"/>
    <w:rsid w:val="00E97AFD"/>
    <w:rsid w:val="00EA0B36"/>
    <w:rsid w:val="00EA0FFD"/>
    <w:rsid w:val="00EA146C"/>
    <w:rsid w:val="00EA17CA"/>
    <w:rsid w:val="00EA1D91"/>
    <w:rsid w:val="00EA1DA2"/>
    <w:rsid w:val="00EA1E23"/>
    <w:rsid w:val="00EA20D4"/>
    <w:rsid w:val="00EA23A2"/>
    <w:rsid w:val="00EA36A2"/>
    <w:rsid w:val="00EA36AF"/>
    <w:rsid w:val="00EA44E0"/>
    <w:rsid w:val="00EA4524"/>
    <w:rsid w:val="00EA4EBF"/>
    <w:rsid w:val="00EA5748"/>
    <w:rsid w:val="00EA5791"/>
    <w:rsid w:val="00EA5DC2"/>
    <w:rsid w:val="00EA6E02"/>
    <w:rsid w:val="00EB0170"/>
    <w:rsid w:val="00EB04EB"/>
    <w:rsid w:val="00EB086B"/>
    <w:rsid w:val="00EB0A31"/>
    <w:rsid w:val="00EB0EC4"/>
    <w:rsid w:val="00EB169C"/>
    <w:rsid w:val="00EB20A4"/>
    <w:rsid w:val="00EB289D"/>
    <w:rsid w:val="00EB29D0"/>
    <w:rsid w:val="00EB32F4"/>
    <w:rsid w:val="00EB39C8"/>
    <w:rsid w:val="00EB3CE9"/>
    <w:rsid w:val="00EB3F89"/>
    <w:rsid w:val="00EB40EB"/>
    <w:rsid w:val="00EB506D"/>
    <w:rsid w:val="00EB51A3"/>
    <w:rsid w:val="00EB552D"/>
    <w:rsid w:val="00EB574A"/>
    <w:rsid w:val="00EB5FF3"/>
    <w:rsid w:val="00EB68F4"/>
    <w:rsid w:val="00EB6BF8"/>
    <w:rsid w:val="00EB6E85"/>
    <w:rsid w:val="00EB6FFD"/>
    <w:rsid w:val="00EC10CC"/>
    <w:rsid w:val="00EC15A6"/>
    <w:rsid w:val="00EC1B55"/>
    <w:rsid w:val="00EC1F25"/>
    <w:rsid w:val="00EC202F"/>
    <w:rsid w:val="00EC227A"/>
    <w:rsid w:val="00EC37FE"/>
    <w:rsid w:val="00EC3CF8"/>
    <w:rsid w:val="00EC44BE"/>
    <w:rsid w:val="00EC542C"/>
    <w:rsid w:val="00EC56A5"/>
    <w:rsid w:val="00EC676F"/>
    <w:rsid w:val="00EC6C99"/>
    <w:rsid w:val="00EC762D"/>
    <w:rsid w:val="00EC783F"/>
    <w:rsid w:val="00ED0CCF"/>
    <w:rsid w:val="00ED1093"/>
    <w:rsid w:val="00ED13A1"/>
    <w:rsid w:val="00ED164B"/>
    <w:rsid w:val="00ED1E1B"/>
    <w:rsid w:val="00ED23CE"/>
    <w:rsid w:val="00ED2B50"/>
    <w:rsid w:val="00ED3405"/>
    <w:rsid w:val="00ED36F5"/>
    <w:rsid w:val="00ED4433"/>
    <w:rsid w:val="00ED45B3"/>
    <w:rsid w:val="00ED4E57"/>
    <w:rsid w:val="00ED5E1E"/>
    <w:rsid w:val="00ED6000"/>
    <w:rsid w:val="00ED60CD"/>
    <w:rsid w:val="00ED658D"/>
    <w:rsid w:val="00ED6658"/>
    <w:rsid w:val="00ED677E"/>
    <w:rsid w:val="00ED6A58"/>
    <w:rsid w:val="00ED70CA"/>
    <w:rsid w:val="00ED71E7"/>
    <w:rsid w:val="00ED7567"/>
    <w:rsid w:val="00ED7BF9"/>
    <w:rsid w:val="00EE07A1"/>
    <w:rsid w:val="00EE1353"/>
    <w:rsid w:val="00EE1840"/>
    <w:rsid w:val="00EE1B7C"/>
    <w:rsid w:val="00EE205C"/>
    <w:rsid w:val="00EE23FE"/>
    <w:rsid w:val="00EE27E0"/>
    <w:rsid w:val="00EE3F05"/>
    <w:rsid w:val="00EE5957"/>
    <w:rsid w:val="00EE6537"/>
    <w:rsid w:val="00EE7842"/>
    <w:rsid w:val="00EF072E"/>
    <w:rsid w:val="00EF0E0E"/>
    <w:rsid w:val="00EF1074"/>
    <w:rsid w:val="00EF10C6"/>
    <w:rsid w:val="00EF11AD"/>
    <w:rsid w:val="00EF13D4"/>
    <w:rsid w:val="00EF165F"/>
    <w:rsid w:val="00EF2788"/>
    <w:rsid w:val="00EF3A69"/>
    <w:rsid w:val="00EF3B84"/>
    <w:rsid w:val="00EF3D3B"/>
    <w:rsid w:val="00EF413D"/>
    <w:rsid w:val="00EF4193"/>
    <w:rsid w:val="00EF44CB"/>
    <w:rsid w:val="00EF465C"/>
    <w:rsid w:val="00EF4A1C"/>
    <w:rsid w:val="00EF5CF1"/>
    <w:rsid w:val="00EF661F"/>
    <w:rsid w:val="00EF66FA"/>
    <w:rsid w:val="00EF6962"/>
    <w:rsid w:val="00EF6B83"/>
    <w:rsid w:val="00F005DC"/>
    <w:rsid w:val="00F00BE8"/>
    <w:rsid w:val="00F01305"/>
    <w:rsid w:val="00F015BD"/>
    <w:rsid w:val="00F01BF3"/>
    <w:rsid w:val="00F02690"/>
    <w:rsid w:val="00F02DBB"/>
    <w:rsid w:val="00F03CA4"/>
    <w:rsid w:val="00F05008"/>
    <w:rsid w:val="00F050CE"/>
    <w:rsid w:val="00F058D8"/>
    <w:rsid w:val="00F0590C"/>
    <w:rsid w:val="00F05E25"/>
    <w:rsid w:val="00F05F4B"/>
    <w:rsid w:val="00F06387"/>
    <w:rsid w:val="00F0651D"/>
    <w:rsid w:val="00F06B22"/>
    <w:rsid w:val="00F07A65"/>
    <w:rsid w:val="00F07CF7"/>
    <w:rsid w:val="00F11033"/>
    <w:rsid w:val="00F110BC"/>
    <w:rsid w:val="00F112A2"/>
    <w:rsid w:val="00F112CA"/>
    <w:rsid w:val="00F113EA"/>
    <w:rsid w:val="00F1144E"/>
    <w:rsid w:val="00F11B51"/>
    <w:rsid w:val="00F1262A"/>
    <w:rsid w:val="00F129EE"/>
    <w:rsid w:val="00F130E6"/>
    <w:rsid w:val="00F1379F"/>
    <w:rsid w:val="00F13A01"/>
    <w:rsid w:val="00F14586"/>
    <w:rsid w:val="00F14A4F"/>
    <w:rsid w:val="00F15003"/>
    <w:rsid w:val="00F15562"/>
    <w:rsid w:val="00F1586F"/>
    <w:rsid w:val="00F15D70"/>
    <w:rsid w:val="00F1601C"/>
    <w:rsid w:val="00F16257"/>
    <w:rsid w:val="00F167AC"/>
    <w:rsid w:val="00F16A7F"/>
    <w:rsid w:val="00F17B25"/>
    <w:rsid w:val="00F17EA5"/>
    <w:rsid w:val="00F17FEC"/>
    <w:rsid w:val="00F21271"/>
    <w:rsid w:val="00F212AC"/>
    <w:rsid w:val="00F216D7"/>
    <w:rsid w:val="00F21D27"/>
    <w:rsid w:val="00F22273"/>
    <w:rsid w:val="00F22DBA"/>
    <w:rsid w:val="00F233A5"/>
    <w:rsid w:val="00F23ED2"/>
    <w:rsid w:val="00F2402C"/>
    <w:rsid w:val="00F25148"/>
    <w:rsid w:val="00F25568"/>
    <w:rsid w:val="00F256D7"/>
    <w:rsid w:val="00F265CB"/>
    <w:rsid w:val="00F26C02"/>
    <w:rsid w:val="00F2780A"/>
    <w:rsid w:val="00F278CA"/>
    <w:rsid w:val="00F309A3"/>
    <w:rsid w:val="00F30B99"/>
    <w:rsid w:val="00F31248"/>
    <w:rsid w:val="00F3234E"/>
    <w:rsid w:val="00F32CAC"/>
    <w:rsid w:val="00F32DC8"/>
    <w:rsid w:val="00F33F36"/>
    <w:rsid w:val="00F34753"/>
    <w:rsid w:val="00F35257"/>
    <w:rsid w:val="00F36327"/>
    <w:rsid w:val="00F36438"/>
    <w:rsid w:val="00F36999"/>
    <w:rsid w:val="00F36C2B"/>
    <w:rsid w:val="00F3746E"/>
    <w:rsid w:val="00F37CF1"/>
    <w:rsid w:val="00F37D39"/>
    <w:rsid w:val="00F40580"/>
    <w:rsid w:val="00F40592"/>
    <w:rsid w:val="00F40762"/>
    <w:rsid w:val="00F40DDE"/>
    <w:rsid w:val="00F40EDC"/>
    <w:rsid w:val="00F41162"/>
    <w:rsid w:val="00F4129A"/>
    <w:rsid w:val="00F4238B"/>
    <w:rsid w:val="00F42518"/>
    <w:rsid w:val="00F42BED"/>
    <w:rsid w:val="00F43EE7"/>
    <w:rsid w:val="00F4499D"/>
    <w:rsid w:val="00F4553A"/>
    <w:rsid w:val="00F45DEB"/>
    <w:rsid w:val="00F45F13"/>
    <w:rsid w:val="00F467E6"/>
    <w:rsid w:val="00F47689"/>
    <w:rsid w:val="00F47DAC"/>
    <w:rsid w:val="00F50EB0"/>
    <w:rsid w:val="00F5305D"/>
    <w:rsid w:val="00F54115"/>
    <w:rsid w:val="00F54626"/>
    <w:rsid w:val="00F54CCF"/>
    <w:rsid w:val="00F54FC7"/>
    <w:rsid w:val="00F55412"/>
    <w:rsid w:val="00F5580F"/>
    <w:rsid w:val="00F55F6C"/>
    <w:rsid w:val="00F56F50"/>
    <w:rsid w:val="00F5777B"/>
    <w:rsid w:val="00F57D6D"/>
    <w:rsid w:val="00F57F99"/>
    <w:rsid w:val="00F6037D"/>
    <w:rsid w:val="00F610BC"/>
    <w:rsid w:val="00F611A1"/>
    <w:rsid w:val="00F613FB"/>
    <w:rsid w:val="00F61988"/>
    <w:rsid w:val="00F61FF6"/>
    <w:rsid w:val="00F62348"/>
    <w:rsid w:val="00F6361A"/>
    <w:rsid w:val="00F6411E"/>
    <w:rsid w:val="00F643B8"/>
    <w:rsid w:val="00F64718"/>
    <w:rsid w:val="00F64AA8"/>
    <w:rsid w:val="00F65445"/>
    <w:rsid w:val="00F65AF0"/>
    <w:rsid w:val="00F65B0A"/>
    <w:rsid w:val="00F65DD3"/>
    <w:rsid w:val="00F663D6"/>
    <w:rsid w:val="00F66814"/>
    <w:rsid w:val="00F710C2"/>
    <w:rsid w:val="00F716D6"/>
    <w:rsid w:val="00F7172E"/>
    <w:rsid w:val="00F71FC2"/>
    <w:rsid w:val="00F72AF3"/>
    <w:rsid w:val="00F74435"/>
    <w:rsid w:val="00F74488"/>
    <w:rsid w:val="00F74832"/>
    <w:rsid w:val="00F74D9B"/>
    <w:rsid w:val="00F755A2"/>
    <w:rsid w:val="00F7582A"/>
    <w:rsid w:val="00F75C60"/>
    <w:rsid w:val="00F762B0"/>
    <w:rsid w:val="00F76365"/>
    <w:rsid w:val="00F77714"/>
    <w:rsid w:val="00F77956"/>
    <w:rsid w:val="00F8031D"/>
    <w:rsid w:val="00F81E95"/>
    <w:rsid w:val="00F82491"/>
    <w:rsid w:val="00F82508"/>
    <w:rsid w:val="00F827B5"/>
    <w:rsid w:val="00F83D2F"/>
    <w:rsid w:val="00F83F68"/>
    <w:rsid w:val="00F84651"/>
    <w:rsid w:val="00F847BC"/>
    <w:rsid w:val="00F84EA2"/>
    <w:rsid w:val="00F8515E"/>
    <w:rsid w:val="00F853BC"/>
    <w:rsid w:val="00F85664"/>
    <w:rsid w:val="00F85A94"/>
    <w:rsid w:val="00F85B69"/>
    <w:rsid w:val="00F85C09"/>
    <w:rsid w:val="00F86873"/>
    <w:rsid w:val="00F873BB"/>
    <w:rsid w:val="00F873DB"/>
    <w:rsid w:val="00F87D0C"/>
    <w:rsid w:val="00F906CC"/>
    <w:rsid w:val="00F9106D"/>
    <w:rsid w:val="00F91189"/>
    <w:rsid w:val="00F91400"/>
    <w:rsid w:val="00F91829"/>
    <w:rsid w:val="00F9198D"/>
    <w:rsid w:val="00F924DF"/>
    <w:rsid w:val="00F93482"/>
    <w:rsid w:val="00F9353E"/>
    <w:rsid w:val="00F935F4"/>
    <w:rsid w:val="00F93678"/>
    <w:rsid w:val="00F94321"/>
    <w:rsid w:val="00F94E5A"/>
    <w:rsid w:val="00F951AF"/>
    <w:rsid w:val="00F9585A"/>
    <w:rsid w:val="00F959B7"/>
    <w:rsid w:val="00F96538"/>
    <w:rsid w:val="00F9662D"/>
    <w:rsid w:val="00F96937"/>
    <w:rsid w:val="00F96A22"/>
    <w:rsid w:val="00F96B6E"/>
    <w:rsid w:val="00F972CE"/>
    <w:rsid w:val="00F9746A"/>
    <w:rsid w:val="00F97BA9"/>
    <w:rsid w:val="00F97E9A"/>
    <w:rsid w:val="00FA03F0"/>
    <w:rsid w:val="00FA0595"/>
    <w:rsid w:val="00FA0662"/>
    <w:rsid w:val="00FA0F8E"/>
    <w:rsid w:val="00FA13FB"/>
    <w:rsid w:val="00FA145E"/>
    <w:rsid w:val="00FA22AD"/>
    <w:rsid w:val="00FA240F"/>
    <w:rsid w:val="00FA2659"/>
    <w:rsid w:val="00FA2EF1"/>
    <w:rsid w:val="00FA3141"/>
    <w:rsid w:val="00FA49C6"/>
    <w:rsid w:val="00FA4D70"/>
    <w:rsid w:val="00FA4D9D"/>
    <w:rsid w:val="00FA535F"/>
    <w:rsid w:val="00FA558A"/>
    <w:rsid w:val="00FA58CB"/>
    <w:rsid w:val="00FA6CAF"/>
    <w:rsid w:val="00FB050F"/>
    <w:rsid w:val="00FB0721"/>
    <w:rsid w:val="00FB0A94"/>
    <w:rsid w:val="00FB194D"/>
    <w:rsid w:val="00FB22D9"/>
    <w:rsid w:val="00FB2415"/>
    <w:rsid w:val="00FB25E0"/>
    <w:rsid w:val="00FB288D"/>
    <w:rsid w:val="00FB2E46"/>
    <w:rsid w:val="00FB32DB"/>
    <w:rsid w:val="00FB379F"/>
    <w:rsid w:val="00FB39A5"/>
    <w:rsid w:val="00FB44CA"/>
    <w:rsid w:val="00FB47C7"/>
    <w:rsid w:val="00FB552B"/>
    <w:rsid w:val="00FB7DDE"/>
    <w:rsid w:val="00FC06DC"/>
    <w:rsid w:val="00FC17F8"/>
    <w:rsid w:val="00FC1AAB"/>
    <w:rsid w:val="00FC27B2"/>
    <w:rsid w:val="00FC28F1"/>
    <w:rsid w:val="00FC2C63"/>
    <w:rsid w:val="00FC2CF1"/>
    <w:rsid w:val="00FC2E32"/>
    <w:rsid w:val="00FC32BA"/>
    <w:rsid w:val="00FC3B79"/>
    <w:rsid w:val="00FC456C"/>
    <w:rsid w:val="00FC486A"/>
    <w:rsid w:val="00FC4B74"/>
    <w:rsid w:val="00FC51CB"/>
    <w:rsid w:val="00FC5217"/>
    <w:rsid w:val="00FC548D"/>
    <w:rsid w:val="00FC569C"/>
    <w:rsid w:val="00FC5BA8"/>
    <w:rsid w:val="00FC75FC"/>
    <w:rsid w:val="00FC76D5"/>
    <w:rsid w:val="00FC7FFD"/>
    <w:rsid w:val="00FD0614"/>
    <w:rsid w:val="00FD09CD"/>
    <w:rsid w:val="00FD0D8E"/>
    <w:rsid w:val="00FD1078"/>
    <w:rsid w:val="00FD10DE"/>
    <w:rsid w:val="00FD13A5"/>
    <w:rsid w:val="00FD1681"/>
    <w:rsid w:val="00FD1986"/>
    <w:rsid w:val="00FD1FE5"/>
    <w:rsid w:val="00FD22CF"/>
    <w:rsid w:val="00FD253D"/>
    <w:rsid w:val="00FD2A29"/>
    <w:rsid w:val="00FD3134"/>
    <w:rsid w:val="00FD34B0"/>
    <w:rsid w:val="00FD363A"/>
    <w:rsid w:val="00FD3DBB"/>
    <w:rsid w:val="00FD4A6F"/>
    <w:rsid w:val="00FD5C16"/>
    <w:rsid w:val="00FD6149"/>
    <w:rsid w:val="00FD64C2"/>
    <w:rsid w:val="00FD6D29"/>
    <w:rsid w:val="00FD6EAF"/>
    <w:rsid w:val="00FE03F5"/>
    <w:rsid w:val="00FE062B"/>
    <w:rsid w:val="00FE0A12"/>
    <w:rsid w:val="00FE109B"/>
    <w:rsid w:val="00FE13A5"/>
    <w:rsid w:val="00FE1F0F"/>
    <w:rsid w:val="00FE2F79"/>
    <w:rsid w:val="00FE30DA"/>
    <w:rsid w:val="00FE365E"/>
    <w:rsid w:val="00FE42D9"/>
    <w:rsid w:val="00FE4786"/>
    <w:rsid w:val="00FE5788"/>
    <w:rsid w:val="00FE6100"/>
    <w:rsid w:val="00FE69F0"/>
    <w:rsid w:val="00FE6AD2"/>
    <w:rsid w:val="00FE6AEF"/>
    <w:rsid w:val="00FE7A42"/>
    <w:rsid w:val="00FF0416"/>
    <w:rsid w:val="00FF065D"/>
    <w:rsid w:val="00FF0F00"/>
    <w:rsid w:val="00FF13FF"/>
    <w:rsid w:val="00FF1774"/>
    <w:rsid w:val="00FF17A6"/>
    <w:rsid w:val="00FF1C3B"/>
    <w:rsid w:val="00FF1F7B"/>
    <w:rsid w:val="00FF2B56"/>
    <w:rsid w:val="00FF3AA8"/>
    <w:rsid w:val="00FF3BEE"/>
    <w:rsid w:val="00FF3BF4"/>
    <w:rsid w:val="00FF4F99"/>
    <w:rsid w:val="00FF5035"/>
    <w:rsid w:val="00FF57C1"/>
    <w:rsid w:val="00FF5E2C"/>
    <w:rsid w:val="00FF6122"/>
    <w:rsid w:val="00FF67E6"/>
    <w:rsid w:val="00FF6906"/>
    <w:rsid w:val="00FF759E"/>
    <w:rsid w:val="00FF771C"/>
    <w:rsid w:val="00FF77E9"/>
    <w:rsid w:val="00FF7E47"/>
    <w:rsid w:val="010831D1"/>
    <w:rsid w:val="011514D5"/>
    <w:rsid w:val="02DF0B89"/>
    <w:rsid w:val="02FBA4AD"/>
    <w:rsid w:val="0343D2B2"/>
    <w:rsid w:val="039D2AD1"/>
    <w:rsid w:val="04D002EA"/>
    <w:rsid w:val="08FA2D4C"/>
    <w:rsid w:val="09B31B7A"/>
    <w:rsid w:val="0A729E14"/>
    <w:rsid w:val="0BF59B47"/>
    <w:rsid w:val="0C63FFEE"/>
    <w:rsid w:val="1349F464"/>
    <w:rsid w:val="15A66CB8"/>
    <w:rsid w:val="167A49AA"/>
    <w:rsid w:val="18D4DC51"/>
    <w:rsid w:val="1900A336"/>
    <w:rsid w:val="19A2EFCA"/>
    <w:rsid w:val="19A47285"/>
    <w:rsid w:val="1A3DB615"/>
    <w:rsid w:val="1AF662A2"/>
    <w:rsid w:val="1CD0827B"/>
    <w:rsid w:val="1ECC668E"/>
    <w:rsid w:val="1F4EB5EE"/>
    <w:rsid w:val="1FDC8D6F"/>
    <w:rsid w:val="20F61F60"/>
    <w:rsid w:val="22259F51"/>
    <w:rsid w:val="22FDBFB3"/>
    <w:rsid w:val="237D8F56"/>
    <w:rsid w:val="26753989"/>
    <w:rsid w:val="2676DCFB"/>
    <w:rsid w:val="26886E12"/>
    <w:rsid w:val="29C283BB"/>
    <w:rsid w:val="2B25CA84"/>
    <w:rsid w:val="2E78FEEF"/>
    <w:rsid w:val="31BC73DC"/>
    <w:rsid w:val="32FCA506"/>
    <w:rsid w:val="33779467"/>
    <w:rsid w:val="33CFAC09"/>
    <w:rsid w:val="33DA3E42"/>
    <w:rsid w:val="353723A0"/>
    <w:rsid w:val="355A5429"/>
    <w:rsid w:val="35C83769"/>
    <w:rsid w:val="36C78C76"/>
    <w:rsid w:val="3833C65D"/>
    <w:rsid w:val="39217986"/>
    <w:rsid w:val="3A3DD5A8"/>
    <w:rsid w:val="3A413AE8"/>
    <w:rsid w:val="3A99F022"/>
    <w:rsid w:val="3DA06588"/>
    <w:rsid w:val="3EB55097"/>
    <w:rsid w:val="3EF176FD"/>
    <w:rsid w:val="3F164F2E"/>
    <w:rsid w:val="403002B2"/>
    <w:rsid w:val="40638087"/>
    <w:rsid w:val="40E6AA99"/>
    <w:rsid w:val="41C12669"/>
    <w:rsid w:val="41FDBA53"/>
    <w:rsid w:val="456DE5BA"/>
    <w:rsid w:val="46FB858A"/>
    <w:rsid w:val="48DFF50D"/>
    <w:rsid w:val="49FA3532"/>
    <w:rsid w:val="4AE9FEBD"/>
    <w:rsid w:val="4B708E40"/>
    <w:rsid w:val="4D76AD85"/>
    <w:rsid w:val="4DA56021"/>
    <w:rsid w:val="4DBF80E7"/>
    <w:rsid w:val="4E4ACEE3"/>
    <w:rsid w:val="4F346261"/>
    <w:rsid w:val="5147998D"/>
    <w:rsid w:val="517F3259"/>
    <w:rsid w:val="52665001"/>
    <w:rsid w:val="52C5B726"/>
    <w:rsid w:val="53C0D7DB"/>
    <w:rsid w:val="551458A6"/>
    <w:rsid w:val="556C0BB7"/>
    <w:rsid w:val="55BE2D24"/>
    <w:rsid w:val="580A2AE2"/>
    <w:rsid w:val="58E52117"/>
    <w:rsid w:val="596D0B97"/>
    <w:rsid w:val="5E282E67"/>
    <w:rsid w:val="5ECDA30A"/>
    <w:rsid w:val="6142F499"/>
    <w:rsid w:val="618CF188"/>
    <w:rsid w:val="62B1F754"/>
    <w:rsid w:val="6452FAE4"/>
    <w:rsid w:val="6496B2E3"/>
    <w:rsid w:val="6627FCC2"/>
    <w:rsid w:val="67097F1B"/>
    <w:rsid w:val="67E8E39E"/>
    <w:rsid w:val="69384A2B"/>
    <w:rsid w:val="697B4F02"/>
    <w:rsid w:val="6A9EBE4E"/>
    <w:rsid w:val="6BA87800"/>
    <w:rsid w:val="6D946049"/>
    <w:rsid w:val="6DBDE20E"/>
    <w:rsid w:val="6F149BB2"/>
    <w:rsid w:val="6F35B7EB"/>
    <w:rsid w:val="70FC1696"/>
    <w:rsid w:val="71A7853A"/>
    <w:rsid w:val="72734BAB"/>
    <w:rsid w:val="72E5364F"/>
    <w:rsid w:val="7476CF4C"/>
    <w:rsid w:val="74BB4DDA"/>
    <w:rsid w:val="757EBCE6"/>
    <w:rsid w:val="75E88E60"/>
    <w:rsid w:val="78EEEB8B"/>
    <w:rsid w:val="7A27B5A0"/>
    <w:rsid w:val="7E80E099"/>
    <w:rsid w:val="7F4A03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A584"/>
  <w15:docId w15:val="{04A14DDC-3453-4A0A-AED4-80C67F272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2C"/>
    <w:pPr>
      <w:spacing w:after="200" w:line="276" w:lineRule="auto"/>
    </w:pPr>
    <w:rPr>
      <w:sz w:val="22"/>
      <w:szCs w:val="22"/>
      <w:lang w:eastAsia="en-US"/>
    </w:rPr>
  </w:style>
  <w:style w:type="paragraph" w:styleId="Heading1">
    <w:name w:val="heading 1"/>
    <w:basedOn w:val="Normal"/>
    <w:next w:val="Normal"/>
    <w:link w:val="Heading1Char"/>
    <w:qFormat/>
    <w:rsid w:val="0008141E"/>
    <w:pPr>
      <w:keepNext/>
      <w:spacing w:after="0" w:line="217" w:lineRule="auto"/>
      <w:jc w:val="both"/>
      <w:outlineLvl w:val="0"/>
    </w:pPr>
    <w:rPr>
      <w:rFonts w:ascii="Arial" w:eastAsia="Times New Roman" w:hAnsi="Arial" w:cs="Arial"/>
      <w:b/>
      <w:bCs/>
      <w:snapToGrid w:val="0"/>
      <w:sz w:val="24"/>
      <w:szCs w:val="24"/>
      <w:lang w:eastAsia="en-AU"/>
    </w:rPr>
  </w:style>
  <w:style w:type="paragraph" w:styleId="Heading2">
    <w:name w:val="heading 2"/>
    <w:basedOn w:val="Normal"/>
    <w:next w:val="Normal"/>
    <w:link w:val="Heading2Char"/>
    <w:uiPriority w:val="99"/>
    <w:qFormat/>
    <w:rsid w:val="0008141E"/>
    <w:pPr>
      <w:keepNext/>
      <w:widowControl w:val="0"/>
      <w:tabs>
        <w:tab w:val="left" w:pos="-720"/>
        <w:tab w:val="left" w:pos="310"/>
        <w:tab w:val="left" w:pos="835"/>
      </w:tabs>
      <w:spacing w:after="0" w:line="240" w:lineRule="auto"/>
      <w:outlineLvl w:val="1"/>
    </w:pPr>
    <w:rPr>
      <w:rFonts w:ascii="Arial" w:eastAsia="Times New Roman" w:hAnsi="Arial" w:cs="Arial"/>
      <w:b/>
      <w:bCs/>
      <w:snapToGrid w:val="0"/>
      <w:sz w:val="24"/>
      <w:szCs w:val="20"/>
    </w:rPr>
  </w:style>
  <w:style w:type="paragraph" w:styleId="Heading4">
    <w:name w:val="heading 4"/>
    <w:basedOn w:val="Normal"/>
    <w:next w:val="Normal"/>
    <w:link w:val="Heading4Char"/>
    <w:uiPriority w:val="9"/>
    <w:semiHidden/>
    <w:unhideWhenUsed/>
    <w:qFormat/>
    <w:rsid w:val="001103AD"/>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A59BD"/>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8141E"/>
    <w:rPr>
      <w:rFonts w:ascii="Arial" w:eastAsia="Times New Roman" w:hAnsi="Arial" w:cs="Arial"/>
      <w:b/>
      <w:bCs/>
      <w:snapToGrid w:val="0"/>
      <w:sz w:val="24"/>
      <w:szCs w:val="24"/>
      <w:lang w:eastAsia="en-AU"/>
    </w:rPr>
  </w:style>
  <w:style w:type="character" w:customStyle="1" w:styleId="Heading2Char">
    <w:name w:val="Heading 2 Char"/>
    <w:link w:val="Heading2"/>
    <w:uiPriority w:val="99"/>
    <w:rsid w:val="0008141E"/>
    <w:rPr>
      <w:rFonts w:ascii="Arial" w:eastAsia="Times New Roman" w:hAnsi="Arial" w:cs="Arial"/>
      <w:b/>
      <w:bCs/>
      <w:snapToGrid w:val="0"/>
      <w:sz w:val="24"/>
      <w:lang w:eastAsia="en-US"/>
    </w:rPr>
  </w:style>
  <w:style w:type="numbering" w:customStyle="1" w:styleId="NoList1">
    <w:name w:val="No List1"/>
    <w:next w:val="NoList"/>
    <w:uiPriority w:val="99"/>
    <w:semiHidden/>
    <w:unhideWhenUsed/>
    <w:rsid w:val="008D5CA9"/>
  </w:style>
  <w:style w:type="character" w:styleId="FootnoteReference">
    <w:name w:val="footnote reference"/>
    <w:uiPriority w:val="99"/>
    <w:rsid w:val="008D5CA9"/>
  </w:style>
  <w:style w:type="paragraph" w:styleId="Header">
    <w:name w:val="header"/>
    <w:basedOn w:val="Normal"/>
    <w:link w:val="Head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HeaderChar">
    <w:name w:val="Header Char"/>
    <w:link w:val="Header"/>
    <w:uiPriority w:val="99"/>
    <w:rsid w:val="008D5CA9"/>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rsid w:val="008D5CA9"/>
    <w:pPr>
      <w:widowControl w:val="0"/>
      <w:tabs>
        <w:tab w:val="center" w:pos="4153"/>
        <w:tab w:val="right" w:pos="8306"/>
      </w:tabs>
      <w:spacing w:after="0" w:line="240" w:lineRule="auto"/>
    </w:pPr>
    <w:rPr>
      <w:rFonts w:ascii="Times New Roman" w:eastAsia="Times New Roman" w:hAnsi="Times New Roman"/>
      <w:snapToGrid w:val="0"/>
      <w:sz w:val="24"/>
      <w:szCs w:val="20"/>
    </w:rPr>
  </w:style>
  <w:style w:type="character" w:customStyle="1" w:styleId="FooterChar">
    <w:name w:val="Footer Char"/>
    <w:link w:val="Footer"/>
    <w:uiPriority w:val="99"/>
    <w:rsid w:val="008D5CA9"/>
    <w:rPr>
      <w:rFonts w:ascii="Times New Roman" w:eastAsia="Times New Roman" w:hAnsi="Times New Roman" w:cs="Times New Roman"/>
      <w:snapToGrid w:val="0"/>
      <w:sz w:val="24"/>
      <w:szCs w:val="20"/>
      <w:lang w:val="en-GB"/>
    </w:rPr>
  </w:style>
  <w:style w:type="paragraph" w:styleId="BodyText">
    <w:name w:val="Body Text"/>
    <w:basedOn w:val="Normal"/>
    <w:link w:val="BodyTextChar"/>
    <w:rsid w:val="008D5CA9"/>
    <w:pPr>
      <w:widowControl w:val="0"/>
      <w:tabs>
        <w:tab w:val="left" w:pos="-720"/>
        <w:tab w:val="left" w:pos="310"/>
        <w:tab w:val="left" w:pos="835"/>
      </w:tabs>
      <w:spacing w:after="0" w:line="240" w:lineRule="auto"/>
      <w:jc w:val="center"/>
    </w:pPr>
    <w:rPr>
      <w:rFonts w:ascii="Times New Roman" w:eastAsia="Times New Roman" w:hAnsi="Times New Roman"/>
      <w:b/>
      <w:bCs/>
      <w:snapToGrid w:val="0"/>
      <w:sz w:val="28"/>
      <w:szCs w:val="20"/>
    </w:rPr>
  </w:style>
  <w:style w:type="character" w:customStyle="1" w:styleId="BodyTextChar">
    <w:name w:val="Body Text Char"/>
    <w:link w:val="BodyText"/>
    <w:rsid w:val="008D5CA9"/>
    <w:rPr>
      <w:rFonts w:ascii="Times New Roman" w:eastAsia="Times New Roman" w:hAnsi="Times New Roman" w:cs="Times New Roman"/>
      <w:b/>
      <w:bCs/>
      <w:snapToGrid w:val="0"/>
      <w:sz w:val="28"/>
      <w:szCs w:val="20"/>
      <w:lang w:val="en-GB"/>
    </w:rPr>
  </w:style>
  <w:style w:type="character" w:styleId="PageNumber">
    <w:name w:val="page number"/>
    <w:basedOn w:val="DefaultParagraphFont"/>
    <w:uiPriority w:val="99"/>
    <w:rsid w:val="008D5CA9"/>
  </w:style>
  <w:style w:type="paragraph" w:styleId="ListParagraph">
    <w:name w:val="List Paragraph"/>
    <w:basedOn w:val="Normal"/>
    <w:uiPriority w:val="34"/>
    <w:qFormat/>
    <w:rsid w:val="008D5CA9"/>
    <w:pPr>
      <w:widowControl w:val="0"/>
      <w:spacing w:after="0" w:line="240" w:lineRule="auto"/>
      <w:ind w:left="720"/>
    </w:pPr>
    <w:rPr>
      <w:rFonts w:ascii="Times New Roman" w:eastAsia="Times New Roman" w:hAnsi="Times New Roman"/>
      <w:snapToGrid w:val="0"/>
      <w:sz w:val="24"/>
      <w:szCs w:val="20"/>
    </w:rPr>
  </w:style>
  <w:style w:type="character" w:styleId="CommentReference">
    <w:name w:val="annotation reference"/>
    <w:uiPriority w:val="99"/>
    <w:semiHidden/>
    <w:unhideWhenUsed/>
    <w:rsid w:val="008D5CA9"/>
    <w:rPr>
      <w:sz w:val="16"/>
      <w:szCs w:val="16"/>
    </w:rPr>
  </w:style>
  <w:style w:type="paragraph" w:styleId="CommentText">
    <w:name w:val="annotation text"/>
    <w:basedOn w:val="Normal"/>
    <w:link w:val="CommentTextChar"/>
    <w:uiPriority w:val="99"/>
    <w:unhideWhenUsed/>
    <w:rsid w:val="008D5CA9"/>
    <w:pPr>
      <w:widowControl w:val="0"/>
      <w:spacing w:after="0" w:line="240" w:lineRule="auto"/>
    </w:pPr>
    <w:rPr>
      <w:rFonts w:ascii="Times New Roman" w:eastAsia="Times New Roman" w:hAnsi="Times New Roman"/>
      <w:snapToGrid w:val="0"/>
      <w:sz w:val="20"/>
      <w:szCs w:val="20"/>
    </w:rPr>
  </w:style>
  <w:style w:type="character" w:customStyle="1" w:styleId="CommentTextChar">
    <w:name w:val="Comment Text Char"/>
    <w:link w:val="CommentText"/>
    <w:uiPriority w:val="99"/>
    <w:rsid w:val="008D5CA9"/>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8D5CA9"/>
    <w:rPr>
      <w:b/>
      <w:bCs/>
    </w:rPr>
  </w:style>
  <w:style w:type="character" w:customStyle="1" w:styleId="CommentSubjectChar">
    <w:name w:val="Comment Subject Char"/>
    <w:link w:val="CommentSubject"/>
    <w:uiPriority w:val="99"/>
    <w:semiHidden/>
    <w:rsid w:val="008D5CA9"/>
    <w:rPr>
      <w:rFonts w:ascii="Times New Roman" w:eastAsia="Times New Roman" w:hAnsi="Times New Roman" w:cs="Times New Roman"/>
      <w:b/>
      <w:bCs/>
      <w:snapToGrid w:val="0"/>
      <w:sz w:val="20"/>
      <w:szCs w:val="20"/>
      <w:lang w:val="en-GB"/>
    </w:rPr>
  </w:style>
  <w:style w:type="paragraph" w:styleId="Revision">
    <w:name w:val="Revision"/>
    <w:hidden/>
    <w:uiPriority w:val="99"/>
    <w:semiHidden/>
    <w:rsid w:val="008D5CA9"/>
    <w:rPr>
      <w:rFonts w:ascii="Times New Roman" w:eastAsia="Times New Roman" w:hAnsi="Times New Roman"/>
      <w:snapToGrid w:val="0"/>
      <w:sz w:val="24"/>
      <w:lang w:eastAsia="en-US"/>
    </w:rPr>
  </w:style>
  <w:style w:type="paragraph" w:styleId="BalloonText">
    <w:name w:val="Balloon Text"/>
    <w:basedOn w:val="Normal"/>
    <w:link w:val="BalloonTextChar"/>
    <w:uiPriority w:val="99"/>
    <w:semiHidden/>
    <w:unhideWhenUsed/>
    <w:rsid w:val="008D5CA9"/>
    <w:pPr>
      <w:widowControl w:val="0"/>
      <w:spacing w:after="0" w:line="240" w:lineRule="auto"/>
    </w:pPr>
    <w:rPr>
      <w:rFonts w:ascii="Tahoma" w:eastAsia="Times New Roman" w:hAnsi="Tahoma"/>
      <w:snapToGrid w:val="0"/>
      <w:sz w:val="16"/>
      <w:szCs w:val="16"/>
    </w:rPr>
  </w:style>
  <w:style w:type="character" w:customStyle="1" w:styleId="BalloonTextChar">
    <w:name w:val="Balloon Text Char"/>
    <w:link w:val="BalloonText"/>
    <w:uiPriority w:val="99"/>
    <w:semiHidden/>
    <w:rsid w:val="008D5CA9"/>
    <w:rPr>
      <w:rFonts w:ascii="Tahoma" w:eastAsia="Times New Roman" w:hAnsi="Tahoma" w:cs="Times New Roman"/>
      <w:snapToGrid w:val="0"/>
      <w:sz w:val="16"/>
      <w:szCs w:val="16"/>
      <w:lang w:val="en-GB"/>
    </w:rPr>
  </w:style>
  <w:style w:type="paragraph" w:styleId="ListBullet">
    <w:name w:val="List Bullet"/>
    <w:basedOn w:val="Normal"/>
    <w:rsid w:val="008D5CA9"/>
    <w:pPr>
      <w:ind w:left="369" w:hanging="369"/>
    </w:pPr>
    <w:rPr>
      <w:rFonts w:ascii="Arial" w:hAnsi="Arial"/>
      <w:lang w:val="en-AU"/>
    </w:rPr>
  </w:style>
  <w:style w:type="table" w:styleId="TableGrid">
    <w:name w:val="Table Grid"/>
    <w:basedOn w:val="TableNormal"/>
    <w:uiPriority w:val="39"/>
    <w:rsid w:val="008D5CA9"/>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pPr>
      <w:rPr>
        <w:rFonts w:ascii="Arial" w:hAnsi="Arial" w:cs="Times New Roman"/>
        <w:sz w:val="20"/>
      </w:rPr>
    </w:tblStylePr>
    <w:tblStylePr w:type="lastRow">
      <w:pPr>
        <w:spacing w:beforeLines="0" w:beforeAutospacing="0" w:afterLines="0" w:afterAutospacing="0"/>
      </w:pPr>
      <w:rPr>
        <w:rFonts w:ascii="Arial" w:hAnsi="Arial" w:cs="Times New Roman"/>
        <w:sz w:val="20"/>
      </w:rPr>
    </w:tblStylePr>
    <w:tblStylePr w:type="band1Horz">
      <w:pPr>
        <w:spacing w:beforeLines="0" w:beforeAutospacing="0" w:afterLines="0" w:afterAutospacing="0"/>
      </w:pPr>
      <w:rPr>
        <w:rFonts w:ascii="Arial" w:hAnsi="Arial" w:cs="Times New Roman"/>
        <w:sz w:val="20"/>
      </w:rPr>
    </w:tblStylePr>
    <w:tblStylePr w:type="band2Horz">
      <w:pPr>
        <w:spacing w:beforeLines="0" w:beforeAutospacing="0" w:afterLines="0" w:afterAutospacing="0"/>
      </w:pPr>
      <w:rPr>
        <w:rFonts w:ascii="Arial" w:hAnsi="Arial" w:cs="Times New Roman"/>
        <w:sz w:val="20"/>
      </w:rPr>
    </w:tblStylePr>
  </w:style>
  <w:style w:type="paragraph" w:customStyle="1" w:styleId="Default">
    <w:name w:val="Default"/>
    <w:rsid w:val="008D5CA9"/>
    <w:pPr>
      <w:autoSpaceDE w:val="0"/>
      <w:autoSpaceDN w:val="0"/>
      <w:adjustRightInd w:val="0"/>
    </w:pPr>
    <w:rPr>
      <w:rFonts w:ascii="Arial" w:hAnsi="Arial" w:cs="Arial"/>
      <w:color w:val="000000"/>
      <w:sz w:val="24"/>
      <w:szCs w:val="24"/>
      <w:lang w:val="en-AU" w:eastAsia="en-AU"/>
    </w:rPr>
  </w:style>
  <w:style w:type="numbering" w:customStyle="1" w:styleId="BulletList">
    <w:name w:val="Bullet List"/>
    <w:rsid w:val="008D5CA9"/>
    <w:pPr>
      <w:numPr>
        <w:numId w:val="1"/>
      </w:numPr>
    </w:pPr>
  </w:style>
  <w:style w:type="paragraph" w:styleId="NormalWeb">
    <w:name w:val="Normal (Web)"/>
    <w:basedOn w:val="Normal"/>
    <w:uiPriority w:val="99"/>
    <w:unhideWhenUsed/>
    <w:rsid w:val="008D5CA9"/>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Legal1">
    <w:name w:val="Legal 1"/>
    <w:basedOn w:val="Normal"/>
    <w:rsid w:val="008D5CA9"/>
    <w:pPr>
      <w:widowControl w:val="0"/>
      <w:numPr>
        <w:numId w:val="2"/>
      </w:numPr>
      <w:autoSpaceDE w:val="0"/>
      <w:autoSpaceDN w:val="0"/>
      <w:adjustRightInd w:val="0"/>
      <w:spacing w:after="0" w:line="240" w:lineRule="auto"/>
      <w:outlineLvl w:val="0"/>
    </w:pPr>
    <w:rPr>
      <w:rFonts w:ascii="Times New Roman" w:eastAsia="Times New Roman" w:hAnsi="Times New Roman" w:cs="Angsana New"/>
      <w:sz w:val="20"/>
      <w:szCs w:val="24"/>
      <w:lang w:val="en-US"/>
    </w:rPr>
  </w:style>
  <w:style w:type="paragraph" w:customStyle="1" w:styleId="Legal2">
    <w:name w:val="Legal 2"/>
    <w:basedOn w:val="Normal"/>
    <w:rsid w:val="008D5CA9"/>
    <w:pPr>
      <w:widowControl w:val="0"/>
      <w:numPr>
        <w:ilvl w:val="1"/>
        <w:numId w:val="2"/>
      </w:numPr>
      <w:autoSpaceDE w:val="0"/>
      <w:autoSpaceDN w:val="0"/>
      <w:adjustRightInd w:val="0"/>
      <w:spacing w:after="0" w:line="240" w:lineRule="auto"/>
      <w:outlineLvl w:val="1"/>
    </w:pPr>
    <w:rPr>
      <w:rFonts w:ascii="Times New Roman" w:eastAsia="Times New Roman" w:hAnsi="Times New Roman" w:cs="Angsana New"/>
      <w:sz w:val="20"/>
      <w:szCs w:val="24"/>
      <w:lang w:val="en-US"/>
    </w:rPr>
  </w:style>
  <w:style w:type="character" w:styleId="Strong">
    <w:name w:val="Strong"/>
    <w:uiPriority w:val="22"/>
    <w:qFormat/>
    <w:rsid w:val="008D5CA9"/>
    <w:rPr>
      <w:b/>
      <w:bCs/>
    </w:rPr>
  </w:style>
  <w:style w:type="paragraph" w:styleId="Caption">
    <w:name w:val="caption"/>
    <w:basedOn w:val="Normal"/>
    <w:next w:val="Normal"/>
    <w:uiPriority w:val="35"/>
    <w:qFormat/>
    <w:rsid w:val="008D5CA9"/>
    <w:pPr>
      <w:spacing w:after="80"/>
    </w:pPr>
    <w:rPr>
      <w:rFonts w:ascii="Arial" w:hAnsi="Arial"/>
      <w:b/>
      <w:bCs/>
      <w:sz w:val="20"/>
      <w:szCs w:val="18"/>
      <w:lang w:val="en-AU"/>
    </w:rPr>
  </w:style>
  <w:style w:type="paragraph" w:customStyle="1" w:styleId="Tabletext">
    <w:name w:val="Table text"/>
    <w:basedOn w:val="Normal"/>
    <w:qFormat/>
    <w:rsid w:val="008D5CA9"/>
    <w:pPr>
      <w:spacing w:after="0"/>
    </w:pPr>
    <w:rPr>
      <w:rFonts w:ascii="Arial" w:hAnsi="Arial"/>
      <w:lang w:val="en-AU"/>
    </w:rPr>
  </w:style>
  <w:style w:type="character" w:customStyle="1" w:styleId="hps">
    <w:name w:val="hps"/>
    <w:rsid w:val="008D5CA9"/>
  </w:style>
  <w:style w:type="character" w:customStyle="1" w:styleId="shorttext">
    <w:name w:val="short_text"/>
    <w:rsid w:val="008D5CA9"/>
  </w:style>
  <w:style w:type="paragraph" w:customStyle="1" w:styleId="BPMGuide-blackheading">
    <w:name w:val="BPM Guide - black heading"/>
    <w:basedOn w:val="Normal"/>
    <w:qFormat/>
    <w:rsid w:val="008D5CA9"/>
    <w:pPr>
      <w:keepNext/>
      <w:spacing w:before="120" w:after="120" w:line="240" w:lineRule="auto"/>
    </w:pPr>
    <w:rPr>
      <w:b/>
      <w:color w:val="365F91"/>
      <w:lang w:val="en-AU"/>
    </w:rPr>
  </w:style>
  <w:style w:type="paragraph" w:customStyle="1" w:styleId="BPMGuide-tableblackheading">
    <w:name w:val="BPM Guide - table black heading"/>
    <w:basedOn w:val="Normal"/>
    <w:qFormat/>
    <w:rsid w:val="008D5CA9"/>
    <w:pPr>
      <w:spacing w:before="120" w:after="0" w:line="240" w:lineRule="auto"/>
    </w:pPr>
    <w:rPr>
      <w:rFonts w:cs="Arial"/>
      <w:b/>
      <w:color w:val="4D4D4D"/>
      <w:sz w:val="20"/>
      <w:szCs w:val="20"/>
      <w:lang w:val="en-AU"/>
    </w:rPr>
  </w:style>
  <w:style w:type="paragraph" w:customStyle="1" w:styleId="BPMGuide-tablebodytext">
    <w:name w:val="BPM Guide - table body text"/>
    <w:basedOn w:val="Normal"/>
    <w:qFormat/>
    <w:rsid w:val="008D5CA9"/>
    <w:pPr>
      <w:spacing w:after="0" w:line="240" w:lineRule="auto"/>
    </w:pPr>
    <w:rPr>
      <w:rFonts w:cs="Arial"/>
      <w:color w:val="4D4D4D"/>
      <w:sz w:val="20"/>
      <w:szCs w:val="20"/>
      <w:lang w:val="en-AU"/>
    </w:rPr>
  </w:style>
  <w:style w:type="character" w:styleId="Hyperlink">
    <w:name w:val="Hyperlink"/>
    <w:uiPriority w:val="99"/>
    <w:unhideWhenUsed/>
    <w:rsid w:val="008D5CA9"/>
    <w:rPr>
      <w:color w:val="0000FF"/>
      <w:u w:val="single"/>
    </w:rPr>
  </w:style>
  <w:style w:type="character" w:styleId="FollowedHyperlink">
    <w:name w:val="FollowedHyperlink"/>
    <w:uiPriority w:val="99"/>
    <w:semiHidden/>
    <w:unhideWhenUsed/>
    <w:rsid w:val="008D5CA9"/>
    <w:rPr>
      <w:color w:val="800080"/>
      <w:u w:val="single"/>
    </w:rPr>
  </w:style>
  <w:style w:type="paragraph" w:styleId="FootnoteText">
    <w:name w:val="footnote text"/>
    <w:basedOn w:val="Normal"/>
    <w:link w:val="FootnoteTextChar"/>
    <w:uiPriority w:val="99"/>
    <w:unhideWhenUsed/>
    <w:rsid w:val="00466690"/>
    <w:rPr>
      <w:sz w:val="20"/>
      <w:szCs w:val="20"/>
    </w:rPr>
  </w:style>
  <w:style w:type="character" w:customStyle="1" w:styleId="FootnoteTextChar">
    <w:name w:val="Footnote Text Char"/>
    <w:link w:val="FootnoteText"/>
    <w:uiPriority w:val="99"/>
    <w:rsid w:val="00466690"/>
    <w:rPr>
      <w:lang w:eastAsia="en-US"/>
    </w:rPr>
  </w:style>
  <w:style w:type="character" w:styleId="Emphasis">
    <w:name w:val="Emphasis"/>
    <w:uiPriority w:val="20"/>
    <w:qFormat/>
    <w:rsid w:val="005F6FDB"/>
    <w:rPr>
      <w:i/>
      <w:iCs/>
    </w:rPr>
  </w:style>
  <w:style w:type="character" w:customStyle="1" w:styleId="st">
    <w:name w:val="st"/>
    <w:rsid w:val="00E01B08"/>
  </w:style>
  <w:style w:type="paragraph" w:customStyle="1" w:styleId="articlecategory">
    <w:name w:val="articlecategory"/>
    <w:basedOn w:val="Normal"/>
    <w:uiPriority w:val="99"/>
    <w:rsid w:val="00B8252C"/>
    <w:pPr>
      <w:spacing w:before="100" w:beforeAutospacing="1" w:after="100" w:afterAutospacing="1" w:line="240" w:lineRule="auto"/>
    </w:pPr>
    <w:rPr>
      <w:rFonts w:eastAsia="Times New Roman"/>
      <w:sz w:val="24"/>
      <w:szCs w:val="24"/>
      <w:lang w:eastAsia="en-GB"/>
    </w:rPr>
  </w:style>
  <w:style w:type="character" w:customStyle="1" w:styleId="A3">
    <w:name w:val="A3"/>
    <w:uiPriority w:val="99"/>
    <w:rsid w:val="00CB1CC8"/>
    <w:rPr>
      <w:rFonts w:ascii="Open Sans" w:hAnsi="Open Sans" w:cs="Open Sans" w:hint="default"/>
      <w:b/>
      <w:bCs/>
      <w:i/>
      <w:iCs/>
      <w:color w:val="000000"/>
    </w:rPr>
  </w:style>
  <w:style w:type="character" w:customStyle="1" w:styleId="UnresolvedMention1">
    <w:name w:val="Unresolved Mention1"/>
    <w:uiPriority w:val="99"/>
    <w:semiHidden/>
    <w:unhideWhenUsed/>
    <w:rsid w:val="00726221"/>
    <w:rPr>
      <w:color w:val="605E5C"/>
      <w:shd w:val="clear" w:color="auto" w:fill="E1DFDD"/>
    </w:rPr>
  </w:style>
  <w:style w:type="character" w:customStyle="1" w:styleId="Mention1">
    <w:name w:val="Mention1"/>
    <w:basedOn w:val="DefaultParagraphFont"/>
    <w:uiPriority w:val="99"/>
    <w:unhideWhenUsed/>
    <w:rsid w:val="00E47C4C"/>
    <w:rPr>
      <w:color w:val="2B579A"/>
      <w:shd w:val="clear" w:color="auto" w:fill="E1DFDD"/>
    </w:rPr>
  </w:style>
  <w:style w:type="paragraph" w:customStyle="1" w:styleId="p1">
    <w:name w:val="p1"/>
    <w:basedOn w:val="Normal"/>
    <w:rsid w:val="00AC6268"/>
    <w:pPr>
      <w:spacing w:after="0" w:line="240" w:lineRule="auto"/>
    </w:pPr>
    <w:rPr>
      <w:rFonts w:ascii="Helvetica" w:eastAsia="Times New Roman" w:hAnsi="Helvetica"/>
      <w:color w:val="000000"/>
      <w:sz w:val="13"/>
      <w:szCs w:val="13"/>
      <w:lang w:eastAsia="en-GB"/>
    </w:rPr>
  </w:style>
  <w:style w:type="paragraph" w:styleId="TOC1">
    <w:name w:val="toc 1"/>
    <w:basedOn w:val="Normal"/>
    <w:next w:val="Normal"/>
    <w:autoRedefine/>
    <w:uiPriority w:val="39"/>
    <w:unhideWhenUsed/>
    <w:rsid w:val="00744711"/>
    <w:pPr>
      <w:tabs>
        <w:tab w:val="right" w:leader="dot" w:pos="9060"/>
      </w:tabs>
      <w:spacing w:before="120" w:after="120" w:line="240" w:lineRule="auto"/>
    </w:pPr>
    <w:rPr>
      <w:rFonts w:asciiTheme="minorHAnsi" w:hAnsiTheme="minorHAnsi"/>
      <w:b/>
      <w:bCs/>
      <w:sz w:val="20"/>
      <w:szCs w:val="20"/>
    </w:rPr>
  </w:style>
  <w:style w:type="paragraph" w:styleId="TOC2">
    <w:name w:val="toc 2"/>
    <w:basedOn w:val="Normal"/>
    <w:next w:val="Normal"/>
    <w:autoRedefine/>
    <w:uiPriority w:val="39"/>
    <w:unhideWhenUsed/>
    <w:rsid w:val="00CA2DF8"/>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CA2DF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CA2DF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CA2DF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CA2DF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CA2DF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CA2DF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CA2DF8"/>
    <w:pPr>
      <w:spacing w:after="0"/>
      <w:ind w:left="1760"/>
    </w:pPr>
    <w:rPr>
      <w:rFonts w:asciiTheme="minorHAnsi" w:hAnsiTheme="minorHAnsi"/>
      <w:sz w:val="20"/>
      <w:szCs w:val="20"/>
    </w:rPr>
  </w:style>
  <w:style w:type="paragraph" w:styleId="NoSpacing">
    <w:name w:val="No Spacing"/>
    <w:uiPriority w:val="1"/>
    <w:qFormat/>
    <w:rsid w:val="00CA2DF8"/>
    <w:rPr>
      <w:sz w:val="22"/>
      <w:szCs w:val="22"/>
      <w:lang w:eastAsia="en-US"/>
    </w:rPr>
  </w:style>
  <w:style w:type="character" w:customStyle="1" w:styleId="Heading5Char">
    <w:name w:val="Heading 5 Char"/>
    <w:basedOn w:val="DefaultParagraphFont"/>
    <w:link w:val="Heading5"/>
    <w:uiPriority w:val="9"/>
    <w:semiHidden/>
    <w:rsid w:val="00DA59BD"/>
    <w:rPr>
      <w:rFonts w:asciiTheme="majorHAnsi" w:eastAsiaTheme="majorEastAsia" w:hAnsiTheme="majorHAnsi" w:cstheme="majorBidi"/>
      <w:color w:val="0F4761" w:themeColor="accent1" w:themeShade="BF"/>
      <w:sz w:val="22"/>
      <w:szCs w:val="22"/>
      <w:lang w:eastAsia="en-US"/>
    </w:rPr>
  </w:style>
  <w:style w:type="table" w:customStyle="1" w:styleId="PlainTable21">
    <w:name w:val="Plain Table 21"/>
    <w:basedOn w:val="TableNormal"/>
    <w:uiPriority w:val="42"/>
    <w:rsid w:val="00E74D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1103AD"/>
    <w:rPr>
      <w:rFonts w:asciiTheme="majorHAnsi" w:eastAsiaTheme="majorEastAsia" w:hAnsiTheme="majorHAnsi" w:cstheme="majorBidi"/>
      <w:i/>
      <w:iCs/>
      <w:color w:val="0F476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0101">
      <w:bodyDiv w:val="1"/>
      <w:marLeft w:val="0"/>
      <w:marRight w:val="0"/>
      <w:marTop w:val="0"/>
      <w:marBottom w:val="0"/>
      <w:divBdr>
        <w:top w:val="none" w:sz="0" w:space="0" w:color="auto"/>
        <w:left w:val="none" w:sz="0" w:space="0" w:color="auto"/>
        <w:bottom w:val="none" w:sz="0" w:space="0" w:color="auto"/>
        <w:right w:val="none" w:sz="0" w:space="0" w:color="auto"/>
      </w:divBdr>
    </w:div>
    <w:div w:id="158813919">
      <w:bodyDiv w:val="1"/>
      <w:marLeft w:val="0"/>
      <w:marRight w:val="0"/>
      <w:marTop w:val="0"/>
      <w:marBottom w:val="0"/>
      <w:divBdr>
        <w:top w:val="none" w:sz="0" w:space="0" w:color="auto"/>
        <w:left w:val="none" w:sz="0" w:space="0" w:color="auto"/>
        <w:bottom w:val="none" w:sz="0" w:space="0" w:color="auto"/>
        <w:right w:val="none" w:sz="0" w:space="0" w:color="auto"/>
      </w:divBdr>
    </w:div>
    <w:div w:id="190342830">
      <w:bodyDiv w:val="1"/>
      <w:marLeft w:val="0"/>
      <w:marRight w:val="0"/>
      <w:marTop w:val="0"/>
      <w:marBottom w:val="0"/>
      <w:divBdr>
        <w:top w:val="none" w:sz="0" w:space="0" w:color="auto"/>
        <w:left w:val="none" w:sz="0" w:space="0" w:color="auto"/>
        <w:bottom w:val="none" w:sz="0" w:space="0" w:color="auto"/>
        <w:right w:val="none" w:sz="0" w:space="0" w:color="auto"/>
      </w:divBdr>
    </w:div>
    <w:div w:id="241915168">
      <w:bodyDiv w:val="1"/>
      <w:marLeft w:val="0"/>
      <w:marRight w:val="0"/>
      <w:marTop w:val="0"/>
      <w:marBottom w:val="0"/>
      <w:divBdr>
        <w:top w:val="none" w:sz="0" w:space="0" w:color="auto"/>
        <w:left w:val="none" w:sz="0" w:space="0" w:color="auto"/>
        <w:bottom w:val="none" w:sz="0" w:space="0" w:color="auto"/>
        <w:right w:val="none" w:sz="0" w:space="0" w:color="auto"/>
      </w:divBdr>
    </w:div>
    <w:div w:id="254940417">
      <w:bodyDiv w:val="1"/>
      <w:marLeft w:val="0"/>
      <w:marRight w:val="0"/>
      <w:marTop w:val="0"/>
      <w:marBottom w:val="0"/>
      <w:divBdr>
        <w:top w:val="none" w:sz="0" w:space="0" w:color="auto"/>
        <w:left w:val="none" w:sz="0" w:space="0" w:color="auto"/>
        <w:bottom w:val="none" w:sz="0" w:space="0" w:color="auto"/>
        <w:right w:val="none" w:sz="0" w:space="0" w:color="auto"/>
      </w:divBdr>
    </w:div>
    <w:div w:id="404448925">
      <w:bodyDiv w:val="1"/>
      <w:marLeft w:val="0"/>
      <w:marRight w:val="0"/>
      <w:marTop w:val="0"/>
      <w:marBottom w:val="0"/>
      <w:divBdr>
        <w:top w:val="none" w:sz="0" w:space="0" w:color="auto"/>
        <w:left w:val="none" w:sz="0" w:space="0" w:color="auto"/>
        <w:bottom w:val="none" w:sz="0" w:space="0" w:color="auto"/>
        <w:right w:val="none" w:sz="0" w:space="0" w:color="auto"/>
      </w:divBdr>
    </w:div>
    <w:div w:id="477113835">
      <w:bodyDiv w:val="1"/>
      <w:marLeft w:val="0"/>
      <w:marRight w:val="0"/>
      <w:marTop w:val="0"/>
      <w:marBottom w:val="0"/>
      <w:divBdr>
        <w:top w:val="none" w:sz="0" w:space="0" w:color="auto"/>
        <w:left w:val="none" w:sz="0" w:space="0" w:color="auto"/>
        <w:bottom w:val="none" w:sz="0" w:space="0" w:color="auto"/>
        <w:right w:val="none" w:sz="0" w:space="0" w:color="auto"/>
      </w:divBdr>
    </w:div>
    <w:div w:id="661353098">
      <w:bodyDiv w:val="1"/>
      <w:marLeft w:val="0"/>
      <w:marRight w:val="0"/>
      <w:marTop w:val="0"/>
      <w:marBottom w:val="0"/>
      <w:divBdr>
        <w:top w:val="none" w:sz="0" w:space="0" w:color="auto"/>
        <w:left w:val="none" w:sz="0" w:space="0" w:color="auto"/>
        <w:bottom w:val="none" w:sz="0" w:space="0" w:color="auto"/>
        <w:right w:val="none" w:sz="0" w:space="0" w:color="auto"/>
      </w:divBdr>
    </w:div>
    <w:div w:id="679430912">
      <w:bodyDiv w:val="1"/>
      <w:marLeft w:val="0"/>
      <w:marRight w:val="0"/>
      <w:marTop w:val="0"/>
      <w:marBottom w:val="0"/>
      <w:divBdr>
        <w:top w:val="none" w:sz="0" w:space="0" w:color="auto"/>
        <w:left w:val="none" w:sz="0" w:space="0" w:color="auto"/>
        <w:bottom w:val="none" w:sz="0" w:space="0" w:color="auto"/>
        <w:right w:val="none" w:sz="0" w:space="0" w:color="auto"/>
      </w:divBdr>
    </w:div>
    <w:div w:id="696734388">
      <w:bodyDiv w:val="1"/>
      <w:marLeft w:val="0"/>
      <w:marRight w:val="0"/>
      <w:marTop w:val="0"/>
      <w:marBottom w:val="0"/>
      <w:divBdr>
        <w:top w:val="none" w:sz="0" w:space="0" w:color="auto"/>
        <w:left w:val="none" w:sz="0" w:space="0" w:color="auto"/>
        <w:bottom w:val="none" w:sz="0" w:space="0" w:color="auto"/>
        <w:right w:val="none" w:sz="0" w:space="0" w:color="auto"/>
      </w:divBdr>
    </w:div>
    <w:div w:id="721564251">
      <w:bodyDiv w:val="1"/>
      <w:marLeft w:val="0"/>
      <w:marRight w:val="0"/>
      <w:marTop w:val="0"/>
      <w:marBottom w:val="0"/>
      <w:divBdr>
        <w:top w:val="none" w:sz="0" w:space="0" w:color="auto"/>
        <w:left w:val="none" w:sz="0" w:space="0" w:color="auto"/>
        <w:bottom w:val="none" w:sz="0" w:space="0" w:color="auto"/>
        <w:right w:val="none" w:sz="0" w:space="0" w:color="auto"/>
      </w:divBdr>
    </w:div>
    <w:div w:id="841241208">
      <w:bodyDiv w:val="1"/>
      <w:marLeft w:val="0"/>
      <w:marRight w:val="0"/>
      <w:marTop w:val="0"/>
      <w:marBottom w:val="0"/>
      <w:divBdr>
        <w:top w:val="none" w:sz="0" w:space="0" w:color="auto"/>
        <w:left w:val="none" w:sz="0" w:space="0" w:color="auto"/>
        <w:bottom w:val="none" w:sz="0" w:space="0" w:color="auto"/>
        <w:right w:val="none" w:sz="0" w:space="0" w:color="auto"/>
      </w:divBdr>
    </w:div>
    <w:div w:id="994263858">
      <w:bodyDiv w:val="1"/>
      <w:marLeft w:val="0"/>
      <w:marRight w:val="0"/>
      <w:marTop w:val="0"/>
      <w:marBottom w:val="0"/>
      <w:divBdr>
        <w:top w:val="none" w:sz="0" w:space="0" w:color="auto"/>
        <w:left w:val="none" w:sz="0" w:space="0" w:color="auto"/>
        <w:bottom w:val="none" w:sz="0" w:space="0" w:color="auto"/>
        <w:right w:val="none" w:sz="0" w:space="0" w:color="auto"/>
      </w:divBdr>
    </w:div>
    <w:div w:id="1057239369">
      <w:bodyDiv w:val="1"/>
      <w:marLeft w:val="0"/>
      <w:marRight w:val="0"/>
      <w:marTop w:val="0"/>
      <w:marBottom w:val="0"/>
      <w:divBdr>
        <w:top w:val="none" w:sz="0" w:space="0" w:color="auto"/>
        <w:left w:val="none" w:sz="0" w:space="0" w:color="auto"/>
        <w:bottom w:val="none" w:sz="0" w:space="0" w:color="auto"/>
        <w:right w:val="none" w:sz="0" w:space="0" w:color="auto"/>
      </w:divBdr>
    </w:div>
    <w:div w:id="1063724416">
      <w:bodyDiv w:val="1"/>
      <w:marLeft w:val="0"/>
      <w:marRight w:val="0"/>
      <w:marTop w:val="0"/>
      <w:marBottom w:val="0"/>
      <w:divBdr>
        <w:top w:val="none" w:sz="0" w:space="0" w:color="auto"/>
        <w:left w:val="none" w:sz="0" w:space="0" w:color="auto"/>
        <w:bottom w:val="none" w:sz="0" w:space="0" w:color="auto"/>
        <w:right w:val="none" w:sz="0" w:space="0" w:color="auto"/>
      </w:divBdr>
    </w:div>
    <w:div w:id="1177386547">
      <w:bodyDiv w:val="1"/>
      <w:marLeft w:val="0"/>
      <w:marRight w:val="0"/>
      <w:marTop w:val="0"/>
      <w:marBottom w:val="0"/>
      <w:divBdr>
        <w:top w:val="none" w:sz="0" w:space="0" w:color="auto"/>
        <w:left w:val="none" w:sz="0" w:space="0" w:color="auto"/>
        <w:bottom w:val="none" w:sz="0" w:space="0" w:color="auto"/>
        <w:right w:val="none" w:sz="0" w:space="0" w:color="auto"/>
      </w:divBdr>
    </w:div>
    <w:div w:id="1223832804">
      <w:bodyDiv w:val="1"/>
      <w:marLeft w:val="0"/>
      <w:marRight w:val="0"/>
      <w:marTop w:val="0"/>
      <w:marBottom w:val="0"/>
      <w:divBdr>
        <w:top w:val="none" w:sz="0" w:space="0" w:color="auto"/>
        <w:left w:val="none" w:sz="0" w:space="0" w:color="auto"/>
        <w:bottom w:val="none" w:sz="0" w:space="0" w:color="auto"/>
        <w:right w:val="none" w:sz="0" w:space="0" w:color="auto"/>
      </w:divBdr>
    </w:div>
    <w:div w:id="1293169480">
      <w:bodyDiv w:val="1"/>
      <w:marLeft w:val="0"/>
      <w:marRight w:val="0"/>
      <w:marTop w:val="0"/>
      <w:marBottom w:val="0"/>
      <w:divBdr>
        <w:top w:val="none" w:sz="0" w:space="0" w:color="auto"/>
        <w:left w:val="none" w:sz="0" w:space="0" w:color="auto"/>
        <w:bottom w:val="none" w:sz="0" w:space="0" w:color="auto"/>
        <w:right w:val="none" w:sz="0" w:space="0" w:color="auto"/>
      </w:divBdr>
    </w:div>
    <w:div w:id="1296645993">
      <w:bodyDiv w:val="1"/>
      <w:marLeft w:val="0"/>
      <w:marRight w:val="0"/>
      <w:marTop w:val="0"/>
      <w:marBottom w:val="0"/>
      <w:divBdr>
        <w:top w:val="none" w:sz="0" w:space="0" w:color="auto"/>
        <w:left w:val="none" w:sz="0" w:space="0" w:color="auto"/>
        <w:bottom w:val="none" w:sz="0" w:space="0" w:color="auto"/>
        <w:right w:val="none" w:sz="0" w:space="0" w:color="auto"/>
      </w:divBdr>
    </w:div>
    <w:div w:id="1307781604">
      <w:bodyDiv w:val="1"/>
      <w:marLeft w:val="0"/>
      <w:marRight w:val="0"/>
      <w:marTop w:val="0"/>
      <w:marBottom w:val="0"/>
      <w:divBdr>
        <w:top w:val="none" w:sz="0" w:space="0" w:color="auto"/>
        <w:left w:val="none" w:sz="0" w:space="0" w:color="auto"/>
        <w:bottom w:val="none" w:sz="0" w:space="0" w:color="auto"/>
        <w:right w:val="none" w:sz="0" w:space="0" w:color="auto"/>
      </w:divBdr>
    </w:div>
    <w:div w:id="1350570638">
      <w:bodyDiv w:val="1"/>
      <w:marLeft w:val="0"/>
      <w:marRight w:val="0"/>
      <w:marTop w:val="0"/>
      <w:marBottom w:val="0"/>
      <w:divBdr>
        <w:top w:val="none" w:sz="0" w:space="0" w:color="auto"/>
        <w:left w:val="none" w:sz="0" w:space="0" w:color="auto"/>
        <w:bottom w:val="none" w:sz="0" w:space="0" w:color="auto"/>
        <w:right w:val="none" w:sz="0" w:space="0" w:color="auto"/>
      </w:divBdr>
    </w:div>
    <w:div w:id="1431006490">
      <w:bodyDiv w:val="1"/>
      <w:marLeft w:val="0"/>
      <w:marRight w:val="0"/>
      <w:marTop w:val="0"/>
      <w:marBottom w:val="0"/>
      <w:divBdr>
        <w:top w:val="none" w:sz="0" w:space="0" w:color="auto"/>
        <w:left w:val="none" w:sz="0" w:space="0" w:color="auto"/>
        <w:bottom w:val="none" w:sz="0" w:space="0" w:color="auto"/>
        <w:right w:val="none" w:sz="0" w:space="0" w:color="auto"/>
      </w:divBdr>
    </w:div>
    <w:div w:id="1558591643">
      <w:bodyDiv w:val="1"/>
      <w:marLeft w:val="0"/>
      <w:marRight w:val="0"/>
      <w:marTop w:val="0"/>
      <w:marBottom w:val="0"/>
      <w:divBdr>
        <w:top w:val="none" w:sz="0" w:space="0" w:color="auto"/>
        <w:left w:val="none" w:sz="0" w:space="0" w:color="auto"/>
        <w:bottom w:val="none" w:sz="0" w:space="0" w:color="auto"/>
        <w:right w:val="none" w:sz="0" w:space="0" w:color="auto"/>
      </w:divBdr>
    </w:div>
    <w:div w:id="1611471502">
      <w:bodyDiv w:val="1"/>
      <w:marLeft w:val="0"/>
      <w:marRight w:val="0"/>
      <w:marTop w:val="0"/>
      <w:marBottom w:val="0"/>
      <w:divBdr>
        <w:top w:val="none" w:sz="0" w:space="0" w:color="auto"/>
        <w:left w:val="none" w:sz="0" w:space="0" w:color="auto"/>
        <w:bottom w:val="none" w:sz="0" w:space="0" w:color="auto"/>
        <w:right w:val="none" w:sz="0" w:space="0" w:color="auto"/>
      </w:divBdr>
    </w:div>
    <w:div w:id="1623875345">
      <w:bodyDiv w:val="1"/>
      <w:marLeft w:val="0"/>
      <w:marRight w:val="0"/>
      <w:marTop w:val="0"/>
      <w:marBottom w:val="0"/>
      <w:divBdr>
        <w:top w:val="none" w:sz="0" w:space="0" w:color="auto"/>
        <w:left w:val="none" w:sz="0" w:space="0" w:color="auto"/>
        <w:bottom w:val="none" w:sz="0" w:space="0" w:color="auto"/>
        <w:right w:val="none" w:sz="0" w:space="0" w:color="auto"/>
      </w:divBdr>
    </w:div>
    <w:div w:id="1755395135">
      <w:bodyDiv w:val="1"/>
      <w:marLeft w:val="0"/>
      <w:marRight w:val="0"/>
      <w:marTop w:val="0"/>
      <w:marBottom w:val="0"/>
      <w:divBdr>
        <w:top w:val="none" w:sz="0" w:space="0" w:color="auto"/>
        <w:left w:val="none" w:sz="0" w:space="0" w:color="auto"/>
        <w:bottom w:val="none" w:sz="0" w:space="0" w:color="auto"/>
        <w:right w:val="none" w:sz="0" w:space="0" w:color="auto"/>
      </w:divBdr>
    </w:div>
    <w:div w:id="210391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yperlink" Target="https://doi.org/10.1111/faf.12549" TargetMode="External"/><Relationship Id="rId21" Type="http://schemas.openxmlformats.org/officeDocument/2006/relationships/footer" Target="footer2.xml"/><Relationship Id="rId34" Type="http://schemas.openxmlformats.org/officeDocument/2006/relationships/hyperlink" Target="https://doi.org/10.17895/ices.pub.28788749" TargetMode="External"/><Relationship Id="rId42" Type="http://schemas.openxmlformats.org/officeDocument/2006/relationships/footer" Target="footer4.xml"/><Relationship Id="rId47" Type="http://schemas.openxmlformats.org/officeDocument/2006/relationships/header" Target="head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doi.org/10.17895/ices.pub.5545" TargetMode="Externa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doi.org/10.17895/ices.advice.27100516" TargetMode="External"/><Relationship Id="rId37" Type="http://schemas.openxmlformats.org/officeDocument/2006/relationships/hyperlink" Target="https://doi.org/10.1111/jfd.13822" TargetMode="External"/><Relationship Id="rId40" Type="http://schemas.openxmlformats.org/officeDocument/2006/relationships/header" Target="header7.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doi.org/10.1371/journal.pone.0032231" TargetMode="External"/><Relationship Id="rId36" Type="http://schemas.openxmlformats.org/officeDocument/2006/relationships/hyperlink" Target="https://doi.org/10.1111/fme.12732"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doi.org/10.17895/ices.pub.24517486"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ms.int/fr/node/18994" TargetMode="External"/><Relationship Id="rId22" Type="http://schemas.openxmlformats.org/officeDocument/2006/relationships/header" Target="header3.xml"/><Relationship Id="rId27" Type="http://schemas.openxmlformats.org/officeDocument/2006/relationships/hyperlink" Target="https://data.europa.eu/doi/10.2771/679816" TargetMode="External"/><Relationship Id="rId30" Type="http://schemas.openxmlformats.org/officeDocument/2006/relationships/hyperlink" Target="http://doi.org/10.17895/ices.pub.5982" TargetMode="External"/><Relationship Id="rId35" Type="http://schemas.openxmlformats.org/officeDocument/2006/relationships/hyperlink" Target="https://doi.org/10.1672/0277-5212(2004)024%5b0642:HPODEE%5d2.0.CO;2" TargetMode="External"/><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amber.international/european-barrier-atlas/" TargetMode="External"/><Relationship Id="rId25" Type="http://schemas.openxmlformats.org/officeDocument/2006/relationships/header" Target="header5.xml"/><Relationship Id="rId33" Type="http://schemas.openxmlformats.org/officeDocument/2006/relationships/hyperlink" Target="https://doi.org/10.17895/ices.pub.27233457" TargetMode="External"/><Relationship Id="rId38" Type="http://schemas.openxmlformats.org/officeDocument/2006/relationships/hyperlink" Target="https://dx.doi.org/10.2305/IUCN.UK.2020-2.RLTS.T60344A152845178.en" TargetMode="External"/><Relationship Id="rId46" Type="http://schemas.openxmlformats.org/officeDocument/2006/relationships/hyperlink" Target="https://wedocs.unep.org/bitstream/handle/20.500.11822/35759/77ig9_inf3_bc_eng.pdf" TargetMode="External"/><Relationship Id="rId20" Type="http://schemas.openxmlformats.org/officeDocument/2006/relationships/footer" Target="footer1.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cms.int/fr/node/16347" TargetMode="External"/><Relationship Id="rId2" Type="http://schemas.openxmlformats.org/officeDocument/2006/relationships/hyperlink" Target="https://www.cms.int/fr/node/16347" TargetMode="External"/><Relationship Id="rId1" Type="http://schemas.openxmlformats.org/officeDocument/2006/relationships/hyperlink" Target="http://researcharchive.calacademy.org/research/ichthyology/catalog/fishcatmain.as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TaxCatchAll"><![CDATA[6;#Official|14c80daa-741b-422c-9722-f71693c9ede4;#10;#Team|ff0485df-0575-416f-802f-e999165821b7;#9;#Internal Defra Group|0867f7b3-e76e-40ca-bb1f-5ba341a49230;#8;#Core Defra|026223dd-2e56-4615-868d-7c5bfd566810;#7;#Crown|69589897-2828-4761-976e-717fd8e631c9]]></LongProp>
</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CD820-48A3-41C2-8516-35DAB6BEEBD4}">
  <ds:schemaRefs>
    <ds:schemaRef ds:uri="http://schemas.openxmlformats.org/officeDocument/2006/bibliography"/>
  </ds:schemaRefs>
</ds:datastoreItem>
</file>

<file path=customXml/itemProps2.xml><?xml version="1.0" encoding="utf-8"?>
<ds:datastoreItem xmlns:ds="http://schemas.openxmlformats.org/officeDocument/2006/customXml" ds:itemID="{555B2F39-EA08-4182-811B-46EFC06791E8}">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3.xml><?xml version="1.0" encoding="utf-8"?>
<ds:datastoreItem xmlns:ds="http://schemas.openxmlformats.org/officeDocument/2006/customXml" ds:itemID="{7FAD1C48-DFF7-48B4-B81A-1D677470E1E0}">
  <ds:schemaRefs>
    <ds:schemaRef ds:uri="http://schemas.microsoft.com/sharepoint/v3/contenttype/forms"/>
  </ds:schemaRefs>
</ds:datastoreItem>
</file>

<file path=customXml/itemProps4.xml><?xml version="1.0" encoding="utf-8"?>
<ds:datastoreItem xmlns:ds="http://schemas.openxmlformats.org/officeDocument/2006/customXml" ds:itemID="{3BCA9D7C-C0C4-4C04-8545-DA07FF6E5189}">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44E172F7-1084-4DB5-85E1-8D275098C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31</TotalTime>
  <Pages>34</Pages>
  <Words>11826</Words>
  <Characters>67410</Characters>
  <Application>Microsoft Office Word</Application>
  <DocSecurity>0</DocSecurity>
  <Lines>561</Lines>
  <Paragraphs>158</Paragraphs>
  <ScaleCrop>false</ScaleCrop>
  <Company/>
  <LinksUpToDate>false</LinksUpToDate>
  <CharactersWithSpaces>79078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Louisa Breimann</dc:creator>
  <cp:lastModifiedBy>Catherine Brueckner</cp:lastModifiedBy>
  <cp:revision>28</cp:revision>
  <dcterms:created xsi:type="dcterms:W3CDTF">2025-11-04T10:28:00Z</dcterms:created>
  <dcterms:modified xsi:type="dcterms:W3CDTF">2025-11-07T14:54:00Z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y fmtid="{D5CDD505-2E9C-101B-9397-08002B2CF9AE}" pid="5" name="docLang">
    <vt:lpwstr>en</vt:lpwstr>
  </property>
</Properties>
</file>