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B077A6" w14:textId="77777777" w:rsidR="009672C2" w:rsidRPr="00036694" w:rsidRDefault="002A409C">
      <w:pPr>
        <w:pStyle w:val="Title"/>
        <w:jc w:val="right"/>
        <w:rPr>
          <w:rFonts w:ascii="Arial" w:hAnsi="Arial" w:cs="Arial"/>
          <w:b/>
          <w:bCs/>
          <w:sz w:val="22"/>
          <w:szCs w:val="22"/>
          <w:lang w:val="fr-FR"/>
        </w:rPr>
      </w:pPr>
      <w:r w:rsidRPr="00036694">
        <w:rPr>
          <w:rFonts w:ascii="Arial" w:hAnsi="Arial" w:cs="Arial"/>
          <w:b/>
          <w:bCs/>
          <w:sz w:val="22"/>
          <w:szCs w:val="22"/>
          <w:lang w:val="fr-FR"/>
        </w:rPr>
        <w:t>ANNEXE 1</w:t>
      </w:r>
    </w:p>
    <w:p w14:paraId="50EAE0C3" w14:textId="77777777" w:rsidR="009672C2" w:rsidRPr="00036694" w:rsidRDefault="009672C2">
      <w:pPr>
        <w:pStyle w:val="Title"/>
        <w:rPr>
          <w:rFonts w:ascii="Arial" w:hAnsi="Arial" w:cs="Arial"/>
          <w:b/>
          <w:bCs/>
          <w:sz w:val="40"/>
          <w:szCs w:val="40"/>
          <w:lang w:val="fr-FR"/>
        </w:rPr>
      </w:pPr>
    </w:p>
    <w:p w14:paraId="5DBD814A" w14:textId="77777777" w:rsidR="009672C2" w:rsidRPr="00036694" w:rsidRDefault="002A409C">
      <w:pPr>
        <w:pStyle w:val="Title"/>
        <w:rPr>
          <w:rFonts w:ascii="Arial" w:hAnsi="Arial" w:cs="Arial"/>
          <w:b/>
          <w:bCs/>
          <w:i/>
          <w:iCs/>
          <w:sz w:val="24"/>
          <w:szCs w:val="24"/>
          <w:lang w:val="fr-FR"/>
        </w:rPr>
      </w:pPr>
      <w:r w:rsidRPr="00036694">
        <w:rPr>
          <w:rFonts w:ascii="Arial" w:hAnsi="Arial" w:cs="Arial"/>
          <w:b/>
          <w:bCs/>
          <w:sz w:val="40"/>
          <w:szCs w:val="40"/>
          <w:lang w:val="fr-FR"/>
        </w:rPr>
        <w:t>Évaluation mondiale des poissons migrateurs d'eau douce</w:t>
      </w:r>
      <w:r w:rsidRPr="00036694">
        <w:rPr>
          <w:rFonts w:ascii="Arial" w:hAnsi="Arial" w:cs="Arial"/>
          <w:b/>
          <w:bCs/>
          <w:sz w:val="40"/>
          <w:szCs w:val="40"/>
          <w:lang w:val="fr-FR"/>
        </w:rPr>
        <w:br/>
      </w:r>
    </w:p>
    <w:p w14:paraId="4A15D5AA" w14:textId="77777777" w:rsidR="009672C2" w:rsidRPr="00036694" w:rsidRDefault="009672C2">
      <w:pPr>
        <w:rPr>
          <w:rFonts w:ascii="Arial" w:hAnsi="Arial" w:cs="Arial"/>
          <w:color w:val="000000" w:themeColor="text1"/>
          <w:szCs w:val="24"/>
          <w:lang w:val="fr-FR"/>
        </w:rPr>
      </w:pPr>
    </w:p>
    <w:p w14:paraId="42B2B62C" w14:textId="77777777" w:rsidR="009672C2" w:rsidRPr="00036694" w:rsidRDefault="009672C2">
      <w:pPr>
        <w:jc w:val="center"/>
        <w:rPr>
          <w:rFonts w:ascii="Arial" w:hAnsi="Arial" w:cs="Arial"/>
          <w:color w:val="000000" w:themeColor="text1"/>
          <w:szCs w:val="24"/>
          <w:lang w:val="fr-FR"/>
        </w:rPr>
      </w:pPr>
    </w:p>
    <w:p w14:paraId="5D038089" w14:textId="77777777" w:rsidR="009672C2" w:rsidRPr="00036694" w:rsidRDefault="009672C2">
      <w:pPr>
        <w:jc w:val="center"/>
        <w:rPr>
          <w:rFonts w:ascii="Arial" w:hAnsi="Arial" w:cs="Arial"/>
          <w:color w:val="000000" w:themeColor="text1"/>
          <w:szCs w:val="24"/>
          <w:lang w:val="fr-FR"/>
        </w:rPr>
      </w:pPr>
    </w:p>
    <w:p w14:paraId="6A66FDB4" w14:textId="77777777" w:rsidR="009672C2" w:rsidRPr="00036694" w:rsidRDefault="002A409C">
      <w:pPr>
        <w:pStyle w:val="NormalWeb"/>
        <w:rPr>
          <w:rFonts w:ascii="Arial" w:hAnsi="Arial" w:cs="Arial"/>
          <w:color w:val="000000" w:themeColor="text1"/>
          <w:lang w:val="fr-FR"/>
        </w:rPr>
      </w:pPr>
      <w:r w:rsidRPr="00036694">
        <w:rPr>
          <w:rFonts w:ascii="Arial" w:hAnsi="Arial" w:cs="Arial"/>
          <w:noProof/>
          <w:color w:val="000000" w:themeColor="text1"/>
          <w:lang w:val="fr-FR" w:eastAsia="fr-FR"/>
        </w:rPr>
        <w:drawing>
          <wp:anchor distT="0" distB="0" distL="114300" distR="114300" simplePos="0" relativeHeight="251658243" behindDoc="1" locked="0" layoutInCell="1" allowOverlap="1" wp14:anchorId="5E370B1F" wp14:editId="00B28BAB">
            <wp:simplePos x="0" y="0"/>
            <wp:positionH relativeFrom="column">
              <wp:posOffset>2987040</wp:posOffset>
            </wp:positionH>
            <wp:positionV relativeFrom="paragraph">
              <wp:posOffset>2366645</wp:posOffset>
            </wp:positionV>
            <wp:extent cx="3059430" cy="1799590"/>
            <wp:effectExtent l="0" t="0" r="1270" b="3810"/>
            <wp:wrapSquare wrapText="bothSides"/>
            <wp:docPr id="1061457317" name="Picture 4" descr="Long shot of a fish&#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1457317" name="Picture 4" descr="Long shot of a fish&#10;&#10;AI-generated content may be incorrect."/>
                    <pic:cNvPicPr/>
                  </pic:nvPicPr>
                  <pic:blipFill>
                    <a:blip r:embed="rId11"/>
                    <a:stretch>
                      <a:fillRect/>
                    </a:stretch>
                  </pic:blipFill>
                  <pic:spPr>
                    <a:xfrm>
                      <a:off x="0" y="0"/>
                      <a:ext cx="3059430" cy="1799590"/>
                    </a:xfrm>
                    <a:prstGeom prst="rect">
                      <a:avLst/>
                    </a:prstGeom>
                  </pic:spPr>
                </pic:pic>
              </a:graphicData>
            </a:graphic>
          </wp:anchor>
        </w:drawing>
      </w:r>
      <w:r w:rsidRPr="00036694">
        <w:rPr>
          <w:rFonts w:ascii="Arial" w:hAnsi="Arial" w:cs="Arial"/>
          <w:noProof/>
          <w:color w:val="000000" w:themeColor="text1"/>
          <w:lang w:val="fr-FR" w:eastAsia="fr-FR"/>
        </w:rPr>
        <w:drawing>
          <wp:anchor distT="0" distB="0" distL="114300" distR="114300" simplePos="0" relativeHeight="251658241" behindDoc="1" locked="0" layoutInCell="1" allowOverlap="1" wp14:anchorId="5CA4C5B5" wp14:editId="38419F80">
            <wp:simplePos x="0" y="0"/>
            <wp:positionH relativeFrom="column">
              <wp:posOffset>2987959</wp:posOffset>
            </wp:positionH>
            <wp:positionV relativeFrom="paragraph">
              <wp:posOffset>568281</wp:posOffset>
            </wp:positionV>
            <wp:extent cx="3059430" cy="1799590"/>
            <wp:effectExtent l="0" t="0" r="1270" b="3810"/>
            <wp:wrapSquare wrapText="bothSides"/>
            <wp:docPr id="91812365" name="Picture 5" descr="A close-up of a fish&#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812365" name="Picture 5" descr="A close-up of a fish&#10;&#10;AI-generated content may be incorrect."/>
                    <pic:cNvPicPr/>
                  </pic:nvPicPr>
                  <pic:blipFill>
                    <a:blip r:embed="rId12"/>
                    <a:stretch>
                      <a:fillRect/>
                    </a:stretch>
                  </pic:blipFill>
                  <pic:spPr>
                    <a:xfrm>
                      <a:off x="0" y="0"/>
                      <a:ext cx="3059430" cy="1799590"/>
                    </a:xfrm>
                    <a:prstGeom prst="rect">
                      <a:avLst/>
                    </a:prstGeom>
                  </pic:spPr>
                </pic:pic>
              </a:graphicData>
            </a:graphic>
          </wp:anchor>
        </w:drawing>
      </w:r>
      <w:r w:rsidRPr="00036694">
        <w:rPr>
          <w:rFonts w:ascii="Arial" w:hAnsi="Arial" w:cs="Arial"/>
          <w:noProof/>
          <w:color w:val="000000" w:themeColor="text1"/>
          <w:lang w:val="fr-FR" w:eastAsia="fr-FR"/>
        </w:rPr>
        <w:drawing>
          <wp:anchor distT="0" distB="0" distL="114300" distR="114300" simplePos="0" relativeHeight="251658240" behindDoc="1" locked="0" layoutInCell="1" allowOverlap="1" wp14:anchorId="4890C246" wp14:editId="7479C9EC">
            <wp:simplePos x="0" y="0"/>
            <wp:positionH relativeFrom="column">
              <wp:posOffset>-71540</wp:posOffset>
            </wp:positionH>
            <wp:positionV relativeFrom="paragraph">
              <wp:posOffset>570580</wp:posOffset>
            </wp:positionV>
            <wp:extent cx="3060000" cy="1800000"/>
            <wp:effectExtent l="0" t="0" r="1270" b="3810"/>
            <wp:wrapSquare wrapText="bothSides"/>
            <wp:docPr id="982656098" name="Picture 1" descr="A close-up of a fish&#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2656098" name="Picture 1" descr="A close-up of a fish&#10;&#10;AI-generated content may be incorrect."/>
                    <pic:cNvPicPr/>
                  </pic:nvPicPr>
                  <pic:blipFill rotWithShape="1">
                    <a:blip r:embed="rId13"/>
                    <a:srcRect b="9913"/>
                    <a:stretch>
                      <a:fillRect/>
                    </a:stretch>
                  </pic:blipFill>
                  <pic:spPr bwMode="auto">
                    <a:xfrm>
                      <a:off x="0" y="0"/>
                      <a:ext cx="3060000" cy="1800000"/>
                    </a:xfrm>
                    <a:prstGeom prst="rect">
                      <a:avLst/>
                    </a:prstGeom>
                    <a:ln>
                      <a:noFill/>
                    </a:ln>
                    <a:extLst>
                      <a:ext uri="{53640926-AAD7-44D8-BBD7-CCE9431645EC}">
                        <a14:shadowObscured xmlns:a14="http://schemas.microsoft.com/office/drawing/2010/main"/>
                      </a:ext>
                    </a:extLst>
                  </pic:spPr>
                </pic:pic>
              </a:graphicData>
            </a:graphic>
          </wp:anchor>
        </w:drawing>
      </w:r>
    </w:p>
    <w:p w14:paraId="0C1FDEDA" w14:textId="77777777" w:rsidR="009672C2" w:rsidRPr="00036694" w:rsidRDefault="002A409C">
      <w:pPr>
        <w:pStyle w:val="NormalWeb"/>
        <w:rPr>
          <w:rFonts w:ascii="Arial" w:hAnsi="Arial" w:cs="Arial"/>
          <w:color w:val="000000" w:themeColor="text1"/>
          <w:lang w:val="fr-FR"/>
        </w:rPr>
      </w:pPr>
      <w:r w:rsidRPr="00036694">
        <w:rPr>
          <w:rFonts w:ascii="Arial" w:hAnsi="Arial" w:cs="Arial"/>
          <w:noProof/>
          <w:color w:val="000000" w:themeColor="text1"/>
          <w:lang w:val="fr-FR" w:eastAsia="fr-FR"/>
        </w:rPr>
        <w:drawing>
          <wp:anchor distT="0" distB="0" distL="114300" distR="114300" simplePos="0" relativeHeight="251658242" behindDoc="1" locked="0" layoutInCell="1" allowOverlap="1" wp14:anchorId="7F446269" wp14:editId="7D8043C3">
            <wp:simplePos x="0" y="0"/>
            <wp:positionH relativeFrom="column">
              <wp:posOffset>-70814</wp:posOffset>
            </wp:positionH>
            <wp:positionV relativeFrom="paragraph">
              <wp:posOffset>1962872</wp:posOffset>
            </wp:positionV>
            <wp:extent cx="3059430" cy="1799590"/>
            <wp:effectExtent l="0" t="0" r="1270" b="3810"/>
            <wp:wrapSquare wrapText="bothSides"/>
            <wp:docPr id="739874922" name="Picture 3" descr="A close-up of a fish&#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9874922" name="Picture 3" descr="A close-up of a fish&#10;&#10;AI-generated content may be incorrect."/>
                    <pic:cNvPicPr/>
                  </pic:nvPicPr>
                  <pic:blipFill>
                    <a:blip r:embed="rId14"/>
                    <a:stretch>
                      <a:fillRect/>
                    </a:stretch>
                  </pic:blipFill>
                  <pic:spPr>
                    <a:xfrm>
                      <a:off x="0" y="0"/>
                      <a:ext cx="3059430" cy="1799590"/>
                    </a:xfrm>
                    <a:prstGeom prst="rect">
                      <a:avLst/>
                    </a:prstGeom>
                  </pic:spPr>
                </pic:pic>
              </a:graphicData>
            </a:graphic>
          </wp:anchor>
        </w:drawing>
      </w:r>
    </w:p>
    <w:p w14:paraId="3DB4F95B" w14:textId="77777777" w:rsidR="009672C2" w:rsidRPr="00036694" w:rsidRDefault="009672C2">
      <w:pPr>
        <w:pStyle w:val="NormalWeb"/>
        <w:rPr>
          <w:rFonts w:ascii="Arial" w:hAnsi="Arial" w:cs="Arial"/>
          <w:color w:val="000000" w:themeColor="text1"/>
          <w:lang w:val="fr-FR"/>
        </w:rPr>
      </w:pPr>
    </w:p>
    <w:p w14:paraId="62CEFFAF" w14:textId="77777777" w:rsidR="009672C2" w:rsidRPr="00036694" w:rsidRDefault="009672C2">
      <w:pPr>
        <w:pStyle w:val="NoSpacing"/>
        <w:rPr>
          <w:rFonts w:ascii="Arial" w:hAnsi="Arial" w:cs="Arial"/>
          <w:color w:val="000000" w:themeColor="text1"/>
          <w:szCs w:val="24"/>
          <w:lang w:val="fr-FR"/>
        </w:rPr>
      </w:pPr>
    </w:p>
    <w:p w14:paraId="3A33BE6E" w14:textId="77777777" w:rsidR="009672C2" w:rsidRPr="00036694" w:rsidRDefault="009672C2">
      <w:pPr>
        <w:pStyle w:val="NoSpacing"/>
        <w:rPr>
          <w:rFonts w:ascii="Arial" w:hAnsi="Arial" w:cs="Arial"/>
          <w:color w:val="000000" w:themeColor="text1"/>
          <w:szCs w:val="24"/>
          <w:lang w:val="fr-FR"/>
        </w:rPr>
      </w:pPr>
    </w:p>
    <w:p w14:paraId="6E1D6457" w14:textId="77777777" w:rsidR="009672C2" w:rsidRPr="00036694" w:rsidRDefault="002A409C">
      <w:pPr>
        <w:pStyle w:val="NoSpacing"/>
        <w:rPr>
          <w:rFonts w:ascii="Arial" w:hAnsi="Arial" w:cs="Arial"/>
          <w:color w:val="000000" w:themeColor="text1"/>
          <w:szCs w:val="24"/>
          <w:lang w:val="fr-FR"/>
        </w:rPr>
      </w:pPr>
      <w:r w:rsidRPr="00036694">
        <w:rPr>
          <w:rFonts w:ascii="Arial" w:hAnsi="Arial" w:cs="Arial"/>
          <w:color w:val="000000" w:themeColor="text1"/>
          <w:szCs w:val="24"/>
          <w:lang w:val="fr-FR"/>
        </w:rPr>
        <w:t>Préparé par le Dr Zeb Hogan, Conseiller scientifique pour les poissons de la Convention sur la conservation des espèces migratrices appartenant à la faune sauvage (CMS), au nom du Secrétariat de la CMS</w:t>
      </w:r>
    </w:p>
    <w:p w14:paraId="11F6215F" w14:textId="77777777" w:rsidR="009672C2" w:rsidRPr="00036694" w:rsidRDefault="002A409C">
      <w:pPr>
        <w:pStyle w:val="NoSpacing"/>
        <w:jc w:val="both"/>
        <w:rPr>
          <w:rFonts w:ascii="Arial" w:hAnsi="Arial" w:cs="Arial"/>
          <w:sz w:val="22"/>
          <w:lang w:val="fr-FR"/>
        </w:rPr>
      </w:pPr>
      <w:r w:rsidRPr="00036694">
        <w:rPr>
          <w:rFonts w:ascii="Arial" w:hAnsi="Arial" w:cs="Arial"/>
          <w:b/>
          <w:bCs/>
          <w:sz w:val="22"/>
          <w:lang w:val="fr-FR"/>
        </w:rPr>
        <w:lastRenderedPageBreak/>
        <w:t xml:space="preserve">Préparé pour : </w:t>
      </w:r>
      <w:r w:rsidRPr="00036694">
        <w:rPr>
          <w:rFonts w:ascii="Arial" w:hAnsi="Arial" w:cs="Arial"/>
          <w:sz w:val="22"/>
          <w:lang w:val="fr-FR"/>
        </w:rPr>
        <w:t xml:space="preserve">Le Secrétariat de la Convention sur la conservation des espèces migratrices appartenant à la faune sauvage (CMS). Les informations de contexte ayant conduit à cette publication se trouvent dans le document UNEP/CMS/COP15/Doc.25.6.1 </w:t>
      </w:r>
      <w:r w:rsidRPr="00036694">
        <w:rPr>
          <w:rFonts w:ascii="Arial" w:hAnsi="Arial" w:cs="Arial"/>
          <w:i/>
          <w:iCs/>
          <w:sz w:val="22"/>
          <w:lang w:val="fr-FR"/>
        </w:rPr>
        <w:t>Poissons d'eau douce</w:t>
      </w:r>
      <w:r w:rsidRPr="00036694">
        <w:rPr>
          <w:rFonts w:ascii="Arial" w:hAnsi="Arial" w:cs="Arial"/>
          <w:sz w:val="22"/>
          <w:lang w:val="fr-FR"/>
        </w:rPr>
        <w:t>.</w:t>
      </w:r>
    </w:p>
    <w:p w14:paraId="2A6AE5CC" w14:textId="77777777" w:rsidR="009672C2" w:rsidRPr="00036694" w:rsidRDefault="009672C2">
      <w:pPr>
        <w:pStyle w:val="NoSpacing"/>
        <w:jc w:val="both"/>
        <w:rPr>
          <w:rFonts w:ascii="Arial" w:hAnsi="Arial" w:cs="Arial"/>
          <w:sz w:val="22"/>
          <w:lang w:val="fr-FR"/>
        </w:rPr>
      </w:pPr>
    </w:p>
    <w:p w14:paraId="61FE83FF" w14:textId="77777777" w:rsidR="009672C2" w:rsidRPr="00036694" w:rsidRDefault="002A409C">
      <w:pPr>
        <w:pStyle w:val="NoSpacing"/>
        <w:jc w:val="both"/>
        <w:rPr>
          <w:rFonts w:ascii="Arial" w:hAnsi="Arial" w:cs="Arial"/>
          <w:sz w:val="22"/>
          <w:lang w:val="fr-FR"/>
        </w:rPr>
      </w:pPr>
      <w:r w:rsidRPr="00036694">
        <w:rPr>
          <w:rFonts w:ascii="Arial" w:hAnsi="Arial" w:cs="Arial"/>
          <w:b/>
          <w:bCs/>
          <w:sz w:val="22"/>
          <w:lang w:val="fr-FR"/>
        </w:rPr>
        <w:t>Droit d'auteur :</w:t>
      </w:r>
      <w:r w:rsidRPr="00036694">
        <w:rPr>
          <w:rFonts w:ascii="Arial" w:hAnsi="Arial" w:cs="Arial"/>
          <w:sz w:val="22"/>
          <w:lang w:val="fr-FR"/>
        </w:rPr>
        <w:t>© 2025 Convention sur la conservation des espèces migratrices appartenant à la faune sauvage.</w:t>
      </w:r>
    </w:p>
    <w:p w14:paraId="7C1AB303" w14:textId="77777777" w:rsidR="009672C2" w:rsidRPr="00036694" w:rsidRDefault="009672C2">
      <w:pPr>
        <w:pStyle w:val="NoSpacing"/>
        <w:jc w:val="both"/>
        <w:rPr>
          <w:rFonts w:ascii="Arial" w:hAnsi="Arial" w:cs="Arial"/>
          <w:sz w:val="22"/>
          <w:lang w:val="fr-FR"/>
        </w:rPr>
      </w:pPr>
    </w:p>
    <w:p w14:paraId="27527114" w14:textId="77777777" w:rsidR="009672C2" w:rsidRPr="00036694" w:rsidRDefault="002A409C">
      <w:pPr>
        <w:pStyle w:val="NoSpacing"/>
        <w:jc w:val="both"/>
        <w:rPr>
          <w:rFonts w:cs="Arial"/>
          <w:sz w:val="22"/>
          <w:lang w:val="fr-FR"/>
        </w:rPr>
      </w:pPr>
      <w:r w:rsidRPr="00321888">
        <w:rPr>
          <w:rFonts w:ascii="Arial" w:hAnsi="Arial" w:cs="Arial"/>
          <w:b/>
          <w:bCs/>
          <w:sz w:val="22"/>
          <w:lang w:val="en-GB"/>
        </w:rPr>
        <w:t>Citation</w:t>
      </w:r>
      <w:r w:rsidRPr="00321888">
        <w:rPr>
          <w:rFonts w:ascii="Arial" w:hAnsi="Arial" w:cs="Arial"/>
          <w:sz w:val="22"/>
          <w:lang w:val="en-GB"/>
        </w:rPr>
        <w:t xml:space="preserve"> : Hogen, Z., Bess, Z., Thieme, M., Stoffers, T., 2025. </w:t>
      </w:r>
      <w:r w:rsidRPr="00036694">
        <w:rPr>
          <w:rFonts w:ascii="Arial" w:hAnsi="Arial" w:cs="Arial"/>
          <w:sz w:val="22"/>
          <w:lang w:val="fr-FR"/>
        </w:rPr>
        <w:t>Évaluation mondiale des poissons migrateurs d'eau douce. Secrétariat de la CMS, Bonn, Allemagne.</w:t>
      </w:r>
    </w:p>
    <w:p w14:paraId="20C8D0D4" w14:textId="77777777" w:rsidR="009672C2" w:rsidRPr="00036694" w:rsidRDefault="009672C2">
      <w:pPr>
        <w:pStyle w:val="NoSpacing"/>
        <w:jc w:val="both"/>
        <w:rPr>
          <w:rFonts w:ascii="Arial" w:hAnsi="Arial" w:cs="Arial"/>
          <w:sz w:val="22"/>
          <w:lang w:val="fr-FR"/>
        </w:rPr>
      </w:pPr>
    </w:p>
    <w:p w14:paraId="53001035" w14:textId="77777777" w:rsidR="009672C2" w:rsidRPr="00036694" w:rsidRDefault="002A409C">
      <w:pPr>
        <w:pStyle w:val="NoSpacing"/>
        <w:jc w:val="both"/>
        <w:rPr>
          <w:rFonts w:ascii="Arial" w:hAnsi="Arial" w:cs="Arial"/>
          <w:sz w:val="22"/>
          <w:lang w:val="fr-FR"/>
        </w:rPr>
      </w:pPr>
      <w:r w:rsidRPr="00036694">
        <w:rPr>
          <w:rFonts w:ascii="Arial" w:hAnsi="Arial" w:cs="Arial"/>
          <w:b/>
          <w:bCs/>
          <w:sz w:val="22"/>
          <w:lang w:val="fr-FR"/>
        </w:rPr>
        <w:t>Auteurs :</w:t>
      </w:r>
      <w:r w:rsidRPr="00036694">
        <w:rPr>
          <w:rFonts w:ascii="Arial" w:hAnsi="Arial" w:cs="Arial"/>
          <w:sz w:val="22"/>
          <w:lang w:val="fr-FR"/>
        </w:rPr>
        <w:t xml:space="preserve"> Zeb Hogan, Zach Bess, Michele Thieme, Twan Stoffers</w:t>
      </w:r>
    </w:p>
    <w:p w14:paraId="447AAE20" w14:textId="77777777" w:rsidR="009672C2" w:rsidRPr="00036694" w:rsidRDefault="009672C2">
      <w:pPr>
        <w:spacing w:after="0" w:line="240" w:lineRule="auto"/>
        <w:jc w:val="both"/>
        <w:rPr>
          <w:rFonts w:ascii="Arial" w:eastAsia="Yu Gothic" w:hAnsi="Arial" w:cs="Arial"/>
          <w:b/>
          <w:bCs/>
          <w:sz w:val="22"/>
          <w:lang w:val="fr-FR"/>
        </w:rPr>
      </w:pPr>
    </w:p>
    <w:p w14:paraId="3176D88B" w14:textId="77777777" w:rsidR="009672C2" w:rsidRPr="00036694" w:rsidRDefault="002A409C">
      <w:pPr>
        <w:spacing w:after="0" w:line="240" w:lineRule="auto"/>
        <w:jc w:val="both"/>
        <w:rPr>
          <w:rFonts w:ascii="Arial" w:eastAsia="Yu Gothic" w:hAnsi="Arial" w:cs="Arial"/>
          <w:sz w:val="22"/>
          <w:lang w:val="fr-FR"/>
        </w:rPr>
      </w:pPr>
      <w:r w:rsidRPr="00036694">
        <w:rPr>
          <w:rFonts w:ascii="Arial" w:eastAsia="Yu Gothic" w:hAnsi="Arial" w:cs="Arial"/>
          <w:b/>
          <w:bCs/>
          <w:sz w:val="22"/>
          <w:lang w:val="fr-FR"/>
        </w:rPr>
        <w:t>Mise en page</w:t>
      </w:r>
      <w:r w:rsidRPr="00036694">
        <w:rPr>
          <w:rFonts w:ascii="Arial" w:eastAsia="Yu Gothic" w:hAnsi="Arial" w:cs="Arial"/>
          <w:sz w:val="22"/>
          <w:lang w:val="fr-FR"/>
        </w:rPr>
        <w:t xml:space="preserve"> : Secrétariat de la CMS.</w:t>
      </w:r>
    </w:p>
    <w:p w14:paraId="375E1AF2" w14:textId="77777777" w:rsidR="009672C2" w:rsidRPr="00036694" w:rsidRDefault="009672C2">
      <w:pPr>
        <w:spacing w:after="0" w:line="240" w:lineRule="auto"/>
        <w:jc w:val="both"/>
        <w:rPr>
          <w:rFonts w:ascii="Arial" w:eastAsia="Yu Gothic" w:hAnsi="Arial" w:cs="Arial"/>
          <w:sz w:val="22"/>
          <w:lang w:val="fr-FR"/>
        </w:rPr>
      </w:pPr>
    </w:p>
    <w:p w14:paraId="303C9693" w14:textId="77777777" w:rsidR="009672C2" w:rsidRPr="00036694" w:rsidRDefault="002A409C">
      <w:pPr>
        <w:spacing w:after="0" w:line="240" w:lineRule="auto"/>
        <w:jc w:val="both"/>
        <w:rPr>
          <w:rFonts w:ascii="Arial" w:eastAsia="Aptos" w:hAnsi="Arial" w:cs="Times New Roman"/>
          <w:kern w:val="20"/>
          <w:sz w:val="22"/>
          <w:szCs w:val="24"/>
          <w:lang w:val="fr-FR"/>
        </w:rPr>
      </w:pPr>
      <w:r w:rsidRPr="00036694">
        <w:rPr>
          <w:rFonts w:ascii="Arial" w:eastAsia="Aptos" w:hAnsi="Arial" w:cs="Times New Roman"/>
          <w:b/>
          <w:bCs/>
          <w:kern w:val="20"/>
          <w:sz w:val="22"/>
          <w:lang w:val="fr-FR"/>
        </w:rPr>
        <w:t>Photo de couverture :</w:t>
      </w:r>
      <w:r w:rsidRPr="00036694">
        <w:rPr>
          <w:rFonts w:ascii="Arial" w:eastAsia="Aptos" w:hAnsi="Arial" w:cs="Times New Roman"/>
          <w:b/>
          <w:i/>
          <w:kern w:val="20"/>
          <w:sz w:val="22"/>
          <w:szCs w:val="24"/>
          <w:lang w:val="fr-FR"/>
        </w:rPr>
        <w:t xml:space="preserve"> </w:t>
      </w:r>
      <w:r w:rsidRPr="00036694">
        <w:rPr>
          <w:rFonts w:ascii="Arial" w:eastAsia="Aptos" w:hAnsi="Arial" w:cs="Times New Roman"/>
          <w:bCs/>
          <w:iCs/>
          <w:kern w:val="20"/>
          <w:sz w:val="22"/>
          <w:szCs w:val="24"/>
          <w:lang w:val="fr-FR"/>
        </w:rPr>
        <w:t>©Zeb Hogan</w:t>
      </w:r>
    </w:p>
    <w:p w14:paraId="1F694505" w14:textId="77777777" w:rsidR="009672C2" w:rsidRPr="00036694" w:rsidRDefault="009672C2">
      <w:pPr>
        <w:spacing w:after="0" w:line="240" w:lineRule="auto"/>
        <w:jc w:val="both"/>
        <w:rPr>
          <w:rFonts w:ascii="Arial" w:eastAsia="Aptos" w:hAnsi="Arial" w:cs="Times New Roman"/>
          <w:kern w:val="20"/>
          <w:sz w:val="22"/>
          <w:lang w:val="fr-FR"/>
        </w:rPr>
      </w:pPr>
    </w:p>
    <w:p w14:paraId="24898C76" w14:textId="77777777" w:rsidR="009672C2" w:rsidRPr="00036694" w:rsidRDefault="002A409C">
      <w:pPr>
        <w:spacing w:after="0" w:line="240" w:lineRule="auto"/>
        <w:jc w:val="both"/>
        <w:rPr>
          <w:rFonts w:ascii="Arial" w:hAnsi="Arial" w:cs="Arial"/>
          <w:color w:val="000000" w:themeColor="text1"/>
          <w:sz w:val="22"/>
          <w:lang w:val="fr-FR"/>
        </w:rPr>
      </w:pPr>
      <w:r w:rsidRPr="00036694">
        <w:rPr>
          <w:rFonts w:ascii="Arial" w:hAnsi="Arial" w:cs="Arial"/>
          <w:b/>
          <w:bCs/>
          <w:sz w:val="22"/>
          <w:lang w:val="fr-FR"/>
        </w:rPr>
        <w:t xml:space="preserve">Remerciements : </w:t>
      </w:r>
      <w:r w:rsidRPr="00036694">
        <w:rPr>
          <w:rFonts w:ascii="Arial" w:hAnsi="Arial" w:cs="Arial"/>
          <w:color w:val="000000" w:themeColor="text1"/>
          <w:sz w:val="22"/>
          <w:lang w:val="fr-FR"/>
        </w:rPr>
        <w:t xml:space="preserve">Cette évaluation mondiale des poissons migrateurs d'eau douce a été réalisée par le Dr Zeb Hogan, avec les contributions de Zach Bess, Michele Thieme et Twan Stoffers. Le travail a bénéficié de l'orientation fournie par le Secrétariat de la CMS et les membres du Conseil scientifique. </w:t>
      </w:r>
    </w:p>
    <w:p w14:paraId="4BDE54D2" w14:textId="77777777" w:rsidR="009672C2" w:rsidRPr="00036694" w:rsidRDefault="009672C2">
      <w:pPr>
        <w:spacing w:after="0" w:line="240" w:lineRule="auto"/>
        <w:jc w:val="both"/>
        <w:rPr>
          <w:rFonts w:ascii="Arial" w:hAnsi="Arial" w:cs="Arial"/>
          <w:color w:val="000000" w:themeColor="text1"/>
          <w:sz w:val="22"/>
          <w:lang w:val="fr-FR"/>
        </w:rPr>
      </w:pPr>
    </w:p>
    <w:p w14:paraId="2B68E0D8" w14:textId="77777777" w:rsidR="009672C2" w:rsidRPr="00036694" w:rsidRDefault="002A409C">
      <w:pPr>
        <w:spacing w:after="0" w:line="240" w:lineRule="auto"/>
        <w:jc w:val="both"/>
        <w:rPr>
          <w:rFonts w:ascii="Arial" w:hAnsi="Arial" w:cs="Arial"/>
          <w:color w:val="000000" w:themeColor="text1"/>
          <w:sz w:val="22"/>
          <w:lang w:val="fr-FR"/>
        </w:rPr>
      </w:pPr>
      <w:r w:rsidRPr="00036694">
        <w:rPr>
          <w:rFonts w:ascii="Arial" w:hAnsi="Arial" w:cs="Arial"/>
          <w:color w:val="000000" w:themeColor="text1"/>
          <w:sz w:val="22"/>
          <w:lang w:val="fr-FR"/>
        </w:rPr>
        <w:t>La préparation de la liste des espèces et du rapport a été soutenue par PlusFish Philanthropy. Un soutien institutionnel a également été apporté par l'UNR Tahoe Institute for Global Sustainability de l'Université du Nevada, Reno, le Fonds mondial pour la nature (WWF), la Société pour la conservation de la vie sauvage (WCS) et l'Union internationale pour la conservation de la nature (UICN).</w:t>
      </w:r>
    </w:p>
    <w:p w14:paraId="71868F2A" w14:textId="77777777" w:rsidR="009672C2" w:rsidRPr="00036694" w:rsidRDefault="009672C2">
      <w:pPr>
        <w:spacing w:after="0" w:line="240" w:lineRule="auto"/>
        <w:jc w:val="both"/>
        <w:rPr>
          <w:rFonts w:ascii="Arial" w:hAnsi="Arial" w:cs="Arial"/>
          <w:color w:val="000000" w:themeColor="text1"/>
          <w:sz w:val="22"/>
          <w:lang w:val="fr-FR"/>
        </w:rPr>
      </w:pPr>
    </w:p>
    <w:p w14:paraId="522F3026" w14:textId="77777777" w:rsidR="009672C2" w:rsidRPr="00036694" w:rsidRDefault="002A409C">
      <w:pPr>
        <w:spacing w:after="0" w:line="240" w:lineRule="auto"/>
        <w:jc w:val="both"/>
        <w:rPr>
          <w:rFonts w:ascii="Arial" w:hAnsi="Arial" w:cs="Arial"/>
          <w:color w:val="000000" w:themeColor="text1"/>
          <w:sz w:val="22"/>
          <w:lang w:val="fr-FR"/>
        </w:rPr>
      </w:pPr>
      <w:r w:rsidRPr="00036694">
        <w:rPr>
          <w:rFonts w:ascii="Arial" w:hAnsi="Arial" w:cs="Arial"/>
          <w:color w:val="000000" w:themeColor="text1"/>
          <w:sz w:val="22"/>
          <w:lang w:val="fr-FR"/>
        </w:rPr>
        <w:t>Nous exprimons notre gratitude envers l'équipe qui a développé une base de données mondiale sur les poissons migrateurs d'eau douce (Twan Stoffers, Daria Gundermann, Roxana Stephan, Fengzhi He, Zachary A. Bess, Vanessa Bremerich, Zeb Hogan, Pete McIntyre, Imanol Miqueleiz, Rafael Rössl, Catherine Sayer, Sonja Jähnig, Karen J. Murchie, Baran Yoğurtçuoğlu, Monika Böhm et d'autres), dont le travail a fourni la liste des espèces et les attributs utilisés dans cette évaluation.</w:t>
      </w:r>
    </w:p>
    <w:p w14:paraId="7756FF3D" w14:textId="77777777" w:rsidR="009672C2" w:rsidRPr="00036694" w:rsidRDefault="009672C2">
      <w:pPr>
        <w:spacing w:after="0" w:line="240" w:lineRule="auto"/>
        <w:jc w:val="both"/>
        <w:rPr>
          <w:rFonts w:ascii="Arial" w:hAnsi="Arial" w:cs="Arial"/>
          <w:color w:val="000000" w:themeColor="text1"/>
          <w:sz w:val="22"/>
          <w:lang w:val="fr-FR"/>
        </w:rPr>
      </w:pPr>
    </w:p>
    <w:p w14:paraId="5F8AB467" w14:textId="77777777" w:rsidR="009672C2" w:rsidRPr="00036694" w:rsidRDefault="002A409C">
      <w:pPr>
        <w:spacing w:after="0" w:line="240" w:lineRule="auto"/>
        <w:jc w:val="both"/>
        <w:rPr>
          <w:rFonts w:ascii="Arial" w:hAnsi="Arial" w:cs="Arial"/>
          <w:b/>
          <w:bCs/>
          <w:sz w:val="22"/>
          <w:lang w:val="fr-FR"/>
        </w:rPr>
      </w:pPr>
      <w:r w:rsidRPr="00036694">
        <w:rPr>
          <w:rFonts w:ascii="Arial" w:hAnsi="Arial" w:cs="Arial"/>
          <w:color w:val="000000" w:themeColor="text1"/>
          <w:sz w:val="22"/>
          <w:lang w:val="fr-FR"/>
        </w:rPr>
        <w:t>Pour l'étude de cas du bassin amazonien, nous tenons à remercier les experts suivants pour leurs idées et leurs contributions : Natalie Shahbol, Daniel Chamochubi, Fabrice Duponchelle, Guillermo Estupiñán, Guido Herrera, Fabiola Larosa, Mariana Montoya, Paulo Petry, Pedro Jiménez Prado, Roberto Reis, Fernanda Silva, José Saulo Usma, Paul Van Damme et Carlos Cañas-Alva.</w:t>
      </w:r>
      <w:r w:rsidRPr="00036694">
        <w:rPr>
          <w:rFonts w:ascii="Arial" w:hAnsi="Arial" w:cs="Arial"/>
          <w:color w:val="000000" w:themeColor="text1"/>
          <w:sz w:val="22"/>
          <w:lang w:val="fr-FR"/>
        </w:rPr>
        <w:br w:type="page"/>
      </w:r>
    </w:p>
    <w:sdt>
      <w:sdtPr>
        <w:rPr>
          <w:rFonts w:ascii="Arial" w:eastAsiaTheme="minorEastAsia" w:hAnsi="Arial" w:cs="Arial"/>
          <w:b w:val="0"/>
          <w:bCs w:val="0"/>
          <w:color w:val="auto"/>
          <w:sz w:val="24"/>
          <w:szCs w:val="22"/>
        </w:rPr>
        <w:id w:val="-1642884483"/>
        <w:docPartObj>
          <w:docPartGallery w:val="Table of Contents"/>
          <w:docPartUnique/>
        </w:docPartObj>
      </w:sdtPr>
      <w:sdtEndPr>
        <w:rPr>
          <w:rFonts w:ascii="Times New Roman" w:hAnsi="Times New Roman" w:cstheme="minorBidi"/>
        </w:rPr>
      </w:sdtEndPr>
      <w:sdtContent>
        <w:p w14:paraId="6737CD53" w14:textId="77777777" w:rsidR="009672C2" w:rsidRPr="001F575B" w:rsidRDefault="002A409C">
          <w:pPr>
            <w:pStyle w:val="TOCHeading"/>
            <w:rPr>
              <w:rFonts w:ascii="Arial" w:hAnsi="Arial" w:cs="Arial"/>
              <w:lang w:val="fr-FR"/>
            </w:rPr>
          </w:pPr>
          <w:r w:rsidRPr="001F575B">
            <w:rPr>
              <w:rFonts w:ascii="Arial" w:hAnsi="Arial" w:cs="Arial"/>
              <w:lang w:val="fr-FR"/>
            </w:rPr>
            <w:t>Table des matières</w:t>
          </w:r>
        </w:p>
        <w:p w14:paraId="36443262" w14:textId="36021F73" w:rsidR="00806104" w:rsidRPr="001F575B" w:rsidRDefault="009672C2">
          <w:pPr>
            <w:pStyle w:val="TOC1"/>
            <w:tabs>
              <w:tab w:val="right" w:leader="dot" w:pos="9350"/>
            </w:tabs>
            <w:rPr>
              <w:rFonts w:ascii="Arial" w:hAnsi="Arial" w:cs="Arial"/>
              <w:b w:val="0"/>
              <w:bCs w:val="0"/>
              <w:caps w:val="0"/>
              <w:noProof/>
              <w:kern w:val="2"/>
              <w:sz w:val="24"/>
              <w:szCs w:val="24"/>
              <w:lang w:val="en-DE" w:eastAsia="en-DE"/>
              <w14:ligatures w14:val="standardContextual"/>
            </w:rPr>
          </w:pPr>
          <w:r w:rsidRPr="001F575B">
            <w:rPr>
              <w:rFonts w:ascii="Arial" w:hAnsi="Arial" w:cs="Arial"/>
              <w:b w:val="0"/>
              <w:bCs w:val="0"/>
              <w:lang w:val="fr-FR"/>
            </w:rPr>
            <w:fldChar w:fldCharType="begin"/>
          </w:r>
          <w:r w:rsidR="002A409C" w:rsidRPr="001F575B">
            <w:rPr>
              <w:rFonts w:ascii="Arial" w:hAnsi="Arial" w:cs="Arial"/>
              <w:lang w:val="fr-FR"/>
            </w:rPr>
            <w:instrText xml:space="preserve"> TOC \o "1-3" \h \z \u </w:instrText>
          </w:r>
          <w:r w:rsidRPr="001F575B">
            <w:rPr>
              <w:rFonts w:ascii="Arial" w:hAnsi="Arial" w:cs="Arial"/>
              <w:b w:val="0"/>
              <w:bCs w:val="0"/>
              <w:lang w:val="fr-FR"/>
            </w:rPr>
            <w:fldChar w:fldCharType="separate"/>
          </w:r>
          <w:hyperlink w:anchor="_Toc214450233" w:history="1">
            <w:r w:rsidR="00806104" w:rsidRPr="001F575B">
              <w:rPr>
                <w:rStyle w:val="Hyperlink"/>
                <w:rFonts w:ascii="Arial" w:hAnsi="Arial" w:cs="Arial"/>
                <w:noProof/>
              </w:rPr>
              <w:t>RÉSUMÉ ANALYTIQUE</w:t>
            </w:r>
            <w:r w:rsidR="00806104" w:rsidRPr="001F575B">
              <w:rPr>
                <w:rFonts w:ascii="Arial" w:hAnsi="Arial" w:cs="Arial"/>
                <w:noProof/>
                <w:webHidden/>
              </w:rPr>
              <w:tab/>
            </w:r>
            <w:r w:rsidR="00806104" w:rsidRPr="001F575B">
              <w:rPr>
                <w:rFonts w:ascii="Arial" w:hAnsi="Arial" w:cs="Arial"/>
                <w:noProof/>
                <w:webHidden/>
              </w:rPr>
              <w:fldChar w:fldCharType="begin"/>
            </w:r>
            <w:r w:rsidR="00806104" w:rsidRPr="001F575B">
              <w:rPr>
                <w:rFonts w:ascii="Arial" w:hAnsi="Arial" w:cs="Arial"/>
                <w:noProof/>
                <w:webHidden/>
              </w:rPr>
              <w:instrText xml:space="preserve"> PAGEREF _Toc214450233 \h </w:instrText>
            </w:r>
            <w:r w:rsidR="00806104" w:rsidRPr="001F575B">
              <w:rPr>
                <w:rFonts w:ascii="Arial" w:hAnsi="Arial" w:cs="Arial"/>
                <w:noProof/>
                <w:webHidden/>
              </w:rPr>
            </w:r>
            <w:r w:rsidR="00806104" w:rsidRPr="001F575B">
              <w:rPr>
                <w:rFonts w:ascii="Arial" w:hAnsi="Arial" w:cs="Arial"/>
                <w:noProof/>
                <w:webHidden/>
              </w:rPr>
              <w:fldChar w:fldCharType="separate"/>
            </w:r>
            <w:r w:rsidR="0003398A">
              <w:rPr>
                <w:rFonts w:ascii="Arial" w:hAnsi="Arial" w:cs="Arial"/>
                <w:noProof/>
                <w:webHidden/>
              </w:rPr>
              <w:t>5</w:t>
            </w:r>
            <w:r w:rsidR="00806104" w:rsidRPr="001F575B">
              <w:rPr>
                <w:rFonts w:ascii="Arial" w:hAnsi="Arial" w:cs="Arial"/>
                <w:noProof/>
                <w:webHidden/>
              </w:rPr>
              <w:fldChar w:fldCharType="end"/>
            </w:r>
          </w:hyperlink>
        </w:p>
        <w:p w14:paraId="714DBBD4" w14:textId="7CD5304A" w:rsidR="00806104" w:rsidRPr="001F575B" w:rsidRDefault="00806104">
          <w:pPr>
            <w:pStyle w:val="TOC1"/>
            <w:tabs>
              <w:tab w:val="right" w:leader="dot" w:pos="9350"/>
            </w:tabs>
            <w:rPr>
              <w:rFonts w:ascii="Arial" w:hAnsi="Arial" w:cs="Arial"/>
              <w:b w:val="0"/>
              <w:bCs w:val="0"/>
              <w:caps w:val="0"/>
              <w:noProof/>
              <w:kern w:val="2"/>
              <w:sz w:val="24"/>
              <w:szCs w:val="24"/>
              <w:lang w:val="en-DE" w:eastAsia="en-DE"/>
              <w14:ligatures w14:val="standardContextual"/>
            </w:rPr>
          </w:pPr>
          <w:hyperlink w:anchor="_Toc214450234" w:history="1">
            <w:r w:rsidRPr="001F575B">
              <w:rPr>
                <w:rStyle w:val="Hyperlink"/>
                <w:rFonts w:ascii="Arial" w:hAnsi="Arial" w:cs="Arial"/>
                <w:noProof/>
                <w:lang w:val="fr-FR"/>
              </w:rPr>
              <w:t>GLOSSAIRE</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_Toc214450234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7</w:t>
            </w:r>
            <w:r w:rsidRPr="001F575B">
              <w:rPr>
                <w:rFonts w:ascii="Arial" w:hAnsi="Arial" w:cs="Arial"/>
                <w:noProof/>
                <w:webHidden/>
              </w:rPr>
              <w:fldChar w:fldCharType="end"/>
            </w:r>
          </w:hyperlink>
        </w:p>
        <w:p w14:paraId="4E2BB93D" w14:textId="3D5DD0B4" w:rsidR="00806104" w:rsidRPr="001F575B" w:rsidRDefault="00806104">
          <w:pPr>
            <w:pStyle w:val="TOC1"/>
            <w:tabs>
              <w:tab w:val="left" w:pos="480"/>
              <w:tab w:val="right" w:leader="dot" w:pos="9350"/>
            </w:tabs>
            <w:rPr>
              <w:rFonts w:ascii="Arial" w:hAnsi="Arial" w:cs="Arial"/>
              <w:b w:val="0"/>
              <w:bCs w:val="0"/>
              <w:caps w:val="0"/>
              <w:noProof/>
              <w:kern w:val="2"/>
              <w:sz w:val="24"/>
              <w:szCs w:val="24"/>
              <w:lang w:val="en-DE" w:eastAsia="en-DE"/>
              <w14:ligatures w14:val="standardContextual"/>
            </w:rPr>
          </w:pPr>
          <w:hyperlink w:anchor="_Toc214450235" w:history="1">
            <w:r w:rsidRPr="001F575B">
              <w:rPr>
                <w:rStyle w:val="Hyperlink"/>
                <w:rFonts w:ascii="Arial" w:hAnsi="Arial" w:cs="Arial"/>
                <w:noProof/>
                <w:lang w:val="fr-FR"/>
              </w:rPr>
              <w:t xml:space="preserve">1 </w:t>
            </w:r>
            <w:r w:rsidRPr="001F575B">
              <w:rPr>
                <w:rFonts w:ascii="Arial" w:hAnsi="Arial" w:cs="Arial"/>
                <w:b w:val="0"/>
                <w:bCs w:val="0"/>
                <w:caps w:val="0"/>
                <w:noProof/>
                <w:kern w:val="2"/>
                <w:sz w:val="24"/>
                <w:szCs w:val="24"/>
                <w:lang w:val="en-DE" w:eastAsia="en-DE"/>
                <w14:ligatures w14:val="standardContextual"/>
              </w:rPr>
              <w:tab/>
            </w:r>
            <w:r w:rsidRPr="001F575B">
              <w:rPr>
                <w:rStyle w:val="Hyperlink"/>
                <w:rFonts w:ascii="Arial" w:hAnsi="Arial" w:cs="Arial"/>
                <w:noProof/>
                <w:lang w:val="fr-FR"/>
              </w:rPr>
              <w:t>INTRODUCTION</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_Toc214450235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8</w:t>
            </w:r>
            <w:r w:rsidRPr="001F575B">
              <w:rPr>
                <w:rFonts w:ascii="Arial" w:hAnsi="Arial" w:cs="Arial"/>
                <w:noProof/>
                <w:webHidden/>
              </w:rPr>
              <w:fldChar w:fldCharType="end"/>
            </w:r>
          </w:hyperlink>
        </w:p>
        <w:p w14:paraId="7E6E317F" w14:textId="028AC672" w:rsidR="00806104" w:rsidRPr="001F575B" w:rsidRDefault="008529F1">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36" w:history="1">
            <w:r w:rsidRPr="001F575B">
              <w:rPr>
                <w:rStyle w:val="Hyperlink"/>
                <w:rFonts w:ascii="Arial" w:hAnsi="Arial" w:cs="Arial"/>
                <w:noProof/>
                <w:lang w:val="fr-FR"/>
              </w:rPr>
              <w:t xml:space="preserve">1.1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contexte</w:t>
            </w:r>
            <w:r w:rsidRPr="001F575B">
              <w:rPr>
                <w:rFonts w:ascii="Arial" w:hAnsi="Arial" w:cs="Arial"/>
                <w:noProof/>
                <w:webHidden/>
              </w:rPr>
              <w:tab/>
            </w:r>
            <w:r w:rsidR="00806104" w:rsidRPr="001F575B">
              <w:rPr>
                <w:rFonts w:ascii="Arial" w:hAnsi="Arial" w:cs="Arial"/>
                <w:noProof/>
                <w:webHidden/>
              </w:rPr>
              <w:fldChar w:fldCharType="begin"/>
            </w:r>
            <w:r w:rsidR="00806104" w:rsidRPr="001F575B">
              <w:rPr>
                <w:rFonts w:ascii="Arial" w:hAnsi="Arial" w:cs="Arial"/>
                <w:noProof/>
                <w:webHidden/>
              </w:rPr>
              <w:instrText xml:space="preserve"> PAGEREF _Toc214450236 \h </w:instrText>
            </w:r>
            <w:r w:rsidR="00806104" w:rsidRPr="001F575B">
              <w:rPr>
                <w:rFonts w:ascii="Arial" w:hAnsi="Arial" w:cs="Arial"/>
                <w:noProof/>
                <w:webHidden/>
              </w:rPr>
            </w:r>
            <w:r w:rsidR="00806104" w:rsidRPr="001F575B">
              <w:rPr>
                <w:rFonts w:ascii="Arial" w:hAnsi="Arial" w:cs="Arial"/>
                <w:noProof/>
                <w:webHidden/>
              </w:rPr>
              <w:fldChar w:fldCharType="separate"/>
            </w:r>
            <w:r w:rsidR="0003398A">
              <w:rPr>
                <w:rFonts w:ascii="Arial" w:hAnsi="Arial" w:cs="Arial"/>
                <w:noProof/>
                <w:webHidden/>
              </w:rPr>
              <w:t>8</w:t>
            </w:r>
            <w:r w:rsidR="00806104" w:rsidRPr="001F575B">
              <w:rPr>
                <w:rFonts w:ascii="Arial" w:hAnsi="Arial" w:cs="Arial"/>
                <w:noProof/>
                <w:webHidden/>
              </w:rPr>
              <w:fldChar w:fldCharType="end"/>
            </w:r>
          </w:hyperlink>
        </w:p>
        <w:p w14:paraId="646DDB42" w14:textId="0F46E9D3" w:rsidR="00806104" w:rsidRPr="001F575B" w:rsidRDefault="008529F1">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37" w:history="1">
            <w:r w:rsidRPr="001F575B">
              <w:rPr>
                <w:rStyle w:val="Hyperlink"/>
                <w:rFonts w:ascii="Arial" w:hAnsi="Arial" w:cs="Arial"/>
                <w:noProof/>
                <w:lang w:val="fr-FR"/>
              </w:rPr>
              <w:t xml:space="preserve">1.2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justification</w:t>
            </w:r>
            <w:r w:rsidRPr="001F575B">
              <w:rPr>
                <w:rFonts w:ascii="Arial" w:hAnsi="Arial" w:cs="Arial"/>
                <w:noProof/>
                <w:webHidden/>
              </w:rPr>
              <w:tab/>
            </w:r>
            <w:r w:rsidR="00806104" w:rsidRPr="001F575B">
              <w:rPr>
                <w:rFonts w:ascii="Arial" w:hAnsi="Arial" w:cs="Arial"/>
                <w:noProof/>
                <w:webHidden/>
              </w:rPr>
              <w:fldChar w:fldCharType="begin"/>
            </w:r>
            <w:r w:rsidR="00806104" w:rsidRPr="001F575B">
              <w:rPr>
                <w:rFonts w:ascii="Arial" w:hAnsi="Arial" w:cs="Arial"/>
                <w:noProof/>
                <w:webHidden/>
              </w:rPr>
              <w:instrText xml:space="preserve"> PAGEREF _Toc214450237 \h </w:instrText>
            </w:r>
            <w:r w:rsidR="00806104" w:rsidRPr="001F575B">
              <w:rPr>
                <w:rFonts w:ascii="Arial" w:hAnsi="Arial" w:cs="Arial"/>
                <w:noProof/>
                <w:webHidden/>
              </w:rPr>
            </w:r>
            <w:r w:rsidR="00806104" w:rsidRPr="001F575B">
              <w:rPr>
                <w:rFonts w:ascii="Arial" w:hAnsi="Arial" w:cs="Arial"/>
                <w:noProof/>
                <w:webHidden/>
              </w:rPr>
              <w:fldChar w:fldCharType="separate"/>
            </w:r>
            <w:r w:rsidR="0003398A">
              <w:rPr>
                <w:rFonts w:ascii="Arial" w:hAnsi="Arial" w:cs="Arial"/>
                <w:noProof/>
                <w:webHidden/>
              </w:rPr>
              <w:t>8</w:t>
            </w:r>
            <w:r w:rsidR="00806104" w:rsidRPr="001F575B">
              <w:rPr>
                <w:rFonts w:ascii="Arial" w:hAnsi="Arial" w:cs="Arial"/>
                <w:noProof/>
                <w:webHidden/>
              </w:rPr>
              <w:fldChar w:fldCharType="end"/>
            </w:r>
          </w:hyperlink>
        </w:p>
        <w:p w14:paraId="65815235" w14:textId="3C7CD082" w:rsidR="00806104" w:rsidRPr="001F575B" w:rsidRDefault="008529F1">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38" w:history="1">
            <w:r w:rsidRPr="001F575B">
              <w:rPr>
                <w:rStyle w:val="Hyperlink"/>
                <w:rFonts w:ascii="Arial" w:hAnsi="Arial" w:cs="Arial"/>
                <w:noProof/>
                <w:lang w:val="fr-FR"/>
              </w:rPr>
              <w:t xml:space="preserve">1.3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implications pour la cms</w:t>
            </w:r>
            <w:r w:rsidRPr="001F575B">
              <w:rPr>
                <w:rFonts w:ascii="Arial" w:hAnsi="Arial" w:cs="Arial"/>
                <w:noProof/>
                <w:webHidden/>
              </w:rPr>
              <w:tab/>
            </w:r>
            <w:r w:rsidR="00806104" w:rsidRPr="001F575B">
              <w:rPr>
                <w:rFonts w:ascii="Arial" w:hAnsi="Arial" w:cs="Arial"/>
                <w:noProof/>
                <w:webHidden/>
              </w:rPr>
              <w:fldChar w:fldCharType="begin"/>
            </w:r>
            <w:r w:rsidR="00806104" w:rsidRPr="001F575B">
              <w:rPr>
                <w:rFonts w:ascii="Arial" w:hAnsi="Arial" w:cs="Arial"/>
                <w:noProof/>
                <w:webHidden/>
              </w:rPr>
              <w:instrText xml:space="preserve"> PAGEREF _Toc214450238 \h </w:instrText>
            </w:r>
            <w:r w:rsidR="00806104" w:rsidRPr="001F575B">
              <w:rPr>
                <w:rFonts w:ascii="Arial" w:hAnsi="Arial" w:cs="Arial"/>
                <w:noProof/>
                <w:webHidden/>
              </w:rPr>
            </w:r>
            <w:r w:rsidR="00806104" w:rsidRPr="001F575B">
              <w:rPr>
                <w:rFonts w:ascii="Arial" w:hAnsi="Arial" w:cs="Arial"/>
                <w:noProof/>
                <w:webHidden/>
              </w:rPr>
              <w:fldChar w:fldCharType="separate"/>
            </w:r>
            <w:r w:rsidR="0003398A">
              <w:rPr>
                <w:rFonts w:ascii="Arial" w:hAnsi="Arial" w:cs="Arial"/>
                <w:noProof/>
                <w:webHidden/>
              </w:rPr>
              <w:t>9</w:t>
            </w:r>
            <w:r w:rsidR="00806104" w:rsidRPr="001F575B">
              <w:rPr>
                <w:rFonts w:ascii="Arial" w:hAnsi="Arial" w:cs="Arial"/>
                <w:noProof/>
                <w:webHidden/>
              </w:rPr>
              <w:fldChar w:fldCharType="end"/>
            </w:r>
          </w:hyperlink>
        </w:p>
        <w:p w14:paraId="2D3BB64A" w14:textId="14E79B44" w:rsidR="00806104" w:rsidRPr="001F575B" w:rsidRDefault="008529F1">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39" w:history="1">
            <w:r w:rsidRPr="001F575B">
              <w:rPr>
                <w:rStyle w:val="Hyperlink"/>
                <w:rFonts w:ascii="Arial" w:hAnsi="Arial" w:cs="Arial"/>
                <w:noProof/>
                <w:lang w:val="fr-FR"/>
              </w:rPr>
              <w:t xml:space="preserve">1.4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objectifs</w:t>
            </w:r>
            <w:r w:rsidRPr="001F575B">
              <w:rPr>
                <w:rFonts w:ascii="Arial" w:hAnsi="Arial" w:cs="Arial"/>
                <w:noProof/>
                <w:webHidden/>
              </w:rPr>
              <w:tab/>
            </w:r>
            <w:r w:rsidR="00806104" w:rsidRPr="001F575B">
              <w:rPr>
                <w:rFonts w:ascii="Arial" w:hAnsi="Arial" w:cs="Arial"/>
                <w:noProof/>
                <w:webHidden/>
              </w:rPr>
              <w:fldChar w:fldCharType="begin"/>
            </w:r>
            <w:r w:rsidR="00806104" w:rsidRPr="001F575B">
              <w:rPr>
                <w:rFonts w:ascii="Arial" w:hAnsi="Arial" w:cs="Arial"/>
                <w:noProof/>
                <w:webHidden/>
              </w:rPr>
              <w:instrText xml:space="preserve"> PAGEREF _Toc214450239 \h </w:instrText>
            </w:r>
            <w:r w:rsidR="00806104" w:rsidRPr="001F575B">
              <w:rPr>
                <w:rFonts w:ascii="Arial" w:hAnsi="Arial" w:cs="Arial"/>
                <w:noProof/>
                <w:webHidden/>
              </w:rPr>
            </w:r>
            <w:r w:rsidR="00806104" w:rsidRPr="001F575B">
              <w:rPr>
                <w:rFonts w:ascii="Arial" w:hAnsi="Arial" w:cs="Arial"/>
                <w:noProof/>
                <w:webHidden/>
              </w:rPr>
              <w:fldChar w:fldCharType="separate"/>
            </w:r>
            <w:r w:rsidR="0003398A">
              <w:rPr>
                <w:rFonts w:ascii="Arial" w:hAnsi="Arial" w:cs="Arial"/>
                <w:noProof/>
                <w:webHidden/>
              </w:rPr>
              <w:t>10</w:t>
            </w:r>
            <w:r w:rsidR="00806104" w:rsidRPr="001F575B">
              <w:rPr>
                <w:rFonts w:ascii="Arial" w:hAnsi="Arial" w:cs="Arial"/>
                <w:noProof/>
                <w:webHidden/>
              </w:rPr>
              <w:fldChar w:fldCharType="end"/>
            </w:r>
          </w:hyperlink>
        </w:p>
        <w:p w14:paraId="66CCF219" w14:textId="663EE977" w:rsidR="00806104" w:rsidRPr="001F575B" w:rsidRDefault="00806104">
          <w:pPr>
            <w:pStyle w:val="TOC1"/>
            <w:tabs>
              <w:tab w:val="left" w:pos="480"/>
              <w:tab w:val="right" w:leader="dot" w:pos="9350"/>
            </w:tabs>
            <w:rPr>
              <w:rFonts w:ascii="Arial" w:hAnsi="Arial" w:cs="Arial"/>
              <w:b w:val="0"/>
              <w:bCs w:val="0"/>
              <w:caps w:val="0"/>
              <w:noProof/>
              <w:kern w:val="2"/>
              <w:sz w:val="24"/>
              <w:szCs w:val="24"/>
              <w:lang w:val="en-DE" w:eastAsia="en-DE"/>
              <w14:ligatures w14:val="standardContextual"/>
            </w:rPr>
          </w:pPr>
          <w:hyperlink w:anchor="_Toc214450240" w:history="1">
            <w:r w:rsidRPr="001F575B">
              <w:rPr>
                <w:rStyle w:val="Hyperlink"/>
                <w:rFonts w:ascii="Arial" w:hAnsi="Arial" w:cs="Arial"/>
                <w:noProof/>
                <w:lang w:val="fr-FR"/>
              </w:rPr>
              <w:t xml:space="preserve">2 </w:t>
            </w:r>
            <w:r w:rsidRPr="001F575B">
              <w:rPr>
                <w:rFonts w:ascii="Arial" w:hAnsi="Arial" w:cs="Arial"/>
                <w:b w:val="0"/>
                <w:bCs w:val="0"/>
                <w:caps w:val="0"/>
                <w:noProof/>
                <w:kern w:val="2"/>
                <w:sz w:val="24"/>
                <w:szCs w:val="24"/>
                <w:lang w:val="en-DE" w:eastAsia="en-DE"/>
                <w14:ligatures w14:val="standardContextual"/>
              </w:rPr>
              <w:tab/>
            </w:r>
            <w:r w:rsidRPr="001F575B">
              <w:rPr>
                <w:rStyle w:val="Hyperlink"/>
                <w:rFonts w:ascii="Arial" w:hAnsi="Arial" w:cs="Arial"/>
                <w:noProof/>
                <w:lang w:val="fr-FR"/>
              </w:rPr>
              <w:t>DÉFINITIONS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_Toc214450240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10</w:t>
            </w:r>
            <w:r w:rsidRPr="001F575B">
              <w:rPr>
                <w:rFonts w:ascii="Arial" w:hAnsi="Arial" w:cs="Arial"/>
                <w:noProof/>
                <w:webHidden/>
              </w:rPr>
              <w:fldChar w:fldCharType="end"/>
            </w:r>
          </w:hyperlink>
        </w:p>
        <w:p w14:paraId="5F709248" w14:textId="16286ABA"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41" w:history="1">
            <w:r w:rsidRPr="001F575B">
              <w:rPr>
                <w:rStyle w:val="Hyperlink"/>
                <w:rFonts w:ascii="Arial" w:hAnsi="Arial" w:cs="Arial"/>
                <w:noProof/>
                <w:lang w:val="fr-FR"/>
              </w:rPr>
              <w:t xml:space="preserve">2.1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Définition d'une espèce migratrice (transfrontalière) selon la CMS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_Toc214450241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10</w:t>
            </w:r>
            <w:r w:rsidRPr="001F575B">
              <w:rPr>
                <w:rFonts w:ascii="Arial" w:hAnsi="Arial" w:cs="Arial"/>
                <w:noProof/>
                <w:webHidden/>
              </w:rPr>
              <w:fldChar w:fldCharType="end"/>
            </w:r>
          </w:hyperlink>
        </w:p>
        <w:p w14:paraId="7CA8AEE4" w14:textId="53755E2E"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42" w:history="1">
            <w:r w:rsidRPr="001F575B">
              <w:rPr>
                <w:rStyle w:val="Hyperlink"/>
                <w:rFonts w:ascii="Arial" w:hAnsi="Arial" w:cs="Arial"/>
                <w:noProof/>
                <w:lang w:val="fr-FR"/>
              </w:rPr>
              <w:t xml:space="preserve">2.2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Définition d'un « état de conservation défavorable »</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_Toc214450242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10</w:t>
            </w:r>
            <w:r w:rsidRPr="001F575B">
              <w:rPr>
                <w:rFonts w:ascii="Arial" w:hAnsi="Arial" w:cs="Arial"/>
                <w:noProof/>
                <w:webHidden/>
              </w:rPr>
              <w:fldChar w:fldCharType="end"/>
            </w:r>
          </w:hyperlink>
        </w:p>
        <w:p w14:paraId="6E4A5FC1" w14:textId="33199857"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43" w:history="1">
            <w:r w:rsidRPr="001F575B">
              <w:rPr>
                <w:rStyle w:val="Hyperlink"/>
                <w:rFonts w:ascii="Arial" w:hAnsi="Arial" w:cs="Arial"/>
                <w:noProof/>
                <w:lang w:val="fr-FR"/>
              </w:rPr>
              <w:t xml:space="preserve">2.3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Poissons d'eau douce : définition, diversité, taxonomie et nomenclature</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_Toc214450243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11</w:t>
            </w:r>
            <w:r w:rsidRPr="001F575B">
              <w:rPr>
                <w:rFonts w:ascii="Arial" w:hAnsi="Arial" w:cs="Arial"/>
                <w:noProof/>
                <w:webHidden/>
              </w:rPr>
              <w:fldChar w:fldCharType="end"/>
            </w:r>
          </w:hyperlink>
        </w:p>
        <w:p w14:paraId="364863ED" w14:textId="3399A35A" w:rsidR="00806104" w:rsidRPr="001F575B" w:rsidRDefault="00806104">
          <w:pPr>
            <w:pStyle w:val="TOC1"/>
            <w:tabs>
              <w:tab w:val="left" w:pos="480"/>
              <w:tab w:val="right" w:leader="dot" w:pos="9350"/>
            </w:tabs>
            <w:rPr>
              <w:rFonts w:ascii="Arial" w:hAnsi="Arial" w:cs="Arial"/>
              <w:b w:val="0"/>
              <w:bCs w:val="0"/>
              <w:caps w:val="0"/>
              <w:noProof/>
              <w:kern w:val="2"/>
              <w:sz w:val="24"/>
              <w:szCs w:val="24"/>
              <w:lang w:val="en-DE" w:eastAsia="en-DE"/>
              <w14:ligatures w14:val="standardContextual"/>
            </w:rPr>
          </w:pPr>
          <w:hyperlink w:anchor="_Toc214450244" w:history="1">
            <w:r w:rsidRPr="001F575B">
              <w:rPr>
                <w:rStyle w:val="Hyperlink"/>
                <w:rFonts w:ascii="Arial" w:hAnsi="Arial" w:cs="Arial"/>
                <w:noProof/>
                <w:lang w:val="fr-FR"/>
              </w:rPr>
              <w:t xml:space="preserve">3 </w:t>
            </w:r>
            <w:r w:rsidRPr="001F575B">
              <w:rPr>
                <w:rFonts w:ascii="Arial" w:hAnsi="Arial" w:cs="Arial"/>
                <w:b w:val="0"/>
                <w:bCs w:val="0"/>
                <w:caps w:val="0"/>
                <w:noProof/>
                <w:kern w:val="2"/>
                <w:sz w:val="24"/>
                <w:szCs w:val="24"/>
                <w:lang w:val="en-DE" w:eastAsia="en-DE"/>
                <w14:ligatures w14:val="standardContextual"/>
              </w:rPr>
              <w:tab/>
            </w:r>
            <w:r w:rsidRPr="001F575B">
              <w:rPr>
                <w:rStyle w:val="Hyperlink"/>
                <w:rFonts w:ascii="Arial" w:hAnsi="Arial" w:cs="Arial"/>
                <w:noProof/>
                <w:lang w:val="fr-FR"/>
              </w:rPr>
              <w:t>RÉPARTITION DES POISSONS D'EAU DOUCE, ÉCOLOGIE ET MENACES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_Toc214450244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11</w:t>
            </w:r>
            <w:r w:rsidRPr="001F575B">
              <w:rPr>
                <w:rFonts w:ascii="Arial" w:hAnsi="Arial" w:cs="Arial"/>
                <w:noProof/>
                <w:webHidden/>
              </w:rPr>
              <w:fldChar w:fldCharType="end"/>
            </w:r>
          </w:hyperlink>
        </w:p>
        <w:p w14:paraId="122E5BD5" w14:textId="680D2DDB"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45" w:history="1">
            <w:r w:rsidRPr="001F575B">
              <w:rPr>
                <w:rStyle w:val="Hyperlink"/>
                <w:rFonts w:ascii="Arial" w:hAnsi="Arial" w:cs="Arial"/>
                <w:noProof/>
                <w:lang w:val="fr-FR"/>
              </w:rPr>
              <w:t xml:space="preserve">3.1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Répartition mondiale et contexte transfrontalier</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_Toc214450245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11</w:t>
            </w:r>
            <w:r w:rsidRPr="001F575B">
              <w:rPr>
                <w:rFonts w:ascii="Arial" w:hAnsi="Arial" w:cs="Arial"/>
                <w:noProof/>
                <w:webHidden/>
              </w:rPr>
              <w:fldChar w:fldCharType="end"/>
            </w:r>
          </w:hyperlink>
        </w:p>
        <w:p w14:paraId="1785C0F7" w14:textId="46079C4A"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46" w:history="1">
            <w:r w:rsidRPr="001F575B">
              <w:rPr>
                <w:rStyle w:val="Hyperlink"/>
                <w:rFonts w:ascii="Arial" w:hAnsi="Arial" w:cs="Arial"/>
                <w:noProof/>
                <w:lang w:val="fr-FR"/>
              </w:rPr>
              <w:t xml:space="preserve">3.2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Écologie de la migration et histoire de vie</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_Toc214450246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12</w:t>
            </w:r>
            <w:r w:rsidRPr="001F575B">
              <w:rPr>
                <w:rFonts w:ascii="Arial" w:hAnsi="Arial" w:cs="Arial"/>
                <w:noProof/>
                <w:webHidden/>
              </w:rPr>
              <w:fldChar w:fldCharType="end"/>
            </w:r>
          </w:hyperlink>
        </w:p>
        <w:p w14:paraId="01487B42" w14:textId="7F2A30AB"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47" w:history="1">
            <w:r w:rsidRPr="001F575B">
              <w:rPr>
                <w:rStyle w:val="Hyperlink"/>
                <w:rFonts w:ascii="Arial" w:hAnsi="Arial" w:cs="Arial"/>
                <w:noProof/>
                <w:lang w:val="fr-FR"/>
              </w:rPr>
              <w:t xml:space="preserve">3.3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Menaces pesant sur les poissons migrateurs d'eau douce</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_Toc214450247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13</w:t>
            </w:r>
            <w:r w:rsidRPr="001F575B">
              <w:rPr>
                <w:rFonts w:ascii="Arial" w:hAnsi="Arial" w:cs="Arial"/>
                <w:noProof/>
                <w:webHidden/>
              </w:rPr>
              <w:fldChar w:fldCharType="end"/>
            </w:r>
          </w:hyperlink>
        </w:p>
        <w:p w14:paraId="54AD36F1" w14:textId="0079DD06"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48" w:history="1">
            <w:r w:rsidRPr="001F575B">
              <w:rPr>
                <w:rStyle w:val="Hyperlink"/>
                <w:rFonts w:ascii="Arial" w:hAnsi="Arial" w:cs="Arial"/>
                <w:noProof/>
                <w:lang w:val="fr-FR"/>
              </w:rPr>
              <w:t xml:space="preserve">3.4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État de conservation des poissons d'eau douce déjà inscrits aux Annexes de la CMS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_Toc214450248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14</w:t>
            </w:r>
            <w:r w:rsidRPr="001F575B">
              <w:rPr>
                <w:rFonts w:ascii="Arial" w:hAnsi="Arial" w:cs="Arial"/>
                <w:noProof/>
                <w:webHidden/>
              </w:rPr>
              <w:fldChar w:fldCharType="end"/>
            </w:r>
          </w:hyperlink>
        </w:p>
        <w:p w14:paraId="14219C96" w14:textId="30FCDDAD" w:rsidR="00806104" w:rsidRPr="001F575B" w:rsidRDefault="00806104">
          <w:pPr>
            <w:pStyle w:val="TOC3"/>
            <w:tabs>
              <w:tab w:val="right" w:leader="dot" w:pos="9350"/>
            </w:tabs>
            <w:rPr>
              <w:rFonts w:ascii="Arial" w:hAnsi="Arial" w:cs="Arial"/>
              <w:i w:val="0"/>
              <w:iCs w:val="0"/>
              <w:noProof/>
              <w:kern w:val="2"/>
              <w:sz w:val="24"/>
              <w:szCs w:val="24"/>
              <w:lang w:val="en-DE" w:eastAsia="en-DE"/>
              <w14:ligatures w14:val="standardContextual"/>
            </w:rPr>
          </w:pPr>
          <w:hyperlink w:anchor="_Toc214450249" w:history="1">
            <w:r w:rsidRPr="001F575B">
              <w:rPr>
                <w:rStyle w:val="Hyperlink"/>
                <w:rFonts w:ascii="Arial" w:hAnsi="Arial" w:cs="Arial"/>
                <w:noProof/>
              </w:rPr>
              <w:t>Esturgeons et poissons spatules (Acipenseriformes)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_Toc214450249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14</w:t>
            </w:r>
            <w:r w:rsidRPr="001F575B">
              <w:rPr>
                <w:rFonts w:ascii="Arial" w:hAnsi="Arial" w:cs="Arial"/>
                <w:noProof/>
                <w:webHidden/>
              </w:rPr>
              <w:fldChar w:fldCharType="end"/>
            </w:r>
          </w:hyperlink>
        </w:p>
        <w:p w14:paraId="6880EE0C" w14:textId="41622F79" w:rsidR="00806104" w:rsidRPr="001F575B" w:rsidRDefault="00806104">
          <w:pPr>
            <w:pStyle w:val="TOC3"/>
            <w:tabs>
              <w:tab w:val="right" w:leader="dot" w:pos="9350"/>
            </w:tabs>
            <w:rPr>
              <w:rFonts w:ascii="Arial" w:hAnsi="Arial" w:cs="Arial"/>
              <w:i w:val="0"/>
              <w:iCs w:val="0"/>
              <w:noProof/>
              <w:kern w:val="2"/>
              <w:sz w:val="24"/>
              <w:szCs w:val="24"/>
              <w:lang w:val="en-DE" w:eastAsia="en-DE"/>
              <w14:ligatures w14:val="standardContextual"/>
            </w:rPr>
          </w:pPr>
          <w:hyperlink w:anchor="_Toc214450250" w:history="1">
            <w:r w:rsidRPr="001F575B">
              <w:rPr>
                <w:rStyle w:val="Hyperlink"/>
                <w:rFonts w:ascii="Arial" w:hAnsi="Arial" w:cs="Arial"/>
                <w:b/>
                <w:bCs/>
                <w:noProof/>
              </w:rPr>
              <w:t>Silure de verre géant du Mékong (Pangasianodon gigas)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_Toc214450250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15</w:t>
            </w:r>
            <w:r w:rsidRPr="001F575B">
              <w:rPr>
                <w:rFonts w:ascii="Arial" w:hAnsi="Arial" w:cs="Arial"/>
                <w:noProof/>
                <w:webHidden/>
              </w:rPr>
              <w:fldChar w:fldCharType="end"/>
            </w:r>
          </w:hyperlink>
        </w:p>
        <w:p w14:paraId="35392E1B" w14:textId="728F78BE" w:rsidR="00806104" w:rsidRPr="001F575B" w:rsidRDefault="00806104">
          <w:pPr>
            <w:pStyle w:val="TOC3"/>
            <w:tabs>
              <w:tab w:val="right" w:leader="dot" w:pos="9350"/>
            </w:tabs>
            <w:rPr>
              <w:rFonts w:ascii="Arial" w:hAnsi="Arial" w:cs="Arial"/>
              <w:i w:val="0"/>
              <w:iCs w:val="0"/>
              <w:noProof/>
              <w:kern w:val="2"/>
              <w:sz w:val="24"/>
              <w:szCs w:val="24"/>
              <w:lang w:val="en-DE" w:eastAsia="en-DE"/>
              <w14:ligatures w14:val="standardContextual"/>
            </w:rPr>
          </w:pPr>
          <w:hyperlink w:anchor="_Toc214450251" w:history="1">
            <w:r w:rsidRPr="001F575B">
              <w:rPr>
                <w:rStyle w:val="Hyperlink"/>
                <w:rFonts w:ascii="Arial" w:hAnsi="Arial" w:cs="Arial"/>
                <w:b/>
                <w:bCs/>
                <w:noProof/>
              </w:rPr>
              <w:t>Anguille européenne (Anguilla anguilla)</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_Toc214450251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15</w:t>
            </w:r>
            <w:r w:rsidRPr="001F575B">
              <w:rPr>
                <w:rFonts w:ascii="Arial" w:hAnsi="Arial" w:cs="Arial"/>
                <w:noProof/>
                <w:webHidden/>
              </w:rPr>
              <w:fldChar w:fldCharType="end"/>
            </w:r>
          </w:hyperlink>
        </w:p>
        <w:p w14:paraId="6DAAA34A" w14:textId="081D2707" w:rsidR="00806104" w:rsidRPr="001F575B" w:rsidRDefault="00806104">
          <w:pPr>
            <w:pStyle w:val="TOC3"/>
            <w:tabs>
              <w:tab w:val="right" w:leader="dot" w:pos="9350"/>
            </w:tabs>
            <w:rPr>
              <w:rFonts w:ascii="Arial" w:hAnsi="Arial" w:cs="Arial"/>
              <w:i w:val="0"/>
              <w:iCs w:val="0"/>
              <w:noProof/>
              <w:kern w:val="2"/>
              <w:sz w:val="24"/>
              <w:szCs w:val="24"/>
              <w:lang w:val="en-DE" w:eastAsia="en-DE"/>
              <w14:ligatures w14:val="standardContextual"/>
            </w:rPr>
          </w:pPr>
          <w:hyperlink w:anchor="_Toc214450252" w:history="1">
            <w:r w:rsidRPr="001F575B">
              <w:rPr>
                <w:rStyle w:val="Hyperlink"/>
                <w:rFonts w:ascii="Arial" w:hAnsi="Arial" w:cs="Arial"/>
                <w:b/>
                <w:bCs/>
                <w:noProof/>
              </w:rPr>
              <w:t>Silure doré et piramutaba (Brachyplatystoma rousseauxii et B. vaillantii)</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_Toc214450252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15</w:t>
            </w:r>
            <w:r w:rsidRPr="001F575B">
              <w:rPr>
                <w:rFonts w:ascii="Arial" w:hAnsi="Arial" w:cs="Arial"/>
                <w:noProof/>
                <w:webHidden/>
              </w:rPr>
              <w:fldChar w:fldCharType="end"/>
            </w:r>
          </w:hyperlink>
        </w:p>
        <w:p w14:paraId="464733C9" w14:textId="76749969"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53" w:history="1">
            <w:r w:rsidRPr="001F575B">
              <w:rPr>
                <w:rStyle w:val="Hyperlink"/>
                <w:rFonts w:ascii="Arial" w:hAnsi="Arial" w:cs="Arial"/>
                <w:noProof/>
                <w:lang w:val="fr-FR"/>
              </w:rPr>
              <w:t xml:space="preserve">3.5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Régions prioritaires pour la coopération dans le cadre de la CMS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_Toc214450253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17</w:t>
            </w:r>
            <w:r w:rsidRPr="001F575B">
              <w:rPr>
                <w:rFonts w:ascii="Arial" w:hAnsi="Arial" w:cs="Arial"/>
                <w:noProof/>
                <w:webHidden/>
              </w:rPr>
              <w:fldChar w:fldCharType="end"/>
            </w:r>
          </w:hyperlink>
        </w:p>
        <w:p w14:paraId="349A810F" w14:textId="72811CB4" w:rsidR="00806104" w:rsidRPr="001F575B" w:rsidRDefault="00806104">
          <w:pPr>
            <w:pStyle w:val="TOC1"/>
            <w:tabs>
              <w:tab w:val="left" w:pos="480"/>
              <w:tab w:val="right" w:leader="dot" w:pos="9350"/>
            </w:tabs>
            <w:rPr>
              <w:rFonts w:ascii="Arial" w:hAnsi="Arial" w:cs="Arial"/>
              <w:b w:val="0"/>
              <w:bCs w:val="0"/>
              <w:caps w:val="0"/>
              <w:noProof/>
              <w:kern w:val="2"/>
              <w:sz w:val="24"/>
              <w:szCs w:val="24"/>
              <w:lang w:val="en-DE" w:eastAsia="en-DE"/>
              <w14:ligatures w14:val="standardContextual"/>
            </w:rPr>
          </w:pPr>
          <w:hyperlink w:anchor="_Toc214450254" w:history="1">
            <w:r w:rsidRPr="001F575B">
              <w:rPr>
                <w:rStyle w:val="Hyperlink"/>
                <w:rFonts w:ascii="Arial" w:hAnsi="Arial" w:cs="Arial"/>
                <w:noProof/>
                <w:lang w:val="fr-FR"/>
              </w:rPr>
              <w:t xml:space="preserve">4 </w:t>
            </w:r>
            <w:r w:rsidRPr="001F575B">
              <w:rPr>
                <w:rFonts w:ascii="Arial" w:hAnsi="Arial" w:cs="Arial"/>
                <w:b w:val="0"/>
                <w:bCs w:val="0"/>
                <w:caps w:val="0"/>
                <w:noProof/>
                <w:kern w:val="2"/>
                <w:sz w:val="24"/>
                <w:szCs w:val="24"/>
                <w:lang w:val="en-DE" w:eastAsia="en-DE"/>
                <w14:ligatures w14:val="standardContextual"/>
              </w:rPr>
              <w:tab/>
            </w:r>
            <w:r w:rsidRPr="001F575B">
              <w:rPr>
                <w:rStyle w:val="Hyperlink"/>
                <w:rFonts w:ascii="Arial" w:hAnsi="Arial" w:cs="Arial"/>
                <w:noProof/>
                <w:lang w:val="fr-FR"/>
              </w:rPr>
              <w:t>MÉTHODES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_Toc214450254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18</w:t>
            </w:r>
            <w:r w:rsidRPr="001F575B">
              <w:rPr>
                <w:rFonts w:ascii="Arial" w:hAnsi="Arial" w:cs="Arial"/>
                <w:noProof/>
                <w:webHidden/>
              </w:rPr>
              <w:fldChar w:fldCharType="end"/>
            </w:r>
          </w:hyperlink>
        </w:p>
        <w:p w14:paraId="2655EA87" w14:textId="047C0C0A"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55" w:history="1">
            <w:r w:rsidRPr="001F575B">
              <w:rPr>
                <w:rStyle w:val="Hyperlink"/>
                <w:rFonts w:ascii="Arial" w:hAnsi="Arial" w:cs="Arial"/>
                <w:noProof/>
                <w:lang w:val="fr-FR"/>
              </w:rPr>
              <w:t xml:space="preserve">4.1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Champ d'application et approche</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_Toc214450255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18</w:t>
            </w:r>
            <w:r w:rsidRPr="001F575B">
              <w:rPr>
                <w:rFonts w:ascii="Arial" w:hAnsi="Arial" w:cs="Arial"/>
                <w:noProof/>
                <w:webHidden/>
              </w:rPr>
              <w:fldChar w:fldCharType="end"/>
            </w:r>
          </w:hyperlink>
        </w:p>
        <w:p w14:paraId="4912FADC" w14:textId="18691E38"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56" w:history="1">
            <w:r w:rsidRPr="001F575B">
              <w:rPr>
                <w:rStyle w:val="Hyperlink"/>
                <w:rFonts w:ascii="Arial" w:hAnsi="Arial" w:cs="Arial"/>
                <w:noProof/>
                <w:lang w:val="fr-FR"/>
              </w:rPr>
              <w:t xml:space="preserve">4.2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Liste des sources et bases de données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_Toc214450256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18</w:t>
            </w:r>
            <w:r w:rsidRPr="001F575B">
              <w:rPr>
                <w:rFonts w:ascii="Arial" w:hAnsi="Arial" w:cs="Arial"/>
                <w:noProof/>
                <w:webHidden/>
              </w:rPr>
              <w:fldChar w:fldCharType="end"/>
            </w:r>
          </w:hyperlink>
        </w:p>
        <w:p w14:paraId="782E9E23" w14:textId="3B920B97"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57" w:history="1">
            <w:r w:rsidRPr="001F575B">
              <w:rPr>
                <w:rStyle w:val="Hyperlink"/>
                <w:rFonts w:ascii="Arial" w:hAnsi="Arial" w:cs="Arial"/>
                <w:noProof/>
                <w:lang w:val="fr-FR"/>
              </w:rPr>
              <w:t xml:space="preserve">4.3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Définir les critères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_Toc214450257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19</w:t>
            </w:r>
            <w:r w:rsidRPr="001F575B">
              <w:rPr>
                <w:rFonts w:ascii="Arial" w:hAnsi="Arial" w:cs="Arial"/>
                <w:noProof/>
                <w:webHidden/>
              </w:rPr>
              <w:fldChar w:fldCharType="end"/>
            </w:r>
          </w:hyperlink>
        </w:p>
        <w:p w14:paraId="2F75AB36" w14:textId="072A1C43"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58" w:history="1">
            <w:r w:rsidRPr="001F575B">
              <w:rPr>
                <w:rStyle w:val="Hyperlink"/>
                <w:rFonts w:ascii="Arial" w:hAnsi="Arial" w:cs="Arial"/>
                <w:noProof/>
                <w:lang w:val="fr-FR"/>
              </w:rPr>
              <w:t xml:space="preserve">4.4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Compilation de la liste des candidats à la CMS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_Toc214450258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20</w:t>
            </w:r>
            <w:r w:rsidRPr="001F575B">
              <w:rPr>
                <w:rFonts w:ascii="Arial" w:hAnsi="Arial" w:cs="Arial"/>
                <w:noProof/>
                <w:webHidden/>
              </w:rPr>
              <w:fldChar w:fldCharType="end"/>
            </w:r>
          </w:hyperlink>
        </w:p>
        <w:p w14:paraId="50361241" w14:textId="6F88EDF4"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59" w:history="1">
            <w:r w:rsidRPr="001F575B">
              <w:rPr>
                <w:rStyle w:val="Hyperlink"/>
                <w:rFonts w:ascii="Arial" w:hAnsi="Arial" w:cs="Arial"/>
                <w:noProof/>
                <w:lang w:val="fr-FR"/>
              </w:rPr>
              <w:t xml:space="preserve">4.5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Étude de cas sur le bassin amazonien</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_Toc214450259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20</w:t>
            </w:r>
            <w:r w:rsidRPr="001F575B">
              <w:rPr>
                <w:rFonts w:ascii="Arial" w:hAnsi="Arial" w:cs="Arial"/>
                <w:noProof/>
                <w:webHidden/>
              </w:rPr>
              <w:fldChar w:fldCharType="end"/>
            </w:r>
          </w:hyperlink>
        </w:p>
        <w:p w14:paraId="45672712" w14:textId="533A9E87"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60" w:history="1">
            <w:r w:rsidRPr="001F575B">
              <w:rPr>
                <w:rStyle w:val="Hyperlink"/>
                <w:rFonts w:ascii="Arial" w:hAnsi="Arial" w:cs="Arial"/>
                <w:noProof/>
                <w:lang w:val="fr-FR"/>
              </w:rPr>
              <w:t xml:space="preserve">4.6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Utilisation dans le cadre de la CMS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_Toc214450260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20</w:t>
            </w:r>
            <w:r w:rsidRPr="001F575B">
              <w:rPr>
                <w:rFonts w:ascii="Arial" w:hAnsi="Arial" w:cs="Arial"/>
                <w:noProof/>
                <w:webHidden/>
              </w:rPr>
              <w:fldChar w:fldCharType="end"/>
            </w:r>
          </w:hyperlink>
        </w:p>
        <w:p w14:paraId="2152C71D" w14:textId="604D07FB"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61" w:history="1">
            <w:r w:rsidRPr="001F575B">
              <w:rPr>
                <w:rStyle w:val="Hyperlink"/>
                <w:rFonts w:ascii="Arial" w:hAnsi="Arial" w:cs="Arial"/>
                <w:noProof/>
                <w:lang w:val="fr-FR"/>
              </w:rPr>
              <w:t xml:space="preserve">4.7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Hypothèses et limitations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_Toc214450261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20</w:t>
            </w:r>
            <w:r w:rsidRPr="001F575B">
              <w:rPr>
                <w:rFonts w:ascii="Arial" w:hAnsi="Arial" w:cs="Arial"/>
                <w:noProof/>
                <w:webHidden/>
              </w:rPr>
              <w:fldChar w:fldCharType="end"/>
            </w:r>
          </w:hyperlink>
        </w:p>
        <w:p w14:paraId="7FAD7AC0" w14:textId="2E872848" w:rsidR="00806104" w:rsidRPr="001F575B" w:rsidRDefault="00806104">
          <w:pPr>
            <w:pStyle w:val="TOC1"/>
            <w:tabs>
              <w:tab w:val="left" w:pos="480"/>
              <w:tab w:val="right" w:leader="dot" w:pos="9350"/>
            </w:tabs>
            <w:rPr>
              <w:rFonts w:ascii="Arial" w:hAnsi="Arial" w:cs="Arial"/>
              <w:b w:val="0"/>
              <w:bCs w:val="0"/>
              <w:caps w:val="0"/>
              <w:noProof/>
              <w:kern w:val="2"/>
              <w:sz w:val="24"/>
              <w:szCs w:val="24"/>
              <w:lang w:val="en-DE" w:eastAsia="en-DE"/>
              <w14:ligatures w14:val="standardContextual"/>
            </w:rPr>
          </w:pPr>
          <w:hyperlink w:anchor="_Toc214450262" w:history="1">
            <w:r w:rsidRPr="001F575B">
              <w:rPr>
                <w:rStyle w:val="Hyperlink"/>
                <w:rFonts w:ascii="Arial" w:hAnsi="Arial" w:cs="Arial"/>
                <w:noProof/>
                <w:lang w:val="fr-FR"/>
              </w:rPr>
              <w:t xml:space="preserve">5 </w:t>
            </w:r>
            <w:r w:rsidRPr="001F575B">
              <w:rPr>
                <w:rFonts w:ascii="Arial" w:hAnsi="Arial" w:cs="Arial"/>
                <w:b w:val="0"/>
                <w:bCs w:val="0"/>
                <w:caps w:val="0"/>
                <w:noProof/>
                <w:kern w:val="2"/>
                <w:sz w:val="24"/>
                <w:szCs w:val="24"/>
                <w:lang w:val="en-DE" w:eastAsia="en-DE"/>
                <w14:ligatures w14:val="standardContextual"/>
              </w:rPr>
              <w:tab/>
            </w:r>
            <w:r w:rsidRPr="001F575B">
              <w:rPr>
                <w:rStyle w:val="Hyperlink"/>
                <w:rFonts w:ascii="Arial" w:hAnsi="Arial" w:cs="Arial"/>
                <w:noProof/>
                <w:lang w:val="fr-FR"/>
              </w:rPr>
              <w:t>RÉSULTATS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_Toc214450262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20</w:t>
            </w:r>
            <w:r w:rsidRPr="001F575B">
              <w:rPr>
                <w:rFonts w:ascii="Arial" w:hAnsi="Arial" w:cs="Arial"/>
                <w:noProof/>
                <w:webHidden/>
              </w:rPr>
              <w:fldChar w:fldCharType="end"/>
            </w:r>
          </w:hyperlink>
        </w:p>
        <w:p w14:paraId="3D4B0213" w14:textId="1DDB24B9"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63" w:history="1">
            <w:r w:rsidRPr="001F575B">
              <w:rPr>
                <w:rStyle w:val="Hyperlink"/>
                <w:rFonts w:ascii="Arial" w:hAnsi="Arial" w:cs="Arial"/>
                <w:noProof/>
                <w:lang w:val="fr-FR"/>
              </w:rPr>
              <w:t xml:space="preserve">5.1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Poissons migrateurs transfrontaliers dont l'état de conservation est défavorable</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_Toc214450263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20</w:t>
            </w:r>
            <w:r w:rsidRPr="001F575B">
              <w:rPr>
                <w:rFonts w:ascii="Arial" w:hAnsi="Arial" w:cs="Arial"/>
                <w:noProof/>
                <w:webHidden/>
              </w:rPr>
              <w:fldChar w:fldCharType="end"/>
            </w:r>
          </w:hyperlink>
        </w:p>
        <w:p w14:paraId="019B6328" w14:textId="145593A4"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64" w:history="1">
            <w:r w:rsidRPr="001F575B">
              <w:rPr>
                <w:rStyle w:val="Hyperlink"/>
                <w:rFonts w:ascii="Arial" w:hAnsi="Arial" w:cs="Arial"/>
                <w:noProof/>
                <w:lang w:val="fr-FR"/>
              </w:rPr>
              <w:t xml:space="preserve">5.2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Espèces et assemblages d'espèces prioritaires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_Toc214450264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21</w:t>
            </w:r>
            <w:r w:rsidRPr="001F575B">
              <w:rPr>
                <w:rFonts w:ascii="Arial" w:hAnsi="Arial" w:cs="Arial"/>
                <w:noProof/>
                <w:webHidden/>
              </w:rPr>
              <w:fldChar w:fldCharType="end"/>
            </w:r>
          </w:hyperlink>
        </w:p>
        <w:p w14:paraId="41379740" w14:textId="50B02E35" w:rsidR="00806104" w:rsidRPr="001F575B" w:rsidRDefault="00806104">
          <w:pPr>
            <w:pStyle w:val="TOC3"/>
            <w:tabs>
              <w:tab w:val="right" w:leader="dot" w:pos="9350"/>
            </w:tabs>
            <w:rPr>
              <w:rFonts w:ascii="Arial" w:hAnsi="Arial" w:cs="Arial"/>
              <w:i w:val="0"/>
              <w:iCs w:val="0"/>
              <w:noProof/>
              <w:kern w:val="2"/>
              <w:sz w:val="24"/>
              <w:szCs w:val="24"/>
              <w:lang w:val="en-DE" w:eastAsia="en-DE"/>
              <w14:ligatures w14:val="standardContextual"/>
            </w:rPr>
          </w:pPr>
          <w:hyperlink w:anchor="_Toc214450265" w:history="1">
            <w:r w:rsidRPr="001F575B">
              <w:rPr>
                <w:rStyle w:val="Hyperlink"/>
                <w:rFonts w:ascii="Arial" w:hAnsi="Arial" w:cs="Arial"/>
                <w:noProof/>
              </w:rPr>
              <w:t>5.2.2 Assemblages d'espèces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_Toc214450265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25</w:t>
            </w:r>
            <w:r w:rsidRPr="001F575B">
              <w:rPr>
                <w:rFonts w:ascii="Arial" w:hAnsi="Arial" w:cs="Arial"/>
                <w:noProof/>
                <w:webHidden/>
              </w:rPr>
              <w:fldChar w:fldCharType="end"/>
            </w:r>
          </w:hyperlink>
        </w:p>
        <w:p w14:paraId="0CB2420E" w14:textId="46F5FCC9"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66" w:history="1">
            <w:r w:rsidRPr="001F575B">
              <w:rPr>
                <w:rStyle w:val="Hyperlink"/>
                <w:rFonts w:ascii="Arial" w:hAnsi="Arial" w:cs="Arial"/>
                <w:noProof/>
                <w:lang w:val="fr-FR"/>
              </w:rPr>
              <w:t xml:space="preserve">5.3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Bassins fluviaux prioritaires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_Toc214450266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29</w:t>
            </w:r>
            <w:r w:rsidRPr="001F575B">
              <w:rPr>
                <w:rFonts w:ascii="Arial" w:hAnsi="Arial" w:cs="Arial"/>
                <w:noProof/>
                <w:webHidden/>
              </w:rPr>
              <w:fldChar w:fldCharType="end"/>
            </w:r>
          </w:hyperlink>
        </w:p>
        <w:p w14:paraId="2D9CBCD3" w14:textId="31D131B2" w:rsidR="00806104" w:rsidRPr="001F575B" w:rsidRDefault="00806104">
          <w:pPr>
            <w:pStyle w:val="TOC3"/>
            <w:tabs>
              <w:tab w:val="right" w:leader="dot" w:pos="9350"/>
            </w:tabs>
            <w:rPr>
              <w:rFonts w:ascii="Arial" w:hAnsi="Arial" w:cs="Arial"/>
              <w:i w:val="0"/>
              <w:iCs w:val="0"/>
              <w:noProof/>
              <w:kern w:val="2"/>
              <w:sz w:val="24"/>
              <w:szCs w:val="24"/>
              <w:lang w:val="en-DE" w:eastAsia="en-DE"/>
              <w14:ligatures w14:val="standardContextual"/>
            </w:rPr>
          </w:pPr>
          <w:hyperlink w:anchor="_Toc214450267" w:history="1">
            <w:r w:rsidRPr="001F575B">
              <w:rPr>
                <w:rStyle w:val="Hyperlink"/>
                <w:rFonts w:ascii="Arial" w:hAnsi="Arial" w:cs="Arial"/>
                <w:noProof/>
              </w:rPr>
              <w:t>5.3.1 Bassin amazonien (Amérique du Sud)</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_Toc214450267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29</w:t>
            </w:r>
            <w:r w:rsidRPr="001F575B">
              <w:rPr>
                <w:rFonts w:ascii="Arial" w:hAnsi="Arial" w:cs="Arial"/>
                <w:noProof/>
                <w:webHidden/>
              </w:rPr>
              <w:fldChar w:fldCharType="end"/>
            </w:r>
          </w:hyperlink>
        </w:p>
        <w:p w14:paraId="7104A4CB" w14:textId="7467868C" w:rsidR="00806104" w:rsidRPr="001F575B" w:rsidRDefault="00806104">
          <w:pPr>
            <w:pStyle w:val="TOC3"/>
            <w:tabs>
              <w:tab w:val="right" w:leader="dot" w:pos="9350"/>
            </w:tabs>
            <w:rPr>
              <w:rFonts w:ascii="Arial" w:hAnsi="Arial" w:cs="Arial"/>
              <w:i w:val="0"/>
              <w:iCs w:val="0"/>
              <w:noProof/>
              <w:kern w:val="2"/>
              <w:sz w:val="24"/>
              <w:szCs w:val="24"/>
              <w:lang w:val="en-DE" w:eastAsia="en-DE"/>
              <w14:ligatures w14:val="standardContextual"/>
            </w:rPr>
          </w:pPr>
          <w:hyperlink w:anchor="_Toc214450268" w:history="1">
            <w:r w:rsidRPr="001F575B">
              <w:rPr>
                <w:rStyle w:val="Hyperlink"/>
                <w:rFonts w:ascii="Arial" w:hAnsi="Arial" w:cs="Arial"/>
                <w:noProof/>
              </w:rPr>
              <w:t>5.3.2 Système de La Plata et du Paraná (Amérique du Sud)</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_Toc214450268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29</w:t>
            </w:r>
            <w:r w:rsidRPr="001F575B">
              <w:rPr>
                <w:rFonts w:ascii="Arial" w:hAnsi="Arial" w:cs="Arial"/>
                <w:noProof/>
                <w:webHidden/>
              </w:rPr>
              <w:fldChar w:fldCharType="end"/>
            </w:r>
          </w:hyperlink>
        </w:p>
        <w:p w14:paraId="5A32FE26" w14:textId="4FF39025" w:rsidR="00806104" w:rsidRPr="001F575B" w:rsidRDefault="00806104">
          <w:pPr>
            <w:pStyle w:val="TOC3"/>
            <w:tabs>
              <w:tab w:val="right" w:leader="dot" w:pos="9350"/>
            </w:tabs>
            <w:rPr>
              <w:rFonts w:ascii="Arial" w:hAnsi="Arial" w:cs="Arial"/>
              <w:i w:val="0"/>
              <w:iCs w:val="0"/>
              <w:noProof/>
              <w:kern w:val="2"/>
              <w:sz w:val="24"/>
              <w:szCs w:val="24"/>
              <w:lang w:val="en-DE" w:eastAsia="en-DE"/>
              <w14:ligatures w14:val="standardContextual"/>
            </w:rPr>
          </w:pPr>
          <w:hyperlink w:anchor="_Toc214450269" w:history="1">
            <w:r w:rsidRPr="001F575B">
              <w:rPr>
                <w:rStyle w:val="Hyperlink"/>
                <w:rFonts w:ascii="Arial" w:hAnsi="Arial" w:cs="Arial"/>
                <w:noProof/>
              </w:rPr>
              <w:t>5.3.3 Bassin du Danube (Europe)</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_Toc214450269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30</w:t>
            </w:r>
            <w:r w:rsidRPr="001F575B">
              <w:rPr>
                <w:rFonts w:ascii="Arial" w:hAnsi="Arial" w:cs="Arial"/>
                <w:noProof/>
                <w:webHidden/>
              </w:rPr>
              <w:fldChar w:fldCharType="end"/>
            </w:r>
          </w:hyperlink>
        </w:p>
        <w:p w14:paraId="714CE220" w14:textId="327E8645" w:rsidR="00806104" w:rsidRPr="001F575B" w:rsidRDefault="00806104">
          <w:pPr>
            <w:pStyle w:val="TOC3"/>
            <w:tabs>
              <w:tab w:val="right" w:leader="dot" w:pos="9350"/>
            </w:tabs>
            <w:rPr>
              <w:rFonts w:ascii="Arial" w:hAnsi="Arial" w:cs="Arial"/>
              <w:i w:val="0"/>
              <w:iCs w:val="0"/>
              <w:noProof/>
              <w:kern w:val="2"/>
              <w:sz w:val="24"/>
              <w:szCs w:val="24"/>
              <w:lang w:val="en-DE" w:eastAsia="en-DE"/>
              <w14:ligatures w14:val="standardContextual"/>
            </w:rPr>
          </w:pPr>
          <w:hyperlink w:anchor="_Toc214450270" w:history="1">
            <w:r w:rsidRPr="001F575B">
              <w:rPr>
                <w:rStyle w:val="Hyperlink"/>
                <w:rFonts w:ascii="Arial" w:hAnsi="Arial" w:cs="Arial"/>
                <w:noProof/>
              </w:rPr>
              <w:t>5.3.4 Bassin du Mékong (Asie du Sud-Est continentale)</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_Toc214450270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30</w:t>
            </w:r>
            <w:r w:rsidRPr="001F575B">
              <w:rPr>
                <w:rFonts w:ascii="Arial" w:hAnsi="Arial" w:cs="Arial"/>
                <w:noProof/>
                <w:webHidden/>
              </w:rPr>
              <w:fldChar w:fldCharType="end"/>
            </w:r>
          </w:hyperlink>
        </w:p>
        <w:p w14:paraId="2D8BDC2A" w14:textId="6B072734" w:rsidR="00806104" w:rsidRPr="001F575B" w:rsidRDefault="00806104">
          <w:pPr>
            <w:pStyle w:val="TOC3"/>
            <w:tabs>
              <w:tab w:val="right" w:leader="dot" w:pos="9350"/>
            </w:tabs>
            <w:rPr>
              <w:rFonts w:ascii="Arial" w:hAnsi="Arial" w:cs="Arial"/>
              <w:i w:val="0"/>
              <w:iCs w:val="0"/>
              <w:noProof/>
              <w:kern w:val="2"/>
              <w:sz w:val="24"/>
              <w:szCs w:val="24"/>
              <w:lang w:val="en-DE" w:eastAsia="en-DE"/>
              <w14:ligatures w14:val="standardContextual"/>
            </w:rPr>
          </w:pPr>
          <w:hyperlink w:anchor="_Toc214450271" w:history="1">
            <w:r w:rsidRPr="001F575B">
              <w:rPr>
                <w:rStyle w:val="Hyperlink"/>
                <w:rFonts w:ascii="Arial" w:hAnsi="Arial" w:cs="Arial"/>
                <w:noProof/>
              </w:rPr>
              <w:t>5.3.5 Fleuves himalayens : systèmes du Gange, du Brahmapoutre, de la Meghna et de l'Indus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_Toc214450271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31</w:t>
            </w:r>
            <w:r w:rsidRPr="001F575B">
              <w:rPr>
                <w:rFonts w:ascii="Arial" w:hAnsi="Arial" w:cs="Arial"/>
                <w:noProof/>
                <w:webHidden/>
              </w:rPr>
              <w:fldChar w:fldCharType="end"/>
            </w:r>
          </w:hyperlink>
        </w:p>
        <w:p w14:paraId="6989F885" w14:textId="6D5494A3" w:rsidR="00806104" w:rsidRPr="001F575B" w:rsidRDefault="00806104">
          <w:pPr>
            <w:pStyle w:val="TOC3"/>
            <w:tabs>
              <w:tab w:val="right" w:leader="dot" w:pos="9350"/>
            </w:tabs>
            <w:rPr>
              <w:rFonts w:ascii="Arial" w:hAnsi="Arial" w:cs="Arial"/>
              <w:i w:val="0"/>
              <w:iCs w:val="0"/>
              <w:noProof/>
              <w:kern w:val="2"/>
              <w:sz w:val="24"/>
              <w:szCs w:val="24"/>
              <w:lang w:val="en-DE" w:eastAsia="en-DE"/>
              <w14:ligatures w14:val="standardContextual"/>
            </w:rPr>
          </w:pPr>
          <w:hyperlink w:anchor="_Toc214450272" w:history="1">
            <w:r w:rsidRPr="001F575B">
              <w:rPr>
                <w:rStyle w:val="Hyperlink"/>
                <w:rFonts w:ascii="Arial" w:hAnsi="Arial" w:cs="Arial"/>
                <w:noProof/>
              </w:rPr>
              <w:t>5.3.6 Océanie : corridors régionaux pour les anguilles à travers les États insulaires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_Toc214450272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31</w:t>
            </w:r>
            <w:r w:rsidRPr="001F575B">
              <w:rPr>
                <w:rFonts w:ascii="Arial" w:hAnsi="Arial" w:cs="Arial"/>
                <w:noProof/>
                <w:webHidden/>
              </w:rPr>
              <w:fldChar w:fldCharType="end"/>
            </w:r>
          </w:hyperlink>
        </w:p>
        <w:p w14:paraId="6D0FE82C" w14:textId="3A75C8DB" w:rsidR="00806104" w:rsidRPr="001F575B" w:rsidRDefault="00806104">
          <w:pPr>
            <w:pStyle w:val="TOC1"/>
            <w:tabs>
              <w:tab w:val="left" w:pos="480"/>
              <w:tab w:val="right" w:leader="dot" w:pos="9350"/>
            </w:tabs>
            <w:rPr>
              <w:rFonts w:ascii="Arial" w:hAnsi="Arial" w:cs="Arial"/>
              <w:b w:val="0"/>
              <w:bCs w:val="0"/>
              <w:caps w:val="0"/>
              <w:noProof/>
              <w:kern w:val="2"/>
              <w:sz w:val="24"/>
              <w:szCs w:val="24"/>
              <w:lang w:val="en-DE" w:eastAsia="en-DE"/>
              <w14:ligatures w14:val="standardContextual"/>
            </w:rPr>
          </w:pPr>
          <w:hyperlink w:anchor="_Toc214450273" w:history="1">
            <w:r w:rsidRPr="001F575B">
              <w:rPr>
                <w:rStyle w:val="Hyperlink"/>
                <w:rFonts w:ascii="Arial" w:hAnsi="Arial" w:cs="Arial"/>
                <w:noProof/>
                <w:lang w:val="fr-FR"/>
              </w:rPr>
              <w:t xml:space="preserve">6 </w:t>
            </w:r>
            <w:r w:rsidRPr="001F575B">
              <w:rPr>
                <w:rFonts w:ascii="Arial" w:hAnsi="Arial" w:cs="Arial"/>
                <w:b w:val="0"/>
                <w:bCs w:val="0"/>
                <w:caps w:val="0"/>
                <w:noProof/>
                <w:kern w:val="2"/>
                <w:sz w:val="24"/>
                <w:szCs w:val="24"/>
                <w:lang w:val="en-DE" w:eastAsia="en-DE"/>
                <w14:ligatures w14:val="standardContextual"/>
              </w:rPr>
              <w:tab/>
            </w:r>
            <w:r w:rsidRPr="001F575B">
              <w:rPr>
                <w:rStyle w:val="Hyperlink"/>
                <w:rFonts w:ascii="Arial" w:hAnsi="Arial" w:cs="Arial"/>
                <w:noProof/>
                <w:lang w:val="fr-FR"/>
              </w:rPr>
              <w:t>ESPÈCES SUPPLÉMENTAIRES SUSCEPTIBLES DE BÉNÉFICIER DE L'INSCRIPTION AUX ANNEXES DE LA CMS : ÉTUDE DE CAS SUR LES POISSONS MIGRATEURS DE L'AMAZONE</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_Toc214450273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32</w:t>
            </w:r>
            <w:r w:rsidRPr="001F575B">
              <w:rPr>
                <w:rFonts w:ascii="Arial" w:hAnsi="Arial" w:cs="Arial"/>
                <w:noProof/>
                <w:webHidden/>
              </w:rPr>
              <w:fldChar w:fldCharType="end"/>
            </w:r>
          </w:hyperlink>
        </w:p>
        <w:p w14:paraId="164AC25E" w14:textId="570BCCA5"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74" w:history="1">
            <w:r w:rsidRPr="001F575B">
              <w:rPr>
                <w:rStyle w:val="Hyperlink"/>
                <w:rFonts w:ascii="Arial" w:hAnsi="Arial" w:cs="Arial"/>
                <w:noProof/>
                <w:lang w:val="fr-FR"/>
              </w:rPr>
              <w:t xml:space="preserve">6.1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Introduction et approche</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_Toc214450274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32</w:t>
            </w:r>
            <w:r w:rsidRPr="001F575B">
              <w:rPr>
                <w:rFonts w:ascii="Arial" w:hAnsi="Arial" w:cs="Arial"/>
                <w:noProof/>
                <w:webHidden/>
              </w:rPr>
              <w:fldChar w:fldCharType="end"/>
            </w:r>
          </w:hyperlink>
        </w:p>
        <w:p w14:paraId="4D0F56A8" w14:textId="50429DA5"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75" w:history="1">
            <w:r w:rsidRPr="001F575B">
              <w:rPr>
                <w:rStyle w:val="Hyperlink"/>
                <w:rFonts w:ascii="Arial" w:hAnsi="Arial" w:cs="Arial"/>
                <w:noProof/>
                <w:lang w:val="fr-FR"/>
              </w:rPr>
              <w:t xml:space="preserve">6.2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Résumé des résultats et liste des candidats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_Toc214450275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32</w:t>
            </w:r>
            <w:r w:rsidRPr="001F575B">
              <w:rPr>
                <w:rFonts w:ascii="Arial" w:hAnsi="Arial" w:cs="Arial"/>
                <w:noProof/>
                <w:webHidden/>
              </w:rPr>
              <w:fldChar w:fldCharType="end"/>
            </w:r>
          </w:hyperlink>
        </w:p>
        <w:p w14:paraId="607C41F2" w14:textId="5EF68C0E"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76" w:history="1">
            <w:r w:rsidRPr="001F575B">
              <w:rPr>
                <w:rStyle w:val="Hyperlink"/>
                <w:rFonts w:ascii="Arial" w:hAnsi="Arial" w:cs="Arial"/>
                <w:noProof/>
                <w:lang w:val="fr-FR"/>
              </w:rPr>
              <w:t xml:space="preserve">6.3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Liste complète des poissons d'Amazonie candidats répondant aux critères d'inscription aux Annexes de la CMS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_Toc214450276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33</w:t>
            </w:r>
            <w:r w:rsidRPr="001F575B">
              <w:rPr>
                <w:rFonts w:ascii="Arial" w:hAnsi="Arial" w:cs="Arial"/>
                <w:noProof/>
                <w:webHidden/>
              </w:rPr>
              <w:fldChar w:fldCharType="end"/>
            </w:r>
          </w:hyperlink>
        </w:p>
        <w:p w14:paraId="19FAD5BB" w14:textId="30ADE971"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77" w:history="1">
            <w:r w:rsidRPr="001F575B">
              <w:rPr>
                <w:rStyle w:val="Hyperlink"/>
                <w:rFonts w:ascii="Arial" w:hAnsi="Arial" w:cs="Arial"/>
                <w:noProof/>
                <w:lang w:val="fr-FR"/>
              </w:rPr>
              <w:t xml:space="preserve">6.4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Remarques sur les taxons représentatifs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_Toc214450277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33</w:t>
            </w:r>
            <w:r w:rsidRPr="001F575B">
              <w:rPr>
                <w:rFonts w:ascii="Arial" w:hAnsi="Arial" w:cs="Arial"/>
                <w:noProof/>
                <w:webHidden/>
              </w:rPr>
              <w:fldChar w:fldCharType="end"/>
            </w:r>
          </w:hyperlink>
        </w:p>
        <w:p w14:paraId="46E6213A" w14:textId="559211E1" w:rsidR="00806104" w:rsidRPr="001F575B" w:rsidRDefault="00806104">
          <w:pPr>
            <w:pStyle w:val="TOC1"/>
            <w:tabs>
              <w:tab w:val="left" w:pos="480"/>
              <w:tab w:val="right" w:leader="dot" w:pos="9350"/>
            </w:tabs>
            <w:rPr>
              <w:rFonts w:ascii="Arial" w:hAnsi="Arial" w:cs="Arial"/>
              <w:b w:val="0"/>
              <w:bCs w:val="0"/>
              <w:caps w:val="0"/>
              <w:noProof/>
              <w:kern w:val="2"/>
              <w:sz w:val="24"/>
              <w:szCs w:val="24"/>
              <w:lang w:val="en-DE" w:eastAsia="en-DE"/>
              <w14:ligatures w14:val="standardContextual"/>
            </w:rPr>
          </w:pPr>
          <w:hyperlink w:anchor="_Toc214450278" w:history="1">
            <w:r w:rsidRPr="001F575B">
              <w:rPr>
                <w:rStyle w:val="Hyperlink"/>
                <w:rFonts w:ascii="Arial" w:hAnsi="Arial" w:cs="Arial"/>
                <w:noProof/>
                <w:lang w:val="fr-FR"/>
              </w:rPr>
              <w:t xml:space="preserve">7 </w:t>
            </w:r>
            <w:r w:rsidRPr="001F575B">
              <w:rPr>
                <w:rFonts w:ascii="Arial" w:hAnsi="Arial" w:cs="Arial"/>
                <w:b w:val="0"/>
                <w:bCs w:val="0"/>
                <w:caps w:val="0"/>
                <w:noProof/>
                <w:kern w:val="2"/>
                <w:sz w:val="24"/>
                <w:szCs w:val="24"/>
                <w:lang w:val="en-DE" w:eastAsia="en-DE"/>
                <w14:ligatures w14:val="standardContextual"/>
              </w:rPr>
              <w:tab/>
            </w:r>
            <w:r w:rsidRPr="001F575B">
              <w:rPr>
                <w:rStyle w:val="Hyperlink"/>
                <w:rFonts w:ascii="Arial" w:hAnsi="Arial" w:cs="Arial"/>
                <w:noProof/>
                <w:lang w:val="fr-FR"/>
              </w:rPr>
              <w:t>OPTIONS POUR LA GESTION DES POISSONS D'EAU DOUCE TRANSFRONTALIERS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_Toc214450278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33</w:t>
            </w:r>
            <w:r w:rsidRPr="001F575B">
              <w:rPr>
                <w:rFonts w:ascii="Arial" w:hAnsi="Arial" w:cs="Arial"/>
                <w:noProof/>
                <w:webHidden/>
              </w:rPr>
              <w:fldChar w:fldCharType="end"/>
            </w:r>
          </w:hyperlink>
        </w:p>
        <w:p w14:paraId="0595940D" w14:textId="19B346BC"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79" w:history="1">
            <w:r w:rsidRPr="001F575B">
              <w:rPr>
                <w:rStyle w:val="Hyperlink"/>
                <w:rFonts w:ascii="Arial" w:hAnsi="Arial" w:cs="Arial"/>
                <w:noProof/>
                <w:lang w:val="fr-FR"/>
              </w:rPr>
              <w:t xml:space="preserve">7.1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Coopération internationale</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_Toc214450279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33</w:t>
            </w:r>
            <w:r w:rsidRPr="001F575B">
              <w:rPr>
                <w:rFonts w:ascii="Arial" w:hAnsi="Arial" w:cs="Arial"/>
                <w:noProof/>
                <w:webHidden/>
              </w:rPr>
              <w:fldChar w:fldCharType="end"/>
            </w:r>
          </w:hyperlink>
        </w:p>
        <w:p w14:paraId="565D725D" w14:textId="4CE97276"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80" w:history="1">
            <w:r w:rsidRPr="001F575B">
              <w:rPr>
                <w:rStyle w:val="Hyperlink"/>
                <w:rFonts w:ascii="Arial" w:hAnsi="Arial" w:cs="Arial"/>
                <w:noProof/>
                <w:lang w:val="fr-FR"/>
              </w:rPr>
              <w:t xml:space="preserve">7.2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Voies complémentaires dans le cadre de la CMS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_Toc214450280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34</w:t>
            </w:r>
            <w:r w:rsidRPr="001F575B">
              <w:rPr>
                <w:rFonts w:ascii="Arial" w:hAnsi="Arial" w:cs="Arial"/>
                <w:noProof/>
                <w:webHidden/>
              </w:rPr>
              <w:fldChar w:fldCharType="end"/>
            </w:r>
          </w:hyperlink>
        </w:p>
        <w:p w14:paraId="59F94A1A" w14:textId="4B0E76F5"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81" w:history="1">
            <w:r w:rsidRPr="001F575B">
              <w:rPr>
                <w:rStyle w:val="Hyperlink"/>
                <w:rFonts w:ascii="Arial" w:hAnsi="Arial" w:cs="Arial"/>
                <w:noProof/>
                <w:lang w:val="fr-FR"/>
              </w:rPr>
              <w:t xml:space="preserve">7.3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Collaboration avec la Convention sur la diversité biologique (CDB)</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_Toc214450281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35</w:t>
            </w:r>
            <w:r w:rsidRPr="001F575B">
              <w:rPr>
                <w:rFonts w:ascii="Arial" w:hAnsi="Arial" w:cs="Arial"/>
                <w:noProof/>
                <w:webHidden/>
              </w:rPr>
              <w:fldChar w:fldCharType="end"/>
            </w:r>
          </w:hyperlink>
        </w:p>
        <w:p w14:paraId="4B9CAC00" w14:textId="7B46BA50"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82" w:history="1">
            <w:r w:rsidRPr="001F575B">
              <w:rPr>
                <w:rStyle w:val="Hyperlink"/>
                <w:rFonts w:ascii="Arial" w:hAnsi="Arial" w:cs="Arial"/>
                <w:noProof/>
                <w:lang w:val="fr-FR"/>
              </w:rPr>
              <w:t xml:space="preserve">7.4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Collaboration avec la CITES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_Toc214450282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35</w:t>
            </w:r>
            <w:r w:rsidRPr="001F575B">
              <w:rPr>
                <w:rFonts w:ascii="Arial" w:hAnsi="Arial" w:cs="Arial"/>
                <w:noProof/>
                <w:webHidden/>
              </w:rPr>
              <w:fldChar w:fldCharType="end"/>
            </w:r>
          </w:hyperlink>
        </w:p>
        <w:p w14:paraId="547F4CB2" w14:textId="6F1D4642"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83" w:history="1">
            <w:r w:rsidRPr="001F575B">
              <w:rPr>
                <w:rStyle w:val="Hyperlink"/>
                <w:rFonts w:ascii="Arial" w:hAnsi="Arial" w:cs="Arial"/>
                <w:noProof/>
                <w:lang w:val="fr-FR"/>
              </w:rPr>
              <w:t xml:space="preserve">7.5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Organisations régionales de bassins fluviaux</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_Toc214450283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35</w:t>
            </w:r>
            <w:r w:rsidRPr="001F575B">
              <w:rPr>
                <w:rFonts w:ascii="Arial" w:hAnsi="Arial" w:cs="Arial"/>
                <w:noProof/>
                <w:webHidden/>
              </w:rPr>
              <w:fldChar w:fldCharType="end"/>
            </w:r>
          </w:hyperlink>
        </w:p>
        <w:p w14:paraId="32AE3A8E" w14:textId="6DACD775" w:rsidR="00806104" w:rsidRPr="001F575B" w:rsidRDefault="00806104">
          <w:pPr>
            <w:pStyle w:val="TOC2"/>
            <w:tabs>
              <w:tab w:val="right" w:leader="dot" w:pos="9350"/>
            </w:tabs>
            <w:rPr>
              <w:rFonts w:ascii="Arial" w:hAnsi="Arial" w:cs="Arial"/>
              <w:smallCaps w:val="0"/>
              <w:noProof/>
              <w:kern w:val="2"/>
              <w:sz w:val="24"/>
              <w:szCs w:val="24"/>
              <w:lang w:val="en-DE" w:eastAsia="en-DE"/>
              <w14:ligatures w14:val="standardContextual"/>
            </w:rPr>
          </w:pPr>
          <w:hyperlink w:anchor="_Toc214450284" w:history="1">
            <w:r w:rsidRPr="001F575B">
              <w:rPr>
                <w:rStyle w:val="Hyperlink"/>
                <w:rFonts w:ascii="Arial" w:hAnsi="Arial" w:cs="Arial"/>
                <w:noProof/>
                <w:lang w:val="fr-FR"/>
              </w:rPr>
              <w:t>7.6 Le programme Liste rouge de l'UICN et les réseaux d'experts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_Toc214450284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35</w:t>
            </w:r>
            <w:r w:rsidRPr="001F575B">
              <w:rPr>
                <w:rFonts w:ascii="Arial" w:hAnsi="Arial" w:cs="Arial"/>
                <w:noProof/>
                <w:webHidden/>
              </w:rPr>
              <w:fldChar w:fldCharType="end"/>
            </w:r>
          </w:hyperlink>
        </w:p>
        <w:p w14:paraId="61093705" w14:textId="1B6F64A4"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85" w:history="1">
            <w:r w:rsidRPr="001F575B">
              <w:rPr>
                <w:rStyle w:val="Hyperlink"/>
                <w:rFonts w:ascii="Arial" w:hAnsi="Arial" w:cs="Arial"/>
                <w:noProof/>
                <w:lang w:val="fr-FR"/>
              </w:rPr>
              <w:t xml:space="preserve">7.7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Le Code de conduite de la FAO pour une pêche responsable</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_Toc214450285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36</w:t>
            </w:r>
            <w:r w:rsidRPr="001F575B">
              <w:rPr>
                <w:rFonts w:ascii="Arial" w:hAnsi="Arial" w:cs="Arial"/>
                <w:noProof/>
                <w:webHidden/>
              </w:rPr>
              <w:fldChar w:fldCharType="end"/>
            </w:r>
          </w:hyperlink>
        </w:p>
        <w:p w14:paraId="3990A810" w14:textId="673BADEA"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86" w:history="1">
            <w:r w:rsidRPr="001F575B">
              <w:rPr>
                <w:rStyle w:val="Hyperlink"/>
                <w:rFonts w:ascii="Arial" w:hAnsi="Arial" w:cs="Arial"/>
                <w:noProof/>
                <w:lang w:val="fr-FR"/>
              </w:rPr>
              <w:t xml:space="preserve">7.8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Exemple d'application</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_Toc214450286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36</w:t>
            </w:r>
            <w:r w:rsidRPr="001F575B">
              <w:rPr>
                <w:rFonts w:ascii="Arial" w:hAnsi="Arial" w:cs="Arial"/>
                <w:noProof/>
                <w:webHidden/>
              </w:rPr>
              <w:fldChar w:fldCharType="end"/>
            </w:r>
          </w:hyperlink>
        </w:p>
        <w:p w14:paraId="7D8C4134" w14:textId="4B2F679C" w:rsidR="00806104" w:rsidRPr="001F575B" w:rsidRDefault="00806104">
          <w:pPr>
            <w:pStyle w:val="TOC2"/>
            <w:tabs>
              <w:tab w:val="left" w:pos="960"/>
              <w:tab w:val="right" w:leader="dot" w:pos="9350"/>
            </w:tabs>
            <w:rPr>
              <w:rFonts w:ascii="Arial" w:hAnsi="Arial" w:cs="Arial"/>
              <w:smallCaps w:val="0"/>
              <w:noProof/>
              <w:kern w:val="2"/>
              <w:sz w:val="24"/>
              <w:szCs w:val="24"/>
              <w:lang w:val="en-DE" w:eastAsia="en-DE"/>
              <w14:ligatures w14:val="standardContextual"/>
            </w:rPr>
          </w:pPr>
          <w:hyperlink w:anchor="_Toc214450287" w:history="1">
            <w:r w:rsidRPr="001F575B">
              <w:rPr>
                <w:rStyle w:val="Hyperlink"/>
                <w:rFonts w:ascii="Arial" w:hAnsi="Arial" w:cs="Arial"/>
                <w:noProof/>
                <w:lang w:val="fr-FR"/>
              </w:rPr>
              <w:t xml:space="preserve">7.9 </w:t>
            </w:r>
            <w:r w:rsidRPr="001F575B">
              <w:rPr>
                <w:rFonts w:ascii="Arial" w:hAnsi="Arial" w:cs="Arial"/>
                <w:smallCaps w:val="0"/>
                <w:noProof/>
                <w:kern w:val="2"/>
                <w:sz w:val="24"/>
                <w:szCs w:val="24"/>
                <w:lang w:val="en-DE" w:eastAsia="en-DE"/>
                <w14:ligatures w14:val="standardContextual"/>
              </w:rPr>
              <w:tab/>
            </w:r>
            <w:r w:rsidRPr="001F575B">
              <w:rPr>
                <w:rStyle w:val="Hyperlink"/>
                <w:rFonts w:ascii="Arial" w:hAnsi="Arial" w:cs="Arial"/>
                <w:noProof/>
                <w:lang w:val="fr-FR"/>
              </w:rPr>
              <w:t>Mesures fondamentales renforçant la gestion des poissons migrateurs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_Toc214450287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36</w:t>
            </w:r>
            <w:r w:rsidRPr="001F575B">
              <w:rPr>
                <w:rFonts w:ascii="Arial" w:hAnsi="Arial" w:cs="Arial"/>
                <w:noProof/>
                <w:webHidden/>
              </w:rPr>
              <w:fldChar w:fldCharType="end"/>
            </w:r>
          </w:hyperlink>
        </w:p>
        <w:p w14:paraId="08AE6E77" w14:textId="3B1F421F" w:rsidR="00806104" w:rsidRPr="001F575B" w:rsidRDefault="00806104">
          <w:pPr>
            <w:pStyle w:val="TOC1"/>
            <w:tabs>
              <w:tab w:val="left" w:pos="480"/>
              <w:tab w:val="right" w:leader="dot" w:pos="9350"/>
            </w:tabs>
            <w:rPr>
              <w:rFonts w:ascii="Arial" w:hAnsi="Arial" w:cs="Arial"/>
              <w:b w:val="0"/>
              <w:bCs w:val="0"/>
              <w:caps w:val="0"/>
              <w:noProof/>
              <w:kern w:val="2"/>
              <w:sz w:val="24"/>
              <w:szCs w:val="24"/>
              <w:lang w:val="en-DE" w:eastAsia="en-DE"/>
              <w14:ligatures w14:val="standardContextual"/>
            </w:rPr>
          </w:pPr>
          <w:hyperlink w:anchor="_Toc214450288" w:history="1">
            <w:r w:rsidRPr="001F575B">
              <w:rPr>
                <w:rStyle w:val="Hyperlink"/>
                <w:rFonts w:ascii="Arial" w:hAnsi="Arial" w:cs="Arial"/>
                <w:noProof/>
              </w:rPr>
              <w:t xml:space="preserve">8 </w:t>
            </w:r>
            <w:r w:rsidRPr="001F575B">
              <w:rPr>
                <w:rFonts w:ascii="Arial" w:hAnsi="Arial" w:cs="Arial"/>
                <w:b w:val="0"/>
                <w:bCs w:val="0"/>
                <w:caps w:val="0"/>
                <w:noProof/>
                <w:kern w:val="2"/>
                <w:sz w:val="24"/>
                <w:szCs w:val="24"/>
                <w:lang w:val="en-DE" w:eastAsia="en-DE"/>
                <w14:ligatures w14:val="standardContextual"/>
              </w:rPr>
              <w:tab/>
            </w:r>
            <w:r w:rsidRPr="001F575B">
              <w:rPr>
                <w:rStyle w:val="Hyperlink"/>
                <w:rFonts w:ascii="Arial" w:hAnsi="Arial" w:cs="Arial"/>
                <w:noProof/>
                <w:lang w:val="fr-FR"/>
              </w:rPr>
              <w:t>RECOMMANDATIONS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_Toc214450288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37</w:t>
            </w:r>
            <w:r w:rsidRPr="001F575B">
              <w:rPr>
                <w:rFonts w:ascii="Arial" w:hAnsi="Arial" w:cs="Arial"/>
                <w:noProof/>
                <w:webHidden/>
              </w:rPr>
              <w:fldChar w:fldCharType="end"/>
            </w:r>
          </w:hyperlink>
        </w:p>
        <w:p w14:paraId="26D08766" w14:textId="446E446E" w:rsidR="00806104" w:rsidRPr="001F575B" w:rsidRDefault="00806104">
          <w:pPr>
            <w:pStyle w:val="TOC2"/>
            <w:tabs>
              <w:tab w:val="right" w:leader="dot" w:pos="9350"/>
            </w:tabs>
            <w:rPr>
              <w:rFonts w:ascii="Arial" w:hAnsi="Arial" w:cs="Arial"/>
              <w:smallCaps w:val="0"/>
              <w:noProof/>
              <w:kern w:val="2"/>
              <w:sz w:val="24"/>
              <w:szCs w:val="24"/>
              <w:lang w:val="en-DE" w:eastAsia="en-DE"/>
              <w14:ligatures w14:val="standardContextual"/>
            </w:rPr>
          </w:pPr>
          <w:hyperlink w:anchor="_Toc214450289" w:history="1">
            <w:r w:rsidRPr="001F575B">
              <w:rPr>
                <w:rStyle w:val="Hyperlink"/>
                <w:rFonts w:ascii="Arial" w:eastAsia="Times New Roman" w:hAnsi="Arial" w:cs="Arial"/>
                <w:b/>
                <w:bCs/>
                <w:noProof/>
                <w:lang w:val="fr-FR"/>
              </w:rPr>
              <w:t>1. Listes et instruments de coopération</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_Toc214450289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37</w:t>
            </w:r>
            <w:r w:rsidRPr="001F575B">
              <w:rPr>
                <w:rFonts w:ascii="Arial" w:hAnsi="Arial" w:cs="Arial"/>
                <w:noProof/>
                <w:webHidden/>
              </w:rPr>
              <w:fldChar w:fldCharType="end"/>
            </w:r>
          </w:hyperlink>
        </w:p>
        <w:p w14:paraId="28E7286D" w14:textId="2F4702FD" w:rsidR="00806104" w:rsidRPr="001F575B" w:rsidRDefault="00806104">
          <w:pPr>
            <w:pStyle w:val="TOC2"/>
            <w:tabs>
              <w:tab w:val="right" w:leader="dot" w:pos="9350"/>
            </w:tabs>
            <w:rPr>
              <w:rFonts w:ascii="Arial" w:hAnsi="Arial" w:cs="Arial"/>
              <w:smallCaps w:val="0"/>
              <w:noProof/>
              <w:kern w:val="2"/>
              <w:sz w:val="24"/>
              <w:szCs w:val="24"/>
              <w:lang w:val="en-DE" w:eastAsia="en-DE"/>
              <w14:ligatures w14:val="standardContextual"/>
            </w:rPr>
          </w:pPr>
          <w:hyperlink w:anchor="_Toc214450290" w:history="1">
            <w:r w:rsidRPr="001F575B">
              <w:rPr>
                <w:rStyle w:val="Hyperlink"/>
                <w:rFonts w:ascii="Arial" w:eastAsia="Times New Roman" w:hAnsi="Arial" w:cs="Arial"/>
                <w:b/>
                <w:bCs/>
                <w:noProof/>
                <w:lang w:val="fr-FR"/>
              </w:rPr>
              <w:t>2. Gouvernance technique et soutien d’experts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_Toc214450290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37</w:t>
            </w:r>
            <w:r w:rsidRPr="001F575B">
              <w:rPr>
                <w:rFonts w:ascii="Arial" w:hAnsi="Arial" w:cs="Arial"/>
                <w:noProof/>
                <w:webHidden/>
              </w:rPr>
              <w:fldChar w:fldCharType="end"/>
            </w:r>
          </w:hyperlink>
        </w:p>
        <w:p w14:paraId="4706A54E" w14:textId="0E2607AB" w:rsidR="00806104" w:rsidRPr="001F575B" w:rsidRDefault="00806104">
          <w:pPr>
            <w:pStyle w:val="TOC2"/>
            <w:tabs>
              <w:tab w:val="right" w:leader="dot" w:pos="9350"/>
            </w:tabs>
            <w:rPr>
              <w:rFonts w:ascii="Arial" w:hAnsi="Arial" w:cs="Arial"/>
              <w:smallCaps w:val="0"/>
              <w:noProof/>
              <w:kern w:val="2"/>
              <w:sz w:val="24"/>
              <w:szCs w:val="24"/>
              <w:lang w:val="en-DE" w:eastAsia="en-DE"/>
              <w14:ligatures w14:val="standardContextual"/>
            </w:rPr>
          </w:pPr>
          <w:hyperlink w:anchor="_Toc214450291" w:history="1">
            <w:r w:rsidRPr="001F575B">
              <w:rPr>
                <w:rStyle w:val="Hyperlink"/>
                <w:rFonts w:ascii="Arial" w:eastAsia="Times New Roman" w:hAnsi="Arial" w:cs="Arial"/>
                <w:b/>
                <w:bCs/>
                <w:noProof/>
                <w:lang w:val="fr-FR"/>
              </w:rPr>
              <w:t>3. Preuves et priorités d’évaluation</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_Toc214450291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37</w:t>
            </w:r>
            <w:r w:rsidRPr="001F575B">
              <w:rPr>
                <w:rFonts w:ascii="Arial" w:hAnsi="Arial" w:cs="Arial"/>
                <w:noProof/>
                <w:webHidden/>
              </w:rPr>
              <w:fldChar w:fldCharType="end"/>
            </w:r>
          </w:hyperlink>
        </w:p>
        <w:p w14:paraId="650074A7" w14:textId="106E2500" w:rsidR="00806104" w:rsidRPr="001F575B" w:rsidRDefault="00806104">
          <w:pPr>
            <w:pStyle w:val="TOC2"/>
            <w:tabs>
              <w:tab w:val="right" w:leader="dot" w:pos="9350"/>
            </w:tabs>
            <w:rPr>
              <w:rFonts w:ascii="Arial" w:hAnsi="Arial" w:cs="Arial"/>
              <w:smallCaps w:val="0"/>
              <w:noProof/>
              <w:kern w:val="2"/>
              <w:sz w:val="24"/>
              <w:szCs w:val="24"/>
              <w:lang w:val="en-DE" w:eastAsia="en-DE"/>
              <w14:ligatures w14:val="standardContextual"/>
            </w:rPr>
          </w:pPr>
          <w:hyperlink w:anchor="_Toc214450292" w:history="1">
            <w:r w:rsidRPr="001F575B">
              <w:rPr>
                <w:rStyle w:val="Hyperlink"/>
                <w:rFonts w:ascii="Arial" w:eastAsia="Times New Roman" w:hAnsi="Arial" w:cs="Arial"/>
                <w:b/>
                <w:bCs/>
                <w:noProof/>
                <w:lang w:val="fr-FR"/>
              </w:rPr>
              <w:t>4. Priorités régionales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_Toc214450292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38</w:t>
            </w:r>
            <w:r w:rsidRPr="001F575B">
              <w:rPr>
                <w:rFonts w:ascii="Arial" w:hAnsi="Arial" w:cs="Arial"/>
                <w:noProof/>
                <w:webHidden/>
              </w:rPr>
              <w:fldChar w:fldCharType="end"/>
            </w:r>
          </w:hyperlink>
        </w:p>
        <w:p w14:paraId="5D882A45" w14:textId="22CCBCFF" w:rsidR="00806104" w:rsidRPr="001F575B" w:rsidRDefault="00806104">
          <w:pPr>
            <w:pStyle w:val="TOC2"/>
            <w:tabs>
              <w:tab w:val="right" w:leader="dot" w:pos="9350"/>
            </w:tabs>
            <w:rPr>
              <w:rFonts w:ascii="Arial" w:hAnsi="Arial" w:cs="Arial"/>
              <w:smallCaps w:val="0"/>
              <w:noProof/>
              <w:kern w:val="2"/>
              <w:sz w:val="24"/>
              <w:szCs w:val="24"/>
              <w:lang w:val="en-DE" w:eastAsia="en-DE"/>
              <w14:ligatures w14:val="standardContextual"/>
            </w:rPr>
          </w:pPr>
          <w:hyperlink w:anchor="_Toc214450293" w:history="1">
            <w:r w:rsidRPr="001F575B">
              <w:rPr>
                <w:rStyle w:val="Hyperlink"/>
                <w:rFonts w:ascii="Arial" w:eastAsia="Times New Roman" w:hAnsi="Arial" w:cs="Arial"/>
                <w:b/>
                <w:bCs/>
                <w:noProof/>
                <w:lang w:val="fr-FR"/>
              </w:rPr>
              <w:t>5. Intégration des poissons d’eau douce dans les thématiques de la CMS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_Toc214450293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38</w:t>
            </w:r>
            <w:r w:rsidRPr="001F575B">
              <w:rPr>
                <w:rFonts w:ascii="Arial" w:hAnsi="Arial" w:cs="Arial"/>
                <w:noProof/>
                <w:webHidden/>
              </w:rPr>
              <w:fldChar w:fldCharType="end"/>
            </w:r>
          </w:hyperlink>
        </w:p>
        <w:p w14:paraId="4BCA7FB8" w14:textId="4B72AA34" w:rsidR="00806104" w:rsidRPr="001F575B" w:rsidRDefault="00806104">
          <w:pPr>
            <w:pStyle w:val="TOC2"/>
            <w:tabs>
              <w:tab w:val="right" w:leader="dot" w:pos="9350"/>
            </w:tabs>
            <w:rPr>
              <w:rFonts w:ascii="Arial" w:hAnsi="Arial" w:cs="Arial"/>
              <w:smallCaps w:val="0"/>
              <w:noProof/>
              <w:kern w:val="2"/>
              <w:sz w:val="24"/>
              <w:szCs w:val="24"/>
              <w:lang w:val="en-DE" w:eastAsia="en-DE"/>
              <w14:ligatures w14:val="standardContextual"/>
            </w:rPr>
          </w:pPr>
          <w:hyperlink w:anchor="_Toc214450294" w:history="1">
            <w:r w:rsidRPr="001F575B">
              <w:rPr>
                <w:rStyle w:val="Hyperlink"/>
                <w:rFonts w:ascii="Arial" w:eastAsia="Times New Roman" w:hAnsi="Arial" w:cs="Arial"/>
                <w:b/>
                <w:bCs/>
                <w:noProof/>
                <w:lang w:val="fr-FR"/>
              </w:rPr>
              <w:t>6. Coordination avec d’autres conventions et partenaires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_Toc214450294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38</w:t>
            </w:r>
            <w:r w:rsidRPr="001F575B">
              <w:rPr>
                <w:rFonts w:ascii="Arial" w:hAnsi="Arial" w:cs="Arial"/>
                <w:noProof/>
                <w:webHidden/>
              </w:rPr>
              <w:fldChar w:fldCharType="end"/>
            </w:r>
          </w:hyperlink>
        </w:p>
        <w:p w14:paraId="329289D7" w14:textId="3CEBA135" w:rsidR="00806104" w:rsidRPr="001F575B" w:rsidRDefault="00806104">
          <w:pPr>
            <w:pStyle w:val="TOC1"/>
            <w:tabs>
              <w:tab w:val="left" w:pos="480"/>
              <w:tab w:val="right" w:leader="dot" w:pos="9350"/>
            </w:tabs>
            <w:rPr>
              <w:rFonts w:ascii="Arial" w:hAnsi="Arial" w:cs="Arial"/>
              <w:b w:val="0"/>
              <w:bCs w:val="0"/>
              <w:caps w:val="0"/>
              <w:noProof/>
              <w:kern w:val="2"/>
              <w:sz w:val="24"/>
              <w:szCs w:val="24"/>
              <w:lang w:val="en-DE" w:eastAsia="en-DE"/>
              <w14:ligatures w14:val="standardContextual"/>
            </w:rPr>
          </w:pPr>
          <w:hyperlink w:anchor="_Toc214450295" w:history="1">
            <w:r w:rsidRPr="001F575B">
              <w:rPr>
                <w:rStyle w:val="Hyperlink"/>
                <w:rFonts w:ascii="Arial" w:hAnsi="Arial" w:cs="Arial"/>
                <w:noProof/>
                <w:lang w:val="fr-FR"/>
              </w:rPr>
              <w:t xml:space="preserve">9 </w:t>
            </w:r>
            <w:r w:rsidRPr="001F575B">
              <w:rPr>
                <w:rFonts w:ascii="Arial" w:hAnsi="Arial" w:cs="Arial"/>
                <w:b w:val="0"/>
                <w:bCs w:val="0"/>
                <w:caps w:val="0"/>
                <w:noProof/>
                <w:kern w:val="2"/>
                <w:sz w:val="24"/>
                <w:szCs w:val="24"/>
                <w:lang w:val="en-DE" w:eastAsia="en-DE"/>
                <w14:ligatures w14:val="standardContextual"/>
              </w:rPr>
              <w:tab/>
            </w:r>
            <w:r w:rsidRPr="001F575B">
              <w:rPr>
                <w:rStyle w:val="Hyperlink"/>
                <w:rFonts w:ascii="Arial" w:hAnsi="Arial" w:cs="Arial"/>
                <w:noProof/>
                <w:lang w:val="fr-FR"/>
              </w:rPr>
              <w:t>CONCLUSIONS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_Toc214450295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38</w:t>
            </w:r>
            <w:r w:rsidRPr="001F575B">
              <w:rPr>
                <w:rFonts w:ascii="Arial" w:hAnsi="Arial" w:cs="Arial"/>
                <w:noProof/>
                <w:webHidden/>
              </w:rPr>
              <w:fldChar w:fldCharType="end"/>
            </w:r>
          </w:hyperlink>
        </w:p>
        <w:p w14:paraId="3ABEC856" w14:textId="738CFC25" w:rsidR="00806104" w:rsidRPr="001F575B" w:rsidRDefault="00806104">
          <w:pPr>
            <w:pStyle w:val="TOC1"/>
            <w:tabs>
              <w:tab w:val="right" w:leader="dot" w:pos="9350"/>
            </w:tabs>
            <w:rPr>
              <w:rFonts w:ascii="Arial" w:hAnsi="Arial" w:cs="Arial"/>
              <w:b w:val="0"/>
              <w:bCs w:val="0"/>
              <w:caps w:val="0"/>
              <w:noProof/>
              <w:kern w:val="2"/>
              <w:sz w:val="24"/>
              <w:szCs w:val="24"/>
              <w:lang w:val="en-DE" w:eastAsia="en-DE"/>
              <w14:ligatures w14:val="standardContextual"/>
            </w:rPr>
          </w:pPr>
          <w:hyperlink w:anchor="_Toc214450296" w:history="1">
            <w:r w:rsidRPr="001F575B">
              <w:rPr>
                <w:rStyle w:val="Hyperlink"/>
                <w:rFonts w:ascii="Arial" w:hAnsi="Arial" w:cs="Arial"/>
                <w:noProof/>
                <w:lang w:val="en-GB"/>
              </w:rPr>
              <w:t>10 RÉFÉRENCES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_Toc214450296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40</w:t>
            </w:r>
            <w:r w:rsidRPr="001F575B">
              <w:rPr>
                <w:rFonts w:ascii="Arial" w:hAnsi="Arial" w:cs="Arial"/>
                <w:noProof/>
                <w:webHidden/>
              </w:rPr>
              <w:fldChar w:fldCharType="end"/>
            </w:r>
          </w:hyperlink>
        </w:p>
        <w:p w14:paraId="44184CCE" w14:textId="02734706" w:rsidR="00806104" w:rsidRPr="001F575B" w:rsidRDefault="00806104">
          <w:pPr>
            <w:pStyle w:val="TOC1"/>
            <w:tabs>
              <w:tab w:val="right" w:leader="dot" w:pos="9350"/>
            </w:tabs>
            <w:rPr>
              <w:rFonts w:ascii="Arial" w:hAnsi="Arial" w:cs="Arial"/>
              <w:b w:val="0"/>
              <w:bCs w:val="0"/>
              <w:caps w:val="0"/>
              <w:noProof/>
              <w:kern w:val="2"/>
              <w:sz w:val="24"/>
              <w:szCs w:val="24"/>
              <w:lang w:val="en-DE" w:eastAsia="en-DE"/>
              <w14:ligatures w14:val="standardContextual"/>
            </w:rPr>
          </w:pPr>
          <w:hyperlink w:anchor="_Toc214450297" w:history="1">
            <w:r w:rsidRPr="001F575B">
              <w:rPr>
                <w:rStyle w:val="Hyperlink"/>
                <w:rFonts w:ascii="Arial" w:hAnsi="Arial" w:cs="Arial"/>
                <w:noProof/>
                <w:lang w:val="fr-FR"/>
              </w:rPr>
              <w:t xml:space="preserve">ANNEXE A. </w:t>
            </w:r>
            <w:r w:rsidRPr="001F575B">
              <w:rPr>
                <w:rStyle w:val="Hyperlink"/>
                <w:rFonts w:ascii="Arial" w:eastAsia="Times New Roman" w:hAnsi="Arial" w:cs="Arial"/>
                <w:iCs/>
                <w:noProof/>
                <w:lang w:val="fr-FR"/>
              </w:rPr>
              <w:t>POISSONS D'EAU DOUCE MIGRATEURS REMPLISSANT LES CRITÈRES D'INSCRIPTION À LA CMS</w:t>
            </w:r>
            <w:r w:rsidRPr="001F575B">
              <w:rPr>
                <w:rFonts w:ascii="Arial" w:hAnsi="Arial" w:cs="Arial"/>
                <w:noProof/>
                <w:webHidden/>
              </w:rPr>
              <w:tab/>
            </w:r>
            <w:r w:rsidRPr="001F575B">
              <w:rPr>
                <w:rFonts w:ascii="Arial" w:hAnsi="Arial" w:cs="Arial"/>
                <w:noProof/>
                <w:webHidden/>
              </w:rPr>
              <w:fldChar w:fldCharType="begin"/>
            </w:r>
            <w:r w:rsidRPr="001F575B">
              <w:rPr>
                <w:rFonts w:ascii="Arial" w:hAnsi="Arial" w:cs="Arial"/>
                <w:noProof/>
                <w:webHidden/>
              </w:rPr>
              <w:instrText xml:space="preserve"> PAGEREF _Toc214450297 \h </w:instrText>
            </w:r>
            <w:r w:rsidRPr="001F575B">
              <w:rPr>
                <w:rFonts w:ascii="Arial" w:hAnsi="Arial" w:cs="Arial"/>
                <w:noProof/>
                <w:webHidden/>
              </w:rPr>
            </w:r>
            <w:r w:rsidRPr="001F575B">
              <w:rPr>
                <w:rFonts w:ascii="Arial" w:hAnsi="Arial" w:cs="Arial"/>
                <w:noProof/>
                <w:webHidden/>
              </w:rPr>
              <w:fldChar w:fldCharType="separate"/>
            </w:r>
            <w:r w:rsidR="0003398A">
              <w:rPr>
                <w:rFonts w:ascii="Arial" w:hAnsi="Arial" w:cs="Arial"/>
                <w:noProof/>
                <w:webHidden/>
              </w:rPr>
              <w:t>45</w:t>
            </w:r>
            <w:r w:rsidRPr="001F575B">
              <w:rPr>
                <w:rFonts w:ascii="Arial" w:hAnsi="Arial" w:cs="Arial"/>
                <w:noProof/>
                <w:webHidden/>
              </w:rPr>
              <w:fldChar w:fldCharType="end"/>
            </w:r>
          </w:hyperlink>
        </w:p>
        <w:p w14:paraId="0A7FE42B" w14:textId="73475233" w:rsidR="009672C2" w:rsidRPr="00036694" w:rsidRDefault="009672C2">
          <w:r w:rsidRPr="001F575B">
            <w:rPr>
              <w:rFonts w:ascii="Arial" w:hAnsi="Arial" w:cs="Arial"/>
              <w:b/>
              <w:bCs/>
              <w:lang w:val="fr-FR"/>
            </w:rPr>
            <w:fldChar w:fldCharType="end"/>
          </w:r>
        </w:p>
      </w:sdtContent>
    </w:sdt>
    <w:p w14:paraId="67610096" w14:textId="77777777" w:rsidR="009672C2" w:rsidRPr="00036694" w:rsidRDefault="009672C2">
      <w:pPr>
        <w:pStyle w:val="NoSpacing"/>
        <w:jc w:val="both"/>
        <w:rPr>
          <w:rFonts w:ascii="Arial" w:hAnsi="Arial" w:cs="Arial"/>
          <w:color w:val="000000" w:themeColor="text1"/>
          <w:sz w:val="22"/>
          <w:lang w:val="fr-FR"/>
        </w:rPr>
      </w:pPr>
    </w:p>
    <w:p w14:paraId="0F6078D3" w14:textId="77777777" w:rsidR="009672C2" w:rsidRPr="00036694" w:rsidRDefault="002A409C">
      <w:pPr>
        <w:rPr>
          <w:rFonts w:ascii="Arial" w:hAnsi="Arial" w:cs="Arial"/>
          <w:color w:val="000000" w:themeColor="text1"/>
          <w:sz w:val="22"/>
          <w:lang w:val="fr-FR"/>
        </w:rPr>
      </w:pPr>
      <w:r w:rsidRPr="00036694">
        <w:rPr>
          <w:rFonts w:ascii="Arial" w:hAnsi="Arial" w:cs="Arial"/>
          <w:color w:val="000000" w:themeColor="text1"/>
          <w:sz w:val="22"/>
          <w:lang w:val="fr-FR"/>
        </w:rPr>
        <w:br w:type="page"/>
      </w:r>
    </w:p>
    <w:p w14:paraId="0307F393" w14:textId="696D0D8A" w:rsidR="009672C2" w:rsidRPr="00F515C9" w:rsidRDefault="00F515C9" w:rsidP="00D97AA1">
      <w:pPr>
        <w:pStyle w:val="Heading1"/>
        <w:spacing w:before="0" w:line="240" w:lineRule="auto"/>
        <w:rPr>
          <w:rFonts w:ascii="Arial" w:hAnsi="Arial" w:cs="Arial"/>
          <w:sz w:val="22"/>
          <w:szCs w:val="22"/>
        </w:rPr>
      </w:pPr>
      <w:bookmarkStart w:id="0" w:name="_Toc214450233"/>
      <w:r w:rsidRPr="00F515C9">
        <w:rPr>
          <w:rFonts w:ascii="Arial" w:hAnsi="Arial" w:cs="Arial"/>
          <w:sz w:val="22"/>
          <w:szCs w:val="22"/>
        </w:rPr>
        <w:lastRenderedPageBreak/>
        <w:t>RÉSUMÉ ANALYTIQUE</w:t>
      </w:r>
      <w:bookmarkEnd w:id="0"/>
    </w:p>
    <w:p w14:paraId="0D69EA95" w14:textId="77777777" w:rsidR="002F17EA" w:rsidRPr="002F17EA" w:rsidRDefault="002F17EA" w:rsidP="00D97AA1">
      <w:pPr>
        <w:spacing w:after="0" w:line="240" w:lineRule="auto"/>
        <w:rPr>
          <w:highlight w:val="yellow"/>
        </w:rPr>
      </w:pPr>
    </w:p>
    <w:p w14:paraId="44F51D6B" w14:textId="77777777" w:rsidR="00CB685F" w:rsidRPr="00CB685F" w:rsidRDefault="0032417F" w:rsidP="00CB685F">
      <w:pPr>
        <w:numPr>
          <w:ilvl w:val="0"/>
          <w:numId w:val="14"/>
        </w:numPr>
        <w:tabs>
          <w:tab w:val="clear" w:pos="720"/>
        </w:tabs>
        <w:spacing w:after="0" w:line="240" w:lineRule="auto"/>
        <w:ind w:left="567" w:hanging="567"/>
        <w:jc w:val="both"/>
        <w:rPr>
          <w:rFonts w:ascii="Arial" w:eastAsia="Calibri" w:hAnsi="Arial" w:cs="Arial"/>
          <w:color w:val="000000"/>
          <w:sz w:val="22"/>
          <w:lang w:val="fr-FR"/>
        </w:rPr>
      </w:pPr>
      <w:r w:rsidRPr="00CB685F">
        <w:rPr>
          <w:rFonts w:ascii="Arial" w:hAnsi="Arial" w:cs="Arial"/>
          <w:sz w:val="22"/>
          <w:lang w:val="fr-FR"/>
        </w:rPr>
        <w:t>Les poissons d’eau douce comptent parmi les vertébrés les plus menacés, et de nombreuses espèces migratrices connaissent aujourd’hui un déclin en raison de la perte de connectivité, de la modification des régimes hydrologiques, de la dégradation des habitats, de l’exploitation, de la pollution et de pressions combinées à l’échelle transfrontalière. Consciente de ces tendances et de leur caractère transfrontalier, la Convention sur la conservation des espèces migratrices appartenant à la faune sauvage (CMS) a cherché à promouvoir des actions plus fortes et coordonnées en faveur des poissons d’eau douce qui se déplacent entre les juridictions nationales</w:t>
      </w:r>
      <w:r w:rsidR="002A409C" w:rsidRPr="00CB685F">
        <w:rPr>
          <w:rFonts w:ascii="Arial" w:eastAsia="Calibri" w:hAnsi="Arial" w:cs="Arial"/>
          <w:color w:val="000000"/>
          <w:sz w:val="22"/>
          <w:lang w:val="fr-FR"/>
        </w:rPr>
        <w:t xml:space="preserve">. </w:t>
      </w:r>
    </w:p>
    <w:p w14:paraId="7A9F0757" w14:textId="77777777" w:rsidR="00CB685F" w:rsidRPr="00CB685F" w:rsidRDefault="00CB685F" w:rsidP="00CB685F">
      <w:pPr>
        <w:spacing w:after="0" w:line="240" w:lineRule="auto"/>
        <w:ind w:left="567"/>
        <w:jc w:val="both"/>
        <w:rPr>
          <w:rFonts w:ascii="Arial" w:eastAsia="Calibri" w:hAnsi="Arial" w:cs="Arial"/>
          <w:color w:val="000000"/>
          <w:sz w:val="22"/>
          <w:lang w:val="fr-FR"/>
        </w:rPr>
      </w:pPr>
    </w:p>
    <w:p w14:paraId="7C3A336D" w14:textId="62968EE7" w:rsidR="009672C2" w:rsidRPr="006B3346" w:rsidRDefault="00CB685F" w:rsidP="00CB685F">
      <w:pPr>
        <w:numPr>
          <w:ilvl w:val="0"/>
          <w:numId w:val="14"/>
        </w:numPr>
        <w:tabs>
          <w:tab w:val="clear" w:pos="720"/>
        </w:tabs>
        <w:spacing w:after="0" w:line="240" w:lineRule="auto"/>
        <w:ind w:left="567" w:hanging="567"/>
        <w:jc w:val="both"/>
        <w:rPr>
          <w:rFonts w:ascii="Arial" w:eastAsia="Calibri" w:hAnsi="Arial" w:cs="Arial"/>
          <w:color w:val="000000"/>
          <w:sz w:val="22"/>
          <w:lang w:val="fr-FR"/>
        </w:rPr>
      </w:pPr>
      <w:r w:rsidRPr="00CB685F">
        <w:rPr>
          <w:rFonts w:ascii="Arial" w:hAnsi="Arial" w:cs="Arial"/>
          <w:sz w:val="22"/>
          <w:lang w:val="fr-FR"/>
        </w:rPr>
        <w:t>Le document s’appuie sur l’évaluation initiale des poissons d’eau douce migrateurs publiée par la CMS en 2011 (</w:t>
      </w:r>
      <w:hyperlink r:id="rId15" w:history="1">
        <w:r w:rsidRPr="00CB685F">
          <w:rPr>
            <w:rStyle w:val="Hyperlink"/>
            <w:rFonts w:ascii="Arial" w:hAnsi="Arial" w:cs="Arial"/>
            <w:sz w:val="22"/>
            <w:lang w:val="fr-FR"/>
          </w:rPr>
          <w:t>UNEP/CMS/Inf.10.33</w:t>
        </w:r>
      </w:hyperlink>
      <w:r w:rsidRPr="00CB685F">
        <w:rPr>
          <w:rFonts w:ascii="Arial" w:hAnsi="Arial" w:cs="Arial"/>
          <w:sz w:val="22"/>
          <w:lang w:val="fr-FR"/>
        </w:rPr>
        <w:t xml:space="preserve">). Depuis lors, la couverture des poissons d’eau douce dans la Liste rouge de l’UICN est passée d’environ 3 000 à près de 15 000 espèces évaluées, permettant ainsi d’obtenir une image beaucoup plus complète de leur état et des tendances à leur égard. Le présent rapport a été préparé en réponse à la Décision 14.112(a) de la COP14, qui priait le Conseil scientifique de mettre à jour </w:t>
      </w:r>
      <w:r w:rsidRPr="006B3346">
        <w:rPr>
          <w:rFonts w:ascii="Arial" w:hAnsi="Arial" w:cs="Arial"/>
          <w:sz w:val="22"/>
          <w:lang w:val="fr-FR"/>
        </w:rPr>
        <w:t>l’étude de 2011.</w:t>
      </w:r>
    </w:p>
    <w:p w14:paraId="1951B3FB" w14:textId="77777777" w:rsidR="00CB685F" w:rsidRPr="006B3346" w:rsidRDefault="00CB685F">
      <w:pPr>
        <w:spacing w:after="0" w:line="240" w:lineRule="auto"/>
        <w:ind w:left="567"/>
        <w:jc w:val="both"/>
        <w:rPr>
          <w:rFonts w:ascii="Arial" w:eastAsia="Calibri" w:hAnsi="Arial" w:cs="Arial"/>
          <w:color w:val="000000"/>
          <w:sz w:val="22"/>
          <w:lang w:val="fr-FR"/>
        </w:rPr>
      </w:pPr>
    </w:p>
    <w:p w14:paraId="5FD3DC33" w14:textId="4ED4B5F3" w:rsidR="009672C2" w:rsidRPr="006B3346" w:rsidRDefault="002A409C">
      <w:pPr>
        <w:numPr>
          <w:ilvl w:val="0"/>
          <w:numId w:val="14"/>
        </w:numPr>
        <w:tabs>
          <w:tab w:val="clear" w:pos="720"/>
        </w:tabs>
        <w:spacing w:after="0" w:line="240" w:lineRule="auto"/>
        <w:ind w:left="567" w:hanging="567"/>
        <w:jc w:val="both"/>
        <w:rPr>
          <w:rFonts w:ascii="Arial" w:eastAsia="Calibri" w:hAnsi="Arial" w:cs="Arial"/>
          <w:color w:val="000000"/>
          <w:sz w:val="22"/>
          <w:lang w:val="fr-FR"/>
        </w:rPr>
      </w:pPr>
      <w:r w:rsidRPr="006B3346">
        <w:rPr>
          <w:rFonts w:ascii="Arial" w:eastAsia="Calibri" w:hAnsi="Arial" w:cs="Arial"/>
          <w:b/>
          <w:color w:val="000000"/>
          <w:sz w:val="22"/>
          <w:lang w:val="fr-FR"/>
        </w:rPr>
        <w:t>Objecti</w:t>
      </w:r>
      <w:r w:rsidR="00CB685F" w:rsidRPr="006B3346">
        <w:rPr>
          <w:rFonts w:ascii="Arial" w:eastAsia="Calibri" w:hAnsi="Arial" w:cs="Arial"/>
          <w:b/>
          <w:color w:val="000000"/>
          <w:sz w:val="22"/>
          <w:lang w:val="fr-FR"/>
        </w:rPr>
        <w:t>f</w:t>
      </w:r>
      <w:r w:rsidRPr="006B3346">
        <w:rPr>
          <w:rFonts w:ascii="Arial" w:eastAsia="Calibri" w:hAnsi="Arial" w:cs="Arial"/>
          <w:b/>
          <w:color w:val="000000"/>
          <w:sz w:val="22"/>
          <w:lang w:val="fr-FR"/>
        </w:rPr>
        <w:t>s</w:t>
      </w:r>
      <w:r w:rsidRPr="006B3346">
        <w:rPr>
          <w:rFonts w:ascii="Arial" w:eastAsia="Calibri" w:hAnsi="Arial" w:cs="Arial"/>
          <w:color w:val="000000"/>
          <w:sz w:val="22"/>
          <w:lang w:val="fr-FR"/>
        </w:rPr>
        <w:t xml:space="preserve">: </w:t>
      </w:r>
      <w:r w:rsidR="006B3346" w:rsidRPr="006B3346">
        <w:rPr>
          <w:rFonts w:ascii="Arial" w:hAnsi="Arial" w:cs="Arial"/>
          <w:sz w:val="22"/>
          <w:lang w:val="fr-FR"/>
        </w:rPr>
        <w:t>le rapport (i) résume les connaissances actuelles sur les poissons d’eau douce migrateurs, (ii) recense les espèces répondant aux critères de la CMS et pouvant bénéficier d’une inscription, et (iii) présente des options pratiques pour les Parties à la CMS et les États de répartition en vue d’améliorer la gestion et la conservation grâce aux inscriptions et aux instruments de coopération.</w:t>
      </w:r>
    </w:p>
    <w:p w14:paraId="5DB37741" w14:textId="77777777" w:rsidR="009672C2" w:rsidRPr="006B3346" w:rsidRDefault="009672C2">
      <w:pPr>
        <w:spacing w:after="0" w:line="240" w:lineRule="auto"/>
        <w:ind w:left="567"/>
        <w:jc w:val="both"/>
        <w:rPr>
          <w:rFonts w:ascii="Arial" w:eastAsia="Calibri" w:hAnsi="Arial" w:cs="Arial"/>
          <w:color w:val="000000"/>
          <w:sz w:val="22"/>
          <w:highlight w:val="yellow"/>
          <w:lang w:val="fr-FR"/>
        </w:rPr>
      </w:pPr>
    </w:p>
    <w:p w14:paraId="488E00A5" w14:textId="12A35415" w:rsidR="004540D6" w:rsidRPr="006F458B" w:rsidRDefault="004540D6" w:rsidP="004540D6">
      <w:pPr>
        <w:pStyle w:val="NormalWeb"/>
        <w:numPr>
          <w:ilvl w:val="0"/>
          <w:numId w:val="14"/>
        </w:numPr>
        <w:tabs>
          <w:tab w:val="clear" w:pos="720"/>
        </w:tabs>
        <w:spacing w:before="0" w:beforeAutospacing="0" w:after="80" w:afterAutospacing="0"/>
        <w:ind w:left="540" w:hanging="537"/>
        <w:jc w:val="both"/>
        <w:rPr>
          <w:rFonts w:ascii="Arial" w:hAnsi="Arial" w:cs="Arial"/>
          <w:sz w:val="22"/>
          <w:szCs w:val="22"/>
          <w:lang w:val="fr-FR"/>
        </w:rPr>
      </w:pPr>
      <w:r w:rsidRPr="006F458B">
        <w:rPr>
          <w:rFonts w:ascii="Arial" w:hAnsi="Arial" w:cs="Arial"/>
          <w:b/>
          <w:sz w:val="22"/>
          <w:szCs w:val="22"/>
          <w:lang w:val="fr-FR"/>
        </w:rPr>
        <w:t>Méthodes</w:t>
      </w:r>
      <w:r w:rsidRPr="006F458B">
        <w:rPr>
          <w:rFonts w:ascii="Arial" w:hAnsi="Arial" w:cs="Arial"/>
          <w:sz w:val="22"/>
          <w:szCs w:val="22"/>
          <w:lang w:val="fr-FR"/>
        </w:rPr>
        <w:t xml:space="preserve"> : pour établir une liste exploitable par la CMS, nous avons combiné les évaluations élargies de l’UICN avec un nouveau jeu de données mondial sur les poissons migrateurs et d’autres sources, puis appliqué les critères de la CMS relatifs à la migration transfrontalière et au statut de conservation « défavorable ». Les principaux éléments de la base de preuves étaient : </w:t>
      </w:r>
    </w:p>
    <w:p w14:paraId="0ABB8F4A" w14:textId="77777777" w:rsidR="004540D6" w:rsidRPr="006F458B" w:rsidRDefault="004540D6" w:rsidP="004540D6">
      <w:pPr>
        <w:pStyle w:val="NormalWeb"/>
        <w:numPr>
          <w:ilvl w:val="0"/>
          <w:numId w:val="28"/>
        </w:numPr>
        <w:spacing w:before="0" w:beforeAutospacing="0" w:after="80" w:afterAutospacing="0"/>
        <w:ind w:left="1080" w:hanging="540"/>
        <w:jc w:val="both"/>
        <w:rPr>
          <w:rFonts w:ascii="Arial" w:hAnsi="Arial" w:cs="Arial"/>
          <w:sz w:val="22"/>
          <w:szCs w:val="22"/>
          <w:lang w:val="fr-FR"/>
        </w:rPr>
      </w:pPr>
      <w:r w:rsidRPr="006F458B">
        <w:rPr>
          <w:rFonts w:ascii="Arial" w:hAnsi="Arial" w:cs="Arial"/>
          <w:sz w:val="22"/>
          <w:szCs w:val="22"/>
          <w:lang w:val="fr-FR"/>
        </w:rPr>
        <w:t xml:space="preserve">la Liste rouge de l’UICN pour l’état, les menaces et les tendances, plusieurs bases de données (FishBase, GROMS, jeux de données régionaux et nord-américains sur les poissons migrateurs, ressources de la Commission du Mékong, Trans-European Swimways/Wetlands International, écoclassification des rivières d’Afrique du Sud, base de données des poissons d’eau douce de Nouvelle-Zélande) et la littérature scientifique récente évaluée par des pairs, ainsi que les connaissances d’experts ; </w:t>
      </w:r>
    </w:p>
    <w:p w14:paraId="5874B916" w14:textId="77777777" w:rsidR="004540D6" w:rsidRPr="006F458B" w:rsidRDefault="004540D6" w:rsidP="004540D6">
      <w:pPr>
        <w:pStyle w:val="NormalWeb"/>
        <w:numPr>
          <w:ilvl w:val="0"/>
          <w:numId w:val="28"/>
        </w:numPr>
        <w:spacing w:before="0" w:beforeAutospacing="0" w:after="80" w:afterAutospacing="0"/>
        <w:ind w:left="1080" w:hanging="540"/>
        <w:jc w:val="both"/>
        <w:rPr>
          <w:rFonts w:ascii="Arial" w:hAnsi="Arial" w:cs="Arial"/>
          <w:sz w:val="22"/>
          <w:szCs w:val="22"/>
          <w:lang w:val="fr-FR"/>
        </w:rPr>
      </w:pPr>
      <w:r w:rsidRPr="006F458B">
        <w:rPr>
          <w:rFonts w:ascii="Arial" w:hAnsi="Arial" w:cs="Arial"/>
          <w:sz w:val="22"/>
          <w:szCs w:val="22"/>
          <w:lang w:val="fr-FR"/>
        </w:rPr>
        <w:t xml:space="preserve">la confirmation du caractère transfrontalier, fondée sur l’intersection des aires de répartition continentales des espèces avec des réseaux hydrographiques connectés et transfrontaliers, y compris les phases marines lorsque celles-ci génèrent des populations continentales partagées ; </w:t>
      </w:r>
    </w:p>
    <w:p w14:paraId="10ED6B78" w14:textId="77777777" w:rsidR="004540D6" w:rsidRPr="006F458B" w:rsidRDefault="004540D6" w:rsidP="004540D6">
      <w:pPr>
        <w:pStyle w:val="NormalWeb"/>
        <w:numPr>
          <w:ilvl w:val="0"/>
          <w:numId w:val="28"/>
        </w:numPr>
        <w:spacing w:before="0" w:beforeAutospacing="0" w:after="0" w:afterAutospacing="0"/>
        <w:ind w:left="1080" w:hanging="540"/>
        <w:jc w:val="both"/>
        <w:rPr>
          <w:rFonts w:ascii="Arial" w:hAnsi="Arial" w:cs="Arial"/>
          <w:sz w:val="22"/>
          <w:szCs w:val="22"/>
          <w:lang w:val="fr-FR"/>
        </w:rPr>
      </w:pPr>
      <w:r w:rsidRPr="006F458B">
        <w:rPr>
          <w:rFonts w:ascii="Arial" w:hAnsi="Arial" w:cs="Arial"/>
          <w:sz w:val="22"/>
          <w:szCs w:val="22"/>
          <w:lang w:val="fr-FR"/>
        </w:rPr>
        <w:t>la prise en compte du statut de conservation, incluant les espèces classées par l’UICN comme en danger critique d’extinction (CR</w:t>
      </w:r>
      <w:r w:rsidRPr="006F458B">
        <w:rPr>
          <w:rFonts w:cs="Arial"/>
          <w:lang w:val="fr-FR"/>
        </w:rPr>
        <w:t>)</w:t>
      </w:r>
      <w:r w:rsidRPr="006F458B">
        <w:rPr>
          <w:rFonts w:ascii="Arial" w:hAnsi="Arial" w:cs="Arial"/>
          <w:sz w:val="22"/>
          <w:szCs w:val="22"/>
          <w:lang w:val="fr-FR"/>
        </w:rPr>
        <w:t>, en danger (EN), vulnérables (VU), quasi menacées (NT), données insuffisantes (DD), non évaluées (NE) et préoccupation mineure (LC), lorsqu’il existe des preuves crédibles de déclin ou de risque, ou lorsque l’UICN détermine que la tendance est « en diminution ».</w:t>
      </w:r>
    </w:p>
    <w:p w14:paraId="2D2B69F0" w14:textId="7F409256" w:rsidR="009672C2" w:rsidRPr="00A21D32" w:rsidRDefault="009672C2" w:rsidP="00195913">
      <w:pPr>
        <w:spacing w:after="0" w:line="240" w:lineRule="auto"/>
        <w:ind w:left="567"/>
        <w:jc w:val="both"/>
        <w:rPr>
          <w:rFonts w:ascii="Arial" w:eastAsia="Calibri" w:hAnsi="Arial" w:cs="Arial"/>
          <w:color w:val="000000"/>
          <w:sz w:val="22"/>
          <w:lang w:val="fr-FR"/>
        </w:rPr>
      </w:pPr>
    </w:p>
    <w:p w14:paraId="609E57F8" w14:textId="3AD22CC9" w:rsidR="00A21D32" w:rsidRDefault="002A409C" w:rsidP="00A21D32">
      <w:pPr>
        <w:pStyle w:val="NormalWeb"/>
        <w:numPr>
          <w:ilvl w:val="0"/>
          <w:numId w:val="14"/>
        </w:numPr>
        <w:tabs>
          <w:tab w:val="clear" w:pos="720"/>
          <w:tab w:val="num" w:pos="540"/>
        </w:tabs>
        <w:spacing w:before="0" w:beforeAutospacing="0" w:after="0" w:afterAutospacing="0"/>
        <w:ind w:left="540" w:hanging="537"/>
        <w:jc w:val="both"/>
        <w:rPr>
          <w:rFonts w:ascii="Arial" w:hAnsi="Arial" w:cs="Arial"/>
          <w:sz w:val="22"/>
          <w:szCs w:val="22"/>
          <w:lang w:val="fr-FR"/>
        </w:rPr>
      </w:pPr>
      <w:r w:rsidRPr="00A21D32">
        <w:rPr>
          <w:rFonts w:ascii="Arial" w:eastAsia="Calibri" w:hAnsi="Arial" w:cs="Arial"/>
          <w:b/>
          <w:bCs/>
          <w:color w:val="000000"/>
          <w:sz w:val="22"/>
          <w:lang w:val="fr-FR"/>
        </w:rPr>
        <w:t>R</w:t>
      </w:r>
      <w:r w:rsidR="00A21D32" w:rsidRPr="00A21D32">
        <w:rPr>
          <w:rFonts w:ascii="Arial" w:hAnsi="Arial" w:cs="Arial"/>
          <w:b/>
          <w:bCs/>
          <w:sz w:val="22"/>
          <w:szCs w:val="22"/>
          <w:lang w:val="fr-FR"/>
        </w:rPr>
        <w:t>ésultats :</w:t>
      </w:r>
      <w:r w:rsidR="00A21D32" w:rsidRPr="00A21D32">
        <w:rPr>
          <w:rFonts w:ascii="Arial" w:hAnsi="Arial" w:cs="Arial"/>
          <w:sz w:val="22"/>
          <w:szCs w:val="22"/>
          <w:lang w:val="fr-FR"/>
        </w:rPr>
        <w:t xml:space="preserve"> l’analyse a recensé 349</w:t>
      </w:r>
      <w:r w:rsidR="00A21D32" w:rsidRPr="00195913">
        <w:rPr>
          <w:rStyle w:val="Strong"/>
          <w:rFonts w:ascii="Arial" w:eastAsiaTheme="majorEastAsia" w:hAnsi="Arial" w:cs="Arial"/>
          <w:b w:val="0"/>
          <w:bCs w:val="0"/>
          <w:sz w:val="22"/>
          <w:szCs w:val="22"/>
          <w:lang w:val="fr-FR"/>
        </w:rPr>
        <w:t> poissons d’eau douce migrateurs et transfrontaliers</w:t>
      </w:r>
      <w:r w:rsidR="00A21D32" w:rsidRPr="00A21D32">
        <w:rPr>
          <w:rFonts w:ascii="Arial" w:hAnsi="Arial" w:cs="Arial"/>
          <w:sz w:val="22"/>
          <w:szCs w:val="22"/>
          <w:lang w:val="fr-FR"/>
        </w:rPr>
        <w:t xml:space="preserve"> susceptibles de répondre aux critères d’inscription aux annexes de la</w:t>
      </w:r>
      <w:r w:rsidR="00A21D32" w:rsidRPr="006F458B">
        <w:rPr>
          <w:rFonts w:ascii="Arial" w:hAnsi="Arial" w:cs="Arial"/>
          <w:sz w:val="22"/>
          <w:szCs w:val="22"/>
          <w:lang w:val="fr-FR"/>
        </w:rPr>
        <w:t xml:space="preserve"> CMS ; 24 sont déjà inscrits, ce qui laisse </w:t>
      </w:r>
      <w:r w:rsidR="00A21D32" w:rsidRPr="00195913">
        <w:rPr>
          <w:rStyle w:val="Strong"/>
          <w:rFonts w:ascii="Arial" w:eastAsiaTheme="majorEastAsia" w:hAnsi="Arial" w:cs="Arial"/>
          <w:b w:val="0"/>
          <w:bCs w:val="0"/>
          <w:sz w:val="22"/>
          <w:szCs w:val="22"/>
          <w:lang w:val="fr-FR"/>
        </w:rPr>
        <w:t>325 espèces candidates</w:t>
      </w:r>
      <w:r w:rsidR="00A21D32" w:rsidRPr="006F458B">
        <w:rPr>
          <w:rFonts w:ascii="Arial" w:hAnsi="Arial" w:cs="Arial"/>
          <w:sz w:val="22"/>
          <w:szCs w:val="22"/>
          <w:lang w:val="fr-FR"/>
        </w:rPr>
        <w:t xml:space="preserve"> pour une possible action. Les occurrences </w:t>
      </w:r>
      <w:r w:rsidR="00A21D32" w:rsidRPr="006F458B">
        <w:rPr>
          <w:rFonts w:ascii="Arial" w:hAnsi="Arial" w:cs="Arial"/>
          <w:sz w:val="22"/>
          <w:szCs w:val="22"/>
          <w:lang w:val="fr-FR"/>
        </w:rPr>
        <w:lastRenderedPageBreak/>
        <w:t xml:space="preserve">des espèces candidates sont concentrées en Asie (n = 205), avec des ensembles supplémentaires en Amérique du Sud (n = 55), en Afrique (n = 42), en Europe (n = 50), en Amérique du Nord (n = 32) et en Océanie (n = 6). Parmi les taxons non inscrits, </w:t>
      </w:r>
      <w:r w:rsidR="00A21D32" w:rsidRPr="00195913">
        <w:rPr>
          <w:rStyle w:val="Strong"/>
          <w:rFonts w:ascii="Arial" w:eastAsiaTheme="majorEastAsia" w:hAnsi="Arial" w:cs="Arial"/>
          <w:b w:val="0"/>
          <w:bCs w:val="0"/>
          <w:sz w:val="22"/>
          <w:szCs w:val="22"/>
          <w:lang w:val="fr-FR"/>
        </w:rPr>
        <w:t>136 espèces</w:t>
      </w:r>
      <w:r w:rsidR="00A21D32" w:rsidRPr="006F458B">
        <w:rPr>
          <w:rFonts w:ascii="Arial" w:hAnsi="Arial" w:cs="Arial"/>
          <w:sz w:val="22"/>
          <w:szCs w:val="22"/>
          <w:lang w:val="fr-FR"/>
        </w:rPr>
        <w:t xml:space="preserve"> répondent aux seuils CR/EN/VU/NT, et parmi celles-ci, </w:t>
      </w:r>
      <w:r w:rsidR="00A21D32" w:rsidRPr="00195913">
        <w:rPr>
          <w:rStyle w:val="Strong"/>
          <w:rFonts w:ascii="Arial" w:eastAsiaTheme="majorEastAsia" w:hAnsi="Arial" w:cs="Arial"/>
          <w:b w:val="0"/>
          <w:bCs w:val="0"/>
          <w:sz w:val="22"/>
          <w:szCs w:val="22"/>
          <w:lang w:val="fr-FR"/>
        </w:rPr>
        <w:t>75</w:t>
      </w:r>
      <w:r w:rsidR="00A21D32" w:rsidRPr="006F458B">
        <w:rPr>
          <w:rFonts w:ascii="Arial" w:hAnsi="Arial" w:cs="Arial"/>
          <w:sz w:val="22"/>
          <w:szCs w:val="22"/>
          <w:lang w:val="fr-FR"/>
        </w:rPr>
        <w:t xml:space="preserve"> se rencontrent dans au moins deux Parties à la CMS (fort potentiel d’inscription à court terme).</w:t>
      </w:r>
    </w:p>
    <w:p w14:paraId="65F30D77" w14:textId="77777777" w:rsidR="00A21D32" w:rsidRPr="006F458B" w:rsidRDefault="00A21D32" w:rsidP="00A21D32">
      <w:pPr>
        <w:pStyle w:val="NormalWeb"/>
        <w:spacing w:before="0" w:beforeAutospacing="0" w:after="0" w:afterAutospacing="0"/>
        <w:ind w:left="540"/>
        <w:jc w:val="both"/>
        <w:rPr>
          <w:rFonts w:ascii="Arial" w:hAnsi="Arial" w:cs="Arial"/>
          <w:sz w:val="22"/>
          <w:szCs w:val="22"/>
          <w:lang w:val="fr-FR"/>
        </w:rPr>
      </w:pPr>
    </w:p>
    <w:p w14:paraId="609390C8" w14:textId="59723894" w:rsidR="00881BC3" w:rsidRPr="006F458B" w:rsidRDefault="00881BC3" w:rsidP="00881BC3">
      <w:pPr>
        <w:pStyle w:val="NormalWeb"/>
        <w:numPr>
          <w:ilvl w:val="0"/>
          <w:numId w:val="14"/>
        </w:numPr>
        <w:tabs>
          <w:tab w:val="clear" w:pos="720"/>
          <w:tab w:val="num" w:pos="540"/>
        </w:tabs>
        <w:spacing w:before="0" w:beforeAutospacing="0" w:after="80" w:afterAutospacing="0"/>
        <w:ind w:left="540" w:hanging="537"/>
        <w:jc w:val="both"/>
        <w:rPr>
          <w:rFonts w:ascii="Arial" w:hAnsi="Arial" w:cs="Arial"/>
          <w:sz w:val="22"/>
          <w:szCs w:val="22"/>
          <w:lang w:val="fr-FR"/>
        </w:rPr>
      </w:pPr>
      <w:r w:rsidRPr="006F458B">
        <w:rPr>
          <w:rFonts w:ascii="Arial" w:hAnsi="Arial" w:cs="Arial"/>
          <w:b/>
          <w:bCs/>
          <w:sz w:val="22"/>
          <w:lang w:val="fr-FR"/>
        </w:rPr>
        <w:t>Régions prioritaires :</w:t>
      </w:r>
      <w:r w:rsidRPr="006F458B">
        <w:rPr>
          <w:rFonts w:ascii="Arial" w:hAnsi="Arial" w:cs="Arial"/>
          <w:sz w:val="22"/>
          <w:lang w:val="fr-FR"/>
        </w:rPr>
        <w:t xml:space="preserve"> conformément à l’évaluation mondiale et aux études de cas présentées dans ce rapport, plusieurs systèmes transfrontaliers se dégagent comme des zones où la coopération via la CMS est à la fois nécessaire et réalisable : </w:t>
      </w:r>
    </w:p>
    <w:p w14:paraId="18263707" w14:textId="77777777" w:rsidR="00881BC3" w:rsidRPr="006F458B" w:rsidRDefault="00881BC3" w:rsidP="00881BC3">
      <w:pPr>
        <w:pStyle w:val="NormalWeb"/>
        <w:numPr>
          <w:ilvl w:val="1"/>
          <w:numId w:val="14"/>
        </w:numPr>
        <w:tabs>
          <w:tab w:val="clear" w:pos="1440"/>
          <w:tab w:val="num" w:pos="1080"/>
        </w:tabs>
        <w:spacing w:before="0" w:beforeAutospacing="0" w:after="80" w:afterAutospacing="0"/>
        <w:ind w:left="1080" w:hanging="357"/>
        <w:jc w:val="both"/>
        <w:rPr>
          <w:rFonts w:ascii="Arial" w:hAnsi="Arial" w:cs="Arial"/>
          <w:sz w:val="22"/>
          <w:szCs w:val="22"/>
          <w:lang w:val="fr-FR"/>
        </w:rPr>
      </w:pPr>
      <w:r w:rsidRPr="006F458B">
        <w:rPr>
          <w:rFonts w:ascii="Arial" w:hAnsi="Arial" w:cs="Arial"/>
          <w:sz w:val="22"/>
          <w:lang w:val="fr-FR"/>
        </w:rPr>
        <w:t>l’Amazone et les bassins de La Plata–Paraná–Paraguay en Amérique du Sud (poissons-chats et characidés migrateurs sur de longues distances ; protection des zones de reproduction des plaines inondables ; fermetures saisonnières coordonnées ; adaptations à fort rendement des barrières) ;</w:t>
      </w:r>
    </w:p>
    <w:p w14:paraId="0D19D060" w14:textId="77777777" w:rsidR="00881BC3" w:rsidRPr="006F458B" w:rsidRDefault="00881BC3" w:rsidP="00881BC3">
      <w:pPr>
        <w:pStyle w:val="NormalWeb"/>
        <w:numPr>
          <w:ilvl w:val="1"/>
          <w:numId w:val="14"/>
        </w:numPr>
        <w:tabs>
          <w:tab w:val="clear" w:pos="1440"/>
          <w:tab w:val="num" w:pos="1080"/>
        </w:tabs>
        <w:spacing w:before="0" w:beforeAutospacing="0" w:after="80" w:afterAutospacing="0"/>
        <w:ind w:left="1080" w:hanging="357"/>
        <w:jc w:val="both"/>
        <w:rPr>
          <w:rFonts w:ascii="Arial" w:hAnsi="Arial" w:cs="Arial"/>
          <w:sz w:val="22"/>
          <w:szCs w:val="22"/>
          <w:lang w:val="fr-FR"/>
        </w:rPr>
      </w:pPr>
      <w:r w:rsidRPr="006F458B">
        <w:rPr>
          <w:rFonts w:ascii="Arial" w:hAnsi="Arial" w:cs="Arial"/>
          <w:sz w:val="22"/>
          <w:lang w:val="fr-FR"/>
        </w:rPr>
        <w:t xml:space="preserve">le Danube et les bassins européens qui lui sont connectés (cypriniformes potamodromes et migrations d’esturgeons/lamproies subsistantes ; continuité sédimentaire et passes sur plusieurs Parties) ; </w:t>
      </w:r>
    </w:p>
    <w:p w14:paraId="325BBBA2" w14:textId="77777777" w:rsidR="00881BC3" w:rsidRPr="006F458B" w:rsidRDefault="00881BC3" w:rsidP="00881BC3">
      <w:pPr>
        <w:pStyle w:val="NormalWeb"/>
        <w:numPr>
          <w:ilvl w:val="1"/>
          <w:numId w:val="14"/>
        </w:numPr>
        <w:tabs>
          <w:tab w:val="clear" w:pos="1440"/>
          <w:tab w:val="num" w:pos="1080"/>
        </w:tabs>
        <w:spacing w:before="0" w:beforeAutospacing="0" w:after="80" w:afterAutospacing="0"/>
        <w:ind w:left="1080" w:hanging="357"/>
        <w:jc w:val="both"/>
        <w:rPr>
          <w:rFonts w:ascii="Arial" w:hAnsi="Arial" w:cs="Arial"/>
          <w:sz w:val="22"/>
          <w:szCs w:val="22"/>
          <w:lang w:val="fr-FR"/>
        </w:rPr>
      </w:pPr>
      <w:r w:rsidRPr="006F458B">
        <w:rPr>
          <w:rFonts w:ascii="Arial" w:hAnsi="Arial" w:cs="Arial"/>
          <w:sz w:val="22"/>
          <w:lang w:val="fr-FR"/>
        </w:rPr>
        <w:t>le Congo, le Niger–Lac Tchad et le Nil en Afrique (populations partagées, sensibilité à la sécheresse et fragmentation nécessitant une surveillance coopérative ainsi que des mesures relatives au débit et à la qualité de l’eau) ;</w:t>
      </w:r>
    </w:p>
    <w:p w14:paraId="0439F7A5" w14:textId="77777777" w:rsidR="00881BC3" w:rsidRPr="006F458B" w:rsidRDefault="00881BC3" w:rsidP="00881BC3">
      <w:pPr>
        <w:pStyle w:val="NormalWeb"/>
        <w:numPr>
          <w:ilvl w:val="1"/>
          <w:numId w:val="14"/>
        </w:numPr>
        <w:tabs>
          <w:tab w:val="clear" w:pos="1440"/>
          <w:tab w:val="num" w:pos="1080"/>
        </w:tabs>
        <w:spacing w:before="0" w:beforeAutospacing="0" w:after="80" w:afterAutospacing="0"/>
        <w:ind w:left="1080" w:hanging="357"/>
        <w:jc w:val="both"/>
        <w:rPr>
          <w:rFonts w:ascii="Arial" w:hAnsi="Arial" w:cs="Arial"/>
          <w:sz w:val="22"/>
          <w:szCs w:val="22"/>
          <w:lang w:val="fr-FR"/>
        </w:rPr>
      </w:pPr>
      <w:r w:rsidRPr="006F458B">
        <w:rPr>
          <w:rFonts w:ascii="Arial" w:hAnsi="Arial" w:cs="Arial"/>
          <w:sz w:val="22"/>
          <w:lang w:val="fr-FR"/>
        </w:rPr>
        <w:t xml:space="preserve">le Mékong et le Gange–Brahmapoutre–Meghna en Asie (forte biomasse d’espèces migratrices ; barrages et fluctuations hydrauliques artificielles ; coordination de la pêche via des organismes régionaux en lien avec la CMS) ; </w:t>
      </w:r>
    </w:p>
    <w:p w14:paraId="3EDE147D" w14:textId="77777777" w:rsidR="00881BC3" w:rsidRPr="006F458B" w:rsidRDefault="00881BC3" w:rsidP="00881BC3">
      <w:pPr>
        <w:pStyle w:val="NormalWeb"/>
        <w:numPr>
          <w:ilvl w:val="1"/>
          <w:numId w:val="14"/>
        </w:numPr>
        <w:tabs>
          <w:tab w:val="clear" w:pos="1440"/>
          <w:tab w:val="num" w:pos="1080"/>
        </w:tabs>
        <w:spacing w:before="0" w:beforeAutospacing="0" w:after="0" w:afterAutospacing="0"/>
        <w:ind w:left="1080" w:hanging="357"/>
        <w:jc w:val="both"/>
        <w:rPr>
          <w:rFonts w:ascii="Arial" w:hAnsi="Arial" w:cs="Arial"/>
          <w:sz w:val="22"/>
          <w:szCs w:val="22"/>
          <w:lang w:val="fr-FR"/>
        </w:rPr>
      </w:pPr>
      <w:r w:rsidRPr="006F458B">
        <w:rPr>
          <w:rFonts w:ascii="Arial" w:hAnsi="Arial" w:cs="Arial"/>
          <w:sz w:val="22"/>
          <w:lang w:val="fr-FR"/>
        </w:rPr>
        <w:t>et les mesures régionales concernant les anguilles anguillidées en Océanie (normes concernant les passes ; réglementation de la pêche selon les stades de vie ; indices de recrutement partagés).</w:t>
      </w:r>
    </w:p>
    <w:p w14:paraId="03B1DCB4" w14:textId="68C4C4F1" w:rsidR="009672C2" w:rsidRPr="00881BC3" w:rsidRDefault="009672C2" w:rsidP="00881BC3">
      <w:pPr>
        <w:spacing w:after="0" w:line="240" w:lineRule="auto"/>
        <w:ind w:left="567"/>
        <w:jc w:val="both"/>
        <w:rPr>
          <w:rFonts w:ascii="Arial" w:eastAsia="Calibri" w:hAnsi="Arial" w:cs="Arial"/>
          <w:color w:val="000000"/>
          <w:sz w:val="22"/>
          <w:highlight w:val="yellow"/>
          <w:lang w:val="fr-FR"/>
        </w:rPr>
      </w:pPr>
    </w:p>
    <w:p w14:paraId="2BD08CBA" w14:textId="20CC5BC4" w:rsidR="003D5690" w:rsidRPr="006F458B" w:rsidRDefault="003D5690" w:rsidP="003D5690">
      <w:pPr>
        <w:pStyle w:val="NormalWeb"/>
        <w:numPr>
          <w:ilvl w:val="0"/>
          <w:numId w:val="14"/>
        </w:numPr>
        <w:tabs>
          <w:tab w:val="clear" w:pos="720"/>
          <w:tab w:val="num" w:pos="630"/>
        </w:tabs>
        <w:spacing w:before="0" w:beforeAutospacing="0" w:after="0" w:afterAutospacing="0"/>
        <w:ind w:left="540" w:hanging="537"/>
        <w:jc w:val="both"/>
        <w:rPr>
          <w:rFonts w:ascii="Arial" w:hAnsi="Arial" w:cs="Arial"/>
          <w:sz w:val="22"/>
          <w:szCs w:val="22"/>
          <w:lang w:val="fr-FR"/>
        </w:rPr>
      </w:pPr>
      <w:r w:rsidRPr="006F458B">
        <w:rPr>
          <w:rFonts w:ascii="Arial" w:hAnsi="Arial" w:cs="Arial"/>
          <w:b/>
          <w:sz w:val="22"/>
          <w:szCs w:val="22"/>
          <w:lang w:val="fr-FR"/>
        </w:rPr>
        <w:t>Lacunes régionales et taxonomiques :</w:t>
      </w:r>
      <w:r w:rsidRPr="006F458B">
        <w:rPr>
          <w:rFonts w:ascii="Arial" w:hAnsi="Arial" w:cs="Arial"/>
          <w:sz w:val="22"/>
          <w:szCs w:val="22"/>
          <w:lang w:val="fr-FR"/>
        </w:rPr>
        <w:t xml:space="preserve"> le bassin du Mékong représente une lacune majeure. Il abrite une biodiversité d’eau douce d’importance à l’échelle mondiale et de nombreuses espèces migratrices, dont plusieurs sont en danger ou en danger critique d’extinction. Des dizaines d’espèces du Mékong pourraient probablement bénéficier d’une gestion internationale coordonnée, d’une surveillance partagée et de mesures de protection de la connectivité. Bien que les pays du Bas-Mékong ne soient pas actuellement Parties à la CMS, un dialogue plus étroit et l’examen d’une adhésion à la Convention permettraient d’accéder aux outils existants, au soutien technique et à une plateforme de collaboration transfrontalière durable.</w:t>
      </w:r>
    </w:p>
    <w:p w14:paraId="374541E8" w14:textId="7AB37AA8" w:rsidR="009672C2" w:rsidRPr="003D5690" w:rsidRDefault="009672C2" w:rsidP="003D5690">
      <w:pPr>
        <w:spacing w:after="0" w:line="240" w:lineRule="auto"/>
        <w:ind w:left="567"/>
        <w:jc w:val="both"/>
        <w:rPr>
          <w:rFonts w:ascii="Arial" w:eastAsia="Calibri" w:hAnsi="Arial" w:cs="Arial"/>
          <w:color w:val="000000"/>
          <w:sz w:val="22"/>
          <w:highlight w:val="yellow"/>
          <w:lang w:val="fr-FR"/>
        </w:rPr>
      </w:pPr>
    </w:p>
    <w:p w14:paraId="5856DB1E" w14:textId="77777777" w:rsidR="007B7D50" w:rsidRPr="007B7D50" w:rsidRDefault="007B7D50" w:rsidP="007B7D50">
      <w:pPr>
        <w:pStyle w:val="NormalWeb"/>
        <w:numPr>
          <w:ilvl w:val="0"/>
          <w:numId w:val="14"/>
        </w:numPr>
        <w:tabs>
          <w:tab w:val="clear" w:pos="720"/>
          <w:tab w:val="num" w:pos="630"/>
        </w:tabs>
        <w:spacing w:before="0" w:beforeAutospacing="0" w:after="0" w:afterAutospacing="0"/>
        <w:ind w:left="540" w:hanging="537"/>
        <w:jc w:val="both"/>
        <w:rPr>
          <w:rFonts w:ascii="Arial" w:hAnsi="Arial" w:cs="Arial"/>
          <w:sz w:val="22"/>
          <w:szCs w:val="22"/>
          <w:lang w:val="fr-FR"/>
        </w:rPr>
      </w:pPr>
      <w:r w:rsidRPr="006F458B">
        <w:rPr>
          <w:rFonts w:ascii="Arial" w:hAnsi="Arial" w:cs="Arial"/>
          <w:b/>
          <w:sz w:val="22"/>
          <w:szCs w:val="22"/>
          <w:lang w:val="fr-FR"/>
        </w:rPr>
        <w:t>Voies d’action prioritaires sous la CMS</w:t>
      </w:r>
      <w:r w:rsidRPr="006F458B">
        <w:rPr>
          <w:rFonts w:ascii="Arial" w:hAnsi="Arial" w:cs="Arial"/>
          <w:sz w:val="22"/>
          <w:szCs w:val="22"/>
          <w:lang w:val="fr-FR"/>
        </w:rPr>
        <w:t xml:space="preserve"> : </w:t>
      </w:r>
      <w:r w:rsidRPr="007B7D50">
        <w:rPr>
          <w:rFonts w:ascii="Arial" w:hAnsi="Arial" w:cs="Arial"/>
          <w:sz w:val="22"/>
          <w:szCs w:val="22"/>
          <w:lang w:val="fr-FR"/>
        </w:rPr>
        <w:t xml:space="preserve">le rapport présente des instruments complémentaires que les Parties et les États de l’aire de répartition peuvent utiliser individuellement ou conjointement : inscription aux </w:t>
      </w:r>
      <w:r w:rsidRPr="007B7D50">
        <w:rPr>
          <w:rStyle w:val="Strong"/>
          <w:rFonts w:ascii="Arial" w:eastAsiaTheme="majorEastAsia" w:hAnsi="Arial" w:cs="Arial"/>
          <w:b w:val="0"/>
          <w:bCs w:val="0"/>
          <w:sz w:val="22"/>
          <w:szCs w:val="22"/>
          <w:lang w:val="fr-FR"/>
        </w:rPr>
        <w:t>Annexes I/II</w:t>
      </w:r>
      <w:r w:rsidRPr="007B7D50">
        <w:rPr>
          <w:rFonts w:ascii="Arial" w:hAnsi="Arial" w:cs="Arial"/>
          <w:b/>
          <w:bCs/>
          <w:sz w:val="22"/>
          <w:szCs w:val="22"/>
          <w:lang w:val="fr-FR"/>
        </w:rPr>
        <w:t xml:space="preserve">, </w:t>
      </w:r>
      <w:r w:rsidRPr="007B7D50">
        <w:rPr>
          <w:rStyle w:val="Strong"/>
          <w:rFonts w:ascii="Arial" w:eastAsiaTheme="majorEastAsia" w:hAnsi="Arial" w:cs="Arial"/>
          <w:b w:val="0"/>
          <w:bCs w:val="0"/>
          <w:sz w:val="22"/>
          <w:szCs w:val="22"/>
          <w:lang w:val="fr-FR"/>
        </w:rPr>
        <w:t>actions concertées</w:t>
      </w:r>
      <w:r w:rsidRPr="007B7D50">
        <w:rPr>
          <w:rFonts w:ascii="Arial" w:hAnsi="Arial" w:cs="Arial"/>
          <w:b/>
          <w:bCs/>
          <w:sz w:val="22"/>
          <w:szCs w:val="22"/>
          <w:lang w:val="fr-FR"/>
        </w:rPr>
        <w:t>,</w:t>
      </w:r>
      <w:r w:rsidRPr="007B7D50">
        <w:rPr>
          <w:rFonts w:ascii="Arial" w:hAnsi="Arial" w:cs="Arial"/>
          <w:sz w:val="22"/>
          <w:szCs w:val="22"/>
          <w:lang w:val="fr-FR"/>
        </w:rPr>
        <w:t xml:space="preserve"> plans d’action pour une ou </w:t>
      </w:r>
      <w:r w:rsidRPr="007B7D50">
        <w:rPr>
          <w:rStyle w:val="Strong"/>
          <w:rFonts w:ascii="Arial" w:eastAsiaTheme="majorEastAsia" w:hAnsi="Arial" w:cs="Arial"/>
          <w:b w:val="0"/>
          <w:bCs w:val="0"/>
          <w:sz w:val="22"/>
          <w:szCs w:val="22"/>
          <w:lang w:val="fr-FR"/>
        </w:rPr>
        <w:t>plusieurs espèces</w:t>
      </w:r>
      <w:r w:rsidRPr="007B7D50">
        <w:rPr>
          <w:rFonts w:ascii="Arial" w:hAnsi="Arial" w:cs="Arial"/>
          <w:b/>
          <w:bCs/>
          <w:sz w:val="22"/>
          <w:szCs w:val="22"/>
          <w:lang w:val="fr-FR"/>
        </w:rPr>
        <w:t xml:space="preserve"> </w:t>
      </w:r>
      <w:r w:rsidRPr="007B7D50">
        <w:rPr>
          <w:rFonts w:ascii="Arial" w:hAnsi="Arial" w:cs="Arial"/>
          <w:sz w:val="22"/>
          <w:szCs w:val="22"/>
          <w:lang w:val="fr-FR"/>
        </w:rPr>
        <w:t xml:space="preserve">dans le cadre des Résolutions de la COP, et </w:t>
      </w:r>
      <w:r w:rsidRPr="007B7D50">
        <w:rPr>
          <w:rStyle w:val="Strong"/>
          <w:rFonts w:ascii="Arial" w:eastAsiaTheme="majorEastAsia" w:hAnsi="Arial" w:cs="Arial"/>
          <w:b w:val="0"/>
          <w:bCs w:val="0"/>
          <w:sz w:val="22"/>
          <w:szCs w:val="22"/>
          <w:lang w:val="fr-FR"/>
        </w:rPr>
        <w:t>Mémorandums d’entente (MdE)</w:t>
      </w:r>
      <w:r w:rsidRPr="007B7D50">
        <w:rPr>
          <w:rFonts w:ascii="Arial" w:hAnsi="Arial" w:cs="Arial"/>
          <w:b/>
          <w:bCs/>
          <w:sz w:val="22"/>
          <w:szCs w:val="22"/>
          <w:lang w:val="fr-FR"/>
        </w:rPr>
        <w:t xml:space="preserve"> </w:t>
      </w:r>
      <w:r w:rsidRPr="007B7D50">
        <w:rPr>
          <w:rFonts w:ascii="Arial" w:hAnsi="Arial" w:cs="Arial"/>
          <w:sz w:val="22"/>
          <w:szCs w:val="22"/>
          <w:lang w:val="fr-FR"/>
        </w:rPr>
        <w:t xml:space="preserve">permettant d’impliquer de manière flexible les États Parties et non-Parties. </w:t>
      </w:r>
    </w:p>
    <w:p w14:paraId="1051BB68" w14:textId="4A8A6D9C" w:rsidR="00195913" w:rsidRDefault="00195913">
      <w:pPr>
        <w:spacing w:after="0" w:line="240" w:lineRule="auto"/>
        <w:ind w:left="567" w:hanging="567"/>
        <w:jc w:val="both"/>
        <w:rPr>
          <w:rFonts w:ascii="Arial" w:eastAsia="Calibri" w:hAnsi="Arial" w:cs="Arial"/>
          <w:color w:val="000000"/>
          <w:sz w:val="22"/>
          <w:lang w:val="fr-FR"/>
        </w:rPr>
      </w:pPr>
      <w:r>
        <w:rPr>
          <w:rFonts w:ascii="Arial" w:eastAsia="Calibri" w:hAnsi="Arial" w:cs="Arial"/>
          <w:color w:val="000000"/>
          <w:sz w:val="22"/>
          <w:lang w:val="fr-FR"/>
        </w:rPr>
        <w:br w:type="page"/>
      </w:r>
    </w:p>
    <w:p w14:paraId="0A4BB1A0" w14:textId="77777777" w:rsidR="00916267" w:rsidRPr="00916267" w:rsidRDefault="003D0146" w:rsidP="00916267">
      <w:pPr>
        <w:numPr>
          <w:ilvl w:val="0"/>
          <w:numId w:val="14"/>
        </w:numPr>
        <w:tabs>
          <w:tab w:val="clear" w:pos="720"/>
        </w:tabs>
        <w:spacing w:after="0" w:line="240" w:lineRule="auto"/>
        <w:ind w:left="567" w:hanging="567"/>
        <w:jc w:val="both"/>
        <w:rPr>
          <w:rFonts w:ascii="Arial" w:eastAsia="Calibri" w:hAnsi="Arial" w:cs="Arial"/>
          <w:color w:val="000000"/>
          <w:sz w:val="22"/>
          <w:lang w:val="fr-FR"/>
        </w:rPr>
      </w:pPr>
      <w:r w:rsidRPr="00916267">
        <w:rPr>
          <w:rFonts w:ascii="Arial" w:hAnsi="Arial" w:cs="Arial"/>
          <w:b/>
          <w:sz w:val="22"/>
          <w:lang w:val="fr-FR"/>
        </w:rPr>
        <w:lastRenderedPageBreak/>
        <w:t>Intégration dans le travail plus général de la CMS </w:t>
      </w:r>
      <w:r w:rsidRPr="00916267">
        <w:rPr>
          <w:rFonts w:ascii="Arial" w:hAnsi="Arial" w:cs="Arial"/>
          <w:b/>
          <w:bCs/>
          <w:sz w:val="22"/>
          <w:lang w:val="fr-FR"/>
        </w:rPr>
        <w:t>:</w:t>
      </w:r>
      <w:r w:rsidRPr="00916267">
        <w:rPr>
          <w:rFonts w:ascii="Arial" w:hAnsi="Arial" w:cs="Arial"/>
          <w:sz w:val="22"/>
          <w:lang w:val="fr-FR"/>
        </w:rPr>
        <w:t xml:space="preserve"> les poissons d’eau douce devraient être intégrés aux thématiques de la CMS sur</w:t>
      </w:r>
      <w:r w:rsidRPr="00916267">
        <w:rPr>
          <w:rFonts w:ascii="Arial" w:hAnsi="Arial" w:cs="Arial"/>
          <w:b/>
          <w:bCs/>
          <w:sz w:val="22"/>
          <w:lang w:val="fr-FR"/>
        </w:rPr>
        <w:t xml:space="preserve"> </w:t>
      </w:r>
      <w:r w:rsidRPr="00195913">
        <w:rPr>
          <w:rStyle w:val="Strong"/>
          <w:rFonts w:ascii="Arial" w:hAnsi="Arial" w:cs="Arial"/>
          <w:b w:val="0"/>
          <w:bCs w:val="0"/>
          <w:sz w:val="22"/>
          <w:lang w:val="fr-FR"/>
        </w:rPr>
        <w:t>la connectivité écologique</w:t>
      </w:r>
      <w:r w:rsidRPr="00195913">
        <w:rPr>
          <w:rFonts w:ascii="Arial" w:hAnsi="Arial" w:cs="Arial"/>
          <w:b/>
          <w:bCs/>
          <w:sz w:val="22"/>
          <w:lang w:val="fr-FR"/>
        </w:rPr>
        <w:t xml:space="preserve"> </w:t>
      </w:r>
      <w:r w:rsidRPr="00916267">
        <w:rPr>
          <w:rFonts w:ascii="Arial" w:hAnsi="Arial" w:cs="Arial"/>
          <w:sz w:val="22"/>
          <w:lang w:val="fr-FR"/>
        </w:rPr>
        <w:t xml:space="preserve">et les </w:t>
      </w:r>
      <w:r w:rsidRPr="00195913">
        <w:rPr>
          <w:rStyle w:val="Strong"/>
          <w:rFonts w:ascii="Arial" w:hAnsi="Arial" w:cs="Arial"/>
          <w:b w:val="0"/>
          <w:bCs w:val="0"/>
          <w:sz w:val="22"/>
          <w:lang w:val="fr-FR"/>
        </w:rPr>
        <w:t>infrastructures</w:t>
      </w:r>
      <w:r w:rsidRPr="00916267">
        <w:rPr>
          <w:rFonts w:ascii="Arial" w:hAnsi="Arial" w:cs="Arial"/>
          <w:sz w:val="22"/>
          <w:lang w:val="fr-FR"/>
        </w:rPr>
        <w:t>, parallèlement aux orientations techniques sur les passes à poissons et le criblage des poissons, les débits environnementaux liés à la migration et à la dérive larvaire, la réduction des prises accessoires et la gestion des populations mixtes. Ces liens permettent d’assurer une cohérence entre les taxons et les bassins, et peuvent s’aligner, le cas échéant, sur les publications phares de la CMS (par exemple, l’</w:t>
      </w:r>
      <w:r w:rsidRPr="00916267">
        <w:rPr>
          <w:rStyle w:val="Emphasis"/>
          <w:rFonts w:ascii="Arial" w:hAnsi="Arial" w:cs="Arial"/>
          <w:sz w:val="22"/>
          <w:lang w:val="fr-FR"/>
        </w:rPr>
        <w:t>Atlas sur la migration des animaux</w:t>
      </w:r>
      <w:r w:rsidRPr="00916267">
        <w:rPr>
          <w:rFonts w:ascii="Arial" w:hAnsi="Arial" w:cs="Arial"/>
          <w:sz w:val="22"/>
          <w:lang w:val="fr-FR"/>
        </w:rPr>
        <w:t xml:space="preserve"> ou le </w:t>
      </w:r>
      <w:r w:rsidRPr="00916267">
        <w:rPr>
          <w:rStyle w:val="Emphasis"/>
          <w:rFonts w:ascii="Arial" w:hAnsi="Arial" w:cs="Arial"/>
          <w:sz w:val="22"/>
          <w:lang w:val="fr-FR"/>
        </w:rPr>
        <w:t>Statut des espèces migratrices dans le monde</w:t>
      </w:r>
      <w:r w:rsidRPr="00916267">
        <w:rPr>
          <w:rFonts w:ascii="Arial" w:hAnsi="Arial" w:cs="Arial"/>
          <w:sz w:val="22"/>
          <w:lang w:val="fr-FR"/>
        </w:rPr>
        <w:t xml:space="preserve">). </w:t>
      </w:r>
      <w:r w:rsidR="002A409C" w:rsidRPr="00916267">
        <w:rPr>
          <w:rFonts w:ascii="Arial" w:eastAsia="Calibri" w:hAnsi="Arial" w:cs="Arial"/>
          <w:color w:val="000000"/>
          <w:sz w:val="22"/>
          <w:lang w:val="fr-FR"/>
        </w:rPr>
        <w:t xml:space="preserve"> </w:t>
      </w:r>
    </w:p>
    <w:p w14:paraId="6F17796D" w14:textId="77777777" w:rsidR="00916267" w:rsidRPr="00916267" w:rsidRDefault="00916267" w:rsidP="00916267">
      <w:pPr>
        <w:spacing w:after="0" w:line="240" w:lineRule="auto"/>
        <w:ind w:left="567"/>
        <w:jc w:val="both"/>
        <w:rPr>
          <w:rFonts w:ascii="Arial" w:eastAsia="Calibri" w:hAnsi="Arial" w:cs="Arial"/>
          <w:color w:val="000000"/>
          <w:sz w:val="22"/>
          <w:lang w:val="fr-FR"/>
        </w:rPr>
      </w:pPr>
    </w:p>
    <w:p w14:paraId="13D09EC6" w14:textId="77777777" w:rsidR="004F2D95" w:rsidRPr="004F2D95" w:rsidRDefault="00916267" w:rsidP="004F2D95">
      <w:pPr>
        <w:numPr>
          <w:ilvl w:val="0"/>
          <w:numId w:val="14"/>
        </w:numPr>
        <w:tabs>
          <w:tab w:val="clear" w:pos="720"/>
        </w:tabs>
        <w:spacing w:after="0" w:line="240" w:lineRule="auto"/>
        <w:ind w:left="567" w:hanging="567"/>
        <w:jc w:val="both"/>
        <w:rPr>
          <w:rFonts w:ascii="Arial" w:eastAsia="Calibri" w:hAnsi="Arial" w:cs="Arial"/>
          <w:color w:val="000000"/>
          <w:sz w:val="22"/>
          <w:lang w:val="fr-FR"/>
        </w:rPr>
      </w:pPr>
      <w:r w:rsidRPr="00916267">
        <w:rPr>
          <w:rFonts w:ascii="Arial" w:hAnsi="Arial" w:cs="Arial"/>
          <w:b/>
          <w:bCs/>
          <w:sz w:val="22"/>
          <w:lang w:val="fr-FR"/>
        </w:rPr>
        <w:t>Bases transversales et collaboration :</w:t>
      </w:r>
      <w:r w:rsidRPr="00916267">
        <w:rPr>
          <w:rFonts w:ascii="Arial" w:hAnsi="Arial" w:cs="Arial"/>
          <w:sz w:val="22"/>
          <w:lang w:val="fr-FR"/>
        </w:rPr>
        <w:t xml:space="preserve"> le succès dépend de l’établissement de références et d’indicateurs partagés ; d’une meilleure connaissance des routes migratoires et de la structure des populations ; du maintien ou de la restauration de la connectivité et des débits environnementaux ; de la réduction de la dégradation des habitats et de la pollution ; ainsi que d’une gouvernance inclusive et intersectorielle avec partage des données. Le rapport souligne les synergies avec la </w:t>
      </w:r>
      <w:r w:rsidRPr="00195913">
        <w:rPr>
          <w:rStyle w:val="Strong"/>
          <w:rFonts w:ascii="Arial" w:eastAsiaTheme="majorEastAsia" w:hAnsi="Arial" w:cs="Arial"/>
          <w:b w:val="0"/>
          <w:bCs w:val="0"/>
          <w:sz w:val="22"/>
          <w:lang w:val="fr-FR"/>
        </w:rPr>
        <w:t>CDB</w:t>
      </w:r>
      <w:r w:rsidRPr="00195913">
        <w:rPr>
          <w:rFonts w:ascii="Arial" w:hAnsi="Arial" w:cs="Arial"/>
          <w:b/>
          <w:bCs/>
          <w:sz w:val="22"/>
          <w:lang w:val="fr-FR"/>
        </w:rPr>
        <w:t xml:space="preserve">, la </w:t>
      </w:r>
      <w:r w:rsidRPr="00195913">
        <w:rPr>
          <w:rStyle w:val="Strong"/>
          <w:rFonts w:ascii="Arial" w:eastAsiaTheme="majorEastAsia" w:hAnsi="Arial" w:cs="Arial"/>
          <w:b w:val="0"/>
          <w:bCs w:val="0"/>
          <w:sz w:val="22"/>
          <w:lang w:val="fr-FR"/>
        </w:rPr>
        <w:t>CITES</w:t>
      </w:r>
      <w:r w:rsidRPr="00916267">
        <w:rPr>
          <w:rFonts w:ascii="Arial" w:hAnsi="Arial" w:cs="Arial"/>
          <w:sz w:val="22"/>
          <w:lang w:val="fr-FR"/>
        </w:rPr>
        <w:t xml:space="preserve">, les organisations de bassins fluviaux, la FAO et le réseau de la Liste rouge de l’UICN afin de renforcer les capacités et d’aligner les incitations. </w:t>
      </w:r>
    </w:p>
    <w:p w14:paraId="38A57D1C" w14:textId="77777777" w:rsidR="004F2D95" w:rsidRPr="004F2D95" w:rsidRDefault="004F2D95" w:rsidP="004F2D95">
      <w:pPr>
        <w:spacing w:after="0" w:line="240" w:lineRule="auto"/>
        <w:ind w:left="567"/>
        <w:jc w:val="both"/>
        <w:rPr>
          <w:rFonts w:ascii="Arial" w:eastAsia="Calibri" w:hAnsi="Arial" w:cs="Arial"/>
          <w:color w:val="000000"/>
          <w:sz w:val="22"/>
          <w:lang w:val="fr-FR"/>
        </w:rPr>
      </w:pPr>
    </w:p>
    <w:p w14:paraId="6DE5EE59" w14:textId="5A80A1EB" w:rsidR="004F2D95" w:rsidRPr="004F2D95" w:rsidRDefault="004F2D95" w:rsidP="004F2D95">
      <w:pPr>
        <w:numPr>
          <w:ilvl w:val="0"/>
          <w:numId w:val="14"/>
        </w:numPr>
        <w:tabs>
          <w:tab w:val="clear" w:pos="720"/>
        </w:tabs>
        <w:spacing w:after="80" w:line="240" w:lineRule="auto"/>
        <w:ind w:left="567" w:hanging="567"/>
        <w:jc w:val="both"/>
        <w:rPr>
          <w:rFonts w:ascii="Arial" w:eastAsia="Calibri" w:hAnsi="Arial" w:cs="Arial"/>
          <w:color w:val="000000"/>
          <w:sz w:val="22"/>
          <w:lang w:val="fr-FR"/>
        </w:rPr>
      </w:pPr>
      <w:r w:rsidRPr="004F2D95">
        <w:rPr>
          <w:rFonts w:ascii="Arial" w:hAnsi="Arial" w:cs="Arial"/>
          <w:b/>
          <w:bCs/>
          <w:sz w:val="22"/>
          <w:lang w:val="fr-FR"/>
        </w:rPr>
        <w:t>Prochaines étapes pour les Parties :</w:t>
      </w:r>
      <w:r w:rsidRPr="004F2D95">
        <w:rPr>
          <w:rFonts w:ascii="Arial" w:hAnsi="Arial" w:cs="Arial"/>
          <w:sz w:val="22"/>
          <w:lang w:val="fr-FR"/>
        </w:rPr>
        <w:t xml:space="preserve"> à court terme, les Parties peuvent : </w:t>
      </w:r>
    </w:p>
    <w:p w14:paraId="28F5C7AA" w14:textId="77777777" w:rsidR="004F2D95" w:rsidRPr="006F458B" w:rsidRDefault="004F2D95" w:rsidP="004F2D95">
      <w:pPr>
        <w:pStyle w:val="NormalWeb"/>
        <w:numPr>
          <w:ilvl w:val="1"/>
          <w:numId w:val="31"/>
        </w:numPr>
        <w:tabs>
          <w:tab w:val="clear" w:pos="1440"/>
          <w:tab w:val="num" w:pos="1080"/>
        </w:tabs>
        <w:spacing w:before="0" w:beforeAutospacing="0" w:after="80" w:afterAutospacing="0"/>
        <w:ind w:left="1080"/>
        <w:jc w:val="both"/>
        <w:rPr>
          <w:rFonts w:ascii="Arial" w:hAnsi="Arial" w:cs="Arial"/>
          <w:sz w:val="22"/>
          <w:szCs w:val="22"/>
          <w:lang w:val="fr-FR"/>
        </w:rPr>
      </w:pPr>
      <w:r w:rsidRPr="006F458B">
        <w:rPr>
          <w:rFonts w:ascii="Arial" w:hAnsi="Arial" w:cs="Arial"/>
          <w:sz w:val="22"/>
          <w:szCs w:val="22"/>
          <w:lang w:val="fr-FR"/>
        </w:rPr>
        <w:t xml:space="preserve">(i) préparer </w:t>
      </w:r>
      <w:r w:rsidRPr="004F2D95">
        <w:rPr>
          <w:rStyle w:val="Strong"/>
          <w:rFonts w:ascii="Arial" w:eastAsiaTheme="majorEastAsia" w:hAnsi="Arial" w:cs="Arial"/>
          <w:b w:val="0"/>
          <w:bCs w:val="0"/>
          <w:sz w:val="22"/>
          <w:szCs w:val="22"/>
          <w:lang w:val="fr-FR"/>
        </w:rPr>
        <w:t>des propositions</w:t>
      </w:r>
      <w:r w:rsidRPr="006F458B">
        <w:rPr>
          <w:rFonts w:ascii="Arial" w:hAnsi="Arial" w:cs="Arial"/>
          <w:sz w:val="22"/>
          <w:szCs w:val="22"/>
          <w:lang w:val="fr-FR"/>
        </w:rPr>
        <w:t xml:space="preserve"> d’inscription pour les taxons prioritaires (ceux présents dans deux Parties ou plus et classés CR/EN/VU/NT) ; </w:t>
      </w:r>
    </w:p>
    <w:p w14:paraId="77F99DFF" w14:textId="77777777" w:rsidR="004F2D95" w:rsidRPr="006F458B" w:rsidRDefault="004F2D95" w:rsidP="004F2D95">
      <w:pPr>
        <w:pStyle w:val="NormalWeb"/>
        <w:numPr>
          <w:ilvl w:val="1"/>
          <w:numId w:val="31"/>
        </w:numPr>
        <w:tabs>
          <w:tab w:val="clear" w:pos="1440"/>
          <w:tab w:val="num" w:pos="1080"/>
        </w:tabs>
        <w:spacing w:before="0" w:beforeAutospacing="0" w:after="80" w:afterAutospacing="0"/>
        <w:ind w:left="1080"/>
        <w:jc w:val="both"/>
        <w:rPr>
          <w:rFonts w:ascii="Arial" w:hAnsi="Arial" w:cs="Arial"/>
          <w:sz w:val="22"/>
          <w:szCs w:val="22"/>
          <w:lang w:val="fr-FR"/>
        </w:rPr>
      </w:pPr>
      <w:r w:rsidRPr="006F458B">
        <w:rPr>
          <w:rFonts w:ascii="Arial" w:hAnsi="Arial" w:cs="Arial"/>
          <w:sz w:val="22"/>
          <w:szCs w:val="22"/>
          <w:lang w:val="fr-FR"/>
        </w:rPr>
        <w:t xml:space="preserve">(ii) élaborer des </w:t>
      </w:r>
      <w:r w:rsidRPr="004F2D95">
        <w:rPr>
          <w:rStyle w:val="Strong"/>
          <w:rFonts w:ascii="Arial" w:eastAsiaTheme="majorEastAsia" w:hAnsi="Arial" w:cs="Arial"/>
          <w:b w:val="0"/>
          <w:bCs w:val="0"/>
          <w:sz w:val="22"/>
          <w:szCs w:val="22"/>
          <w:lang w:val="fr-FR"/>
        </w:rPr>
        <w:t>actions concertées</w:t>
      </w:r>
      <w:r w:rsidRPr="004F2D95">
        <w:rPr>
          <w:rFonts w:ascii="Arial" w:hAnsi="Arial" w:cs="Arial"/>
          <w:b/>
          <w:bCs/>
          <w:sz w:val="22"/>
          <w:szCs w:val="22"/>
          <w:lang w:val="fr-FR"/>
        </w:rPr>
        <w:t>,</w:t>
      </w:r>
      <w:r w:rsidRPr="006F458B">
        <w:rPr>
          <w:rFonts w:ascii="Arial" w:hAnsi="Arial" w:cs="Arial"/>
          <w:b/>
          <w:sz w:val="22"/>
          <w:szCs w:val="22"/>
          <w:lang w:val="fr-FR"/>
        </w:rPr>
        <w:t xml:space="preserve"> </w:t>
      </w:r>
      <w:r w:rsidRPr="006F458B">
        <w:rPr>
          <w:rFonts w:ascii="Arial" w:hAnsi="Arial" w:cs="Arial"/>
          <w:sz w:val="22"/>
          <w:szCs w:val="22"/>
          <w:lang w:val="fr-FR"/>
        </w:rPr>
        <w:t>des</w:t>
      </w:r>
      <w:r w:rsidRPr="006F458B">
        <w:rPr>
          <w:rFonts w:ascii="Arial" w:hAnsi="Arial" w:cs="Arial"/>
          <w:b/>
          <w:sz w:val="22"/>
          <w:szCs w:val="22"/>
          <w:lang w:val="fr-FR"/>
        </w:rPr>
        <w:t xml:space="preserve"> </w:t>
      </w:r>
      <w:r w:rsidRPr="004F2D95">
        <w:rPr>
          <w:rStyle w:val="Strong"/>
          <w:rFonts w:ascii="Arial" w:eastAsiaTheme="majorEastAsia" w:hAnsi="Arial" w:cs="Arial"/>
          <w:b w:val="0"/>
          <w:bCs w:val="0"/>
          <w:sz w:val="22"/>
          <w:szCs w:val="22"/>
          <w:lang w:val="fr-FR"/>
        </w:rPr>
        <w:t>plans d’action ou des MdE</w:t>
      </w:r>
      <w:r w:rsidRPr="006F458B">
        <w:rPr>
          <w:rFonts w:ascii="Arial" w:hAnsi="Arial" w:cs="Arial"/>
          <w:sz w:val="22"/>
          <w:szCs w:val="22"/>
          <w:lang w:val="fr-FR"/>
        </w:rPr>
        <w:t xml:space="preserve"> pour les espèces inscrites (par exemple, les poissons-chats dans le bassin de l’Amazone ; les espèces d’esturgeons inscrites), avec des plans de travail clairs et des structures de conseil technique ; </w:t>
      </w:r>
    </w:p>
    <w:p w14:paraId="3E2F264A" w14:textId="77777777" w:rsidR="004F2D95" w:rsidRPr="006F458B" w:rsidRDefault="004F2D95" w:rsidP="004F2D95">
      <w:pPr>
        <w:pStyle w:val="NormalWeb"/>
        <w:numPr>
          <w:ilvl w:val="1"/>
          <w:numId w:val="31"/>
        </w:numPr>
        <w:tabs>
          <w:tab w:val="clear" w:pos="1440"/>
          <w:tab w:val="num" w:pos="1080"/>
        </w:tabs>
        <w:spacing w:before="0" w:beforeAutospacing="0" w:after="0" w:afterAutospacing="0"/>
        <w:ind w:left="1080" w:hanging="357"/>
        <w:jc w:val="both"/>
        <w:rPr>
          <w:rFonts w:ascii="Arial" w:hAnsi="Arial" w:cs="Arial"/>
          <w:sz w:val="22"/>
          <w:szCs w:val="22"/>
          <w:lang w:val="fr-FR"/>
        </w:rPr>
      </w:pPr>
      <w:r w:rsidRPr="006F458B">
        <w:rPr>
          <w:rFonts w:ascii="Arial" w:hAnsi="Arial" w:cs="Arial"/>
          <w:sz w:val="22"/>
          <w:szCs w:val="22"/>
          <w:lang w:val="fr-FR"/>
        </w:rPr>
        <w:t>(iii) intégrer les poissons d’eau douce dans les décisions, résolutions, groupes de travail et produits transversaux de la CMS afin de favoriser la connectivité et de réduire les impacts liés aux prises accessoires et aux infrastructures.</w:t>
      </w:r>
    </w:p>
    <w:p w14:paraId="31B3F42F" w14:textId="77777777" w:rsidR="009672C2" w:rsidRPr="004F2D95" w:rsidRDefault="009672C2">
      <w:pPr>
        <w:pStyle w:val="Heading1"/>
        <w:spacing w:before="0" w:line="240" w:lineRule="auto"/>
        <w:rPr>
          <w:sz w:val="22"/>
          <w:szCs w:val="22"/>
          <w:lang w:val="fr-FR"/>
        </w:rPr>
      </w:pPr>
    </w:p>
    <w:p w14:paraId="5FAB8B76" w14:textId="77777777" w:rsidR="009672C2" w:rsidRPr="00036694" w:rsidRDefault="002A409C">
      <w:pPr>
        <w:pStyle w:val="Heading1"/>
        <w:spacing w:before="0" w:line="240" w:lineRule="auto"/>
        <w:rPr>
          <w:sz w:val="22"/>
          <w:szCs w:val="22"/>
          <w:lang w:val="fr-FR"/>
        </w:rPr>
      </w:pPr>
      <w:bookmarkStart w:id="1" w:name="_Toc214450234"/>
      <w:r w:rsidRPr="00036694">
        <w:rPr>
          <w:sz w:val="22"/>
          <w:szCs w:val="22"/>
          <w:lang w:val="fr-FR"/>
        </w:rPr>
        <w:t>GLOSSAIRE</w:t>
      </w:r>
      <w:bookmarkEnd w:id="1"/>
    </w:p>
    <w:p w14:paraId="53120648" w14:textId="77777777" w:rsidR="009672C2" w:rsidRPr="00036694" w:rsidRDefault="009672C2">
      <w:pPr>
        <w:spacing w:after="0" w:line="240" w:lineRule="auto"/>
        <w:rPr>
          <w:lang w:val="fr-FR"/>
        </w:rPr>
      </w:pPr>
    </w:p>
    <w:tbl>
      <w:tblPr>
        <w:tblStyle w:val="TableGrid"/>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6946"/>
      </w:tblGrid>
      <w:tr w:rsidR="009672C2" w:rsidRPr="00321888" w14:paraId="2311D66F" w14:textId="77777777">
        <w:tc>
          <w:tcPr>
            <w:tcW w:w="2376" w:type="dxa"/>
          </w:tcPr>
          <w:p w14:paraId="7587DEE1" w14:textId="77777777" w:rsidR="009672C2" w:rsidRPr="00036694" w:rsidRDefault="002A409C">
            <w:pPr>
              <w:spacing w:before="240" w:line="276" w:lineRule="auto"/>
              <w:rPr>
                <w:rFonts w:ascii="Arial" w:hAnsi="Arial" w:cs="Arial"/>
                <w:color w:val="000000" w:themeColor="text1"/>
                <w:sz w:val="20"/>
                <w:szCs w:val="20"/>
                <w:lang w:val="fr-FR"/>
              </w:rPr>
            </w:pPr>
            <w:r w:rsidRPr="00036694">
              <w:rPr>
                <w:rFonts w:ascii="Arial" w:hAnsi="Arial" w:cs="Arial"/>
                <w:color w:val="000000" w:themeColor="text1"/>
                <w:sz w:val="20"/>
                <w:szCs w:val="20"/>
                <w:lang w:val="fr-FR"/>
              </w:rPr>
              <w:t>amphidromes</w:t>
            </w:r>
          </w:p>
        </w:tc>
        <w:tc>
          <w:tcPr>
            <w:tcW w:w="6946" w:type="dxa"/>
          </w:tcPr>
          <w:p w14:paraId="787E5F10" w14:textId="77777777" w:rsidR="009672C2" w:rsidRPr="00036694" w:rsidRDefault="002A409C">
            <w:pPr>
              <w:spacing w:before="240" w:line="276" w:lineRule="auto"/>
              <w:rPr>
                <w:rFonts w:ascii="Arial" w:hAnsi="Arial" w:cs="Arial"/>
                <w:color w:val="000000" w:themeColor="text1"/>
                <w:sz w:val="20"/>
                <w:szCs w:val="20"/>
                <w:lang w:val="fr-FR"/>
              </w:rPr>
            </w:pPr>
            <w:r w:rsidRPr="00036694">
              <w:rPr>
                <w:rFonts w:ascii="Arial" w:hAnsi="Arial" w:cs="Arial"/>
                <w:sz w:val="20"/>
                <w:szCs w:val="20"/>
                <w:lang w:val="fr-FR"/>
              </w:rPr>
              <w:t>Poissons qui se déplacent régulièrement entre l'eau douce et la mer à des fins autres que la reproduction.</w:t>
            </w:r>
          </w:p>
        </w:tc>
      </w:tr>
      <w:tr w:rsidR="009672C2" w:rsidRPr="00321888" w14:paraId="7E36A06E" w14:textId="77777777">
        <w:tc>
          <w:tcPr>
            <w:tcW w:w="2376" w:type="dxa"/>
          </w:tcPr>
          <w:p w14:paraId="7E5C3045" w14:textId="77777777" w:rsidR="009672C2" w:rsidRPr="00036694" w:rsidRDefault="002A409C">
            <w:pPr>
              <w:spacing w:before="240" w:line="276" w:lineRule="auto"/>
              <w:rPr>
                <w:rFonts w:ascii="Arial" w:hAnsi="Arial" w:cs="Arial"/>
                <w:color w:val="000000" w:themeColor="text1"/>
                <w:sz w:val="20"/>
                <w:szCs w:val="20"/>
                <w:lang w:val="fr-FR"/>
              </w:rPr>
            </w:pPr>
            <w:r w:rsidRPr="00036694">
              <w:rPr>
                <w:rFonts w:ascii="Arial" w:hAnsi="Arial" w:cs="Arial"/>
                <w:sz w:val="20"/>
                <w:szCs w:val="20"/>
                <w:lang w:val="fr-FR"/>
              </w:rPr>
              <w:t>anadromes</w:t>
            </w:r>
          </w:p>
        </w:tc>
        <w:tc>
          <w:tcPr>
            <w:tcW w:w="6946" w:type="dxa"/>
          </w:tcPr>
          <w:p w14:paraId="31B4C000" w14:textId="77777777" w:rsidR="009672C2" w:rsidRPr="00036694" w:rsidRDefault="002A409C">
            <w:pPr>
              <w:spacing w:before="240" w:line="276" w:lineRule="auto"/>
              <w:rPr>
                <w:rFonts w:ascii="Arial" w:hAnsi="Arial" w:cs="Arial"/>
                <w:sz w:val="20"/>
                <w:szCs w:val="20"/>
                <w:lang w:val="fr-FR"/>
              </w:rPr>
            </w:pPr>
            <w:r w:rsidRPr="00036694">
              <w:rPr>
                <w:rFonts w:ascii="Arial" w:hAnsi="Arial" w:cs="Arial"/>
                <w:color w:val="000000" w:themeColor="text1"/>
                <w:sz w:val="20"/>
                <w:szCs w:val="20"/>
                <w:lang w:val="fr-FR"/>
              </w:rPr>
              <w:t>Poissons qui passent la majeure partie de leur vie dans la mer mais qui se reproduisent en eau douce.</w:t>
            </w:r>
          </w:p>
        </w:tc>
      </w:tr>
      <w:tr w:rsidR="009672C2" w:rsidRPr="00321888" w14:paraId="77E48662" w14:textId="77777777">
        <w:tc>
          <w:tcPr>
            <w:tcW w:w="2376" w:type="dxa"/>
          </w:tcPr>
          <w:p w14:paraId="10B59366" w14:textId="77777777" w:rsidR="009672C2" w:rsidRPr="00036694" w:rsidRDefault="002A409C">
            <w:pPr>
              <w:spacing w:before="240" w:line="276" w:lineRule="auto"/>
              <w:rPr>
                <w:rFonts w:ascii="Arial" w:hAnsi="Arial" w:cs="Arial"/>
                <w:color w:val="000000" w:themeColor="text1"/>
                <w:sz w:val="20"/>
                <w:szCs w:val="20"/>
                <w:lang w:val="fr-FR"/>
              </w:rPr>
            </w:pPr>
            <w:r w:rsidRPr="00036694">
              <w:rPr>
                <w:rFonts w:ascii="Arial" w:hAnsi="Arial" w:cs="Arial"/>
                <w:color w:val="000000" w:themeColor="text1"/>
                <w:sz w:val="20"/>
                <w:szCs w:val="20"/>
                <w:lang w:val="fr-FR"/>
              </w:rPr>
              <w:t>catadromes</w:t>
            </w:r>
          </w:p>
        </w:tc>
        <w:tc>
          <w:tcPr>
            <w:tcW w:w="6946" w:type="dxa"/>
          </w:tcPr>
          <w:p w14:paraId="20E47836" w14:textId="77777777" w:rsidR="009672C2" w:rsidRPr="00036694" w:rsidRDefault="002A409C">
            <w:pPr>
              <w:spacing w:before="240" w:line="276" w:lineRule="auto"/>
              <w:rPr>
                <w:rFonts w:ascii="Arial" w:hAnsi="Arial" w:cs="Arial"/>
                <w:color w:val="000000" w:themeColor="text1"/>
                <w:sz w:val="20"/>
                <w:szCs w:val="20"/>
                <w:lang w:val="fr-FR"/>
              </w:rPr>
            </w:pPr>
            <w:r w:rsidRPr="00036694">
              <w:rPr>
                <w:rFonts w:ascii="Arial" w:hAnsi="Arial" w:cs="Arial"/>
                <w:color w:val="000000" w:themeColor="text1"/>
                <w:sz w:val="20"/>
                <w:szCs w:val="20"/>
                <w:lang w:val="fr-FR"/>
              </w:rPr>
              <w:t>Poissons qui passent la majeure partie de leur vie en eau douce, mais qui se reproduisent en mer.</w:t>
            </w:r>
          </w:p>
        </w:tc>
      </w:tr>
      <w:tr w:rsidR="009672C2" w:rsidRPr="00321888" w14:paraId="79405A70" w14:textId="77777777">
        <w:tc>
          <w:tcPr>
            <w:tcW w:w="2376" w:type="dxa"/>
          </w:tcPr>
          <w:p w14:paraId="1504447B" w14:textId="77777777" w:rsidR="009672C2" w:rsidRPr="00036694" w:rsidRDefault="002A409C">
            <w:pPr>
              <w:spacing w:before="240" w:line="276" w:lineRule="auto"/>
              <w:rPr>
                <w:rFonts w:ascii="Arial" w:hAnsi="Arial" w:cs="Arial"/>
                <w:color w:val="000000" w:themeColor="text1"/>
                <w:sz w:val="20"/>
                <w:szCs w:val="20"/>
                <w:lang w:val="fr-FR"/>
              </w:rPr>
            </w:pPr>
            <w:r w:rsidRPr="00036694">
              <w:rPr>
                <w:rFonts w:ascii="Arial" w:hAnsi="Arial" w:cs="Arial"/>
                <w:color w:val="000000" w:themeColor="text1"/>
                <w:sz w:val="20"/>
                <w:szCs w:val="20"/>
                <w:lang w:val="fr-FR"/>
              </w:rPr>
              <w:t>diadromes</w:t>
            </w:r>
          </w:p>
        </w:tc>
        <w:tc>
          <w:tcPr>
            <w:tcW w:w="6946" w:type="dxa"/>
          </w:tcPr>
          <w:p w14:paraId="5FC3E54B" w14:textId="77777777" w:rsidR="009672C2" w:rsidRPr="00036694" w:rsidRDefault="002A409C">
            <w:pPr>
              <w:spacing w:before="240" w:line="276" w:lineRule="auto"/>
              <w:rPr>
                <w:rFonts w:ascii="Arial" w:hAnsi="Arial" w:cs="Arial"/>
                <w:color w:val="000000" w:themeColor="text1"/>
                <w:sz w:val="20"/>
                <w:szCs w:val="20"/>
                <w:lang w:val="fr-FR"/>
              </w:rPr>
            </w:pPr>
            <w:r w:rsidRPr="00036694">
              <w:rPr>
                <w:rFonts w:ascii="Arial" w:hAnsi="Arial" w:cs="Arial"/>
                <w:color w:val="000000" w:themeColor="text1"/>
                <w:sz w:val="20"/>
                <w:szCs w:val="20"/>
                <w:lang w:val="fr-FR"/>
              </w:rPr>
              <w:t>Tous les poissons qui migrent entre la mer et l'eau douce.</w:t>
            </w:r>
          </w:p>
        </w:tc>
      </w:tr>
      <w:tr w:rsidR="009672C2" w:rsidRPr="00036694" w14:paraId="06ED7595" w14:textId="77777777">
        <w:tc>
          <w:tcPr>
            <w:tcW w:w="2376" w:type="dxa"/>
          </w:tcPr>
          <w:p w14:paraId="34DA85FB" w14:textId="77777777" w:rsidR="009672C2" w:rsidRPr="00036694" w:rsidRDefault="002A409C">
            <w:pPr>
              <w:spacing w:before="240" w:line="276" w:lineRule="auto"/>
              <w:rPr>
                <w:rFonts w:ascii="Arial" w:hAnsi="Arial" w:cs="Arial"/>
                <w:color w:val="000000" w:themeColor="text1"/>
                <w:sz w:val="20"/>
                <w:szCs w:val="20"/>
                <w:lang w:val="fr-FR"/>
              </w:rPr>
            </w:pPr>
            <w:r w:rsidRPr="00036694">
              <w:rPr>
                <w:rFonts w:ascii="Arial" w:hAnsi="Arial" w:cs="Arial"/>
                <w:color w:val="000000" w:themeColor="text1"/>
                <w:sz w:val="20"/>
                <w:szCs w:val="20"/>
                <w:lang w:val="fr-FR"/>
              </w:rPr>
              <w:t>espèces panmictiques</w:t>
            </w:r>
          </w:p>
        </w:tc>
        <w:tc>
          <w:tcPr>
            <w:tcW w:w="6946" w:type="dxa"/>
          </w:tcPr>
          <w:p w14:paraId="3E52BB6F" w14:textId="77777777" w:rsidR="009672C2" w:rsidRPr="00036694" w:rsidRDefault="002A409C">
            <w:pPr>
              <w:spacing w:before="240" w:line="276" w:lineRule="auto"/>
              <w:rPr>
                <w:rFonts w:ascii="Arial" w:hAnsi="Arial" w:cs="Arial"/>
                <w:color w:val="000000" w:themeColor="text1"/>
                <w:sz w:val="20"/>
                <w:szCs w:val="20"/>
                <w:lang w:val="fr-FR"/>
              </w:rPr>
            </w:pPr>
            <w:r w:rsidRPr="00036694">
              <w:rPr>
                <w:rFonts w:ascii="Arial" w:hAnsi="Arial" w:cs="Arial"/>
                <w:color w:val="000000" w:themeColor="text1"/>
                <w:sz w:val="20"/>
                <w:szCs w:val="20"/>
                <w:lang w:val="fr-FR"/>
              </w:rPr>
              <w:t>Espèces où l'accouplement se fait de manière aléatoire, sans aucune restriction géographique, sociale ou génétique. Tous les individus sont des partenaires potentiels.</w:t>
            </w:r>
          </w:p>
        </w:tc>
      </w:tr>
      <w:tr w:rsidR="009672C2" w:rsidRPr="00321888" w14:paraId="0A96AF9C" w14:textId="77777777">
        <w:tc>
          <w:tcPr>
            <w:tcW w:w="2376" w:type="dxa"/>
          </w:tcPr>
          <w:p w14:paraId="5EC489F4" w14:textId="77777777" w:rsidR="009672C2" w:rsidRPr="00036694" w:rsidRDefault="002A409C">
            <w:pPr>
              <w:spacing w:before="240" w:line="276" w:lineRule="auto"/>
              <w:rPr>
                <w:rFonts w:ascii="Arial" w:hAnsi="Arial" w:cs="Arial"/>
                <w:color w:val="000000" w:themeColor="text1"/>
                <w:sz w:val="20"/>
                <w:szCs w:val="20"/>
                <w:lang w:val="fr-FR"/>
              </w:rPr>
            </w:pPr>
            <w:r w:rsidRPr="00036694">
              <w:rPr>
                <w:rFonts w:ascii="Arial" w:hAnsi="Arial" w:cs="Arial"/>
                <w:color w:val="000000" w:themeColor="text1"/>
                <w:sz w:val="20"/>
                <w:szCs w:val="20"/>
                <w:lang w:val="fr-FR"/>
              </w:rPr>
              <w:t>potamodromes</w:t>
            </w:r>
          </w:p>
        </w:tc>
        <w:tc>
          <w:tcPr>
            <w:tcW w:w="6946" w:type="dxa"/>
          </w:tcPr>
          <w:p w14:paraId="34ED31A7" w14:textId="77777777" w:rsidR="009672C2" w:rsidRPr="00036694" w:rsidRDefault="002A409C">
            <w:pPr>
              <w:spacing w:before="240" w:line="276" w:lineRule="auto"/>
              <w:rPr>
                <w:rFonts w:ascii="Arial" w:hAnsi="Arial" w:cs="Arial"/>
                <w:color w:val="000000" w:themeColor="text1"/>
                <w:sz w:val="20"/>
                <w:szCs w:val="20"/>
                <w:lang w:val="fr-FR"/>
              </w:rPr>
            </w:pPr>
            <w:r w:rsidRPr="00036694">
              <w:rPr>
                <w:rFonts w:ascii="Arial" w:hAnsi="Arial" w:cs="Arial"/>
                <w:color w:val="000000" w:themeColor="text1"/>
                <w:sz w:val="20"/>
                <w:szCs w:val="20"/>
                <w:lang w:val="fr-FR"/>
              </w:rPr>
              <w:t>Poissons qui migrent exclusivement en eau douce.</w:t>
            </w:r>
          </w:p>
        </w:tc>
      </w:tr>
    </w:tbl>
    <w:p w14:paraId="51DBA247" w14:textId="77777777" w:rsidR="009672C2" w:rsidRPr="00036694" w:rsidRDefault="009672C2">
      <w:pPr>
        <w:rPr>
          <w:rFonts w:asciiTheme="minorHAnsi" w:hAnsiTheme="minorHAnsi" w:cstheme="minorHAnsi"/>
          <w:sz w:val="22"/>
          <w:lang w:val="fr-FR"/>
        </w:rPr>
      </w:pPr>
    </w:p>
    <w:p w14:paraId="392AF4D1" w14:textId="77777777" w:rsidR="009672C2" w:rsidRPr="00321888" w:rsidRDefault="002A409C">
      <w:pPr>
        <w:pStyle w:val="Heading1"/>
        <w:ind w:left="567" w:hanging="567"/>
        <w:rPr>
          <w:sz w:val="22"/>
          <w:szCs w:val="22"/>
          <w:lang w:val="fr-FR"/>
        </w:rPr>
      </w:pPr>
      <w:bookmarkStart w:id="2" w:name="_Toc214450235"/>
      <w:r w:rsidRPr="00321888">
        <w:rPr>
          <w:sz w:val="22"/>
          <w:szCs w:val="22"/>
          <w:lang w:val="fr-FR"/>
        </w:rPr>
        <w:lastRenderedPageBreak/>
        <w:t xml:space="preserve">1 </w:t>
      </w:r>
      <w:r w:rsidRPr="00321888">
        <w:rPr>
          <w:sz w:val="22"/>
          <w:szCs w:val="22"/>
          <w:lang w:val="fr-FR"/>
        </w:rPr>
        <w:tab/>
        <w:t>INTRODUCTION</w:t>
      </w:r>
      <w:bookmarkEnd w:id="2"/>
    </w:p>
    <w:p w14:paraId="3FFED22A" w14:textId="77777777" w:rsidR="009672C2" w:rsidRPr="00036694" w:rsidRDefault="009672C2">
      <w:pPr>
        <w:spacing w:after="0" w:line="240" w:lineRule="auto"/>
        <w:rPr>
          <w:lang w:val="fr-FR"/>
        </w:rPr>
      </w:pPr>
    </w:p>
    <w:p w14:paraId="2DD15FBD" w14:textId="77777777" w:rsidR="009672C2" w:rsidRPr="00036694" w:rsidRDefault="002A409C">
      <w:pPr>
        <w:pStyle w:val="NoSpacing"/>
        <w:ind w:left="567" w:hanging="567"/>
        <w:rPr>
          <w:rStyle w:val="Heading2Char"/>
          <w:rFonts w:ascii="Arial" w:hAnsi="Arial" w:cs="Arial"/>
          <w:b w:val="0"/>
          <w:bCs w:val="0"/>
          <w:sz w:val="22"/>
          <w:szCs w:val="22"/>
          <w:lang w:val="fr-FR"/>
        </w:rPr>
      </w:pPr>
      <w:bookmarkStart w:id="3" w:name="_Toc214450236"/>
      <w:r w:rsidRPr="00036694">
        <w:rPr>
          <w:rStyle w:val="Heading2Char"/>
          <w:rFonts w:ascii="Arial" w:hAnsi="Arial" w:cs="Arial"/>
          <w:b w:val="0"/>
          <w:bCs w:val="0"/>
          <w:sz w:val="22"/>
          <w:szCs w:val="22"/>
          <w:lang w:val="fr-FR"/>
        </w:rPr>
        <w:t xml:space="preserve">1.1 </w:t>
      </w:r>
      <w:r w:rsidRPr="00036694">
        <w:rPr>
          <w:rStyle w:val="Heading2Char"/>
          <w:rFonts w:ascii="Arial" w:hAnsi="Arial" w:cs="Arial"/>
          <w:b w:val="0"/>
          <w:bCs w:val="0"/>
          <w:sz w:val="22"/>
          <w:szCs w:val="22"/>
          <w:lang w:val="fr-FR"/>
        </w:rPr>
        <w:tab/>
        <w:t>Contexte</w:t>
      </w:r>
      <w:bookmarkEnd w:id="3"/>
    </w:p>
    <w:p w14:paraId="54529E44" w14:textId="77777777" w:rsidR="009672C2" w:rsidRPr="00036694" w:rsidRDefault="009672C2">
      <w:pPr>
        <w:pStyle w:val="NoSpacing"/>
        <w:jc w:val="both"/>
        <w:rPr>
          <w:rFonts w:ascii="Arial" w:hAnsi="Arial" w:cs="Arial"/>
          <w:color w:val="000000" w:themeColor="text1"/>
          <w:sz w:val="22"/>
          <w:lang w:val="fr-FR"/>
        </w:rPr>
      </w:pPr>
    </w:p>
    <w:p w14:paraId="008E70EC" w14:textId="77777777"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Les Annexes I et II de la Convention sur la conservation des espèces migratrices appartenant à la faune sauvage (CMS) comprennent actuellement 23 espèces de poissons d'eau douce, dont l'anguille européenne (</w:t>
      </w:r>
      <w:r w:rsidRPr="00036694">
        <w:rPr>
          <w:rFonts w:ascii="Arial" w:hAnsi="Arial" w:cs="Arial"/>
          <w:i/>
          <w:iCs/>
          <w:color w:val="000000" w:themeColor="text1"/>
          <w:sz w:val="22"/>
          <w:lang w:val="fr-FR"/>
        </w:rPr>
        <w:t>Anguilla anguilla</w:t>
      </w:r>
      <w:r w:rsidRPr="00036694">
        <w:rPr>
          <w:rFonts w:ascii="Arial" w:hAnsi="Arial" w:cs="Arial"/>
          <w:color w:val="000000" w:themeColor="text1"/>
          <w:sz w:val="22"/>
          <w:lang w:val="fr-FR"/>
        </w:rPr>
        <w:t>) ; trois silures : le silure de verre géant du Mékong (</w:t>
      </w:r>
      <w:r w:rsidRPr="00036694">
        <w:rPr>
          <w:rFonts w:ascii="Arial" w:hAnsi="Arial" w:cs="Arial"/>
          <w:i/>
          <w:iCs/>
          <w:color w:val="000000" w:themeColor="text1"/>
          <w:sz w:val="22"/>
          <w:lang w:val="fr-FR"/>
        </w:rPr>
        <w:t>Pangasianodon gigas</w:t>
      </w:r>
      <w:r w:rsidRPr="00036694">
        <w:rPr>
          <w:rFonts w:ascii="Arial" w:hAnsi="Arial" w:cs="Arial"/>
          <w:color w:val="000000" w:themeColor="text1"/>
          <w:sz w:val="22"/>
          <w:lang w:val="fr-FR"/>
        </w:rPr>
        <w:t>), le silure doré (</w:t>
      </w:r>
      <w:r w:rsidRPr="00036694">
        <w:rPr>
          <w:rFonts w:ascii="Arial" w:hAnsi="Arial" w:cs="Arial"/>
          <w:i/>
          <w:iCs/>
          <w:color w:val="000000" w:themeColor="text1"/>
          <w:sz w:val="22"/>
          <w:lang w:val="fr-FR"/>
        </w:rPr>
        <w:t>Brachyplatystoma rousseauxii</w:t>
      </w:r>
      <w:r w:rsidRPr="00036694">
        <w:rPr>
          <w:rFonts w:ascii="Arial" w:hAnsi="Arial" w:cs="Arial"/>
          <w:color w:val="000000" w:themeColor="text1"/>
          <w:sz w:val="22"/>
          <w:lang w:val="fr-FR"/>
        </w:rPr>
        <w:t>) et le silure laulao (</w:t>
      </w:r>
      <w:r w:rsidRPr="00036694">
        <w:rPr>
          <w:rFonts w:ascii="Arial" w:hAnsi="Arial" w:cs="Arial"/>
          <w:i/>
          <w:iCs/>
          <w:color w:val="000000" w:themeColor="text1"/>
          <w:sz w:val="22"/>
          <w:lang w:val="fr-FR"/>
        </w:rPr>
        <w:t>Brachyplatystoma vaillantii</w:t>
      </w:r>
      <w:r w:rsidRPr="00036694">
        <w:rPr>
          <w:rFonts w:ascii="Arial" w:hAnsi="Arial" w:cs="Arial"/>
          <w:color w:val="000000" w:themeColor="text1"/>
          <w:sz w:val="22"/>
          <w:lang w:val="fr-FR"/>
        </w:rPr>
        <w:t>) ; ainsi que 19 espèces d'Acipensériformes (esturgeons et poissons spatules). L'esturgeon européen (</w:t>
      </w:r>
      <w:r w:rsidRPr="00036694">
        <w:rPr>
          <w:rFonts w:ascii="Arial" w:hAnsi="Arial" w:cs="Arial"/>
          <w:i/>
          <w:iCs/>
          <w:color w:val="000000" w:themeColor="text1"/>
          <w:sz w:val="22"/>
          <w:lang w:val="fr-FR"/>
        </w:rPr>
        <w:t>Acipenser sturio)</w:t>
      </w:r>
      <w:r w:rsidRPr="00036694">
        <w:rPr>
          <w:rFonts w:ascii="Arial" w:hAnsi="Arial" w:cs="Arial"/>
          <w:color w:val="000000" w:themeColor="text1"/>
          <w:sz w:val="22"/>
          <w:lang w:val="fr-FR"/>
        </w:rPr>
        <w:t xml:space="preserve"> et le Silure de verre géant du Mékong sont inscrits à l'Annexe I. Les 21 autres espèces de poissons d'eau douce sont inscrites à l'Annexe II.</w:t>
      </w:r>
    </w:p>
    <w:p w14:paraId="738EB585" w14:textId="77777777" w:rsidR="009672C2" w:rsidRPr="00036694" w:rsidRDefault="009672C2">
      <w:pPr>
        <w:pStyle w:val="NoSpacing"/>
        <w:jc w:val="both"/>
        <w:rPr>
          <w:rFonts w:ascii="Arial" w:hAnsi="Arial" w:cs="Arial"/>
          <w:color w:val="000000" w:themeColor="text1"/>
          <w:sz w:val="22"/>
          <w:lang w:val="fr-FR"/>
        </w:rPr>
      </w:pPr>
    </w:p>
    <w:p w14:paraId="44D69A77" w14:textId="77777777"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Les Parties à la CMS, reconnaissant l'importance des poissons migrateurs d'eau douce ainsi que les multiples menaces qui pèsent sur leurs populations et leurs écosystèmes, ont appelé à des mesures renforcées pour leur protection. Dans le cadre de cet effort, le Secrétariat de la CMS a lancé un examen de l'état de conservation des poissons migrateurs d'eau douce afin de déterminer l'état actuel des connaissances et d'identifier les espèces qui pourraient bénéficier d'une inscription aux Annexes de la CMS.</w:t>
      </w:r>
    </w:p>
    <w:p w14:paraId="77F0A2DD" w14:textId="77777777" w:rsidR="009672C2" w:rsidRPr="00036694" w:rsidRDefault="009672C2">
      <w:pPr>
        <w:pStyle w:val="NoSpacing"/>
        <w:jc w:val="both"/>
        <w:rPr>
          <w:rFonts w:ascii="Arial" w:hAnsi="Arial" w:cs="Arial"/>
          <w:color w:val="000000" w:themeColor="text1"/>
          <w:sz w:val="22"/>
          <w:lang w:val="fr-FR"/>
        </w:rPr>
      </w:pPr>
    </w:p>
    <w:p w14:paraId="65A4FE1B" w14:textId="7C06B721"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La revue originale de la CMS sur les poissons migrateurs d'eau douce a été publiée en 2011 (</w:t>
      </w:r>
      <w:hyperlink r:id="rId16" w:history="1">
        <w:r w:rsidRPr="00036694">
          <w:rPr>
            <w:rStyle w:val="Hyperlink"/>
            <w:rFonts w:ascii="Arial" w:hAnsi="Arial" w:cs="Arial"/>
            <w:sz w:val="22"/>
            <w:lang w:val="fr-FR"/>
          </w:rPr>
          <w:t>UNEP/CMS/Inf.10.33</w:t>
        </w:r>
      </w:hyperlink>
      <w:r w:rsidRPr="00036694">
        <w:rPr>
          <w:rFonts w:ascii="Arial" w:hAnsi="Arial" w:cs="Arial"/>
          <w:color w:val="000000" w:themeColor="text1"/>
          <w:sz w:val="22"/>
          <w:lang w:val="fr-FR"/>
        </w:rPr>
        <w:t>). Depuis lors, beaucoup plus d'informations sont disponibles sur le comportement migratoire et l'état de conservation. En 2011, environ 3 000 espèces de poissons d'eau douce avaient été évaluées par la Liste rouge de l'UICN ; aujourd'hui, près de 15 000 espèces ont été évaluées. Cette évaluation s'appuie également sur un récent ensemble de données mondiales sur les poissons migrateurs d'eau douce, compilées par des experts du monde entier. En réponse à la décision 14.112(a) de la COP14, qui demandait au Conseil scientifique de mettre à jour l'examen figurant dans le document UNEP/CMS/Inf.10.33, une réévaluation majeure a été entreprise ; ce rapport en résume les résultats.</w:t>
      </w:r>
    </w:p>
    <w:p w14:paraId="05B53B89" w14:textId="77777777" w:rsidR="009672C2" w:rsidRPr="00036694" w:rsidRDefault="009672C2">
      <w:pPr>
        <w:pStyle w:val="NoSpacing"/>
        <w:jc w:val="both"/>
        <w:rPr>
          <w:rFonts w:ascii="Arial" w:hAnsi="Arial" w:cs="Arial"/>
          <w:color w:val="000000" w:themeColor="text1"/>
          <w:sz w:val="22"/>
          <w:lang w:val="fr-FR"/>
        </w:rPr>
      </w:pPr>
    </w:p>
    <w:p w14:paraId="14B9B590" w14:textId="77777777"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Une note d'information de l'UICN préparée pour la COP14 (janvier 2024) présente un examen concis des poissons d'eau douce « d'intérêt potentiel pour l'inclusion dans la CMS ». En utilisant la Liste rouge de l'UICN (v2023-1), l'analyse a examiné 14 898 poissons d'eau douce, identifié 1 183 taxons dont les codes de mouvement de l'UICN indiquent une migration, et mis en évidence 891 espèces migratrices présentes dans deux pays ou plus, dont 87 sont menacées (CR, EN, VU). La note résume les tendances taxonomiques, géographiques et les menaces, et fait état d'importantes mises en garde, notamment le fait que de nombreuses espèces n'ont pas de code de déplacement et que la présence dans plusieurs pays ne confirme pas en soi les migrations transfrontalières.</w:t>
      </w:r>
    </w:p>
    <w:p w14:paraId="33771108" w14:textId="77777777" w:rsidR="009672C2" w:rsidRPr="00036694" w:rsidRDefault="009672C2">
      <w:pPr>
        <w:pStyle w:val="NoSpacing"/>
        <w:jc w:val="both"/>
        <w:rPr>
          <w:rFonts w:ascii="Arial" w:hAnsi="Arial" w:cs="Arial"/>
          <w:color w:val="000000" w:themeColor="text1"/>
          <w:sz w:val="22"/>
          <w:lang w:val="fr-FR"/>
        </w:rPr>
      </w:pPr>
    </w:p>
    <w:p w14:paraId="79D530D3" w14:textId="77777777"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Ce rapport de 2025 s'appuie sur l'examen de la CMS de 2011 ainsi que sur le document d'information de la COP14 (UNEP/CMS/COP14/Inf.27.7.2) et vise à établir une liste d'actions exploitables par la CMS, comme indiqué au chapitre 4.1 : Champ d'application et Approche.</w:t>
      </w:r>
    </w:p>
    <w:p w14:paraId="02BF1574" w14:textId="77777777" w:rsidR="009672C2" w:rsidRPr="00036694" w:rsidRDefault="009672C2">
      <w:pPr>
        <w:pStyle w:val="NoSpacing"/>
        <w:rPr>
          <w:rFonts w:ascii="Arial" w:eastAsia="Times New Roman" w:hAnsi="Arial" w:cs="Arial"/>
          <w:color w:val="000000" w:themeColor="text1"/>
          <w:sz w:val="22"/>
          <w:lang w:val="fr-FR"/>
        </w:rPr>
      </w:pPr>
    </w:p>
    <w:p w14:paraId="77A6ADEC" w14:textId="7681EE28" w:rsidR="009672C2" w:rsidRPr="004763D9" w:rsidRDefault="002A409C" w:rsidP="004763D9">
      <w:pPr>
        <w:pStyle w:val="NoSpacing"/>
        <w:ind w:left="567" w:hanging="567"/>
        <w:rPr>
          <w:rStyle w:val="Heading2Char"/>
          <w:rFonts w:ascii="Arial" w:hAnsi="Arial" w:cs="Arial"/>
          <w:b w:val="0"/>
          <w:bCs w:val="0"/>
          <w:sz w:val="22"/>
          <w:szCs w:val="22"/>
          <w:lang w:val="fr-FR"/>
        </w:rPr>
      </w:pPr>
      <w:bookmarkStart w:id="4" w:name="_Toc214450237"/>
      <w:r w:rsidRPr="004763D9">
        <w:rPr>
          <w:rStyle w:val="Heading2Char"/>
          <w:rFonts w:ascii="Arial" w:hAnsi="Arial" w:cs="Arial"/>
          <w:b w:val="0"/>
          <w:bCs w:val="0"/>
          <w:sz w:val="22"/>
          <w:szCs w:val="22"/>
          <w:lang w:val="fr-FR"/>
        </w:rPr>
        <w:t xml:space="preserve">1.2 </w:t>
      </w:r>
      <w:r w:rsidR="004763D9">
        <w:rPr>
          <w:rStyle w:val="Heading2Char"/>
          <w:rFonts w:ascii="Arial" w:hAnsi="Arial" w:cs="Arial"/>
          <w:b w:val="0"/>
          <w:bCs w:val="0"/>
          <w:sz w:val="22"/>
          <w:szCs w:val="22"/>
          <w:lang w:val="fr-FR"/>
        </w:rPr>
        <w:tab/>
      </w:r>
      <w:r w:rsidRPr="004763D9">
        <w:rPr>
          <w:rStyle w:val="Heading2Char"/>
          <w:rFonts w:ascii="Arial" w:hAnsi="Arial" w:cs="Arial"/>
          <w:b w:val="0"/>
          <w:bCs w:val="0"/>
          <w:sz w:val="22"/>
          <w:szCs w:val="22"/>
          <w:lang w:val="fr-FR"/>
        </w:rPr>
        <w:t>Justification</w:t>
      </w:r>
      <w:bookmarkEnd w:id="4"/>
    </w:p>
    <w:p w14:paraId="506B2C13" w14:textId="77777777" w:rsidR="009672C2" w:rsidRPr="00036694" w:rsidRDefault="009672C2">
      <w:pPr>
        <w:pStyle w:val="NoSpacing"/>
        <w:jc w:val="both"/>
        <w:rPr>
          <w:rFonts w:ascii="Arial" w:hAnsi="Arial" w:cs="Arial"/>
          <w:color w:val="000000" w:themeColor="text1"/>
          <w:sz w:val="22"/>
          <w:lang w:val="fr-FR"/>
        </w:rPr>
      </w:pPr>
    </w:p>
    <w:p w14:paraId="3A86B0B1" w14:textId="77777777" w:rsidR="009672C2"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Les poissons d'eau douce font partie des vertébrés les plus menacés (Dudgeon et al. 2006 ; Abell et al. 2007 ; Nilsson et al. 2005 ; Sayer et al. 2025). En Amérique du Nord, environ deux cinquièmes des poissons d'eau douce sont menacés, avec des taux d'extinction plusieurs centaines de fois supérieurs aux niveaux de contexte (général) (Jelks et al. 2008 ; Burkhead </w:t>
      </w:r>
      <w:r w:rsidRPr="00036694">
        <w:rPr>
          <w:rFonts w:ascii="Arial" w:hAnsi="Arial" w:cs="Arial"/>
          <w:color w:val="000000" w:themeColor="text1"/>
          <w:sz w:val="22"/>
          <w:lang w:val="fr-FR"/>
        </w:rPr>
        <w:lastRenderedPageBreak/>
        <w:t>2012). Les poissons d'eau douce de grande taille ont connu le déclin le plus marqué, les populations mondiales de mégafaune d'eau douce (y compris les méga-poissons) s'étant effondrées depuis 1970 (He et al. 2019). Les stocks migratoires transfrontaliers sont particulièrement en mauvais état - les poissons diadromes, par exemple, ont subi des extinctions locales généralisées et une réduction de leur abondance de &gt;90 % (Waldman et Quinn 2022).</w:t>
      </w:r>
    </w:p>
    <w:p w14:paraId="63B5DFB3" w14:textId="77777777" w:rsidR="004763D9" w:rsidRPr="00036694" w:rsidRDefault="004763D9">
      <w:pPr>
        <w:pStyle w:val="NoSpacing"/>
        <w:jc w:val="both"/>
        <w:rPr>
          <w:rFonts w:ascii="Arial" w:hAnsi="Arial" w:cs="Arial"/>
          <w:color w:val="000000" w:themeColor="text1"/>
          <w:sz w:val="22"/>
          <w:lang w:val="fr-FR"/>
        </w:rPr>
      </w:pPr>
    </w:p>
    <w:p w14:paraId="5C353D55" w14:textId="77777777"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Compte tenu de l'urgence de protéger les poissons migrateurs, il est impératif d'identifier les stocks transfrontaliers. L'ampleur de la question est considérable : selon Varis et al. (2008), il existe plus de 250 rivières et lacs transfrontaliers dans le monde et plus de 47 % des terres émergées se situent dans un bassin transfrontalier. Les bassins fluviaux transfrontaliers se trouvent sur tous les continents et englobent ensemble près de la moitié des terres émergées de la planète. En Amérique du Sud, de vastes régions se trouvent dans le bassin de l'Amazone et le bassin de La Plata (notamment les fleuves Paraná et Paraguay). En Europe, la plupart des grands fleuves sont transfrontaliers, notamment le Danube, le Rhin, l'Elbe et le Dniestr. Des schémas similaires se retrouvent en Afrique et en Asie, où le Nil, le Congo, le Niger, le Zambèze, le Mékong, le Gange-Brahmapoutre-Meghna, l'Indus, le Tigre-Euphrate, l'Amou-Daria et le Syr-Daria traversent les frontières. En Amérique du Nord, les fleuves Columbia, Grands Lacs–St. Laurent, Yukon, Colorado et Rio Grande relient les pays voisins. L'Australie et de nombreux États insulaires, en revanche, n'ont que peu ou pas de bassins transfrontaliers (figure 1). Plusieurs des plus grands fleuves du monde, notamment le Danube, le Nil et l'Amazone, traversent plusieurs pays et couvrent respectivement des portions importantes de l'Europe, de l'Afrique et de l'Amérique du Sud.</w:t>
      </w:r>
    </w:p>
    <w:p w14:paraId="017EC737" w14:textId="77777777" w:rsidR="009672C2" w:rsidRPr="00036694" w:rsidRDefault="009672C2">
      <w:pPr>
        <w:pStyle w:val="NoSpacing"/>
        <w:jc w:val="both"/>
        <w:rPr>
          <w:rFonts w:ascii="Arial" w:hAnsi="Arial" w:cs="Arial"/>
          <w:color w:val="000000" w:themeColor="text1"/>
          <w:sz w:val="22"/>
          <w:lang w:val="fr-FR"/>
        </w:rPr>
      </w:pPr>
    </w:p>
    <w:p w14:paraId="77AD3A94" w14:textId="77777777"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La nature transfrontalière de nombreux stocks migratoires pose des défis uniques nécessitant une gestion coordonnée aux niveaux local, national et international (Rabinowitz 1995). Si les principes fondamentaux de la gestion des pêches restent valables, les espèces migratrices ajoutent des complications supplémentaires : les itinéraires peuvent s'étendre sur des centaines, voire des milliers de kilomètres à travers différentes juridictions ; les pressions s'accumulent tout au long des corridors ; les barrières et les modifications des flux perturbent la connectivité ; les pêcheries fonctionnent dans des lieux et des saisons variés ; les espèces allogènes et la pollution amplifient les impacts ; et plusieurs stades de vie dépendent d'habitats allant des eaux d'amont aux estuaires et aux eaux côtières (Coates et al. 2000 ; Grill et al. 2019). Des études récentes montrent que là où les populations de poissons migrateurs ont décliné, leur rétablissement dépend de la restauration de la connectivité, de la coordination des mesures concernant l'habitat et l'exploitation entre les États et les nations, de l'amélioration de la qualité de l'eau et des flux environnementaux, ainsi que de l'adaptation au changement climatique affectant les périodes de migration – autant d'éléments qui nécessitent une coopération transnationale et des cadres de surveillance partagés (Tickner et al. 2020). La complexité de la gestion des espèces migratrices, ainsi que les lacunes persistantes dans les connaissances sur la répartition, l'état des populations et l'exploitation le long des itinéraires de migration, soulignent l'importance d'identifier les espèces qui ont le plus besoin d'une action de coopération internationale et de définir des mécanismes, tels que des plans d'action conjoints et des accords de partage des données, pour faciliter cette coopération.</w:t>
      </w:r>
    </w:p>
    <w:p w14:paraId="4BAD4969" w14:textId="77777777" w:rsidR="009672C2" w:rsidRPr="00036694" w:rsidRDefault="009672C2">
      <w:pPr>
        <w:pStyle w:val="NoSpacing"/>
        <w:jc w:val="both"/>
        <w:rPr>
          <w:rFonts w:ascii="Arial" w:hAnsi="Arial" w:cs="Arial"/>
          <w:color w:val="000000" w:themeColor="text1"/>
          <w:sz w:val="22"/>
          <w:lang w:val="fr-FR"/>
        </w:rPr>
      </w:pPr>
    </w:p>
    <w:p w14:paraId="51E61A15" w14:textId="353968C8" w:rsidR="009672C2" w:rsidRPr="004763D9" w:rsidRDefault="002A409C" w:rsidP="004763D9">
      <w:pPr>
        <w:pStyle w:val="NoSpacing"/>
        <w:ind w:left="567" w:hanging="567"/>
        <w:rPr>
          <w:rStyle w:val="Heading2Char"/>
          <w:rFonts w:ascii="Arial" w:hAnsi="Arial" w:cs="Arial"/>
          <w:b w:val="0"/>
          <w:bCs w:val="0"/>
          <w:sz w:val="22"/>
          <w:szCs w:val="22"/>
          <w:lang w:val="fr-FR"/>
        </w:rPr>
      </w:pPr>
      <w:bookmarkStart w:id="5" w:name="_Toc214450238"/>
      <w:r w:rsidRPr="004763D9">
        <w:rPr>
          <w:rStyle w:val="Heading2Char"/>
          <w:rFonts w:ascii="Arial" w:hAnsi="Arial" w:cs="Arial"/>
          <w:b w:val="0"/>
          <w:bCs w:val="0"/>
          <w:sz w:val="22"/>
          <w:szCs w:val="22"/>
          <w:lang w:val="fr-FR"/>
        </w:rPr>
        <w:t xml:space="preserve">1.3 </w:t>
      </w:r>
      <w:r w:rsidR="004763D9">
        <w:rPr>
          <w:rStyle w:val="Heading2Char"/>
          <w:rFonts w:ascii="Arial" w:hAnsi="Arial" w:cs="Arial"/>
          <w:b w:val="0"/>
          <w:bCs w:val="0"/>
          <w:sz w:val="22"/>
          <w:szCs w:val="22"/>
          <w:lang w:val="fr-FR"/>
        </w:rPr>
        <w:tab/>
      </w:r>
      <w:r w:rsidRPr="004763D9">
        <w:rPr>
          <w:rStyle w:val="Heading2Char"/>
          <w:rFonts w:ascii="Arial" w:hAnsi="Arial" w:cs="Arial"/>
          <w:b w:val="0"/>
          <w:bCs w:val="0"/>
          <w:sz w:val="22"/>
          <w:szCs w:val="22"/>
          <w:lang w:val="fr-FR"/>
        </w:rPr>
        <w:t>Implications pour la CMS</w:t>
      </w:r>
      <w:bookmarkEnd w:id="5"/>
    </w:p>
    <w:p w14:paraId="038388C6" w14:textId="77777777" w:rsidR="009672C2" w:rsidRPr="00036694" w:rsidRDefault="009672C2">
      <w:pPr>
        <w:pStyle w:val="NoSpacing"/>
        <w:jc w:val="both"/>
        <w:rPr>
          <w:rFonts w:ascii="Arial" w:hAnsi="Arial" w:cs="Arial"/>
          <w:color w:val="000000" w:themeColor="text1"/>
          <w:sz w:val="22"/>
          <w:lang w:val="fr-FR"/>
        </w:rPr>
      </w:pPr>
    </w:p>
    <w:p w14:paraId="6822D20B" w14:textId="77777777"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La répartition et l'écologie des poissons migrateurs d'eau douce, associées à la géographie des bassins transfrontaliers et à la nature des menaces à l'échelle des corridors, rendent la coopération internationale indispensable. La CMS peut apporter une valeur ajoutée en concentrant les Parties sur les stocks partagés et les goulots d'étranglement ; en améliorant la </w:t>
      </w:r>
      <w:r w:rsidRPr="00036694">
        <w:rPr>
          <w:rFonts w:ascii="Arial" w:hAnsi="Arial" w:cs="Arial"/>
          <w:color w:val="000000" w:themeColor="text1"/>
          <w:sz w:val="22"/>
          <w:lang w:val="fr-FR"/>
        </w:rPr>
        <w:lastRenderedPageBreak/>
        <w:t>connectivité ; en réduisant les impacts des infrastructures linéaires ; en facilitant les normes techniques pour le passage, le filtrage et les flux environnementaux ; en alignant la gestion de la récolte des stocks mixtes ; et en établissant des protocoles de surveillance et de partage des données, y compris des instruments à l'échelle du bassin tels que des plans d'action et des protocoles d'accord (Dudgeon et al. 2006 ; Tickner et al. 2020).</w:t>
      </w:r>
    </w:p>
    <w:p w14:paraId="09254FF2" w14:textId="77777777" w:rsidR="004763D9" w:rsidRDefault="004763D9">
      <w:pPr>
        <w:pStyle w:val="NoSpacing"/>
        <w:rPr>
          <w:rStyle w:val="Heading2Char"/>
          <w:rFonts w:ascii="Arial" w:hAnsi="Arial" w:cs="Arial"/>
          <w:sz w:val="22"/>
          <w:szCs w:val="22"/>
          <w:lang w:val="fr-FR"/>
        </w:rPr>
      </w:pPr>
    </w:p>
    <w:p w14:paraId="4001A201" w14:textId="72C34E5A" w:rsidR="009672C2" w:rsidRPr="004763D9" w:rsidRDefault="002A409C" w:rsidP="004763D9">
      <w:pPr>
        <w:pStyle w:val="NoSpacing"/>
        <w:ind w:left="567" w:hanging="567"/>
        <w:rPr>
          <w:rStyle w:val="Heading2Char"/>
          <w:rFonts w:ascii="Arial" w:hAnsi="Arial" w:cs="Arial"/>
          <w:b w:val="0"/>
          <w:bCs w:val="0"/>
          <w:sz w:val="22"/>
          <w:szCs w:val="22"/>
          <w:lang w:val="fr-FR"/>
        </w:rPr>
      </w:pPr>
      <w:bookmarkStart w:id="6" w:name="_Toc214450239"/>
      <w:r w:rsidRPr="004763D9">
        <w:rPr>
          <w:rStyle w:val="Heading2Char"/>
          <w:rFonts w:ascii="Arial" w:hAnsi="Arial" w:cs="Arial"/>
          <w:b w:val="0"/>
          <w:bCs w:val="0"/>
          <w:sz w:val="22"/>
          <w:szCs w:val="22"/>
          <w:lang w:val="fr-FR"/>
        </w:rPr>
        <w:t xml:space="preserve">1.4 </w:t>
      </w:r>
      <w:r w:rsidR="004763D9">
        <w:rPr>
          <w:rStyle w:val="Heading2Char"/>
          <w:rFonts w:ascii="Arial" w:hAnsi="Arial" w:cs="Arial"/>
          <w:b w:val="0"/>
          <w:bCs w:val="0"/>
          <w:sz w:val="22"/>
          <w:szCs w:val="22"/>
          <w:lang w:val="fr-FR"/>
        </w:rPr>
        <w:tab/>
      </w:r>
      <w:r w:rsidRPr="004763D9">
        <w:rPr>
          <w:rStyle w:val="Heading2Char"/>
          <w:rFonts w:ascii="Arial" w:hAnsi="Arial" w:cs="Arial"/>
          <w:b w:val="0"/>
          <w:bCs w:val="0"/>
          <w:sz w:val="22"/>
          <w:szCs w:val="22"/>
          <w:lang w:val="fr-FR"/>
        </w:rPr>
        <w:t>Objectifs</w:t>
      </w:r>
      <w:bookmarkEnd w:id="6"/>
    </w:p>
    <w:p w14:paraId="19B0DD6D" w14:textId="77777777" w:rsidR="009672C2" w:rsidRPr="00036694" w:rsidRDefault="009672C2">
      <w:pPr>
        <w:pStyle w:val="NoSpacing"/>
        <w:jc w:val="both"/>
        <w:rPr>
          <w:rFonts w:ascii="Arial" w:hAnsi="Arial" w:cs="Arial"/>
          <w:color w:val="000000" w:themeColor="text1"/>
          <w:sz w:val="22"/>
          <w:lang w:val="fr-FR"/>
        </w:rPr>
      </w:pPr>
    </w:p>
    <w:p w14:paraId="312B6901" w14:textId="77777777"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Les objectifs de cette évaluation sont donc les suivants :</w:t>
      </w:r>
    </w:p>
    <w:p w14:paraId="69680D00" w14:textId="77777777" w:rsidR="009672C2" w:rsidRPr="00036694" w:rsidRDefault="009672C2">
      <w:pPr>
        <w:pStyle w:val="NoSpacing"/>
        <w:jc w:val="both"/>
        <w:rPr>
          <w:rFonts w:ascii="Arial" w:hAnsi="Arial" w:cs="Arial"/>
          <w:color w:val="000000" w:themeColor="text1"/>
          <w:sz w:val="22"/>
          <w:lang w:val="fr-FR"/>
        </w:rPr>
      </w:pPr>
    </w:p>
    <w:p w14:paraId="57C79755" w14:textId="77777777" w:rsidR="009672C2" w:rsidRPr="00036694" w:rsidRDefault="002A409C">
      <w:pPr>
        <w:pStyle w:val="NoSpacing"/>
        <w:numPr>
          <w:ilvl w:val="0"/>
          <w:numId w:val="12"/>
        </w:numPr>
        <w:spacing w:after="80"/>
        <w:jc w:val="both"/>
        <w:rPr>
          <w:rFonts w:ascii="Arial" w:hAnsi="Arial" w:cs="Arial"/>
          <w:color w:val="000000" w:themeColor="text1"/>
          <w:sz w:val="22"/>
          <w:lang w:val="fr-FR"/>
        </w:rPr>
      </w:pPr>
      <w:r w:rsidRPr="00036694">
        <w:rPr>
          <w:rFonts w:ascii="Arial" w:hAnsi="Arial" w:cs="Arial"/>
          <w:color w:val="000000" w:themeColor="text1"/>
          <w:sz w:val="22"/>
          <w:lang w:val="fr-FR"/>
        </w:rPr>
        <w:t>fournir un aperçu de la biodiversité des poissons d'eau douce ainsi que de l'état actuel des connaissances sur les poissons migrateurs d'eau douce ;</w:t>
      </w:r>
    </w:p>
    <w:p w14:paraId="1F058C05" w14:textId="77777777" w:rsidR="009672C2" w:rsidRPr="00036694" w:rsidRDefault="002A409C">
      <w:pPr>
        <w:pStyle w:val="NoSpacing"/>
        <w:numPr>
          <w:ilvl w:val="0"/>
          <w:numId w:val="12"/>
        </w:numPr>
        <w:spacing w:after="80"/>
        <w:jc w:val="both"/>
        <w:rPr>
          <w:rFonts w:ascii="Arial" w:hAnsi="Arial" w:cs="Arial"/>
          <w:color w:val="000000" w:themeColor="text1"/>
          <w:sz w:val="22"/>
          <w:lang w:val="fr-FR"/>
        </w:rPr>
      </w:pPr>
      <w:r w:rsidRPr="00036694">
        <w:rPr>
          <w:rFonts w:ascii="Arial" w:hAnsi="Arial" w:cs="Arial"/>
          <w:color w:val="000000" w:themeColor="text1"/>
          <w:sz w:val="22"/>
          <w:lang w:val="fr-FR"/>
        </w:rPr>
        <w:t>identifier les espèces de poissons migrateurs d'eau douce qui répondent aux critères et pourraient bénéficier de leur inscription aux Annexes de la CMS ;</w:t>
      </w:r>
    </w:p>
    <w:p w14:paraId="32D96420" w14:textId="77777777" w:rsidR="009672C2" w:rsidRPr="00036694" w:rsidRDefault="002A409C">
      <w:pPr>
        <w:pStyle w:val="NoSpacing"/>
        <w:numPr>
          <w:ilvl w:val="0"/>
          <w:numId w:val="12"/>
        </w:numPr>
        <w:jc w:val="both"/>
        <w:rPr>
          <w:rFonts w:ascii="Arial" w:hAnsi="Arial" w:cs="Arial"/>
          <w:sz w:val="22"/>
          <w:lang w:val="fr-FR"/>
        </w:rPr>
      </w:pPr>
      <w:r w:rsidRPr="00036694">
        <w:rPr>
          <w:rFonts w:ascii="Arial" w:hAnsi="Arial" w:cs="Arial"/>
          <w:color w:val="000000" w:themeColor="text1"/>
          <w:sz w:val="22"/>
          <w:lang w:val="fr-FR"/>
        </w:rPr>
        <w:t>fournir des recommandations sur la manière dont la CMS peut faciliter au mieux l'amélioration de la gestion et de la protection des poissons migrateurs d'eau douce.</w:t>
      </w:r>
    </w:p>
    <w:p w14:paraId="58E2DDF7" w14:textId="77777777" w:rsidR="009672C2" w:rsidRPr="00036694" w:rsidRDefault="009672C2">
      <w:pPr>
        <w:pStyle w:val="NoSpacing"/>
        <w:ind w:left="720"/>
        <w:jc w:val="both"/>
        <w:rPr>
          <w:rFonts w:ascii="Arial" w:hAnsi="Arial" w:cs="Arial"/>
          <w:sz w:val="22"/>
          <w:lang w:val="fr-FR"/>
        </w:rPr>
      </w:pPr>
    </w:p>
    <w:p w14:paraId="126A2B5E" w14:textId="77777777" w:rsidR="009672C2" w:rsidRPr="00036694" w:rsidRDefault="002A409C">
      <w:pPr>
        <w:pStyle w:val="Heading1"/>
        <w:spacing w:before="0" w:line="240" w:lineRule="auto"/>
        <w:ind w:left="567" w:hanging="567"/>
        <w:rPr>
          <w:sz w:val="22"/>
          <w:szCs w:val="22"/>
          <w:lang w:val="fr-FR"/>
        </w:rPr>
      </w:pPr>
      <w:bookmarkStart w:id="7" w:name="_Toc214450240"/>
      <w:r w:rsidRPr="00036694">
        <w:rPr>
          <w:sz w:val="22"/>
          <w:szCs w:val="22"/>
          <w:lang w:val="fr-FR"/>
        </w:rPr>
        <w:t xml:space="preserve">2 </w:t>
      </w:r>
      <w:r w:rsidRPr="00036694">
        <w:rPr>
          <w:sz w:val="22"/>
          <w:szCs w:val="22"/>
          <w:lang w:val="fr-FR"/>
        </w:rPr>
        <w:tab/>
        <w:t>DÉFINITIONS</w:t>
      </w:r>
      <w:bookmarkEnd w:id="7"/>
    </w:p>
    <w:p w14:paraId="0E0E7870" w14:textId="77777777" w:rsidR="009672C2" w:rsidRPr="00036694" w:rsidRDefault="009672C2">
      <w:pPr>
        <w:spacing w:after="0" w:line="240" w:lineRule="auto"/>
        <w:jc w:val="both"/>
        <w:rPr>
          <w:lang w:val="fr-FR"/>
        </w:rPr>
      </w:pPr>
    </w:p>
    <w:p w14:paraId="5C2F1882" w14:textId="77777777" w:rsidR="009672C2" w:rsidRPr="00036694" w:rsidRDefault="002A409C">
      <w:pPr>
        <w:pStyle w:val="NoSpacing"/>
        <w:ind w:left="567" w:hanging="567"/>
        <w:jc w:val="both"/>
        <w:rPr>
          <w:rStyle w:val="Heading2Char"/>
          <w:rFonts w:ascii="Arial" w:hAnsi="Arial" w:cs="Arial"/>
          <w:b w:val="0"/>
          <w:bCs w:val="0"/>
          <w:sz w:val="22"/>
          <w:szCs w:val="22"/>
          <w:lang w:val="fr-FR"/>
        </w:rPr>
      </w:pPr>
      <w:bookmarkStart w:id="8" w:name="_Toc214450241"/>
      <w:r w:rsidRPr="00036694">
        <w:rPr>
          <w:rStyle w:val="Heading2Char"/>
          <w:rFonts w:ascii="Arial" w:hAnsi="Arial" w:cs="Arial"/>
          <w:b w:val="0"/>
          <w:bCs w:val="0"/>
          <w:sz w:val="22"/>
          <w:szCs w:val="22"/>
          <w:lang w:val="fr-FR"/>
        </w:rPr>
        <w:t xml:space="preserve">2.1 </w:t>
      </w:r>
      <w:r w:rsidRPr="00036694">
        <w:rPr>
          <w:rStyle w:val="Heading2Char"/>
          <w:rFonts w:ascii="Arial" w:hAnsi="Arial" w:cs="Arial"/>
          <w:b w:val="0"/>
          <w:bCs w:val="0"/>
          <w:sz w:val="22"/>
          <w:szCs w:val="22"/>
          <w:lang w:val="fr-FR"/>
        </w:rPr>
        <w:tab/>
        <w:t>Définition d'une espèce migratrice (transfrontalière) selon la CMS</w:t>
      </w:r>
      <w:bookmarkEnd w:id="8"/>
    </w:p>
    <w:p w14:paraId="15CC196F" w14:textId="77777777" w:rsidR="009672C2" w:rsidRPr="00036694" w:rsidRDefault="009672C2">
      <w:pPr>
        <w:pStyle w:val="NoSpacing"/>
        <w:jc w:val="both"/>
        <w:rPr>
          <w:rFonts w:ascii="Arial" w:hAnsi="Arial" w:cs="Arial"/>
          <w:color w:val="000000" w:themeColor="text1"/>
          <w:sz w:val="22"/>
          <w:lang w:val="fr-FR"/>
        </w:rPr>
      </w:pPr>
    </w:p>
    <w:p w14:paraId="51F86182" w14:textId="77777777"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L'article 1 de la CMS définit une « espèce migratrice » comme « l'ensemble de la population ou toute partie séparée géographiquement de la population de toute espèce ou de tout taxon inférieur d'animaux sauvages, dont une fraction importante franchit cycliquement et de façon prévisible une ou plusieurs des limites de juridiction nationale ». Pour les poissons migrateurs d'eau douce, cette définition s'applique non seulement au franchissement des frontières nationales, que ce soit sur terre ou en mer, mais également aux déplacements au sein des rivières et des lacs transfrontaliers partagés, lorsque ces masses d'eau ou bassins versants sont divisés entre deux ou plusieurs pays.</w:t>
      </w:r>
    </w:p>
    <w:p w14:paraId="40C19C2E" w14:textId="77777777" w:rsidR="009672C2" w:rsidRPr="00036694" w:rsidRDefault="009672C2">
      <w:pPr>
        <w:pStyle w:val="NoSpacing"/>
        <w:jc w:val="both"/>
        <w:rPr>
          <w:rFonts w:ascii="Arial" w:hAnsi="Arial" w:cs="Arial"/>
          <w:color w:val="000000" w:themeColor="text1"/>
          <w:sz w:val="22"/>
          <w:lang w:val="fr-FR"/>
        </w:rPr>
      </w:pPr>
    </w:p>
    <w:p w14:paraId="5E917663" w14:textId="77777777" w:rsidR="009672C2" w:rsidRPr="00036694" w:rsidRDefault="002A409C">
      <w:pPr>
        <w:pStyle w:val="NoSpacing"/>
        <w:spacing w:after="80"/>
        <w:jc w:val="both"/>
        <w:rPr>
          <w:rFonts w:ascii="Arial" w:hAnsi="Arial" w:cs="Arial"/>
          <w:color w:val="000000" w:themeColor="text1"/>
          <w:sz w:val="22"/>
          <w:lang w:val="fr-FR"/>
        </w:rPr>
      </w:pPr>
      <w:r w:rsidRPr="00036694">
        <w:rPr>
          <w:rFonts w:ascii="Arial" w:hAnsi="Arial" w:cs="Arial"/>
          <w:color w:val="000000" w:themeColor="text1"/>
          <w:sz w:val="22"/>
          <w:lang w:val="fr-FR"/>
        </w:rPr>
        <w:t>Selon cette définition :</w:t>
      </w:r>
    </w:p>
    <w:p w14:paraId="0D77A077" w14:textId="77777777" w:rsidR="009672C2" w:rsidRPr="00036694" w:rsidRDefault="002A409C">
      <w:pPr>
        <w:pStyle w:val="NoSpacing"/>
        <w:numPr>
          <w:ilvl w:val="0"/>
          <w:numId w:val="15"/>
        </w:numPr>
        <w:spacing w:after="80"/>
        <w:ind w:left="527" w:hanging="170"/>
        <w:jc w:val="both"/>
        <w:rPr>
          <w:rFonts w:ascii="Arial" w:hAnsi="Arial" w:cs="Arial"/>
          <w:color w:val="000000" w:themeColor="text1"/>
          <w:sz w:val="22"/>
          <w:lang w:val="fr-FR"/>
        </w:rPr>
      </w:pPr>
      <w:r w:rsidRPr="00036694">
        <w:rPr>
          <w:rFonts w:ascii="Arial" w:hAnsi="Arial" w:cs="Arial"/>
          <w:color w:val="000000" w:themeColor="text1"/>
          <w:sz w:val="22"/>
          <w:lang w:val="fr-FR"/>
        </w:rPr>
        <w:t>Le terme « cycliquement » fait référence à un cycle de toute nature (par exemple, astronomique, historique de vie ou climatique) et de toute fréquence.</w:t>
      </w:r>
    </w:p>
    <w:p w14:paraId="4153A94E" w14:textId="77777777" w:rsidR="009672C2" w:rsidRPr="00036694" w:rsidRDefault="002A409C">
      <w:pPr>
        <w:pStyle w:val="NoSpacing"/>
        <w:numPr>
          <w:ilvl w:val="0"/>
          <w:numId w:val="15"/>
        </w:numPr>
        <w:spacing w:after="80"/>
        <w:ind w:left="527" w:hanging="170"/>
        <w:jc w:val="both"/>
        <w:rPr>
          <w:rFonts w:ascii="Arial" w:hAnsi="Arial" w:cs="Arial"/>
          <w:color w:val="000000" w:themeColor="text1"/>
          <w:sz w:val="22"/>
          <w:lang w:val="fr-FR"/>
        </w:rPr>
      </w:pPr>
      <w:r w:rsidRPr="00036694">
        <w:rPr>
          <w:rFonts w:ascii="Arial" w:hAnsi="Arial" w:cs="Arial"/>
          <w:color w:val="000000" w:themeColor="text1"/>
          <w:sz w:val="22"/>
          <w:lang w:val="fr-FR"/>
        </w:rPr>
        <w:t>Le terme « prévisible » indique que l'on peut s'attendre à ce que le mouvement se reproduise dans un ensemble donné de circonstances, mais pas nécessairement à des intervalles strictement réguliers.</w:t>
      </w:r>
    </w:p>
    <w:p w14:paraId="4192F864" w14:textId="77777777" w:rsidR="009672C2" w:rsidRPr="00036694" w:rsidRDefault="002A409C">
      <w:pPr>
        <w:pStyle w:val="NoSpacing"/>
        <w:numPr>
          <w:ilvl w:val="0"/>
          <w:numId w:val="15"/>
        </w:numPr>
        <w:ind w:left="527" w:hanging="170"/>
        <w:jc w:val="both"/>
        <w:rPr>
          <w:rFonts w:ascii="Arial" w:hAnsi="Arial" w:cs="Arial"/>
          <w:color w:val="000000" w:themeColor="text1"/>
          <w:sz w:val="22"/>
          <w:lang w:val="fr-FR"/>
        </w:rPr>
      </w:pPr>
      <w:r w:rsidRPr="00036694">
        <w:rPr>
          <w:rFonts w:ascii="Arial" w:hAnsi="Arial" w:cs="Arial"/>
          <w:color w:val="000000" w:themeColor="text1"/>
          <w:sz w:val="22"/>
          <w:lang w:val="fr-FR"/>
        </w:rPr>
        <w:t>Les limites de juridiction nationale incluent les frontières terrestres et les frontières aquatiques, notamment les démarcations situées au milieu des rivières ou des lacs.</w:t>
      </w:r>
    </w:p>
    <w:p w14:paraId="3E4FF31D" w14:textId="77777777" w:rsidR="009672C2" w:rsidRPr="00036694" w:rsidRDefault="009672C2">
      <w:pPr>
        <w:pStyle w:val="NoSpacing"/>
        <w:rPr>
          <w:rStyle w:val="Heading2Char"/>
          <w:rFonts w:ascii="Arial" w:hAnsi="Arial" w:cs="Arial"/>
          <w:sz w:val="22"/>
          <w:szCs w:val="22"/>
          <w:lang w:val="fr-FR"/>
        </w:rPr>
      </w:pPr>
    </w:p>
    <w:p w14:paraId="1C2E70C3" w14:textId="6A295E19" w:rsidR="009672C2" w:rsidRPr="004763D9" w:rsidRDefault="002A409C" w:rsidP="004763D9">
      <w:pPr>
        <w:pStyle w:val="NoSpacing"/>
        <w:ind w:left="567" w:hanging="567"/>
        <w:rPr>
          <w:rFonts w:ascii="Arial" w:hAnsi="Arial" w:cs="Arial"/>
          <w:b/>
          <w:bCs/>
          <w:color w:val="000000" w:themeColor="text1"/>
          <w:sz w:val="22"/>
          <w:lang w:val="fr-FR"/>
        </w:rPr>
      </w:pPr>
      <w:bookmarkStart w:id="9" w:name="_Toc214450242"/>
      <w:r w:rsidRPr="004763D9">
        <w:rPr>
          <w:rStyle w:val="Heading2Char"/>
          <w:rFonts w:ascii="Arial" w:hAnsi="Arial" w:cs="Arial"/>
          <w:b w:val="0"/>
          <w:bCs w:val="0"/>
          <w:sz w:val="22"/>
          <w:szCs w:val="22"/>
          <w:lang w:val="fr-FR"/>
        </w:rPr>
        <w:t xml:space="preserve">2.2 </w:t>
      </w:r>
      <w:r w:rsidR="004763D9">
        <w:rPr>
          <w:rStyle w:val="Heading2Char"/>
          <w:rFonts w:ascii="Arial" w:hAnsi="Arial" w:cs="Arial"/>
          <w:b w:val="0"/>
          <w:bCs w:val="0"/>
          <w:sz w:val="22"/>
          <w:szCs w:val="22"/>
          <w:lang w:val="fr-FR"/>
        </w:rPr>
        <w:tab/>
      </w:r>
      <w:r w:rsidRPr="004763D9">
        <w:rPr>
          <w:rStyle w:val="Heading2Char"/>
          <w:rFonts w:ascii="Arial" w:hAnsi="Arial" w:cs="Arial"/>
          <w:b w:val="0"/>
          <w:bCs w:val="0"/>
          <w:sz w:val="22"/>
          <w:szCs w:val="22"/>
          <w:lang w:val="fr-FR"/>
        </w:rPr>
        <w:t>Définition d'un « état de conservation défavorable »</w:t>
      </w:r>
      <w:bookmarkEnd w:id="9"/>
      <w:r w:rsidRPr="004763D9">
        <w:rPr>
          <w:rFonts w:ascii="Arial" w:hAnsi="Arial" w:cs="Arial"/>
          <w:b/>
          <w:bCs/>
          <w:color w:val="000000" w:themeColor="text1"/>
          <w:sz w:val="22"/>
          <w:lang w:val="fr-FR"/>
        </w:rPr>
        <w:br/>
      </w:r>
    </w:p>
    <w:p w14:paraId="3CA8986B" w14:textId="77777777"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Selon l'article 1 de la CMS, une espèce migratrice est considérée comme ayant un état de conservation défavorable si un ou plusieurs des éléments suivants s'appliquent :</w:t>
      </w:r>
    </w:p>
    <w:p w14:paraId="2AEC27D3" w14:textId="77777777" w:rsidR="009672C2" w:rsidRPr="00036694" w:rsidRDefault="009672C2">
      <w:pPr>
        <w:pStyle w:val="NoSpacing"/>
        <w:jc w:val="both"/>
        <w:rPr>
          <w:rFonts w:ascii="Arial" w:eastAsiaTheme="majorEastAsia" w:hAnsi="Arial" w:cs="Arial"/>
          <w:b/>
          <w:bCs/>
          <w:color w:val="000000" w:themeColor="text1"/>
          <w:sz w:val="22"/>
          <w:lang w:val="fr-FR"/>
        </w:rPr>
      </w:pPr>
    </w:p>
    <w:p w14:paraId="40C09328" w14:textId="77777777" w:rsidR="009672C2" w:rsidRPr="00036694" w:rsidRDefault="002A409C" w:rsidP="002A7DA6">
      <w:pPr>
        <w:pStyle w:val="NoSpacing"/>
        <w:numPr>
          <w:ilvl w:val="0"/>
          <w:numId w:val="13"/>
        </w:numPr>
        <w:spacing w:after="80"/>
        <w:ind w:left="714" w:hanging="357"/>
        <w:jc w:val="both"/>
        <w:rPr>
          <w:rFonts w:ascii="Arial" w:hAnsi="Arial" w:cs="Arial"/>
          <w:color w:val="000000" w:themeColor="text1"/>
          <w:sz w:val="22"/>
          <w:lang w:val="fr-FR"/>
        </w:rPr>
      </w:pPr>
      <w:r w:rsidRPr="00036694">
        <w:rPr>
          <w:rFonts w:ascii="Arial" w:hAnsi="Arial" w:cs="Arial"/>
          <w:color w:val="000000" w:themeColor="text1"/>
          <w:sz w:val="22"/>
          <w:lang w:val="fr-FR"/>
        </w:rPr>
        <w:t>les données relatives à la dynamique des populations de l'espèce en question indiquent que cette espèce continue et continuera à long terme à constituer un élément viable des écosystèmes auxquels elle appartient ;</w:t>
      </w:r>
    </w:p>
    <w:p w14:paraId="36DA46A4" w14:textId="77777777" w:rsidR="009672C2" w:rsidRPr="00036694" w:rsidRDefault="002A409C">
      <w:pPr>
        <w:pStyle w:val="NoSpacing"/>
        <w:numPr>
          <w:ilvl w:val="0"/>
          <w:numId w:val="13"/>
        </w:numPr>
        <w:jc w:val="both"/>
        <w:rPr>
          <w:rFonts w:ascii="Arial" w:hAnsi="Arial" w:cs="Arial"/>
          <w:color w:val="000000" w:themeColor="text1"/>
          <w:sz w:val="22"/>
          <w:lang w:val="fr-FR"/>
        </w:rPr>
      </w:pPr>
      <w:r w:rsidRPr="00036694">
        <w:rPr>
          <w:rFonts w:ascii="Arial" w:hAnsi="Arial" w:cs="Arial"/>
          <w:color w:val="000000" w:themeColor="text1"/>
          <w:sz w:val="22"/>
          <w:lang w:val="fr-FR"/>
        </w:rPr>
        <w:t>l'aire de répartition de l'espèce est actuellement réduite, ou risque d'être réduite à long terme ;</w:t>
      </w:r>
    </w:p>
    <w:p w14:paraId="6ED4C4A3" w14:textId="77777777" w:rsidR="009672C2" w:rsidRPr="00036694" w:rsidRDefault="002A409C" w:rsidP="002A7DA6">
      <w:pPr>
        <w:pStyle w:val="NoSpacing"/>
        <w:numPr>
          <w:ilvl w:val="0"/>
          <w:numId w:val="13"/>
        </w:numPr>
        <w:spacing w:after="80"/>
        <w:ind w:left="714" w:hanging="357"/>
        <w:jc w:val="both"/>
        <w:rPr>
          <w:rFonts w:ascii="Arial" w:hAnsi="Arial" w:cs="Arial"/>
          <w:color w:val="000000" w:themeColor="text1"/>
          <w:sz w:val="22"/>
          <w:lang w:val="fr-FR"/>
        </w:rPr>
      </w:pPr>
      <w:r w:rsidRPr="00036694">
        <w:rPr>
          <w:rFonts w:ascii="Arial" w:hAnsi="Arial" w:cs="Arial"/>
          <w:color w:val="000000" w:themeColor="text1"/>
          <w:sz w:val="22"/>
          <w:lang w:val="fr-FR"/>
        </w:rPr>
        <w:lastRenderedPageBreak/>
        <w:t>il n'y a pas, ou il n'y aura pas dans un avenir prévisible, d'habitat suffisant pour maintenir la population à long terme ;</w:t>
      </w:r>
    </w:p>
    <w:p w14:paraId="738890DB" w14:textId="77777777" w:rsidR="009672C2" w:rsidRPr="00036694" w:rsidRDefault="002A409C">
      <w:pPr>
        <w:pStyle w:val="NoSpacing"/>
        <w:numPr>
          <w:ilvl w:val="0"/>
          <w:numId w:val="13"/>
        </w:numPr>
        <w:jc w:val="both"/>
        <w:rPr>
          <w:rFonts w:ascii="Arial" w:hAnsi="Arial" w:cs="Arial"/>
          <w:color w:val="000000" w:themeColor="text1"/>
          <w:sz w:val="22"/>
          <w:lang w:val="fr-FR"/>
        </w:rPr>
      </w:pPr>
      <w:r w:rsidRPr="00036694">
        <w:rPr>
          <w:rFonts w:ascii="Arial" w:hAnsi="Arial" w:cs="Arial"/>
          <w:color w:val="000000" w:themeColor="text1"/>
          <w:sz w:val="22"/>
          <w:lang w:val="fr-FR"/>
        </w:rPr>
        <w:t>la répartition et les effectifs de la population de cette espèce sont proches de leur étendue et de leurs niveaux historiques dans la mesure où il existe des écosystèmes appropriés à ladite espèce et dans la mesure où cela est compatible avec une gestion sage de la faune sauvage.</w:t>
      </w:r>
    </w:p>
    <w:p w14:paraId="592A1446" w14:textId="77777777" w:rsidR="009672C2" w:rsidRPr="00036694" w:rsidRDefault="009672C2">
      <w:pPr>
        <w:pStyle w:val="NoSpacing"/>
        <w:jc w:val="both"/>
        <w:rPr>
          <w:rFonts w:ascii="Arial" w:hAnsi="Arial" w:cs="Arial"/>
          <w:color w:val="000000" w:themeColor="text1"/>
          <w:sz w:val="22"/>
          <w:lang w:val="fr-FR"/>
        </w:rPr>
      </w:pPr>
    </w:p>
    <w:p w14:paraId="3E589EDE" w14:textId="77777777"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De nombreux poissons d'eau douce répondent à plus d'un de ces critères en raison des pressions cumulées, notamment la fragmentation des cours d'eau et la perte de connectivité longitudinale, l'accès réduit aux habitats de frai et de croissance en raison des barrages et de la modification des flux, la dégradation et la pollution des habitats, ainsi que l'exploitation non durable, qui continuent d'entraîner des déclins (Allan et al. 2005 ; Arthington et al. 2016 ; Casselman et Cairns 2009 ; Dudgeon et al. 2006 ; Froese et Torres 1999 ; Reid et al. 2019).</w:t>
      </w:r>
    </w:p>
    <w:p w14:paraId="68D37187" w14:textId="77777777" w:rsidR="009672C2" w:rsidRPr="00036694" w:rsidRDefault="009672C2">
      <w:pPr>
        <w:pStyle w:val="NoSpacing"/>
        <w:rPr>
          <w:rStyle w:val="Heading2Char"/>
          <w:rFonts w:ascii="Arial" w:hAnsi="Arial" w:cs="Arial"/>
          <w:sz w:val="22"/>
          <w:szCs w:val="22"/>
          <w:lang w:val="fr-FR"/>
        </w:rPr>
      </w:pPr>
    </w:p>
    <w:p w14:paraId="12B741CE" w14:textId="45F80397" w:rsidR="009672C2" w:rsidRPr="002A7DA6" w:rsidRDefault="002A409C" w:rsidP="002A7DA6">
      <w:pPr>
        <w:pStyle w:val="NoSpacing"/>
        <w:ind w:left="567" w:hanging="567"/>
        <w:rPr>
          <w:rStyle w:val="Heading2Char"/>
          <w:rFonts w:ascii="Arial" w:hAnsi="Arial" w:cs="Arial"/>
          <w:b w:val="0"/>
          <w:bCs w:val="0"/>
          <w:sz w:val="22"/>
          <w:szCs w:val="22"/>
          <w:lang w:val="fr-FR"/>
        </w:rPr>
      </w:pPr>
      <w:bookmarkStart w:id="10" w:name="_Toc214450243"/>
      <w:r w:rsidRPr="002A7DA6">
        <w:rPr>
          <w:rStyle w:val="Heading2Char"/>
          <w:rFonts w:ascii="Arial" w:hAnsi="Arial" w:cs="Arial"/>
          <w:b w:val="0"/>
          <w:bCs w:val="0"/>
          <w:sz w:val="22"/>
          <w:szCs w:val="22"/>
          <w:lang w:val="fr-FR"/>
        </w:rPr>
        <w:t xml:space="preserve">2.3 </w:t>
      </w:r>
      <w:r w:rsidR="002A7DA6">
        <w:rPr>
          <w:rStyle w:val="Heading2Char"/>
          <w:rFonts w:ascii="Arial" w:hAnsi="Arial" w:cs="Arial"/>
          <w:b w:val="0"/>
          <w:bCs w:val="0"/>
          <w:sz w:val="22"/>
          <w:szCs w:val="22"/>
          <w:lang w:val="fr-FR"/>
        </w:rPr>
        <w:tab/>
      </w:r>
      <w:r w:rsidRPr="002A7DA6">
        <w:rPr>
          <w:rStyle w:val="Heading2Char"/>
          <w:rFonts w:ascii="Arial" w:hAnsi="Arial" w:cs="Arial"/>
          <w:b w:val="0"/>
          <w:bCs w:val="0"/>
          <w:sz w:val="22"/>
          <w:szCs w:val="22"/>
          <w:lang w:val="fr-FR"/>
        </w:rPr>
        <w:t>Poissons d'eau douce : définition, diversité, taxonomie et nomenclature</w:t>
      </w:r>
      <w:bookmarkEnd w:id="10"/>
    </w:p>
    <w:p w14:paraId="338E23D1" w14:textId="77777777" w:rsidR="002A7DA6" w:rsidRDefault="002A7DA6">
      <w:pPr>
        <w:pStyle w:val="NoSpacing"/>
        <w:jc w:val="both"/>
        <w:rPr>
          <w:rFonts w:ascii="Arial" w:hAnsi="Arial" w:cs="Arial"/>
          <w:color w:val="000000" w:themeColor="text1"/>
          <w:sz w:val="22"/>
          <w:lang w:val="fr-FR"/>
        </w:rPr>
      </w:pPr>
    </w:p>
    <w:p w14:paraId="1B6435AF" w14:textId="006EBE7B"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Aux fins de cette évaluation, un poisson d'eau douce est toute espèce qui passe une partie ou la totalité de sa vie en eau douce. Selon la base données FishBase, les poissons d'eau douce peuvent être : (1) exclusivement d'eau douce ; (2) présents dans les eaux douces et saumâtres ; ou (3) présents dans les eaux douces, saumâtres et marines. Cela comprend les espèces d'eau douce obligatoires et les taxons diadromes (anadromes, catadromes et amphidromes). Les poissons « potamodromes » migrent entièrement en eau douce ; les poissons « anadromes » passent la majeure partie de leur vie en mer mais se reproduisent en eau douce ; les poissons « catadromes » passent la majeure partie de leur vie en eau douce mais se reproduisent en mer ; et les poissons « amphidromes » se déplacent régulièrement entre l'eau douce et la mer à des fins autres que la reproduction. Ces quatre groupes sont pris en considération dans le présent rapport.</w:t>
      </w:r>
    </w:p>
    <w:p w14:paraId="6E6C36BD" w14:textId="77777777" w:rsidR="009672C2" w:rsidRPr="00036694" w:rsidRDefault="009672C2">
      <w:pPr>
        <w:pStyle w:val="NoSpacing"/>
        <w:jc w:val="both"/>
        <w:rPr>
          <w:rFonts w:ascii="Arial" w:hAnsi="Arial" w:cs="Arial"/>
          <w:color w:val="000000" w:themeColor="text1"/>
          <w:sz w:val="22"/>
          <w:lang w:val="fr-FR"/>
        </w:rPr>
      </w:pPr>
    </w:p>
    <w:p w14:paraId="487CEB64" w14:textId="77777777" w:rsidR="009672C2"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Les poissons d'eau douce comptent aujourd'hui environ 19 000 espèces décrites dans le monde, réparties dans quelque 250 familles, ce qui représente approximativement la moitié de la diversité totale des poissons et environ un quart de la diversité des vertébrés. Ces totaux dépassent la donnée de référence de 2008 rapportée par Lévêque et ses collègues (~207 familles, 2 513 genres, ~13 000 espèces) et incluent les groupes diadromes (par exemple, les saumons, les esturgeons, les poissons-scies et les anguilles anguillidés) selon les définitions largement utilisées des eaux douces. Des compendiums récents indiquent 19 013 espèces d'eau douce valides dans le Catalogue des poissons d'Eschmeyer et 18 898 espèces d'eau douce reconnues dans les résumés du Groupe de spécialistes des poissons d'eau douce UICN/CSE. Les découvertes taxonomiques restent rapides : 243 nouvelles espèces d'eau douce ont été décrites en 2023 et 260 en 2024, y compris plusieurs provenant d'Europe, ce qui souligne que même les régions bien étudiées ne sont pas entièrement cataloguées.</w:t>
      </w:r>
    </w:p>
    <w:p w14:paraId="170150F9" w14:textId="77777777" w:rsidR="002A7DA6" w:rsidRPr="00036694" w:rsidRDefault="002A7DA6">
      <w:pPr>
        <w:pStyle w:val="NoSpacing"/>
        <w:jc w:val="both"/>
        <w:rPr>
          <w:rFonts w:ascii="Arial" w:hAnsi="Arial" w:cs="Arial"/>
          <w:color w:val="000000" w:themeColor="text1"/>
          <w:sz w:val="22"/>
          <w:lang w:val="fr-FR"/>
        </w:rPr>
      </w:pPr>
    </w:p>
    <w:p w14:paraId="7B5F498B" w14:textId="5ED7DC61" w:rsidR="009672C2" w:rsidRPr="002A7DA6" w:rsidRDefault="002A7DA6" w:rsidP="002A7DA6">
      <w:pPr>
        <w:pStyle w:val="Heading1"/>
        <w:spacing w:before="0" w:line="240" w:lineRule="auto"/>
        <w:ind w:left="567" w:hanging="567"/>
        <w:rPr>
          <w:rFonts w:ascii="Arial" w:hAnsi="Arial" w:cs="Arial"/>
          <w:sz w:val="22"/>
          <w:szCs w:val="22"/>
          <w:lang w:val="fr-FR"/>
        </w:rPr>
      </w:pPr>
      <w:bookmarkStart w:id="11" w:name="_Toc214450244"/>
      <w:r w:rsidRPr="002A7DA6">
        <w:rPr>
          <w:rFonts w:ascii="Arial" w:hAnsi="Arial" w:cs="Arial"/>
          <w:sz w:val="22"/>
          <w:szCs w:val="22"/>
          <w:lang w:val="fr-FR"/>
        </w:rPr>
        <w:t xml:space="preserve">3 </w:t>
      </w:r>
      <w:r>
        <w:rPr>
          <w:rFonts w:ascii="Arial" w:hAnsi="Arial" w:cs="Arial"/>
          <w:sz w:val="22"/>
          <w:szCs w:val="22"/>
          <w:lang w:val="fr-FR"/>
        </w:rPr>
        <w:tab/>
      </w:r>
      <w:r w:rsidRPr="002A7DA6">
        <w:rPr>
          <w:rFonts w:ascii="Arial" w:hAnsi="Arial" w:cs="Arial"/>
          <w:sz w:val="22"/>
          <w:szCs w:val="22"/>
          <w:lang w:val="fr-FR"/>
        </w:rPr>
        <w:t>R</w:t>
      </w:r>
      <w:r>
        <w:rPr>
          <w:rFonts w:ascii="Arial" w:hAnsi="Arial" w:cs="Arial"/>
          <w:sz w:val="22"/>
          <w:szCs w:val="22"/>
          <w:lang w:val="fr-FR"/>
        </w:rPr>
        <w:t>É</w:t>
      </w:r>
      <w:r w:rsidRPr="002A7DA6">
        <w:rPr>
          <w:rFonts w:ascii="Arial" w:hAnsi="Arial" w:cs="Arial"/>
          <w:sz w:val="22"/>
          <w:szCs w:val="22"/>
          <w:lang w:val="fr-FR"/>
        </w:rPr>
        <w:t xml:space="preserve">PARTITION DES POISSONS D'EAU DOUCE, </w:t>
      </w:r>
      <w:r>
        <w:rPr>
          <w:rFonts w:ascii="Arial" w:hAnsi="Arial" w:cs="Arial"/>
          <w:sz w:val="22"/>
          <w:szCs w:val="22"/>
          <w:lang w:val="fr-FR"/>
        </w:rPr>
        <w:t>É</w:t>
      </w:r>
      <w:r w:rsidRPr="002A7DA6">
        <w:rPr>
          <w:rFonts w:ascii="Arial" w:hAnsi="Arial" w:cs="Arial"/>
          <w:sz w:val="22"/>
          <w:szCs w:val="22"/>
          <w:lang w:val="fr-FR"/>
        </w:rPr>
        <w:t>COLOGIE ET MENACES</w:t>
      </w:r>
      <w:bookmarkEnd w:id="11"/>
    </w:p>
    <w:p w14:paraId="1195611F" w14:textId="77777777" w:rsidR="009672C2" w:rsidRPr="002A7DA6" w:rsidRDefault="009672C2" w:rsidP="002A7DA6">
      <w:pPr>
        <w:pStyle w:val="NoSpacing"/>
        <w:rPr>
          <w:rStyle w:val="Heading2Char"/>
          <w:rFonts w:ascii="Arial" w:hAnsi="Arial" w:cs="Arial"/>
          <w:sz w:val="22"/>
          <w:szCs w:val="22"/>
          <w:lang w:val="fr-FR"/>
        </w:rPr>
      </w:pPr>
    </w:p>
    <w:p w14:paraId="2ABB8D0C" w14:textId="4BF9C019" w:rsidR="009672C2" w:rsidRPr="002A7DA6" w:rsidRDefault="002A409C" w:rsidP="002A7DA6">
      <w:pPr>
        <w:pStyle w:val="NoSpacing"/>
        <w:ind w:left="567" w:hanging="567"/>
        <w:rPr>
          <w:rStyle w:val="Heading2Char"/>
          <w:rFonts w:ascii="Arial" w:hAnsi="Arial" w:cs="Arial"/>
          <w:b w:val="0"/>
          <w:bCs w:val="0"/>
          <w:sz w:val="22"/>
          <w:szCs w:val="22"/>
          <w:lang w:val="fr-FR"/>
        </w:rPr>
      </w:pPr>
      <w:bookmarkStart w:id="12" w:name="_Toc214450245"/>
      <w:r w:rsidRPr="002A7DA6">
        <w:rPr>
          <w:rStyle w:val="Heading2Char"/>
          <w:rFonts w:ascii="Arial" w:hAnsi="Arial" w:cs="Arial"/>
          <w:b w:val="0"/>
          <w:bCs w:val="0"/>
          <w:sz w:val="22"/>
          <w:szCs w:val="22"/>
          <w:lang w:val="fr-FR"/>
        </w:rPr>
        <w:t xml:space="preserve">3.1 </w:t>
      </w:r>
      <w:r w:rsidR="002A7DA6">
        <w:rPr>
          <w:rStyle w:val="Heading2Char"/>
          <w:rFonts w:ascii="Arial" w:hAnsi="Arial" w:cs="Arial"/>
          <w:b w:val="0"/>
          <w:bCs w:val="0"/>
          <w:sz w:val="22"/>
          <w:szCs w:val="22"/>
          <w:lang w:val="fr-FR"/>
        </w:rPr>
        <w:tab/>
      </w:r>
      <w:r w:rsidRPr="002A7DA6">
        <w:rPr>
          <w:rStyle w:val="Heading2Char"/>
          <w:rFonts w:ascii="Arial" w:hAnsi="Arial" w:cs="Arial"/>
          <w:b w:val="0"/>
          <w:bCs w:val="0"/>
          <w:sz w:val="22"/>
          <w:szCs w:val="22"/>
          <w:lang w:val="fr-FR"/>
        </w:rPr>
        <w:t>Répartition mondiale et contexte transfrontalier</w:t>
      </w:r>
      <w:bookmarkEnd w:id="12"/>
    </w:p>
    <w:p w14:paraId="2F4916CC" w14:textId="77777777" w:rsidR="002A7DA6" w:rsidRDefault="002A7DA6" w:rsidP="002A7DA6">
      <w:pPr>
        <w:pStyle w:val="NoSpacing"/>
        <w:jc w:val="both"/>
        <w:rPr>
          <w:rFonts w:ascii="Arial" w:hAnsi="Arial" w:cs="Arial"/>
          <w:color w:val="000000" w:themeColor="text1"/>
          <w:sz w:val="22"/>
          <w:lang w:val="fr-FR"/>
        </w:rPr>
      </w:pPr>
    </w:p>
    <w:p w14:paraId="781ED455" w14:textId="474B5001" w:rsidR="009672C2" w:rsidRPr="00036694" w:rsidRDefault="002A409C" w:rsidP="002A7DA6">
      <w:pPr>
        <w:pStyle w:val="NoSpacing"/>
        <w:jc w:val="both"/>
        <w:rPr>
          <w:rFonts w:ascii="Arial" w:hAnsi="Arial" w:cs="Arial"/>
          <w:color w:val="000000" w:themeColor="text1"/>
          <w:sz w:val="22"/>
          <w:lang w:val="fr-FR"/>
        </w:rPr>
      </w:pPr>
      <w:r w:rsidRPr="002A7DA6">
        <w:rPr>
          <w:rFonts w:ascii="Arial" w:hAnsi="Arial" w:cs="Arial"/>
          <w:color w:val="000000" w:themeColor="text1"/>
          <w:sz w:val="22"/>
          <w:lang w:val="fr-FR"/>
        </w:rPr>
        <w:t>Les poissons d'eau douce sont présents sur tous les continents à l'exception de l'Antarctique et occupent presque tous les habitats aquatiques intérieurs, des ruisseaux et sources d'eau d'amont aux grandes rivières, plaines inondables, lacs et zones humides, avec des faunes structurées par les limites des bassins hydrographiques qui limitent la dispersion et génèrent</w:t>
      </w:r>
      <w:r w:rsidRPr="00036694">
        <w:rPr>
          <w:rFonts w:ascii="Arial" w:hAnsi="Arial" w:cs="Arial"/>
          <w:color w:val="000000" w:themeColor="text1"/>
          <w:sz w:val="22"/>
          <w:lang w:val="fr-FR"/>
        </w:rPr>
        <w:t xml:space="preserve"> des assemblages régionaux distincts ; la richesse des espèces est généralement la plus faible </w:t>
      </w:r>
      <w:r w:rsidRPr="00036694">
        <w:rPr>
          <w:rFonts w:ascii="Arial" w:hAnsi="Arial" w:cs="Arial"/>
          <w:color w:val="000000" w:themeColor="text1"/>
          <w:sz w:val="22"/>
          <w:lang w:val="fr-FR"/>
        </w:rPr>
        <w:lastRenderedPageBreak/>
        <w:t>dans les zones tempérées et la plus élevée sous les tropiques (Dudgeon et al. 2006 ; Abell et al. 2007). Les synthèses actuelles reconnaissent environ 19 000 espèces de poissons d'eau douce (environ la moitié de tous les poissons et près d'un quart des vertébrés), avec une diversité exceptionnelle dans les grands bassins tropicaux tels que l'Amazone, le Congo et le Mékong (Winemiller et al. 2016 ; Sayer et al. 2025). Pour la CMS, la caractéristique principale est que beaucoup de ces systèmes à haute diversité sont transfrontaliers ; les rivières et les lacs partagés créent des stocks communs et nécessitent une coordination internationale pour une conservation et une gestion efficaces (Varis et al. 2008).</w:t>
      </w:r>
    </w:p>
    <w:p w14:paraId="51C4ABF3" w14:textId="77777777" w:rsidR="009672C2" w:rsidRPr="00036694" w:rsidRDefault="009672C2">
      <w:pPr>
        <w:pStyle w:val="NoSpacing"/>
        <w:jc w:val="both"/>
        <w:rPr>
          <w:rFonts w:ascii="Arial" w:hAnsi="Arial" w:cs="Arial"/>
          <w:color w:val="000000" w:themeColor="text1"/>
          <w:sz w:val="22"/>
          <w:lang w:val="fr-FR"/>
        </w:rPr>
      </w:pPr>
    </w:p>
    <w:p w14:paraId="010578DA" w14:textId="57288447"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À travers les Amériques, de nombreux grands bassins sont transfrontaliers. L'Amazone s'étend sur huit pays et abrite au moins 2 700 espèces d'eau douce décrites. Elle accueille également la plus longue migration connue d'un cycle de vie strictement en eau douce : le silure doré </w:t>
      </w:r>
      <w:r w:rsidRPr="00036694">
        <w:rPr>
          <w:rFonts w:ascii="Arial" w:hAnsi="Arial" w:cs="Arial"/>
          <w:i/>
          <w:iCs/>
          <w:color w:val="000000" w:themeColor="text1"/>
          <w:sz w:val="22"/>
          <w:lang w:val="fr-FR"/>
        </w:rPr>
        <w:t>Brachyplatystoma rousseauxii</w:t>
      </w:r>
      <w:r w:rsidRPr="00036694">
        <w:rPr>
          <w:rFonts w:ascii="Arial" w:hAnsi="Arial" w:cs="Arial"/>
          <w:color w:val="000000" w:themeColor="text1"/>
          <w:sz w:val="22"/>
          <w:lang w:val="fr-FR"/>
        </w:rPr>
        <w:t xml:space="preserve"> parcourt &gt;11 000 km entre les sources andines et les zones de reproduction estuariennes, traversant de multiples frontières (Barthem &amp; Goulding 1997 ; Barthem et al. 2017). Le système La Plata-Paraná-Paraguay relie le Brésil, le Paraguay, la Bolivie, l'Uruguay et l'Argentine, abritant les poissons-chats et les characidés potamodromes sur de longues distances qui traversent régulièrement les frontières nationales (Carolsfeld et al. 2003). En Amérique du Nord, les migrations diadromes et potamodromes dans le Columbia, le Yukon et les Grands Lacs–St. Laurent nécessitent une coordination binationale (Poff et al. 1997; Jelks et al. 2008).</w:t>
      </w:r>
    </w:p>
    <w:p w14:paraId="49F9E211" w14:textId="77777777" w:rsidR="009672C2" w:rsidRPr="00036694" w:rsidRDefault="009672C2">
      <w:pPr>
        <w:pStyle w:val="NoSpacing"/>
        <w:jc w:val="both"/>
        <w:rPr>
          <w:rFonts w:ascii="Arial" w:hAnsi="Arial" w:cs="Arial"/>
          <w:color w:val="000000" w:themeColor="text1"/>
          <w:sz w:val="22"/>
          <w:lang w:val="fr-FR"/>
        </w:rPr>
      </w:pPr>
    </w:p>
    <w:p w14:paraId="126279BA" w14:textId="77777777"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L'Europe présente une richesse globale plus faible, mais une proportion élevée de rivières transfrontalières – par exemple, le Danube relie 19 pays (Tockner et al. 2009 ; Grill et al. 2019). En Afrique, la diversité atteint son apogée au Congo et dans les Grands Lacs d'Afrique de l'Est, avec une description continue de nouveaux taxons et un élargissement des évaluations qui mettent en évidence à la fois un endémisme élevé et des lacunes significatives dans les données (Levéque et al. 2008 ; Reid et al. 2019). En Asie, le Mékong abrite l'une des plus grandes pêcheries intérieures du monde et de nombreux migrateurs se déplacent entre le Cambodge, la République démocratique populaire lao, la Thaïlande, le Viet Nam, le Myanmar et la Chine (Baran et Myschowoda 2009). Des dynamiques transfrontalières similaires se manifestent dans les systèmes du Gange-Brahmapoutre-Meghna et de l'Indus (Dudgeon 2000, 2003). En Océanie, la diversité des eaux douces est relativement faible et dominée par des taxons diadromes ; les anguilles anguillidés relient plusieurs États insulaires et soulignent la nécessité de normes de passage coordonnées au niveau régional ainsi que d'une gestion des pêcheries adaptée à chaque étape de la vie (Chang et al. 2020 ; Koster et al. 2021). Dans les nations insulaires uniques, les poissons d'eau douce obligatoires, qu'ils soient migrateurs ou non, ne remplissent pas les critères pour être inscrits aux Annexes. </w:t>
      </w:r>
    </w:p>
    <w:p w14:paraId="66E48173" w14:textId="77777777" w:rsidR="009672C2" w:rsidRPr="00036694" w:rsidRDefault="009672C2">
      <w:pPr>
        <w:pStyle w:val="NoSpacing"/>
        <w:rPr>
          <w:rStyle w:val="Heading2Char"/>
          <w:rFonts w:ascii="Arial" w:hAnsi="Arial" w:cs="Arial"/>
          <w:sz w:val="22"/>
          <w:szCs w:val="22"/>
          <w:lang w:val="fr-FR"/>
        </w:rPr>
      </w:pPr>
    </w:p>
    <w:p w14:paraId="67471169" w14:textId="52762877" w:rsidR="009672C2" w:rsidRPr="004576AB" w:rsidRDefault="002A409C" w:rsidP="004576AB">
      <w:pPr>
        <w:pStyle w:val="NoSpacing"/>
        <w:ind w:left="567" w:hanging="567"/>
        <w:rPr>
          <w:rStyle w:val="Heading2Char"/>
          <w:rFonts w:ascii="Arial" w:hAnsi="Arial" w:cs="Arial"/>
          <w:b w:val="0"/>
          <w:bCs w:val="0"/>
          <w:sz w:val="22"/>
          <w:szCs w:val="22"/>
          <w:lang w:val="fr-FR"/>
        </w:rPr>
      </w:pPr>
      <w:bookmarkStart w:id="13" w:name="_Toc214450246"/>
      <w:r w:rsidRPr="004576AB">
        <w:rPr>
          <w:rStyle w:val="Heading2Char"/>
          <w:rFonts w:ascii="Arial" w:hAnsi="Arial" w:cs="Arial"/>
          <w:b w:val="0"/>
          <w:bCs w:val="0"/>
          <w:sz w:val="22"/>
          <w:szCs w:val="22"/>
          <w:lang w:val="fr-FR"/>
        </w:rPr>
        <w:t xml:space="preserve">3.2 </w:t>
      </w:r>
      <w:r w:rsidR="004576AB">
        <w:rPr>
          <w:rStyle w:val="Heading2Char"/>
          <w:rFonts w:ascii="Arial" w:hAnsi="Arial" w:cs="Arial"/>
          <w:b w:val="0"/>
          <w:bCs w:val="0"/>
          <w:sz w:val="22"/>
          <w:szCs w:val="22"/>
          <w:lang w:val="fr-FR"/>
        </w:rPr>
        <w:tab/>
      </w:r>
      <w:r w:rsidRPr="004576AB">
        <w:rPr>
          <w:rStyle w:val="Heading2Char"/>
          <w:rFonts w:ascii="Arial" w:hAnsi="Arial" w:cs="Arial"/>
          <w:b w:val="0"/>
          <w:bCs w:val="0"/>
          <w:sz w:val="22"/>
          <w:szCs w:val="22"/>
          <w:lang w:val="fr-FR"/>
        </w:rPr>
        <w:t>Écologie de la migration et histoire de vie</w:t>
      </w:r>
      <w:bookmarkEnd w:id="13"/>
    </w:p>
    <w:p w14:paraId="1C8D83C1" w14:textId="77777777" w:rsidR="004576AB" w:rsidRDefault="004576AB">
      <w:pPr>
        <w:pStyle w:val="NoSpacing"/>
        <w:jc w:val="both"/>
        <w:rPr>
          <w:rFonts w:ascii="Arial" w:hAnsi="Arial" w:cs="Arial"/>
          <w:color w:val="000000" w:themeColor="text1"/>
          <w:sz w:val="22"/>
          <w:lang w:val="fr-FR"/>
        </w:rPr>
      </w:pPr>
    </w:p>
    <w:p w14:paraId="2C73D3EB" w14:textId="53DE91D5"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Le comportement migratoire est très répandu chez les poissons d'eau douce et concerne les principales lignées. Les poissons diadromes (anadromes, catadromes, amphidromes) relient les rivières à la mer, tandis que les poissons potamodromes migrent entièrement dans les eaux intérieures (Lucas et Baras 2001). Dans les systèmes tropicaux, la plupart des taxons migrateurs sont potamodromes et synchronisent leurs déplacements avec les impulsions des moussons ou des crues (Baran et Myschowoda 2009). De nombreux taxons entreprennent des migrations sur de longues distances : les esturgeons et les saumons dans les systèmes tempérés ; les anguilles anguillidés à travers les bassins océaniques ; ainsi que les poissons-chats pimélodidés/pangasiidés et les prochilodontidés en Amérique du Sud et en Asie du Sud-Est, parcourant souvent des centaines, voire des milliers de kilomètres (Carolsfeld et al. 2003 ; Hogan et al. 2007 ; Lucas et Baras 2001). Malgré la prévalence de la migration, l'ampleur et le </w:t>
      </w:r>
      <w:r w:rsidRPr="00036694">
        <w:rPr>
          <w:rFonts w:ascii="Arial" w:hAnsi="Arial" w:cs="Arial"/>
          <w:color w:val="000000" w:themeColor="text1"/>
          <w:sz w:val="22"/>
          <w:lang w:val="fr-FR"/>
        </w:rPr>
        <w:lastRenderedPageBreak/>
        <w:t>calendrier des mouvements restent mal documentés pour de nombreuses espèces et populations, en particulier sous les tropiques, ce qui complique la délimitation des stocks et la gestion transfrontalière (Dudgeon 2000, 2003). Ces lacunes dans les connaissances renforcent l'importance des preuves multi-sources (par exemple, télémétrie, marquage-recapture, microchimie des otolithes, génétique, inventaires de bassins et savoirs d'experts/locaux) pour déterminer le statut transfrontalier dans le cadre des objectifs de la CMS (Coates et al. 2000 ; Reid et al. 2019).</w:t>
      </w:r>
    </w:p>
    <w:p w14:paraId="7295B1FD" w14:textId="77777777" w:rsidR="009672C2" w:rsidRPr="00036694" w:rsidRDefault="009672C2">
      <w:pPr>
        <w:pStyle w:val="NoSpacing"/>
        <w:jc w:val="both"/>
        <w:rPr>
          <w:rFonts w:ascii="Arial" w:hAnsi="Arial" w:cs="Arial"/>
          <w:color w:val="000000" w:themeColor="text1"/>
          <w:sz w:val="22"/>
          <w:lang w:val="fr-FR"/>
        </w:rPr>
      </w:pPr>
    </w:p>
    <w:p w14:paraId="73DA2C05" w14:textId="77777777"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Le contexte régional a son importance pour l'application de la CMS. En Amérique du Nord, de nombreuses migrations ont lieu dans des systèmes partagés par seulement deux pays, ce qui simplifie le paysage de la coopération par rapport à l'Eurasie, l'Afrique et l'Amérique du Sud (Jelks et al. 2008). En Europe, l'écologie des migrations est marquée par des siècles de régulation des cours d'eau ; de nombreux parcours diadromes et potamodromes ont été perdus, et la restauration nécessite une atténuation coordonnée des obstacles et une gestion des flux dans de nombreux pays (Holčík 1995 ; Tockner et al. 2009). En Amérique du Sud et dans certaines parties de l'Asie, de très grandes migrations encore fonctionnelles persistent mais sont confrontées à des pressions de développement rapides ; ici, les instruments de la CMS pourraient aider à maintenir la connectivité et à harmoniser les mesures de gestion et les actions de conservation à travers les juridictions (Carolsfeld et al. 2003 ; Baran &amp; Myschowoda 2009).</w:t>
      </w:r>
    </w:p>
    <w:p w14:paraId="13D7B86D" w14:textId="77777777" w:rsidR="009672C2" w:rsidRPr="00036694" w:rsidRDefault="009672C2">
      <w:pPr>
        <w:pStyle w:val="NoSpacing"/>
        <w:rPr>
          <w:rFonts w:ascii="Arial" w:hAnsi="Arial" w:cs="Arial"/>
          <w:color w:val="000000" w:themeColor="text1"/>
          <w:sz w:val="22"/>
          <w:lang w:val="fr-FR"/>
        </w:rPr>
      </w:pPr>
    </w:p>
    <w:p w14:paraId="55CAE3C5" w14:textId="07C7719B" w:rsidR="009672C2" w:rsidRPr="004576AB" w:rsidRDefault="002A409C" w:rsidP="004576AB">
      <w:pPr>
        <w:pStyle w:val="NoSpacing"/>
        <w:ind w:left="567" w:hanging="567"/>
        <w:rPr>
          <w:rStyle w:val="Heading2Char"/>
          <w:rFonts w:ascii="Arial" w:hAnsi="Arial" w:cs="Arial"/>
          <w:b w:val="0"/>
          <w:bCs w:val="0"/>
          <w:sz w:val="22"/>
          <w:szCs w:val="22"/>
          <w:lang w:val="fr-FR"/>
        </w:rPr>
      </w:pPr>
      <w:bookmarkStart w:id="14" w:name="_Toc214450247"/>
      <w:r w:rsidRPr="004576AB">
        <w:rPr>
          <w:rStyle w:val="Heading2Char"/>
          <w:rFonts w:ascii="Arial" w:hAnsi="Arial" w:cs="Arial"/>
          <w:b w:val="0"/>
          <w:bCs w:val="0"/>
          <w:sz w:val="22"/>
          <w:szCs w:val="22"/>
          <w:lang w:val="fr-FR"/>
        </w:rPr>
        <w:t xml:space="preserve">3.3 </w:t>
      </w:r>
      <w:r w:rsidR="004576AB">
        <w:rPr>
          <w:rStyle w:val="Heading2Char"/>
          <w:rFonts w:ascii="Arial" w:hAnsi="Arial" w:cs="Arial"/>
          <w:b w:val="0"/>
          <w:bCs w:val="0"/>
          <w:sz w:val="22"/>
          <w:szCs w:val="22"/>
          <w:lang w:val="fr-FR"/>
        </w:rPr>
        <w:tab/>
      </w:r>
      <w:r w:rsidRPr="004576AB">
        <w:rPr>
          <w:rStyle w:val="Heading2Char"/>
          <w:rFonts w:ascii="Arial" w:hAnsi="Arial" w:cs="Arial"/>
          <w:b w:val="0"/>
          <w:bCs w:val="0"/>
          <w:sz w:val="22"/>
          <w:szCs w:val="22"/>
          <w:lang w:val="fr-FR"/>
        </w:rPr>
        <w:t>Menaces pesant sur les poissons migrateurs d'eau douce</w:t>
      </w:r>
      <w:bookmarkEnd w:id="14"/>
      <w:r w:rsidRPr="004576AB">
        <w:rPr>
          <w:rStyle w:val="Heading2Char"/>
          <w:rFonts w:ascii="Arial" w:hAnsi="Arial" w:cs="Arial"/>
          <w:b w:val="0"/>
          <w:bCs w:val="0"/>
          <w:sz w:val="22"/>
          <w:szCs w:val="22"/>
          <w:lang w:val="fr-FR"/>
        </w:rPr>
        <w:t xml:space="preserve"> </w:t>
      </w:r>
    </w:p>
    <w:p w14:paraId="7255C710" w14:textId="77777777" w:rsidR="004576AB" w:rsidRDefault="004576AB">
      <w:pPr>
        <w:pStyle w:val="NoSpacing"/>
        <w:jc w:val="both"/>
        <w:rPr>
          <w:rFonts w:ascii="Arial" w:hAnsi="Arial" w:cs="Arial"/>
          <w:color w:val="000000" w:themeColor="text1"/>
          <w:sz w:val="22"/>
          <w:lang w:val="fr-FR"/>
        </w:rPr>
      </w:pPr>
    </w:p>
    <w:p w14:paraId="6390E2EB" w14:textId="75AFBF96"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Les déclins sont dus à des facteurs cumulatifs agissant le long de corridors migratoires entiers. La fragmentation des cours d'eau et la modification des flux (par des barrages, des déversoirs et des prélèvements) bloquent ou retardent les migrations, réduisent l'accès aux plaines inondables et le transport des sédiments, et homogénéisent les régimes d'écoulement, avec des impacts bien documentés sur les esturgeons, les saumons et, de plus en plus, sur les taxons potamodromes à longue distance (Nilsson et al. 2005 ; Kottelat et Freyhof 2007 ; Barthem et de Brito Ribeiro 1991 ; Carolsfeld et al. 2003 ; Grill et al. 2019). La dégradation de l'habitat, notamment la déforestation, la canalisation, l'extraction de sable/gravier et l'eutrophisation, dégrade les habitats de frai et les zones de reproduction, et les polluants et sédiments transfrontaliers traversent les frontières (Allan et al. 2005 ; Lelek et Köhler 1990). La surexploitation et les prises accessoires dans les pêcheries mixtes éliminent les migrateurs à plusieurs stades de leur vie et le long des itinéraires, ce qui nécessite une coordination des saisons, des engins et des limites de taille entre les Parties (Jelks et al. 2008 ; Casselman et Cairns 2009). Les espèces allogènes et les maladies peuvent restructurer les réseaux alimentaires et faire disparaître les espèces endémiques, comme la perche du Nil dans le lac Victoria (Levéque et al. 2008 ; Goudswaard et al. 2008). Le changement climatique devrait entraîner une modification du calendrier des migrations, une réduction des flux alimentés par la neige et les glaciers, ainsi qu'une altération de la dynamique des estuaires, ce qui augmenterait la mortalité liée au passage et les décalages phénologiques (Xenopoulos et al. 2005 ; Poff et al. 2007 ; Thieme et al. 2010). Là où des déclins se sont produits, le rétablissement dépend de la restauration de la connectivité, de la coordination de l'habitat et des mesures de récolte entre les États et les nations, de l'amélioration de la qualité de l'eau et des flux environnementaux, et de l'adaptation aux changements induits par le climat - des actions qui nécessitent une coopération transnationale et des cadres de surveillance partagés (Tickner et al. 2020).</w:t>
      </w:r>
    </w:p>
    <w:p w14:paraId="485E2FDB" w14:textId="77777777" w:rsidR="009672C2" w:rsidRPr="00036694" w:rsidRDefault="009672C2">
      <w:pPr>
        <w:pStyle w:val="NoSpacing"/>
        <w:jc w:val="both"/>
        <w:rPr>
          <w:rFonts w:ascii="Arial" w:hAnsi="Arial" w:cs="Arial"/>
          <w:color w:val="000000" w:themeColor="text1"/>
          <w:sz w:val="22"/>
          <w:lang w:val="fr-FR"/>
        </w:rPr>
      </w:pPr>
    </w:p>
    <w:p w14:paraId="605EC045" w14:textId="77777777"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Dans les systèmes transfrontaliers, l'absence de coordination peut entraîner une perte généralisée d'avantages (par exemple, des investissements dans le passage compensés par une intensification de la récolte en aval) ainsi que des asymétries ou des lacunes dans les </w:t>
      </w:r>
      <w:r w:rsidRPr="00036694">
        <w:rPr>
          <w:rFonts w:ascii="Arial" w:hAnsi="Arial" w:cs="Arial"/>
          <w:color w:val="000000" w:themeColor="text1"/>
          <w:sz w:val="22"/>
          <w:lang w:val="fr-FR"/>
        </w:rPr>
        <w:lastRenderedPageBreak/>
        <w:t>données qui entravent l'évaluation. Les instruments de la CMS (c'est-à-dire les inscriptions à l'Annexe, les actions concertées, les plans d'action et les mémorandums d'entente) offrent des voies pour aligner les priorités en matière de recherche, de gestion et de conservation, fixer des objectifs de flux environnementaux, coordonner les réglementations en matière de pêche, établir des réseaux de surveillance transfrontaliers (indices de temps de parcours, cadres de marquage-recapture, identification génétique des stocks) et codifier le partage des données entre les Parties (Dudgeon et al. 2006 ; Poff et al. 2007 ; Tickner et al. 2020).</w:t>
      </w:r>
    </w:p>
    <w:p w14:paraId="2E02FD7F" w14:textId="77777777" w:rsidR="009672C2" w:rsidRPr="004576AB" w:rsidRDefault="009672C2" w:rsidP="004576AB">
      <w:pPr>
        <w:pStyle w:val="NoSpacing"/>
        <w:jc w:val="both"/>
        <w:rPr>
          <w:rFonts w:ascii="Arial" w:hAnsi="Arial" w:cs="Arial"/>
          <w:color w:val="000000" w:themeColor="text1"/>
          <w:sz w:val="22"/>
          <w:lang w:val="fr-FR"/>
        </w:rPr>
      </w:pPr>
    </w:p>
    <w:p w14:paraId="43C3B03A" w14:textId="28D31C75" w:rsidR="009672C2" w:rsidRPr="004576AB" w:rsidRDefault="002A409C" w:rsidP="004576AB">
      <w:pPr>
        <w:pStyle w:val="Heading2"/>
        <w:spacing w:before="0" w:line="240" w:lineRule="auto"/>
        <w:ind w:left="567" w:hanging="567"/>
        <w:rPr>
          <w:rFonts w:ascii="Arial" w:hAnsi="Arial" w:cs="Arial"/>
          <w:b w:val="0"/>
          <w:bCs w:val="0"/>
          <w:sz w:val="22"/>
          <w:szCs w:val="22"/>
          <w:lang w:val="fr-FR"/>
        </w:rPr>
      </w:pPr>
      <w:bookmarkStart w:id="15" w:name="_Toc214450248"/>
      <w:r w:rsidRPr="004576AB">
        <w:rPr>
          <w:rFonts w:ascii="Arial" w:hAnsi="Arial" w:cs="Arial"/>
          <w:b w:val="0"/>
          <w:bCs w:val="0"/>
          <w:sz w:val="22"/>
          <w:szCs w:val="22"/>
          <w:lang w:val="fr-FR"/>
        </w:rPr>
        <w:t xml:space="preserve">3.4 </w:t>
      </w:r>
      <w:r w:rsidR="004576AB">
        <w:rPr>
          <w:rFonts w:ascii="Arial" w:hAnsi="Arial" w:cs="Arial"/>
          <w:b w:val="0"/>
          <w:bCs w:val="0"/>
          <w:sz w:val="22"/>
          <w:szCs w:val="22"/>
          <w:lang w:val="fr-FR"/>
        </w:rPr>
        <w:tab/>
      </w:r>
      <w:r w:rsidRPr="004576AB">
        <w:rPr>
          <w:rFonts w:ascii="Arial" w:hAnsi="Arial" w:cs="Arial"/>
          <w:b w:val="0"/>
          <w:bCs w:val="0"/>
          <w:sz w:val="22"/>
          <w:szCs w:val="22"/>
          <w:lang w:val="fr-FR"/>
        </w:rPr>
        <w:t>État de conservation des poissons d'eau douce déjà inscrits aux Annexes de la CMS</w:t>
      </w:r>
      <w:bookmarkEnd w:id="15"/>
      <w:r w:rsidRPr="004576AB">
        <w:rPr>
          <w:rFonts w:ascii="Arial" w:hAnsi="Arial" w:cs="Arial"/>
          <w:b w:val="0"/>
          <w:bCs w:val="0"/>
          <w:sz w:val="22"/>
          <w:szCs w:val="22"/>
          <w:lang w:val="fr-FR"/>
        </w:rPr>
        <w:t xml:space="preserve"> </w:t>
      </w:r>
    </w:p>
    <w:p w14:paraId="6FEFD934" w14:textId="77777777" w:rsidR="00676611" w:rsidRDefault="00676611" w:rsidP="004576AB">
      <w:pPr>
        <w:pStyle w:val="NormalWeb"/>
        <w:spacing w:before="0" w:beforeAutospacing="0" w:after="0" w:afterAutospacing="0"/>
        <w:rPr>
          <w:rStyle w:val="Heading3Char"/>
          <w:b/>
          <w:bCs/>
          <w:sz w:val="22"/>
          <w:szCs w:val="22"/>
        </w:rPr>
      </w:pPr>
    </w:p>
    <w:p w14:paraId="454C78A9" w14:textId="6FAD8C64" w:rsidR="009672C2" w:rsidRPr="004576AB" w:rsidRDefault="002A409C" w:rsidP="00676611">
      <w:pPr>
        <w:pStyle w:val="NormalWeb"/>
        <w:spacing w:before="0" w:beforeAutospacing="0" w:after="0" w:afterAutospacing="0"/>
        <w:rPr>
          <w:rFonts w:ascii="Arial" w:hAnsi="Arial" w:cs="Arial"/>
          <w:color w:val="000000" w:themeColor="text1"/>
          <w:sz w:val="22"/>
          <w:szCs w:val="22"/>
          <w:lang w:val="fr-FR"/>
        </w:rPr>
      </w:pPr>
      <w:bookmarkStart w:id="16" w:name="_Toc214450249"/>
      <w:r w:rsidRPr="004576AB">
        <w:rPr>
          <w:rStyle w:val="Heading3Char"/>
          <w:sz w:val="22"/>
          <w:szCs w:val="22"/>
        </w:rPr>
        <w:t>Esturgeons et poissons spatules (Acipenseriformes)</w:t>
      </w:r>
      <w:bookmarkEnd w:id="16"/>
    </w:p>
    <w:p w14:paraId="271FBCF3" w14:textId="77777777" w:rsidR="00676611" w:rsidRDefault="00676611" w:rsidP="00676611">
      <w:pPr>
        <w:pStyle w:val="NormalWeb"/>
        <w:spacing w:before="0" w:beforeAutospacing="0" w:after="0" w:afterAutospacing="0"/>
        <w:jc w:val="both"/>
        <w:rPr>
          <w:rFonts w:ascii="Arial" w:hAnsi="Arial" w:cs="Arial"/>
          <w:color w:val="000000" w:themeColor="text1"/>
          <w:sz w:val="22"/>
          <w:szCs w:val="22"/>
          <w:lang w:val="fr-FR"/>
        </w:rPr>
      </w:pPr>
    </w:p>
    <w:p w14:paraId="21BDD233" w14:textId="783868F7" w:rsidR="009672C2" w:rsidRPr="00036694" w:rsidRDefault="002A409C" w:rsidP="00676611">
      <w:pPr>
        <w:pStyle w:val="NormalWeb"/>
        <w:spacing w:before="0" w:beforeAutospacing="0" w:after="0" w:afterAutospacing="0"/>
        <w:jc w:val="both"/>
        <w:rPr>
          <w:rFonts w:ascii="Arial" w:hAnsi="Arial" w:cs="Arial"/>
          <w:color w:val="000000" w:themeColor="text1"/>
          <w:sz w:val="22"/>
          <w:szCs w:val="22"/>
          <w:lang w:val="fr-FR"/>
        </w:rPr>
      </w:pPr>
      <w:r w:rsidRPr="00036694">
        <w:rPr>
          <w:rFonts w:ascii="Arial" w:hAnsi="Arial" w:cs="Arial"/>
          <w:color w:val="000000" w:themeColor="text1"/>
          <w:sz w:val="22"/>
          <w:szCs w:val="22"/>
          <w:lang w:val="fr-FR"/>
        </w:rPr>
        <w:t>Dans le cadre de la CMS, l'esturgeon européen (</w:t>
      </w:r>
      <w:r w:rsidRPr="00036694">
        <w:rPr>
          <w:rFonts w:ascii="Arial" w:hAnsi="Arial" w:cs="Arial"/>
          <w:i/>
          <w:iCs/>
          <w:color w:val="000000" w:themeColor="text1"/>
          <w:sz w:val="22"/>
          <w:szCs w:val="22"/>
          <w:lang w:val="fr-FR"/>
        </w:rPr>
        <w:t>Acipenser sturio</w:t>
      </w:r>
      <w:r w:rsidRPr="00036694">
        <w:rPr>
          <w:rFonts w:ascii="Arial" w:hAnsi="Arial" w:cs="Arial"/>
          <w:color w:val="000000" w:themeColor="text1"/>
          <w:sz w:val="22"/>
          <w:szCs w:val="22"/>
          <w:lang w:val="fr-FR"/>
        </w:rPr>
        <w:t>)</w:t>
      </w:r>
      <w:r w:rsidRPr="00036694">
        <w:rPr>
          <w:rFonts w:ascii="Arial" w:hAnsi="Arial" w:cs="Arial"/>
          <w:i/>
          <w:iCs/>
          <w:color w:val="000000" w:themeColor="text1"/>
          <w:sz w:val="22"/>
          <w:szCs w:val="22"/>
          <w:lang w:val="fr-FR"/>
        </w:rPr>
        <w:t xml:space="preserve"> </w:t>
      </w:r>
      <w:r w:rsidRPr="00036694">
        <w:rPr>
          <w:rFonts w:ascii="Arial" w:hAnsi="Arial" w:cs="Arial"/>
          <w:color w:val="000000" w:themeColor="text1"/>
          <w:sz w:val="22"/>
          <w:szCs w:val="22"/>
          <w:lang w:val="fr-FR"/>
        </w:rPr>
        <w:t>est inscrit à l'Annexe I et à l'Annexe II ; dix-huit autres esturgeons et le poisson spatule chinois sont inscrits à l'Annexe II, ce qui souligne la nécessité d'une gestion internationale coordonnée. La réévaluation la plus récente de l'UICN identifie les Acipenseriformes comme le groupe de vertébrés le plus menacé, avec la majorité des espèces classées en danger critique (CR) ou en danger (EN) et en déclin en raison de la fragmentation des cours d'eau, de la récolte illégale et du commerce du caviar, de la modification des flux et de la dégradation de la qualité de l'eau</w:t>
      </w:r>
      <w:bookmarkStart w:id="17" w:name="OLE_LINK1"/>
      <w:r w:rsidRPr="00036694">
        <w:rPr>
          <w:rFonts w:ascii="Arial" w:hAnsi="Arial" w:cs="Arial"/>
          <w:color w:val="000000" w:themeColor="text1"/>
          <w:sz w:val="22"/>
          <w:szCs w:val="22"/>
          <w:lang w:val="fr-FR"/>
        </w:rPr>
        <w:t>. L'extinction du poisson spatule chinois (</w:t>
      </w:r>
      <w:r w:rsidRPr="00036694">
        <w:rPr>
          <w:rFonts w:ascii="Arial" w:hAnsi="Arial" w:cs="Arial"/>
          <w:i/>
          <w:iCs/>
          <w:color w:val="000000" w:themeColor="text1"/>
          <w:sz w:val="22"/>
          <w:szCs w:val="22"/>
          <w:lang w:val="fr-FR"/>
        </w:rPr>
        <w:t>Psephurus gladius</w:t>
      </w:r>
      <w:r w:rsidRPr="00036694">
        <w:rPr>
          <w:rFonts w:ascii="Arial" w:hAnsi="Arial" w:cs="Arial"/>
          <w:color w:val="000000" w:themeColor="text1"/>
          <w:sz w:val="22"/>
          <w:szCs w:val="22"/>
          <w:lang w:val="fr-FR"/>
        </w:rPr>
        <w:t xml:space="preserve">) a été confirmée en 2022 – le premier poisson inscrit aux Annexes de la CMS à être perdu. </w:t>
      </w:r>
      <w:bookmarkEnd w:id="17"/>
      <w:r w:rsidRPr="00036694">
        <w:rPr>
          <w:rFonts w:ascii="Arial" w:hAnsi="Arial" w:cs="Arial"/>
          <w:color w:val="000000" w:themeColor="text1"/>
          <w:sz w:val="22"/>
          <w:szCs w:val="22"/>
          <w:lang w:val="fr-FR"/>
        </w:rPr>
        <w:t>En Méditerranée / Adriatique, l'esturgeon de l'Adriatique (italien) (</w:t>
      </w:r>
      <w:r w:rsidRPr="00036694">
        <w:rPr>
          <w:rFonts w:ascii="Arial" w:hAnsi="Arial" w:cs="Arial"/>
          <w:i/>
          <w:iCs/>
          <w:color w:val="000000" w:themeColor="text1"/>
          <w:sz w:val="22"/>
          <w:szCs w:val="22"/>
          <w:lang w:val="fr-FR"/>
        </w:rPr>
        <w:t>Acipenser naccarii</w:t>
      </w:r>
      <w:r w:rsidRPr="00036694">
        <w:rPr>
          <w:rFonts w:ascii="Arial" w:hAnsi="Arial" w:cs="Arial"/>
          <w:color w:val="000000" w:themeColor="text1"/>
          <w:sz w:val="22"/>
          <w:szCs w:val="22"/>
          <w:lang w:val="fr-FR"/>
        </w:rPr>
        <w:t xml:space="preserve">) est en danger critique (CR) et dépend principalement des stocks de géniteurs captifs et des programmes de réintroduction ; la connectivité limitée et la dégradation des conditions estuariennes freinent le rétablissement de l'espèce. Dans l'Atlantique Nord et l'Europe occidentale, </w:t>
      </w:r>
      <w:r w:rsidRPr="00036694">
        <w:rPr>
          <w:rFonts w:ascii="Arial" w:hAnsi="Arial" w:cs="Arial"/>
          <w:i/>
          <w:iCs/>
          <w:color w:val="000000" w:themeColor="text1"/>
          <w:sz w:val="22"/>
          <w:szCs w:val="22"/>
          <w:lang w:val="fr-FR"/>
        </w:rPr>
        <w:t>A. sturio</w:t>
      </w:r>
      <w:r w:rsidRPr="00036694">
        <w:rPr>
          <w:rFonts w:ascii="Arial" w:hAnsi="Arial" w:cs="Arial"/>
          <w:color w:val="000000" w:themeColor="text1"/>
          <w:sz w:val="22"/>
          <w:szCs w:val="22"/>
          <w:lang w:val="fr-FR"/>
        </w:rPr>
        <w:t xml:space="preserve"> a effectivement disparu de la majeure partie de son ancienne aire de répartition ; les réintroductions franco-allemandes signalent une survie et des recaptures occasionnelles, mais aucune population sauvage autonome. Dans la région de la mer Noire / du Danube / de la mer Caspienne, les taxons clés de l'Annexe II, </w:t>
      </w:r>
      <w:r w:rsidRPr="00036694">
        <w:rPr>
          <w:rFonts w:ascii="Arial" w:hAnsi="Arial" w:cs="Arial"/>
          <w:i/>
          <w:iCs/>
          <w:color w:val="000000" w:themeColor="text1"/>
          <w:sz w:val="22"/>
          <w:szCs w:val="22"/>
          <w:lang w:val="fr-FR"/>
        </w:rPr>
        <w:t xml:space="preserve">Huso huso, A. gueldenstaedtii, A. stellatus, A. nudiventris, A. ruthenus </w:t>
      </w:r>
      <w:r w:rsidRPr="00036694">
        <w:rPr>
          <w:rFonts w:ascii="Arial" w:hAnsi="Arial" w:cs="Arial"/>
          <w:color w:val="000000" w:themeColor="text1"/>
          <w:sz w:val="22"/>
          <w:szCs w:val="22"/>
          <w:lang w:val="fr-FR"/>
        </w:rPr>
        <w:t xml:space="preserve">(population du Danube), et </w:t>
      </w:r>
      <w:r w:rsidRPr="00036694">
        <w:rPr>
          <w:rFonts w:ascii="Arial" w:hAnsi="Arial" w:cs="Arial"/>
          <w:i/>
          <w:iCs/>
          <w:color w:val="000000" w:themeColor="text1"/>
          <w:sz w:val="22"/>
          <w:szCs w:val="22"/>
          <w:lang w:val="fr-FR"/>
        </w:rPr>
        <w:t>A. persicus,</w:t>
      </w:r>
      <w:r w:rsidRPr="00036694">
        <w:rPr>
          <w:rFonts w:ascii="Arial" w:hAnsi="Arial" w:cs="Arial"/>
          <w:color w:val="000000" w:themeColor="text1"/>
          <w:sz w:val="22"/>
          <w:szCs w:val="22"/>
          <w:lang w:val="fr-FR"/>
        </w:rPr>
        <w:t xml:space="preserve"> sont en grande partie classés CR / EN avec un recrutement effondré ; le beluga persiste principalement dans le bas Danube et dans certaines parties de la mer Caspienne, mais il est confronté au braconnage et à des migrations interrompues au niveau des principaux barrages (par exemple Iron Gate, Volgograd). Dans les bassins versants sibéro-arctiques et de l'Amour-Oussouri, </w:t>
      </w:r>
      <w:r w:rsidRPr="00036694">
        <w:rPr>
          <w:rFonts w:ascii="Arial" w:hAnsi="Arial" w:cs="Arial"/>
          <w:i/>
          <w:iCs/>
          <w:color w:val="000000" w:themeColor="text1"/>
          <w:sz w:val="22"/>
          <w:szCs w:val="22"/>
          <w:lang w:val="fr-FR"/>
        </w:rPr>
        <w:t>A. baerii</w:t>
      </w:r>
      <w:r w:rsidRPr="00036694">
        <w:rPr>
          <w:rFonts w:ascii="Arial" w:hAnsi="Arial" w:cs="Arial"/>
          <w:color w:val="000000" w:themeColor="text1"/>
          <w:sz w:val="22"/>
          <w:szCs w:val="22"/>
          <w:lang w:val="fr-FR"/>
        </w:rPr>
        <w:t xml:space="preserve"> (y compris la forme du Baïkal), </w:t>
      </w:r>
      <w:r w:rsidRPr="00036694">
        <w:rPr>
          <w:rFonts w:ascii="Arial" w:hAnsi="Arial" w:cs="Arial"/>
          <w:i/>
          <w:iCs/>
          <w:color w:val="000000" w:themeColor="text1"/>
          <w:sz w:val="22"/>
          <w:szCs w:val="22"/>
          <w:lang w:val="fr-FR"/>
        </w:rPr>
        <w:t>A. schrenckii</w:t>
      </w:r>
      <w:r w:rsidRPr="00036694">
        <w:rPr>
          <w:rFonts w:ascii="Arial" w:hAnsi="Arial" w:cs="Arial"/>
          <w:color w:val="000000" w:themeColor="text1"/>
          <w:sz w:val="22"/>
          <w:szCs w:val="22"/>
          <w:lang w:val="fr-FR"/>
        </w:rPr>
        <w:t xml:space="preserve"> et </w:t>
      </w:r>
      <w:r w:rsidRPr="00036694">
        <w:rPr>
          <w:rFonts w:ascii="Arial" w:hAnsi="Arial" w:cs="Arial"/>
          <w:i/>
          <w:iCs/>
          <w:color w:val="000000" w:themeColor="text1"/>
          <w:sz w:val="22"/>
          <w:szCs w:val="22"/>
          <w:lang w:val="fr-FR"/>
        </w:rPr>
        <w:t>Huso dauricus</w:t>
      </w:r>
      <w:r w:rsidRPr="00036694">
        <w:rPr>
          <w:rFonts w:ascii="Arial" w:hAnsi="Arial" w:cs="Arial"/>
          <w:color w:val="000000" w:themeColor="text1"/>
          <w:sz w:val="22"/>
          <w:szCs w:val="22"/>
          <w:lang w:val="fr-FR"/>
        </w:rPr>
        <w:t xml:space="preserve"> sont décimés par la surpêche historique, la fragmentation due à l'hydroélectricité et la pollution ; la forme du Baïkal reste dépendante des efforts de conservation. Dans le Yangtsé, l'esturgeon chinois (</w:t>
      </w:r>
      <w:r w:rsidRPr="00036694">
        <w:rPr>
          <w:rFonts w:ascii="Arial" w:hAnsi="Arial" w:cs="Arial"/>
          <w:i/>
          <w:iCs/>
          <w:color w:val="000000" w:themeColor="text1"/>
          <w:sz w:val="22"/>
          <w:szCs w:val="22"/>
          <w:lang w:val="fr-FR"/>
        </w:rPr>
        <w:t>A. sinensis</w:t>
      </w:r>
      <w:r w:rsidRPr="00036694">
        <w:rPr>
          <w:rFonts w:ascii="Arial" w:hAnsi="Arial" w:cs="Arial"/>
          <w:color w:val="000000" w:themeColor="text1"/>
          <w:sz w:val="22"/>
          <w:szCs w:val="22"/>
          <w:lang w:val="fr-FR"/>
        </w:rPr>
        <w:t>) et l'esturgeon de Dabry (</w:t>
      </w:r>
      <w:r w:rsidRPr="00036694">
        <w:rPr>
          <w:rFonts w:ascii="Arial" w:hAnsi="Arial" w:cs="Arial"/>
          <w:i/>
          <w:iCs/>
          <w:color w:val="000000" w:themeColor="text1"/>
          <w:sz w:val="22"/>
          <w:szCs w:val="22"/>
          <w:lang w:val="fr-FR"/>
        </w:rPr>
        <w:t>A. dabryanus</w:t>
      </w:r>
      <w:r w:rsidRPr="00036694">
        <w:rPr>
          <w:rFonts w:ascii="Arial" w:hAnsi="Arial" w:cs="Arial"/>
          <w:color w:val="000000" w:themeColor="text1"/>
          <w:sz w:val="22"/>
          <w:szCs w:val="22"/>
          <w:lang w:val="fr-FR"/>
        </w:rPr>
        <w:t xml:space="preserve">) sont aujourd'hui largement soutenus par des lâchers d'écloseries après que les barrages en cascade ont bloqué les migrations historiques ; la reproduction naturelle est rare ou absente la plupart des années. En Amérique du Nord, les taxons de l'Annexe II incluent </w:t>
      </w:r>
      <w:r w:rsidRPr="00036694">
        <w:rPr>
          <w:rFonts w:ascii="Arial" w:hAnsi="Arial" w:cs="Arial"/>
          <w:i/>
          <w:iCs/>
          <w:color w:val="000000" w:themeColor="text1"/>
          <w:sz w:val="22"/>
          <w:szCs w:val="22"/>
          <w:lang w:val="fr-FR"/>
        </w:rPr>
        <w:t>A. oxyrinchus</w:t>
      </w:r>
      <w:r w:rsidRPr="00036694">
        <w:rPr>
          <w:rFonts w:ascii="Arial" w:hAnsi="Arial" w:cs="Arial"/>
          <w:color w:val="000000" w:themeColor="text1"/>
          <w:sz w:val="22"/>
          <w:szCs w:val="22"/>
          <w:lang w:val="fr-FR"/>
        </w:rPr>
        <w:t xml:space="preserve">, </w:t>
      </w:r>
      <w:r w:rsidRPr="00036694">
        <w:rPr>
          <w:rFonts w:ascii="Arial" w:hAnsi="Arial" w:cs="Arial"/>
          <w:i/>
          <w:iCs/>
          <w:color w:val="000000" w:themeColor="text1"/>
          <w:sz w:val="22"/>
          <w:szCs w:val="22"/>
          <w:lang w:val="fr-FR"/>
        </w:rPr>
        <w:t>A. fulvescens</w:t>
      </w:r>
      <w:r w:rsidRPr="00036694">
        <w:rPr>
          <w:rFonts w:ascii="Arial" w:hAnsi="Arial" w:cs="Arial"/>
          <w:color w:val="000000" w:themeColor="text1"/>
          <w:sz w:val="22"/>
          <w:szCs w:val="22"/>
          <w:lang w:val="fr-FR"/>
        </w:rPr>
        <w:t xml:space="preserve"> et </w:t>
      </w:r>
      <w:r w:rsidRPr="00036694">
        <w:rPr>
          <w:rFonts w:ascii="Arial" w:hAnsi="Arial" w:cs="Arial"/>
          <w:i/>
          <w:iCs/>
          <w:color w:val="000000" w:themeColor="text1"/>
          <w:sz w:val="22"/>
          <w:szCs w:val="22"/>
          <w:lang w:val="fr-FR"/>
        </w:rPr>
        <w:t>A. medirostris</w:t>
      </w:r>
      <w:r w:rsidRPr="00036694">
        <w:rPr>
          <w:rFonts w:ascii="Arial" w:hAnsi="Arial" w:cs="Arial"/>
          <w:color w:val="000000" w:themeColor="text1"/>
          <w:sz w:val="22"/>
          <w:szCs w:val="22"/>
          <w:lang w:val="fr-FR"/>
        </w:rPr>
        <w:t xml:space="preserve"> ; leur statut est mitigé mais s'améliore dans les zones où la pêche est interdite et où des projets de connectivité sont en place, bien que les prises accessoires, les modifications des flux et les collisions avec les navires demeurent des préoccupations. </w:t>
      </w:r>
    </w:p>
    <w:p w14:paraId="27AB7932" w14:textId="77777777" w:rsidR="00676611" w:rsidRDefault="00676611" w:rsidP="00676611">
      <w:pPr>
        <w:pStyle w:val="NormalWeb"/>
        <w:spacing w:before="0" w:beforeAutospacing="0" w:after="0" w:afterAutospacing="0"/>
        <w:jc w:val="both"/>
        <w:rPr>
          <w:rFonts w:ascii="Arial" w:hAnsi="Arial" w:cs="Arial"/>
          <w:color w:val="000000" w:themeColor="text1"/>
          <w:sz w:val="22"/>
          <w:szCs w:val="22"/>
          <w:lang w:val="fr-FR"/>
        </w:rPr>
      </w:pPr>
    </w:p>
    <w:p w14:paraId="0A35AA19" w14:textId="028AF37B" w:rsidR="009672C2" w:rsidRDefault="002A409C" w:rsidP="00676611">
      <w:pPr>
        <w:pStyle w:val="NormalWeb"/>
        <w:spacing w:before="0" w:beforeAutospacing="0" w:after="0" w:afterAutospacing="0"/>
        <w:jc w:val="both"/>
        <w:rPr>
          <w:rFonts w:ascii="Arial" w:hAnsi="Arial" w:cs="Arial"/>
          <w:color w:val="000000" w:themeColor="text1"/>
          <w:sz w:val="22"/>
          <w:szCs w:val="22"/>
          <w:lang w:val="fr-FR"/>
        </w:rPr>
      </w:pPr>
      <w:r w:rsidRPr="00036694">
        <w:rPr>
          <w:rFonts w:ascii="Arial" w:hAnsi="Arial" w:cs="Arial"/>
          <w:color w:val="000000" w:themeColor="text1"/>
          <w:sz w:val="22"/>
          <w:szCs w:val="22"/>
          <w:lang w:val="fr-FR"/>
        </w:rPr>
        <w:t xml:space="preserve">Du point de vue des politiques de la CMS, les actions de coopération de grande valeur incluent la reconnexion des rivières grâce à des passages et à des opérations de barrage programmées de manière écologique ; le renforcement de la lutte contre le commerce illégal de caviar par des tests médico-légaux sur les produits et une surveillance accrue des marchés ; la réduction des prises accessoires grâce à des mesures spatio-temporelles, des modifications des engins de pêche et des protocoles de remise à l'eau rapide ; la réforme des pratiques d'empoissonnement en faveur d'écloseries de conservation intégrant des garanties génétiques ; et le renforcement </w:t>
      </w:r>
      <w:r w:rsidRPr="00036694">
        <w:rPr>
          <w:rFonts w:ascii="Arial" w:hAnsi="Arial" w:cs="Arial"/>
          <w:color w:val="000000" w:themeColor="text1"/>
          <w:sz w:val="22"/>
          <w:szCs w:val="22"/>
          <w:lang w:val="fr-FR"/>
        </w:rPr>
        <w:lastRenderedPageBreak/>
        <w:t>des programmes de surveillance grâce à l'utilisation de la génétique des unités de population, des programmes acoustiques, des techniques de marquage-recapture et de l'ADN environnemental (eDNA) pour les géniteurs rares, afin d'éclairer la gestion transfrontalière.</w:t>
      </w:r>
    </w:p>
    <w:p w14:paraId="4A707546" w14:textId="77777777" w:rsidR="00FA123C" w:rsidRPr="00036694" w:rsidRDefault="00FA123C" w:rsidP="00676611">
      <w:pPr>
        <w:pStyle w:val="NormalWeb"/>
        <w:spacing w:before="0" w:beforeAutospacing="0" w:after="0" w:afterAutospacing="0"/>
        <w:jc w:val="both"/>
        <w:rPr>
          <w:rFonts w:ascii="Arial" w:eastAsiaTheme="majorEastAsia" w:hAnsi="Arial" w:cs="Arial"/>
          <w:b/>
          <w:bCs/>
          <w:color w:val="000000" w:themeColor="text1"/>
          <w:sz w:val="22"/>
          <w:szCs w:val="22"/>
          <w:lang w:val="fr-FR"/>
        </w:rPr>
      </w:pPr>
    </w:p>
    <w:p w14:paraId="47CB4411" w14:textId="77777777" w:rsidR="009672C2" w:rsidRDefault="002A409C" w:rsidP="00676611">
      <w:pPr>
        <w:pStyle w:val="NormalWeb"/>
        <w:spacing w:before="0" w:beforeAutospacing="0" w:after="0" w:afterAutospacing="0"/>
        <w:rPr>
          <w:rStyle w:val="Heading3Char"/>
          <w:b/>
          <w:bCs/>
          <w:sz w:val="22"/>
          <w:szCs w:val="22"/>
        </w:rPr>
      </w:pPr>
      <w:bookmarkStart w:id="18" w:name="_Toc214450250"/>
      <w:r w:rsidRPr="00FA123C">
        <w:rPr>
          <w:rStyle w:val="Heading3Char"/>
          <w:b/>
          <w:bCs/>
          <w:sz w:val="22"/>
          <w:szCs w:val="22"/>
        </w:rPr>
        <w:t>Silure de verre géant du Mékong (Pangasianodon gigas)</w:t>
      </w:r>
      <w:bookmarkEnd w:id="18"/>
    </w:p>
    <w:p w14:paraId="2C486AD4" w14:textId="77777777" w:rsidR="00FA123C" w:rsidRPr="00FA123C" w:rsidRDefault="00FA123C" w:rsidP="00676611">
      <w:pPr>
        <w:pStyle w:val="NormalWeb"/>
        <w:spacing w:before="0" w:beforeAutospacing="0" w:after="0" w:afterAutospacing="0"/>
        <w:rPr>
          <w:rFonts w:ascii="Arial" w:hAnsi="Arial" w:cs="Arial"/>
          <w:b/>
          <w:bCs/>
          <w:color w:val="000000" w:themeColor="text1"/>
          <w:sz w:val="22"/>
          <w:szCs w:val="22"/>
          <w:lang w:val="fr-FR"/>
        </w:rPr>
      </w:pPr>
    </w:p>
    <w:p w14:paraId="5BFF28D9" w14:textId="77777777" w:rsidR="009672C2" w:rsidRDefault="002A409C" w:rsidP="00676611">
      <w:pPr>
        <w:pStyle w:val="NormalWeb"/>
        <w:spacing w:before="0" w:beforeAutospacing="0" w:after="0" w:afterAutospacing="0"/>
        <w:jc w:val="both"/>
        <w:rPr>
          <w:rFonts w:ascii="Arial" w:hAnsi="Arial" w:cs="Arial"/>
          <w:color w:val="000000" w:themeColor="text1"/>
          <w:sz w:val="22"/>
          <w:szCs w:val="22"/>
          <w:lang w:val="fr-FR"/>
        </w:rPr>
      </w:pPr>
      <w:r w:rsidRPr="00036694">
        <w:rPr>
          <w:rFonts w:ascii="Arial" w:hAnsi="Arial" w:cs="Arial"/>
          <w:color w:val="000000" w:themeColor="text1"/>
          <w:sz w:val="22"/>
          <w:szCs w:val="22"/>
          <w:lang w:val="fr-FR"/>
        </w:rPr>
        <w:t xml:space="preserve">Le silure de verre géant du Mékong est en danger critique et figure à l'Annexe I de la CMS et à l'Annexe I de la CITES, avec une petite population sauvage en déclin. Les menaces persistantes incluent la capture accidentelle, la dégradation des habitats et la perturbation des signaux de migration ; les barrages sur le cours principal et les affluents constituent un risque existentiel en fragmentant la connectivité longitudinale et en modifiant le cycle des crues, essentiel au frai et aux premiers stades de la vie. Les connaissances locales et les études de terrain récentes corroborent un déclin sévère à long terme, avec des détections sporadiques correspondant à une métapopulation fortement décimée. </w:t>
      </w:r>
    </w:p>
    <w:p w14:paraId="6750ED21" w14:textId="77777777" w:rsidR="00FA123C" w:rsidRPr="00036694" w:rsidRDefault="00FA123C" w:rsidP="00676611">
      <w:pPr>
        <w:pStyle w:val="NormalWeb"/>
        <w:spacing w:before="0" w:beforeAutospacing="0" w:after="0" w:afterAutospacing="0"/>
        <w:jc w:val="both"/>
        <w:rPr>
          <w:rFonts w:ascii="Arial" w:hAnsi="Arial" w:cs="Arial"/>
          <w:color w:val="000000" w:themeColor="text1"/>
          <w:sz w:val="22"/>
          <w:szCs w:val="22"/>
          <w:lang w:val="fr-FR"/>
        </w:rPr>
      </w:pPr>
    </w:p>
    <w:p w14:paraId="66CF0384" w14:textId="77777777" w:rsidR="009672C2" w:rsidRDefault="002A409C" w:rsidP="00676611">
      <w:pPr>
        <w:pStyle w:val="NormalWeb"/>
        <w:spacing w:before="0" w:beforeAutospacing="0" w:after="0" w:afterAutospacing="0"/>
        <w:jc w:val="both"/>
        <w:rPr>
          <w:rFonts w:ascii="Arial" w:hAnsi="Arial" w:cs="Arial"/>
          <w:color w:val="000000" w:themeColor="text1"/>
          <w:sz w:val="22"/>
          <w:szCs w:val="22"/>
          <w:lang w:val="fr-FR"/>
        </w:rPr>
      </w:pPr>
      <w:r w:rsidRPr="00036694">
        <w:rPr>
          <w:rFonts w:ascii="Arial" w:hAnsi="Arial" w:cs="Arial"/>
          <w:color w:val="000000" w:themeColor="text1"/>
          <w:sz w:val="22"/>
          <w:szCs w:val="22"/>
          <w:lang w:val="fr-FR"/>
        </w:rPr>
        <w:t>Son cycle de vie étant transfrontalier, une conservation efficace nécessite des mesures de coopération entre le Cambodge, la RDP lao, la Thaïlande et le Viet Nam. Dans le cadre de la CMS, cela implique la coordination de la sauvegarde et de la restauration des corridors de migration et des refuges en eaux profondes, la synchronisation des opérations de barrage pour fournir des flux environnementaux et des fenêtres de passage, ainsi que l'harmonisation des fermetures saisonnières et des protocoles de remise à l'eau des prises accessoires dans les points chauds connus. Le partage des données sur les prises accessoires, le marquage, la génétique et l'ADN environnemental, ainsi qu'une évaluation transparente de l'impact de l'hydroélectricité à l'échelle du bassin, sont recommandés pour orienter une gestion adaptative et transfrontalière.</w:t>
      </w:r>
    </w:p>
    <w:p w14:paraId="49DD35EC" w14:textId="77777777" w:rsidR="00FA123C" w:rsidRPr="00036694" w:rsidRDefault="00FA123C" w:rsidP="00676611">
      <w:pPr>
        <w:pStyle w:val="NormalWeb"/>
        <w:spacing w:before="0" w:beforeAutospacing="0" w:after="0" w:afterAutospacing="0"/>
        <w:jc w:val="both"/>
        <w:rPr>
          <w:rFonts w:ascii="Arial" w:hAnsi="Arial" w:cs="Arial"/>
          <w:color w:val="000000" w:themeColor="text1"/>
          <w:sz w:val="22"/>
          <w:szCs w:val="22"/>
          <w:lang w:val="fr-FR"/>
        </w:rPr>
      </w:pPr>
    </w:p>
    <w:p w14:paraId="2EC6D45E" w14:textId="77777777" w:rsidR="009672C2" w:rsidRDefault="002A409C" w:rsidP="00676611">
      <w:pPr>
        <w:pStyle w:val="NormalWeb"/>
        <w:spacing w:before="0" w:beforeAutospacing="0" w:after="0" w:afterAutospacing="0"/>
        <w:rPr>
          <w:rStyle w:val="Heading3Char"/>
          <w:b/>
          <w:bCs/>
          <w:sz w:val="22"/>
          <w:szCs w:val="22"/>
        </w:rPr>
      </w:pPr>
      <w:bookmarkStart w:id="19" w:name="_Toc214450251"/>
      <w:r w:rsidRPr="00FA123C">
        <w:rPr>
          <w:rStyle w:val="Heading3Char"/>
          <w:b/>
          <w:bCs/>
          <w:sz w:val="22"/>
          <w:szCs w:val="22"/>
        </w:rPr>
        <w:t>Anguille européenne (Anguilla anguilla)</w:t>
      </w:r>
      <w:bookmarkEnd w:id="19"/>
    </w:p>
    <w:p w14:paraId="7E8C2677" w14:textId="77777777" w:rsidR="00FA123C" w:rsidRPr="00FA123C" w:rsidRDefault="00FA123C" w:rsidP="00676611">
      <w:pPr>
        <w:pStyle w:val="NormalWeb"/>
        <w:spacing w:before="0" w:beforeAutospacing="0" w:after="0" w:afterAutospacing="0"/>
        <w:rPr>
          <w:rFonts w:ascii="Arial" w:hAnsi="Arial" w:cs="Arial"/>
          <w:b/>
          <w:bCs/>
          <w:color w:val="000000" w:themeColor="text1"/>
          <w:sz w:val="22"/>
          <w:szCs w:val="22"/>
          <w:lang w:val="fr-FR"/>
        </w:rPr>
      </w:pPr>
    </w:p>
    <w:p w14:paraId="1CCDE5D4" w14:textId="77777777" w:rsidR="009672C2" w:rsidRDefault="002A409C" w:rsidP="00676611">
      <w:pPr>
        <w:pStyle w:val="NormalWeb"/>
        <w:spacing w:before="0" w:beforeAutospacing="0" w:after="0" w:afterAutospacing="0"/>
        <w:jc w:val="both"/>
        <w:rPr>
          <w:rFonts w:ascii="Arial" w:hAnsi="Arial" w:cs="Arial"/>
          <w:color w:val="000000" w:themeColor="text1"/>
          <w:sz w:val="22"/>
          <w:szCs w:val="22"/>
          <w:lang w:val="fr-FR"/>
        </w:rPr>
      </w:pPr>
      <w:r w:rsidRPr="00036694">
        <w:rPr>
          <w:rFonts w:ascii="Arial" w:hAnsi="Arial" w:cs="Arial"/>
          <w:color w:val="000000" w:themeColor="text1"/>
          <w:sz w:val="22"/>
          <w:szCs w:val="22"/>
          <w:lang w:val="fr-FR"/>
        </w:rPr>
        <w:t>L'anguille européenne est inscrite à l'Annexe II de la CMS et est évaluée par l'UICN comme étant en danger critique. Il s'agit d'une espèce panmictique largement répandue, dont le frai est confiné à la mer des Sargasses ; les migrations à l'échelle du continent créent un stock unique partagé entre l'Europe et l'Afrique du Nord. Le recrutement ne représente qu'une fraction des niveaux historiques (indices de civelles ≈0,4-1,1 % de la donnée de référence de 1960-1979 en mer du Nord et ≈7-9 % ailleurs en Europe en 2023-2024), ce qui reflète l'épuisement persistant à l'échelle du bassin et les pressions omniprésentes exercées par les barrières, les turbines, la perte d'habitat, la pêche illégale, les maladies et les polluants. L'espèce est inscrite à l'Annexe II de la CITES et l'UE en interdit le commerce extracommunautaire depuis 2010. Lors de la COP14 de la CMS, les Parties ont convenu de l'élaboration d'un Plan d’action par espèce pour l'anguille européenne, qui est en cours de préparation.</w:t>
      </w:r>
    </w:p>
    <w:p w14:paraId="380F1F2C" w14:textId="77777777" w:rsidR="00FA123C" w:rsidRPr="00036694" w:rsidRDefault="00FA123C" w:rsidP="00676611">
      <w:pPr>
        <w:pStyle w:val="NormalWeb"/>
        <w:spacing w:before="0" w:beforeAutospacing="0" w:after="0" w:afterAutospacing="0"/>
        <w:jc w:val="both"/>
        <w:rPr>
          <w:rFonts w:ascii="Arial" w:hAnsi="Arial" w:cs="Arial"/>
          <w:color w:val="000000" w:themeColor="text1"/>
          <w:sz w:val="22"/>
          <w:szCs w:val="22"/>
          <w:lang w:val="fr-FR"/>
        </w:rPr>
      </w:pPr>
    </w:p>
    <w:p w14:paraId="21F6BB07" w14:textId="77777777" w:rsidR="009672C2" w:rsidRPr="00FA123C" w:rsidRDefault="002A409C" w:rsidP="00676611">
      <w:pPr>
        <w:pStyle w:val="NormalWeb"/>
        <w:spacing w:before="0" w:beforeAutospacing="0" w:after="0" w:afterAutospacing="0"/>
        <w:rPr>
          <w:rStyle w:val="Heading3Char"/>
          <w:b/>
          <w:bCs/>
          <w:sz w:val="22"/>
          <w:szCs w:val="22"/>
        </w:rPr>
      </w:pPr>
      <w:bookmarkStart w:id="20" w:name="_Toc214450252"/>
      <w:r w:rsidRPr="00FA123C">
        <w:rPr>
          <w:rStyle w:val="Heading3Char"/>
          <w:b/>
          <w:bCs/>
          <w:sz w:val="22"/>
          <w:szCs w:val="22"/>
        </w:rPr>
        <w:t>Silure doré et piramutaba (Brachyplatystoma rousseauxii et B. vaillantii)</w:t>
      </w:r>
      <w:bookmarkEnd w:id="20"/>
    </w:p>
    <w:p w14:paraId="246B6151" w14:textId="77777777" w:rsidR="00FA123C" w:rsidRPr="00036694" w:rsidRDefault="00FA123C" w:rsidP="00676611">
      <w:pPr>
        <w:pStyle w:val="NormalWeb"/>
        <w:spacing w:before="0" w:beforeAutospacing="0" w:after="0" w:afterAutospacing="0"/>
        <w:rPr>
          <w:rFonts w:ascii="Arial" w:hAnsi="Arial" w:cs="Arial"/>
          <w:color w:val="000000" w:themeColor="text1"/>
          <w:sz w:val="22"/>
          <w:szCs w:val="22"/>
          <w:lang w:val="fr-FR"/>
        </w:rPr>
      </w:pPr>
    </w:p>
    <w:p w14:paraId="1171BA30" w14:textId="77777777" w:rsidR="009672C2" w:rsidRPr="00036694" w:rsidRDefault="002A409C" w:rsidP="00676611">
      <w:pPr>
        <w:pStyle w:val="NormalWeb"/>
        <w:spacing w:before="0" w:beforeAutospacing="0" w:after="0" w:afterAutospacing="0"/>
        <w:jc w:val="both"/>
        <w:rPr>
          <w:rFonts w:ascii="Arial" w:hAnsi="Arial" w:cs="Arial"/>
          <w:color w:val="000000" w:themeColor="text1"/>
          <w:sz w:val="22"/>
          <w:szCs w:val="22"/>
          <w:lang w:val="fr-FR"/>
        </w:rPr>
      </w:pPr>
      <w:r w:rsidRPr="00036694">
        <w:rPr>
          <w:rFonts w:ascii="Arial" w:hAnsi="Arial" w:cs="Arial"/>
          <w:color w:val="000000" w:themeColor="text1"/>
          <w:sz w:val="22"/>
          <w:szCs w:val="22"/>
          <w:lang w:val="fr-FR"/>
        </w:rPr>
        <w:t xml:space="preserve">Ces migrateurs transfrontaliers de longue distance (Annexe II de la CMS depuis la COP14) sont présents sous forme de stocks partagés entre la Bolivie, le Brésil, la Colombie, l'Équateur et le Pérou. La chimie des otolithes, la dérive larvaire et les études de fréquence de longueur révèlent des cycles de vie à l'échelle du bassin, avec une reproduction concentrée près du piémont andin et des zones de reproduction s'étendant jusqu'au bas Amazone et à l'estuaire ; </w:t>
      </w:r>
      <w:r w:rsidRPr="00036694">
        <w:rPr>
          <w:rFonts w:ascii="Arial" w:hAnsi="Arial" w:cs="Arial"/>
          <w:i/>
          <w:iCs/>
          <w:color w:val="000000" w:themeColor="text1"/>
          <w:sz w:val="22"/>
          <w:szCs w:val="22"/>
          <w:lang w:val="fr-FR"/>
        </w:rPr>
        <w:t>B. rousseauxii</w:t>
      </w:r>
      <w:r w:rsidRPr="00036694">
        <w:rPr>
          <w:rFonts w:ascii="Arial" w:hAnsi="Arial" w:cs="Arial"/>
          <w:color w:val="000000" w:themeColor="text1"/>
          <w:sz w:val="22"/>
          <w:szCs w:val="22"/>
          <w:lang w:val="fr-FR"/>
        </w:rPr>
        <w:t xml:space="preserve"> réalise la plus longue migration strictement en eau douce connue (~11 000-12 000 km), et </w:t>
      </w:r>
      <w:r w:rsidRPr="00036694">
        <w:rPr>
          <w:rFonts w:ascii="Arial" w:hAnsi="Arial" w:cs="Arial"/>
          <w:i/>
          <w:iCs/>
          <w:color w:val="000000" w:themeColor="text1"/>
          <w:sz w:val="22"/>
          <w:szCs w:val="22"/>
          <w:lang w:val="fr-FR"/>
        </w:rPr>
        <w:t>B. vaillantii</w:t>
      </w:r>
      <w:r w:rsidRPr="00036694">
        <w:rPr>
          <w:rFonts w:ascii="Arial" w:hAnsi="Arial" w:cs="Arial"/>
          <w:color w:val="000000" w:themeColor="text1"/>
          <w:sz w:val="22"/>
          <w:szCs w:val="22"/>
          <w:lang w:val="fr-FR"/>
        </w:rPr>
        <w:t xml:space="preserve"> entreprend des mouvements tout aussi étendus. Les signaux démographiques sont négatifs lorsque la connectivité est perturbée : des études sur le fleuve Madère indiquent que les barrages de Jirau et de Santo Antônio ont gravement entravé les </w:t>
      </w:r>
      <w:r w:rsidRPr="00036694">
        <w:rPr>
          <w:rFonts w:ascii="Arial" w:hAnsi="Arial" w:cs="Arial"/>
          <w:color w:val="000000" w:themeColor="text1"/>
          <w:sz w:val="22"/>
          <w:szCs w:val="22"/>
          <w:lang w:val="fr-FR"/>
        </w:rPr>
        <w:lastRenderedPageBreak/>
        <w:t>migrations vers l'amont, ce qui a coïncidé avec un fort déclin de la pêche ; des évaluations à l'échelle du bassin soulignent que la mortalité cumulative due à la pêche et l'expansion de l'hydroélectricité sont les principales pressions. Une fois l'Annexe II mise en place, les mesures transfrontalières prioritaires incluent la coordination de la recherche et le partage des données ; le maintien et la restauration de la connectivité longitudinale le long des corridors reliant les Andes aux estuaires ; l'évaluation et l'atténuation des impacts des barrières (notamment les performances de passage des poissons et les opérations de gestion des flux) ; l'harmonisation des fermetures saisonnières et des contrôles de taille et d'engins le long des routes migratoires ; ainsi que l'instauration d'une surveillance partagée et normalisée (débarquements, marquage, génétique, bases de référence des otolithes/isotopes) pour la gestion des stocks mixtes. Les États de l'aire de répartition et leurs partenaires envisagent un plan d'action de conservation au niveau de l'espèce pour orienter ces mesures et compléter les réglementations nationales ainsi que les cadres de pêche régionaux dans l'ensemble du bassin amazonien.</w:t>
      </w:r>
    </w:p>
    <w:p w14:paraId="075A5198" w14:textId="77777777" w:rsidR="00FA123C" w:rsidRDefault="00FA123C">
      <w:pPr>
        <w:pStyle w:val="NoSpacing"/>
        <w:jc w:val="both"/>
        <w:rPr>
          <w:rFonts w:ascii="Arial" w:hAnsi="Arial" w:cs="Arial"/>
          <w:color w:val="000000" w:themeColor="text1"/>
          <w:sz w:val="22"/>
          <w:lang w:val="fr-FR"/>
        </w:rPr>
      </w:pPr>
    </w:p>
    <w:p w14:paraId="53007138" w14:textId="68CC7967"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Tableau 1 : État de conservation des poissons d'eau douce déjà inscrits aux Annexes de la CMS</w:t>
      </w:r>
    </w:p>
    <w:p w14:paraId="53044A82" w14:textId="77777777" w:rsidR="009672C2" w:rsidRPr="00036694" w:rsidRDefault="009672C2">
      <w:pPr>
        <w:pStyle w:val="NoSpacing"/>
        <w:jc w:val="both"/>
        <w:rPr>
          <w:lang w:val="fr-FR"/>
        </w:rPr>
      </w:pPr>
    </w:p>
    <w:tbl>
      <w:tblPr>
        <w:tblStyle w:val="TableGrid"/>
        <w:tblW w:w="0" w:type="auto"/>
        <w:tblLayout w:type="fixed"/>
        <w:tblLook w:val="04A0" w:firstRow="1" w:lastRow="0" w:firstColumn="1" w:lastColumn="0" w:noHBand="0" w:noVBand="1"/>
      </w:tblPr>
      <w:tblGrid>
        <w:gridCol w:w="1696"/>
        <w:gridCol w:w="1134"/>
        <w:gridCol w:w="1134"/>
        <w:gridCol w:w="993"/>
        <w:gridCol w:w="1984"/>
        <w:gridCol w:w="2409"/>
      </w:tblGrid>
      <w:tr w:rsidR="009672C2" w:rsidRPr="00036694" w14:paraId="7770C4F3" w14:textId="77777777">
        <w:tc>
          <w:tcPr>
            <w:tcW w:w="1696" w:type="dxa"/>
            <w:hideMark/>
          </w:tcPr>
          <w:p w14:paraId="66AB3CE8" w14:textId="77777777" w:rsidR="009672C2" w:rsidRPr="00036694" w:rsidRDefault="002A409C">
            <w:pPr>
              <w:pStyle w:val="NoSpacing"/>
              <w:rPr>
                <w:rFonts w:ascii="Arial" w:hAnsi="Arial" w:cs="Arial"/>
                <w:b/>
                <w:color w:val="000000" w:themeColor="text1"/>
                <w:sz w:val="20"/>
                <w:szCs w:val="20"/>
                <w:lang w:val="fr-FR"/>
              </w:rPr>
            </w:pPr>
            <w:r w:rsidRPr="00036694">
              <w:rPr>
                <w:rFonts w:ascii="Arial" w:hAnsi="Arial" w:cs="Arial"/>
                <w:b/>
                <w:color w:val="000000" w:themeColor="text1"/>
                <w:sz w:val="20"/>
                <w:szCs w:val="20"/>
                <w:lang w:val="fr-FR"/>
              </w:rPr>
              <w:t>Espèce / Groupe</w:t>
            </w:r>
          </w:p>
        </w:tc>
        <w:tc>
          <w:tcPr>
            <w:tcW w:w="1134" w:type="dxa"/>
            <w:hideMark/>
          </w:tcPr>
          <w:p w14:paraId="524C8EC2" w14:textId="77777777" w:rsidR="009672C2" w:rsidRPr="00036694" w:rsidRDefault="002A409C">
            <w:pPr>
              <w:pStyle w:val="NoSpacing"/>
              <w:rPr>
                <w:rFonts w:ascii="Arial" w:hAnsi="Arial" w:cs="Arial"/>
                <w:b/>
                <w:color w:val="000000" w:themeColor="text1"/>
                <w:sz w:val="20"/>
                <w:szCs w:val="20"/>
                <w:lang w:val="fr-FR"/>
              </w:rPr>
            </w:pPr>
            <w:r w:rsidRPr="00036694">
              <w:rPr>
                <w:rFonts w:ascii="Arial" w:hAnsi="Arial" w:cs="Arial"/>
                <w:b/>
                <w:color w:val="000000" w:themeColor="text1"/>
                <w:sz w:val="20"/>
                <w:szCs w:val="20"/>
                <w:lang w:val="fr-FR"/>
              </w:rPr>
              <w:t>Annexe de la CMS</w:t>
            </w:r>
          </w:p>
        </w:tc>
        <w:tc>
          <w:tcPr>
            <w:tcW w:w="1134" w:type="dxa"/>
            <w:hideMark/>
          </w:tcPr>
          <w:p w14:paraId="5E0D99B1" w14:textId="77777777" w:rsidR="009672C2" w:rsidRPr="00036694" w:rsidRDefault="002A409C">
            <w:pPr>
              <w:pStyle w:val="NoSpacing"/>
              <w:rPr>
                <w:rFonts w:ascii="Arial" w:hAnsi="Arial" w:cs="Arial"/>
                <w:b/>
                <w:color w:val="000000" w:themeColor="text1"/>
                <w:sz w:val="20"/>
                <w:szCs w:val="20"/>
                <w:lang w:val="fr-FR"/>
              </w:rPr>
            </w:pPr>
            <w:r w:rsidRPr="00036694">
              <w:rPr>
                <w:rFonts w:ascii="Arial" w:hAnsi="Arial" w:cs="Arial"/>
                <w:b/>
                <w:color w:val="000000" w:themeColor="text1"/>
                <w:sz w:val="20"/>
                <w:szCs w:val="20"/>
                <w:lang w:val="fr-FR"/>
              </w:rPr>
              <w:t>Liste rouge de l'UICN</w:t>
            </w:r>
          </w:p>
        </w:tc>
        <w:tc>
          <w:tcPr>
            <w:tcW w:w="993" w:type="dxa"/>
            <w:hideMark/>
          </w:tcPr>
          <w:p w14:paraId="4ACE06BF" w14:textId="77777777" w:rsidR="009672C2" w:rsidRPr="00036694" w:rsidRDefault="002A409C">
            <w:pPr>
              <w:pStyle w:val="NoSpacing"/>
              <w:rPr>
                <w:rFonts w:ascii="Arial" w:hAnsi="Arial" w:cs="Arial"/>
                <w:b/>
                <w:color w:val="000000" w:themeColor="text1"/>
                <w:sz w:val="20"/>
                <w:szCs w:val="20"/>
                <w:lang w:val="fr-FR"/>
              </w:rPr>
            </w:pPr>
            <w:r w:rsidRPr="00036694">
              <w:rPr>
                <w:rFonts w:ascii="Arial" w:hAnsi="Arial" w:cs="Arial"/>
                <w:b/>
                <w:color w:val="000000" w:themeColor="text1"/>
                <w:sz w:val="20"/>
                <w:szCs w:val="20"/>
                <w:lang w:val="fr-FR"/>
              </w:rPr>
              <w:t>Autres inscriptions</w:t>
            </w:r>
          </w:p>
        </w:tc>
        <w:tc>
          <w:tcPr>
            <w:tcW w:w="1984" w:type="dxa"/>
            <w:hideMark/>
          </w:tcPr>
          <w:p w14:paraId="5CE5B95B" w14:textId="77777777" w:rsidR="009672C2" w:rsidRPr="00036694" w:rsidRDefault="002A409C">
            <w:pPr>
              <w:pStyle w:val="NoSpacing"/>
              <w:rPr>
                <w:rFonts w:ascii="Arial" w:hAnsi="Arial" w:cs="Arial"/>
                <w:b/>
                <w:color w:val="000000" w:themeColor="text1"/>
                <w:sz w:val="20"/>
                <w:szCs w:val="20"/>
                <w:lang w:val="fr-FR"/>
              </w:rPr>
            </w:pPr>
            <w:r w:rsidRPr="00036694">
              <w:rPr>
                <w:rFonts w:ascii="Arial" w:hAnsi="Arial" w:cs="Arial"/>
                <w:b/>
                <w:color w:val="000000" w:themeColor="text1"/>
                <w:sz w:val="20"/>
                <w:szCs w:val="20"/>
                <w:lang w:val="fr-FR"/>
              </w:rPr>
              <w:t>Répartition / Aire</w:t>
            </w:r>
          </w:p>
        </w:tc>
        <w:tc>
          <w:tcPr>
            <w:tcW w:w="2409" w:type="dxa"/>
            <w:hideMark/>
          </w:tcPr>
          <w:p w14:paraId="7404CE71" w14:textId="77777777" w:rsidR="009672C2" w:rsidRPr="00036694" w:rsidRDefault="002A409C">
            <w:pPr>
              <w:pStyle w:val="NoSpacing"/>
              <w:rPr>
                <w:rFonts w:ascii="Arial" w:hAnsi="Arial" w:cs="Arial"/>
                <w:b/>
                <w:color w:val="000000" w:themeColor="text1"/>
                <w:sz w:val="20"/>
                <w:szCs w:val="20"/>
                <w:lang w:val="fr-FR"/>
              </w:rPr>
            </w:pPr>
            <w:r w:rsidRPr="00036694">
              <w:rPr>
                <w:rFonts w:ascii="Arial" w:hAnsi="Arial" w:cs="Arial"/>
                <w:b/>
                <w:color w:val="000000" w:themeColor="text1"/>
                <w:sz w:val="20"/>
                <w:szCs w:val="20"/>
                <w:lang w:val="fr-FR"/>
              </w:rPr>
              <w:t>Principales menaces</w:t>
            </w:r>
          </w:p>
        </w:tc>
      </w:tr>
      <w:tr w:rsidR="009672C2" w:rsidRPr="002F17EA" w14:paraId="13CBBA1C" w14:textId="77777777">
        <w:tc>
          <w:tcPr>
            <w:tcW w:w="1696" w:type="dxa"/>
            <w:hideMark/>
          </w:tcPr>
          <w:p w14:paraId="3C40A0E1"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Esturgeon européen (</w:t>
            </w:r>
            <w:r w:rsidRPr="00036694">
              <w:rPr>
                <w:rFonts w:ascii="Arial" w:hAnsi="Arial" w:cs="Arial"/>
                <w:i/>
                <w:color w:val="000000" w:themeColor="text1"/>
                <w:sz w:val="20"/>
                <w:szCs w:val="20"/>
                <w:lang w:val="fr-FR"/>
              </w:rPr>
              <w:t>Acipenser sturio</w:t>
            </w:r>
            <w:r w:rsidRPr="00036694">
              <w:rPr>
                <w:rFonts w:ascii="Arial" w:hAnsi="Arial" w:cs="Arial"/>
                <w:color w:val="000000" w:themeColor="text1"/>
                <w:sz w:val="20"/>
                <w:szCs w:val="20"/>
                <w:lang w:val="fr-FR"/>
              </w:rPr>
              <w:t>)</w:t>
            </w:r>
          </w:p>
        </w:tc>
        <w:tc>
          <w:tcPr>
            <w:tcW w:w="1134" w:type="dxa"/>
            <w:hideMark/>
          </w:tcPr>
          <w:p w14:paraId="1668A24B"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I &amp; II</w:t>
            </w:r>
          </w:p>
        </w:tc>
        <w:tc>
          <w:tcPr>
            <w:tcW w:w="1134" w:type="dxa"/>
            <w:hideMark/>
          </w:tcPr>
          <w:p w14:paraId="4726E6D2"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CR</w:t>
            </w:r>
          </w:p>
        </w:tc>
        <w:tc>
          <w:tcPr>
            <w:tcW w:w="993" w:type="dxa"/>
            <w:hideMark/>
          </w:tcPr>
          <w:p w14:paraId="3A71DC62"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w:t>
            </w:r>
          </w:p>
        </w:tc>
        <w:tc>
          <w:tcPr>
            <w:tcW w:w="1984" w:type="dxa"/>
            <w:hideMark/>
          </w:tcPr>
          <w:p w14:paraId="3D206A20"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Atlantique Nord – Europe de l'Ouest (réintroductions en France/Allemagne)</w:t>
            </w:r>
          </w:p>
        </w:tc>
        <w:tc>
          <w:tcPr>
            <w:tcW w:w="2409" w:type="dxa"/>
            <w:hideMark/>
          </w:tcPr>
          <w:p w14:paraId="1F943541"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Disparu dans la majeure partie de son aire de répartition ; barrages entravant la migration ; dégradation de l'habitat</w:t>
            </w:r>
          </w:p>
        </w:tc>
      </w:tr>
      <w:tr w:rsidR="009672C2" w:rsidRPr="002F17EA" w14:paraId="6FAB0902" w14:textId="77777777">
        <w:tc>
          <w:tcPr>
            <w:tcW w:w="1696" w:type="dxa"/>
            <w:hideMark/>
          </w:tcPr>
          <w:p w14:paraId="09AF8031"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Autres esturgeons (18 spp.)</w:t>
            </w:r>
          </w:p>
        </w:tc>
        <w:tc>
          <w:tcPr>
            <w:tcW w:w="1134" w:type="dxa"/>
            <w:hideMark/>
          </w:tcPr>
          <w:p w14:paraId="2CD59E3C"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II</w:t>
            </w:r>
          </w:p>
        </w:tc>
        <w:tc>
          <w:tcPr>
            <w:tcW w:w="1134" w:type="dxa"/>
            <w:hideMark/>
          </w:tcPr>
          <w:p w14:paraId="1A2433BF" w14:textId="77777777" w:rsidR="009672C2" w:rsidRPr="00036694" w:rsidRDefault="002A409C">
            <w:pPr>
              <w:pStyle w:val="NoSpacing"/>
              <w:jc w:val="center"/>
              <w:rPr>
                <w:rFonts w:ascii="Arial" w:hAnsi="Arial" w:cs="Arial"/>
                <w:color w:val="000000" w:themeColor="text1"/>
                <w:sz w:val="20"/>
                <w:szCs w:val="20"/>
                <w:lang w:val="fr-FR"/>
              </w:rPr>
            </w:pPr>
            <w:r w:rsidRPr="00036694">
              <w:rPr>
                <w:rFonts w:ascii="Arial" w:hAnsi="Arial" w:cs="Arial"/>
                <w:color w:val="000000" w:themeColor="text1"/>
                <w:sz w:val="20"/>
                <w:szCs w:val="20"/>
                <w:lang w:val="fr-FR"/>
              </w:rPr>
              <w:t>Principalement CR / EN</w:t>
            </w:r>
          </w:p>
        </w:tc>
        <w:tc>
          <w:tcPr>
            <w:tcW w:w="993" w:type="dxa"/>
            <w:hideMark/>
          </w:tcPr>
          <w:p w14:paraId="79E1F8F4"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w:t>
            </w:r>
          </w:p>
        </w:tc>
        <w:tc>
          <w:tcPr>
            <w:tcW w:w="1984" w:type="dxa"/>
            <w:hideMark/>
          </w:tcPr>
          <w:p w14:paraId="6D18AF49"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Mer Noire, Danube, mer Caspienne, bassins de drainage Sibérie-Arctique, Amour-Oussouri</w:t>
            </w:r>
          </w:p>
        </w:tc>
        <w:tc>
          <w:tcPr>
            <w:tcW w:w="2409" w:type="dxa"/>
            <w:hideMark/>
          </w:tcPr>
          <w:p w14:paraId="67096D17"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Braconnage (caviar), fragmentation des rivières, pollution, surpêche</w:t>
            </w:r>
          </w:p>
        </w:tc>
      </w:tr>
      <w:tr w:rsidR="009672C2" w:rsidRPr="002F17EA" w14:paraId="703AB3A4" w14:textId="77777777">
        <w:tc>
          <w:tcPr>
            <w:tcW w:w="1696" w:type="dxa"/>
            <w:hideMark/>
          </w:tcPr>
          <w:p w14:paraId="0F858305"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Poisson spatule chinois (</w:t>
            </w:r>
            <w:r w:rsidRPr="00036694">
              <w:rPr>
                <w:rFonts w:ascii="Arial" w:hAnsi="Arial" w:cs="Arial"/>
                <w:i/>
                <w:color w:val="000000" w:themeColor="text1"/>
                <w:sz w:val="20"/>
                <w:szCs w:val="20"/>
                <w:lang w:val="fr-FR"/>
              </w:rPr>
              <w:t>Psephurus gladius</w:t>
            </w:r>
            <w:r w:rsidRPr="00036694">
              <w:rPr>
                <w:rFonts w:ascii="Arial" w:hAnsi="Arial" w:cs="Arial"/>
                <w:color w:val="000000" w:themeColor="text1"/>
                <w:sz w:val="20"/>
                <w:szCs w:val="20"/>
                <w:lang w:val="fr-FR"/>
              </w:rPr>
              <w:t>)</w:t>
            </w:r>
          </w:p>
        </w:tc>
        <w:tc>
          <w:tcPr>
            <w:tcW w:w="1134" w:type="dxa"/>
            <w:hideMark/>
          </w:tcPr>
          <w:p w14:paraId="100022DF"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II</w:t>
            </w:r>
          </w:p>
        </w:tc>
        <w:tc>
          <w:tcPr>
            <w:tcW w:w="1134" w:type="dxa"/>
            <w:hideMark/>
          </w:tcPr>
          <w:p w14:paraId="7046867F"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EX</w:t>
            </w:r>
          </w:p>
        </w:tc>
        <w:tc>
          <w:tcPr>
            <w:tcW w:w="993" w:type="dxa"/>
            <w:hideMark/>
          </w:tcPr>
          <w:p w14:paraId="5CA2ACE6"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w:t>
            </w:r>
          </w:p>
        </w:tc>
        <w:tc>
          <w:tcPr>
            <w:tcW w:w="1984" w:type="dxa"/>
            <w:hideMark/>
          </w:tcPr>
          <w:p w14:paraId="67CFC9A5"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Fleuve Yangtsé</w:t>
            </w:r>
          </w:p>
        </w:tc>
        <w:tc>
          <w:tcPr>
            <w:tcW w:w="2409" w:type="dxa"/>
            <w:hideMark/>
          </w:tcPr>
          <w:p w14:paraId="2977B3D5"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Disparu en raison de la surpêche et des barrages empêchant la migration</w:t>
            </w:r>
          </w:p>
        </w:tc>
      </w:tr>
      <w:tr w:rsidR="009672C2" w:rsidRPr="002F17EA" w14:paraId="2C7F2D09" w14:textId="77777777">
        <w:tc>
          <w:tcPr>
            <w:tcW w:w="1696" w:type="dxa"/>
            <w:hideMark/>
          </w:tcPr>
          <w:p w14:paraId="170A7C70"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Esturgeon de l'Adriatique (</w:t>
            </w:r>
            <w:r w:rsidRPr="00036694">
              <w:rPr>
                <w:rFonts w:ascii="Arial" w:hAnsi="Arial" w:cs="Arial"/>
                <w:i/>
                <w:color w:val="000000" w:themeColor="text1"/>
                <w:sz w:val="20"/>
                <w:szCs w:val="20"/>
                <w:lang w:val="fr-FR"/>
              </w:rPr>
              <w:t>A. naccarii</w:t>
            </w:r>
            <w:r w:rsidRPr="00036694">
              <w:rPr>
                <w:rFonts w:ascii="Arial" w:hAnsi="Arial" w:cs="Arial"/>
                <w:color w:val="000000" w:themeColor="text1"/>
                <w:sz w:val="20"/>
                <w:szCs w:val="20"/>
                <w:lang w:val="fr-FR"/>
              </w:rPr>
              <w:t>)</w:t>
            </w:r>
          </w:p>
        </w:tc>
        <w:tc>
          <w:tcPr>
            <w:tcW w:w="1134" w:type="dxa"/>
            <w:hideMark/>
          </w:tcPr>
          <w:p w14:paraId="085490DC"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II</w:t>
            </w:r>
          </w:p>
        </w:tc>
        <w:tc>
          <w:tcPr>
            <w:tcW w:w="1134" w:type="dxa"/>
            <w:hideMark/>
          </w:tcPr>
          <w:p w14:paraId="2F45F5EE"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CR</w:t>
            </w:r>
          </w:p>
        </w:tc>
        <w:tc>
          <w:tcPr>
            <w:tcW w:w="993" w:type="dxa"/>
            <w:hideMark/>
          </w:tcPr>
          <w:p w14:paraId="29F8732B"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w:t>
            </w:r>
          </w:p>
        </w:tc>
        <w:tc>
          <w:tcPr>
            <w:tcW w:w="1984" w:type="dxa"/>
            <w:hideMark/>
          </w:tcPr>
          <w:p w14:paraId="3B670BF1"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Méditerranée / Adriatique</w:t>
            </w:r>
          </w:p>
        </w:tc>
        <w:tc>
          <w:tcPr>
            <w:tcW w:w="2409" w:type="dxa"/>
            <w:hideMark/>
          </w:tcPr>
          <w:p w14:paraId="7B41F5C9"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Dépendance aux stocks de géniteurs captifs ; perte de connectivité, dégradation de l'estuaire</w:t>
            </w:r>
          </w:p>
        </w:tc>
      </w:tr>
      <w:tr w:rsidR="009672C2" w:rsidRPr="002F17EA" w14:paraId="15BDBB72" w14:textId="77777777">
        <w:tc>
          <w:tcPr>
            <w:tcW w:w="1696" w:type="dxa"/>
            <w:hideMark/>
          </w:tcPr>
          <w:p w14:paraId="25EF866A" w14:textId="77777777" w:rsidR="009672C2" w:rsidRPr="00036694" w:rsidRDefault="002A409C">
            <w:pPr>
              <w:pStyle w:val="NoSpacing"/>
              <w:rPr>
                <w:rFonts w:ascii="Arial" w:hAnsi="Arial" w:cs="Arial"/>
                <w:color w:val="000000" w:themeColor="text1"/>
                <w:sz w:val="20"/>
                <w:szCs w:val="20"/>
              </w:rPr>
            </w:pPr>
            <w:r w:rsidRPr="00036694">
              <w:rPr>
                <w:rFonts w:ascii="Arial" w:hAnsi="Arial" w:cs="Arial"/>
                <w:color w:val="000000" w:themeColor="text1"/>
                <w:sz w:val="20"/>
                <w:szCs w:val="20"/>
              </w:rPr>
              <w:t>Beluga (</w:t>
            </w:r>
            <w:r w:rsidRPr="00036694">
              <w:rPr>
                <w:rFonts w:ascii="Arial" w:hAnsi="Arial" w:cs="Arial"/>
                <w:i/>
                <w:color w:val="000000" w:themeColor="text1"/>
                <w:sz w:val="20"/>
                <w:szCs w:val="20"/>
              </w:rPr>
              <w:t>Huso huso</w:t>
            </w:r>
            <w:r w:rsidRPr="00036694">
              <w:rPr>
                <w:rFonts w:ascii="Arial" w:hAnsi="Arial" w:cs="Arial"/>
                <w:color w:val="000000" w:themeColor="text1"/>
                <w:sz w:val="20"/>
                <w:szCs w:val="20"/>
              </w:rPr>
              <w:t>)</w:t>
            </w:r>
          </w:p>
        </w:tc>
        <w:tc>
          <w:tcPr>
            <w:tcW w:w="1134" w:type="dxa"/>
            <w:hideMark/>
          </w:tcPr>
          <w:p w14:paraId="710469AB"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II</w:t>
            </w:r>
          </w:p>
        </w:tc>
        <w:tc>
          <w:tcPr>
            <w:tcW w:w="1134" w:type="dxa"/>
            <w:hideMark/>
          </w:tcPr>
          <w:p w14:paraId="5156CB2B"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CR</w:t>
            </w:r>
          </w:p>
        </w:tc>
        <w:tc>
          <w:tcPr>
            <w:tcW w:w="993" w:type="dxa"/>
            <w:hideMark/>
          </w:tcPr>
          <w:p w14:paraId="09BD08D1"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w:t>
            </w:r>
          </w:p>
        </w:tc>
        <w:tc>
          <w:tcPr>
            <w:tcW w:w="1984" w:type="dxa"/>
            <w:hideMark/>
          </w:tcPr>
          <w:p w14:paraId="3407E563"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Danube, mer Caspienne</w:t>
            </w:r>
          </w:p>
        </w:tc>
        <w:tc>
          <w:tcPr>
            <w:tcW w:w="2409" w:type="dxa"/>
            <w:hideMark/>
          </w:tcPr>
          <w:p w14:paraId="2DF7C7EE"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Braconnage, barrages interrompant les migrations</w:t>
            </w:r>
          </w:p>
        </w:tc>
      </w:tr>
      <w:tr w:rsidR="009672C2" w:rsidRPr="002F17EA" w14:paraId="7DC0F119" w14:textId="77777777">
        <w:tc>
          <w:tcPr>
            <w:tcW w:w="1696" w:type="dxa"/>
            <w:hideMark/>
          </w:tcPr>
          <w:p w14:paraId="2ACCD0EB"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 xml:space="preserve">Autres esturgeons clés (par exemple, </w:t>
            </w:r>
            <w:r w:rsidRPr="00036694">
              <w:rPr>
                <w:rFonts w:ascii="Arial" w:hAnsi="Arial" w:cs="Arial"/>
                <w:i/>
                <w:color w:val="000000" w:themeColor="text1"/>
                <w:sz w:val="20"/>
                <w:szCs w:val="20"/>
                <w:lang w:val="fr-FR"/>
              </w:rPr>
              <w:t>A. gueldenstaedtii</w:t>
            </w:r>
            <w:r w:rsidRPr="00036694">
              <w:rPr>
                <w:rFonts w:ascii="Arial" w:hAnsi="Arial" w:cs="Arial"/>
                <w:color w:val="000000" w:themeColor="text1"/>
                <w:sz w:val="20"/>
                <w:szCs w:val="20"/>
                <w:lang w:val="fr-FR"/>
              </w:rPr>
              <w:t xml:space="preserve">, </w:t>
            </w:r>
            <w:r w:rsidRPr="00036694">
              <w:rPr>
                <w:rFonts w:ascii="Arial" w:hAnsi="Arial" w:cs="Arial"/>
                <w:i/>
                <w:color w:val="000000" w:themeColor="text1"/>
                <w:sz w:val="20"/>
                <w:szCs w:val="20"/>
                <w:lang w:val="fr-FR"/>
              </w:rPr>
              <w:t>A. stellatus, A. persicus</w:t>
            </w:r>
            <w:r w:rsidRPr="00036694">
              <w:rPr>
                <w:rFonts w:ascii="Arial" w:hAnsi="Arial" w:cs="Arial"/>
                <w:color w:val="000000" w:themeColor="text1"/>
                <w:sz w:val="20"/>
                <w:szCs w:val="20"/>
                <w:lang w:val="fr-FR"/>
              </w:rPr>
              <w:t xml:space="preserve">, </w:t>
            </w:r>
            <w:r w:rsidRPr="00036694">
              <w:rPr>
                <w:rFonts w:ascii="Arial" w:hAnsi="Arial" w:cs="Arial"/>
                <w:i/>
                <w:color w:val="000000" w:themeColor="text1"/>
                <w:sz w:val="20"/>
                <w:szCs w:val="20"/>
                <w:lang w:val="fr-FR"/>
              </w:rPr>
              <w:t>A. ruthenus</w:t>
            </w:r>
            <w:r w:rsidRPr="00036694">
              <w:rPr>
                <w:rFonts w:ascii="Arial" w:hAnsi="Arial" w:cs="Arial"/>
                <w:color w:val="000000" w:themeColor="text1"/>
                <w:sz w:val="20"/>
                <w:szCs w:val="20"/>
                <w:lang w:val="fr-FR"/>
              </w:rPr>
              <w:t xml:space="preserve">, </w:t>
            </w:r>
            <w:r w:rsidRPr="00036694">
              <w:rPr>
                <w:rFonts w:ascii="Arial" w:hAnsi="Arial" w:cs="Arial"/>
                <w:i/>
                <w:color w:val="000000" w:themeColor="text1"/>
                <w:sz w:val="20"/>
                <w:szCs w:val="20"/>
                <w:lang w:val="fr-FR"/>
              </w:rPr>
              <w:t>A. nudiventris</w:t>
            </w:r>
            <w:r w:rsidRPr="00036694">
              <w:rPr>
                <w:rFonts w:ascii="Arial" w:hAnsi="Arial" w:cs="Arial"/>
                <w:color w:val="000000" w:themeColor="text1"/>
                <w:sz w:val="20"/>
                <w:szCs w:val="20"/>
                <w:lang w:val="fr-FR"/>
              </w:rPr>
              <w:t>)</w:t>
            </w:r>
          </w:p>
        </w:tc>
        <w:tc>
          <w:tcPr>
            <w:tcW w:w="1134" w:type="dxa"/>
            <w:hideMark/>
          </w:tcPr>
          <w:p w14:paraId="0E778C4F"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II</w:t>
            </w:r>
          </w:p>
        </w:tc>
        <w:tc>
          <w:tcPr>
            <w:tcW w:w="1134" w:type="dxa"/>
            <w:hideMark/>
          </w:tcPr>
          <w:p w14:paraId="1B4E6A60"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CR / EN</w:t>
            </w:r>
          </w:p>
        </w:tc>
        <w:tc>
          <w:tcPr>
            <w:tcW w:w="993" w:type="dxa"/>
            <w:hideMark/>
          </w:tcPr>
          <w:p w14:paraId="2A5396C7"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w:t>
            </w:r>
          </w:p>
        </w:tc>
        <w:tc>
          <w:tcPr>
            <w:tcW w:w="1984" w:type="dxa"/>
            <w:hideMark/>
          </w:tcPr>
          <w:p w14:paraId="63CC2915"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Mer Noire, Danube, mer Caspienne</w:t>
            </w:r>
          </w:p>
        </w:tc>
        <w:tc>
          <w:tcPr>
            <w:tcW w:w="2409" w:type="dxa"/>
            <w:hideMark/>
          </w:tcPr>
          <w:p w14:paraId="2A50EDD6"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Effondrement du recrutement, braconnage, barrières de barrage</w:t>
            </w:r>
          </w:p>
        </w:tc>
      </w:tr>
      <w:tr w:rsidR="009672C2" w:rsidRPr="002F17EA" w14:paraId="1ABE1996" w14:textId="77777777">
        <w:tc>
          <w:tcPr>
            <w:tcW w:w="1696" w:type="dxa"/>
            <w:hideMark/>
          </w:tcPr>
          <w:p w14:paraId="6DEE3B6C"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Esturgeons de Sibérie et de l'Amour (</w:t>
            </w:r>
            <w:r w:rsidRPr="00036694">
              <w:rPr>
                <w:rFonts w:ascii="Arial" w:hAnsi="Arial" w:cs="Arial"/>
                <w:i/>
                <w:color w:val="000000" w:themeColor="text1"/>
                <w:sz w:val="20"/>
                <w:szCs w:val="20"/>
                <w:lang w:val="fr-FR"/>
              </w:rPr>
              <w:t>A. baerii</w:t>
            </w:r>
            <w:r w:rsidRPr="00036694">
              <w:rPr>
                <w:rFonts w:ascii="Arial" w:hAnsi="Arial" w:cs="Arial"/>
                <w:color w:val="000000" w:themeColor="text1"/>
                <w:sz w:val="20"/>
                <w:szCs w:val="20"/>
                <w:lang w:val="fr-FR"/>
              </w:rPr>
              <w:t xml:space="preserve">, </w:t>
            </w:r>
            <w:r w:rsidRPr="00036694">
              <w:rPr>
                <w:rFonts w:ascii="Arial" w:hAnsi="Arial" w:cs="Arial"/>
                <w:i/>
                <w:color w:val="000000" w:themeColor="text1"/>
                <w:sz w:val="20"/>
                <w:szCs w:val="20"/>
                <w:lang w:val="fr-FR"/>
              </w:rPr>
              <w:t xml:space="preserve">A. </w:t>
            </w:r>
            <w:r w:rsidRPr="00036694">
              <w:rPr>
                <w:rFonts w:ascii="Arial" w:hAnsi="Arial" w:cs="Arial"/>
                <w:i/>
                <w:color w:val="000000" w:themeColor="text1"/>
                <w:sz w:val="20"/>
                <w:szCs w:val="20"/>
                <w:lang w:val="fr-FR"/>
              </w:rPr>
              <w:lastRenderedPageBreak/>
              <w:t>schrenckii</w:t>
            </w:r>
            <w:r w:rsidRPr="00036694">
              <w:rPr>
                <w:rFonts w:ascii="Arial" w:hAnsi="Arial" w:cs="Arial"/>
                <w:color w:val="000000" w:themeColor="text1"/>
                <w:sz w:val="20"/>
                <w:szCs w:val="20"/>
                <w:lang w:val="fr-FR"/>
              </w:rPr>
              <w:t xml:space="preserve">, </w:t>
            </w:r>
            <w:r w:rsidRPr="00036694">
              <w:rPr>
                <w:rFonts w:ascii="Arial" w:hAnsi="Arial" w:cs="Arial"/>
                <w:i/>
                <w:color w:val="000000" w:themeColor="text1"/>
                <w:sz w:val="20"/>
                <w:szCs w:val="20"/>
                <w:lang w:val="fr-FR"/>
              </w:rPr>
              <w:t>Huso dauricus</w:t>
            </w:r>
            <w:r w:rsidRPr="00036694">
              <w:rPr>
                <w:rFonts w:ascii="Arial" w:hAnsi="Arial" w:cs="Arial"/>
                <w:color w:val="000000" w:themeColor="text1"/>
                <w:sz w:val="20"/>
                <w:szCs w:val="20"/>
                <w:lang w:val="fr-FR"/>
              </w:rPr>
              <w:t>)</w:t>
            </w:r>
          </w:p>
        </w:tc>
        <w:tc>
          <w:tcPr>
            <w:tcW w:w="1134" w:type="dxa"/>
            <w:hideMark/>
          </w:tcPr>
          <w:p w14:paraId="676A9B70"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lastRenderedPageBreak/>
              <w:t>II</w:t>
            </w:r>
          </w:p>
        </w:tc>
        <w:tc>
          <w:tcPr>
            <w:tcW w:w="1134" w:type="dxa"/>
            <w:hideMark/>
          </w:tcPr>
          <w:p w14:paraId="7FDA059B"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EN / VU</w:t>
            </w:r>
          </w:p>
        </w:tc>
        <w:tc>
          <w:tcPr>
            <w:tcW w:w="993" w:type="dxa"/>
            <w:hideMark/>
          </w:tcPr>
          <w:p w14:paraId="6A15F70E"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w:t>
            </w:r>
          </w:p>
        </w:tc>
        <w:tc>
          <w:tcPr>
            <w:tcW w:w="1984" w:type="dxa"/>
            <w:hideMark/>
          </w:tcPr>
          <w:p w14:paraId="67B3B5B7"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Bassins hydrographiques de Sibérie-Arctique, Amour-Oussouri</w:t>
            </w:r>
          </w:p>
        </w:tc>
        <w:tc>
          <w:tcPr>
            <w:tcW w:w="2409" w:type="dxa"/>
            <w:hideMark/>
          </w:tcPr>
          <w:p w14:paraId="744F2151"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Fragmentation de l'hydroélectricité, surpêche, pollution</w:t>
            </w:r>
          </w:p>
        </w:tc>
      </w:tr>
      <w:tr w:rsidR="009672C2" w:rsidRPr="002F17EA" w14:paraId="3C6DCAFF" w14:textId="77777777">
        <w:tc>
          <w:tcPr>
            <w:tcW w:w="1696" w:type="dxa"/>
            <w:hideMark/>
          </w:tcPr>
          <w:p w14:paraId="09E85E65"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Esturgeon chinois (</w:t>
            </w:r>
            <w:r w:rsidRPr="00036694">
              <w:rPr>
                <w:rFonts w:ascii="Arial" w:hAnsi="Arial" w:cs="Arial"/>
                <w:i/>
                <w:color w:val="000000" w:themeColor="text1"/>
                <w:sz w:val="20"/>
                <w:szCs w:val="20"/>
                <w:lang w:val="fr-FR"/>
              </w:rPr>
              <w:t>A. sinensis</w:t>
            </w:r>
            <w:r w:rsidRPr="00036694">
              <w:rPr>
                <w:rFonts w:ascii="Arial" w:hAnsi="Arial" w:cs="Arial"/>
                <w:color w:val="000000" w:themeColor="text1"/>
                <w:sz w:val="20"/>
                <w:szCs w:val="20"/>
                <w:lang w:val="fr-FR"/>
              </w:rPr>
              <w:t>) et esturgeon de Dabry (</w:t>
            </w:r>
            <w:r w:rsidRPr="00036694">
              <w:rPr>
                <w:rFonts w:ascii="Arial" w:hAnsi="Arial" w:cs="Arial"/>
                <w:i/>
                <w:color w:val="000000" w:themeColor="text1"/>
                <w:sz w:val="20"/>
                <w:szCs w:val="20"/>
                <w:lang w:val="fr-FR"/>
              </w:rPr>
              <w:t>A. dabryanus</w:t>
            </w:r>
            <w:r w:rsidRPr="00036694">
              <w:rPr>
                <w:rFonts w:ascii="Arial" w:hAnsi="Arial" w:cs="Arial"/>
                <w:color w:val="000000" w:themeColor="text1"/>
                <w:sz w:val="20"/>
                <w:szCs w:val="20"/>
                <w:lang w:val="fr-FR"/>
              </w:rPr>
              <w:t>)</w:t>
            </w:r>
          </w:p>
        </w:tc>
        <w:tc>
          <w:tcPr>
            <w:tcW w:w="1134" w:type="dxa"/>
            <w:hideMark/>
          </w:tcPr>
          <w:p w14:paraId="327A066F"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II</w:t>
            </w:r>
          </w:p>
        </w:tc>
        <w:tc>
          <w:tcPr>
            <w:tcW w:w="1134" w:type="dxa"/>
            <w:hideMark/>
          </w:tcPr>
          <w:p w14:paraId="0E559D94"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CR</w:t>
            </w:r>
          </w:p>
        </w:tc>
        <w:tc>
          <w:tcPr>
            <w:tcW w:w="993" w:type="dxa"/>
            <w:hideMark/>
          </w:tcPr>
          <w:p w14:paraId="058AF4A9"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w:t>
            </w:r>
          </w:p>
        </w:tc>
        <w:tc>
          <w:tcPr>
            <w:tcW w:w="1984" w:type="dxa"/>
            <w:hideMark/>
          </w:tcPr>
          <w:p w14:paraId="3ED8AC38"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Fleuve Yangtsé</w:t>
            </w:r>
          </w:p>
        </w:tc>
        <w:tc>
          <w:tcPr>
            <w:tcW w:w="2409" w:type="dxa"/>
            <w:hideMark/>
          </w:tcPr>
          <w:p w14:paraId="1953BC5C"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Barrages en cascade bloquant les migrations de frai qui reposent sur le repeuplement par les écloseries</w:t>
            </w:r>
          </w:p>
        </w:tc>
      </w:tr>
      <w:tr w:rsidR="009672C2" w:rsidRPr="002F17EA" w14:paraId="321CE44A" w14:textId="77777777">
        <w:tc>
          <w:tcPr>
            <w:tcW w:w="1696" w:type="dxa"/>
            <w:hideMark/>
          </w:tcPr>
          <w:p w14:paraId="5B116D9B"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Esturgeons d'Amérique du Nord (</w:t>
            </w:r>
            <w:r w:rsidRPr="00036694">
              <w:rPr>
                <w:rFonts w:ascii="Arial" w:hAnsi="Arial" w:cs="Arial"/>
                <w:i/>
                <w:color w:val="000000" w:themeColor="text1"/>
                <w:sz w:val="20"/>
                <w:szCs w:val="20"/>
                <w:lang w:val="fr-FR"/>
              </w:rPr>
              <w:t>A. oxyrinchus</w:t>
            </w:r>
            <w:r w:rsidRPr="00036694">
              <w:rPr>
                <w:rFonts w:ascii="Arial" w:hAnsi="Arial" w:cs="Arial"/>
                <w:color w:val="000000" w:themeColor="text1"/>
                <w:sz w:val="20"/>
                <w:szCs w:val="20"/>
                <w:lang w:val="fr-FR"/>
              </w:rPr>
              <w:t xml:space="preserve">, </w:t>
            </w:r>
            <w:r w:rsidRPr="00036694">
              <w:rPr>
                <w:rFonts w:ascii="Arial" w:hAnsi="Arial" w:cs="Arial"/>
                <w:i/>
                <w:color w:val="000000" w:themeColor="text1"/>
                <w:sz w:val="20"/>
                <w:szCs w:val="20"/>
                <w:lang w:val="fr-FR"/>
              </w:rPr>
              <w:t>A. fulvescens</w:t>
            </w:r>
            <w:r w:rsidRPr="00036694">
              <w:rPr>
                <w:rFonts w:ascii="Arial" w:hAnsi="Arial" w:cs="Arial"/>
                <w:color w:val="000000" w:themeColor="text1"/>
                <w:sz w:val="20"/>
                <w:szCs w:val="20"/>
                <w:lang w:val="fr-FR"/>
              </w:rPr>
              <w:t xml:space="preserve">, </w:t>
            </w:r>
            <w:r w:rsidRPr="00036694">
              <w:rPr>
                <w:rFonts w:ascii="Arial" w:hAnsi="Arial" w:cs="Arial"/>
                <w:i/>
                <w:color w:val="000000" w:themeColor="text1"/>
                <w:sz w:val="20"/>
                <w:szCs w:val="20"/>
                <w:lang w:val="fr-FR"/>
              </w:rPr>
              <w:t>A. medirostris</w:t>
            </w:r>
            <w:r w:rsidRPr="00036694">
              <w:rPr>
                <w:rFonts w:ascii="Arial" w:hAnsi="Arial" w:cs="Arial"/>
                <w:color w:val="000000" w:themeColor="text1"/>
                <w:sz w:val="20"/>
                <w:szCs w:val="20"/>
                <w:lang w:val="fr-FR"/>
              </w:rPr>
              <w:t>)</w:t>
            </w:r>
          </w:p>
        </w:tc>
        <w:tc>
          <w:tcPr>
            <w:tcW w:w="1134" w:type="dxa"/>
            <w:hideMark/>
          </w:tcPr>
          <w:p w14:paraId="46A6AC66"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II</w:t>
            </w:r>
          </w:p>
        </w:tc>
        <w:tc>
          <w:tcPr>
            <w:tcW w:w="1134" w:type="dxa"/>
            <w:hideMark/>
          </w:tcPr>
          <w:p w14:paraId="03309DC6" w14:textId="77777777" w:rsidR="009672C2" w:rsidRPr="00036694" w:rsidRDefault="002A409C">
            <w:pPr>
              <w:pStyle w:val="NoSpacing"/>
              <w:jc w:val="center"/>
              <w:rPr>
                <w:rFonts w:ascii="Arial" w:hAnsi="Arial" w:cs="Arial"/>
                <w:color w:val="000000" w:themeColor="text1"/>
                <w:sz w:val="20"/>
                <w:szCs w:val="20"/>
                <w:lang w:val="fr-FR"/>
              </w:rPr>
            </w:pPr>
            <w:r w:rsidRPr="00036694">
              <w:rPr>
                <w:rFonts w:ascii="Arial" w:hAnsi="Arial" w:cs="Arial"/>
                <w:color w:val="000000" w:themeColor="text1"/>
                <w:sz w:val="20"/>
                <w:szCs w:val="20"/>
                <w:lang w:val="fr-FR"/>
              </w:rPr>
              <w:t>VU / NT / mixte</w:t>
            </w:r>
          </w:p>
        </w:tc>
        <w:tc>
          <w:tcPr>
            <w:tcW w:w="993" w:type="dxa"/>
            <w:hideMark/>
          </w:tcPr>
          <w:p w14:paraId="7B216ACD"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w:t>
            </w:r>
          </w:p>
        </w:tc>
        <w:tc>
          <w:tcPr>
            <w:tcW w:w="1984" w:type="dxa"/>
            <w:hideMark/>
          </w:tcPr>
          <w:p w14:paraId="4C0B2B51"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Amérique du Nord (Atlantique, Grands Lacs, Pacifique)</w:t>
            </w:r>
          </w:p>
        </w:tc>
        <w:tc>
          <w:tcPr>
            <w:tcW w:w="2409" w:type="dxa"/>
            <w:hideMark/>
          </w:tcPr>
          <w:p w14:paraId="6389A21B"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Prises accessoires, modification des flux, collisions avec des navires</w:t>
            </w:r>
          </w:p>
        </w:tc>
      </w:tr>
      <w:tr w:rsidR="009672C2" w:rsidRPr="002F17EA" w14:paraId="1F616F6C" w14:textId="77777777">
        <w:tc>
          <w:tcPr>
            <w:tcW w:w="1696" w:type="dxa"/>
            <w:hideMark/>
          </w:tcPr>
          <w:p w14:paraId="196EB5BD"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Silure de verre géant du Mékong (</w:t>
            </w:r>
            <w:r w:rsidRPr="00036694">
              <w:rPr>
                <w:rFonts w:ascii="Arial" w:hAnsi="Arial" w:cs="Arial"/>
                <w:i/>
                <w:color w:val="000000" w:themeColor="text1"/>
                <w:sz w:val="20"/>
                <w:szCs w:val="20"/>
                <w:lang w:val="fr-FR"/>
              </w:rPr>
              <w:t>Pangasianodon gigas</w:t>
            </w:r>
            <w:r w:rsidRPr="00036694">
              <w:rPr>
                <w:rFonts w:ascii="Arial" w:hAnsi="Arial" w:cs="Arial"/>
                <w:color w:val="000000" w:themeColor="text1"/>
                <w:sz w:val="20"/>
                <w:szCs w:val="20"/>
                <w:lang w:val="fr-FR"/>
              </w:rPr>
              <w:t>)</w:t>
            </w:r>
          </w:p>
        </w:tc>
        <w:tc>
          <w:tcPr>
            <w:tcW w:w="1134" w:type="dxa"/>
            <w:hideMark/>
          </w:tcPr>
          <w:p w14:paraId="473ED8BE"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I</w:t>
            </w:r>
          </w:p>
        </w:tc>
        <w:tc>
          <w:tcPr>
            <w:tcW w:w="1134" w:type="dxa"/>
            <w:hideMark/>
          </w:tcPr>
          <w:p w14:paraId="510DDCFF"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CR</w:t>
            </w:r>
          </w:p>
        </w:tc>
        <w:tc>
          <w:tcPr>
            <w:tcW w:w="993" w:type="dxa"/>
            <w:hideMark/>
          </w:tcPr>
          <w:p w14:paraId="1BE3F2AA"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CITES I</w:t>
            </w:r>
          </w:p>
        </w:tc>
        <w:tc>
          <w:tcPr>
            <w:tcW w:w="1984" w:type="dxa"/>
            <w:hideMark/>
          </w:tcPr>
          <w:p w14:paraId="12E116F0"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Bassin du Mékong (Cambodge, RDP lao, Thaïlande, Viet Nam)</w:t>
            </w:r>
          </w:p>
        </w:tc>
        <w:tc>
          <w:tcPr>
            <w:tcW w:w="2409" w:type="dxa"/>
            <w:hideMark/>
          </w:tcPr>
          <w:p w14:paraId="6039AAFC"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Fragmentation de l'habitat (barrages), capture accidentelle, modification de l'impulsion des crues</w:t>
            </w:r>
          </w:p>
        </w:tc>
      </w:tr>
      <w:tr w:rsidR="009672C2" w:rsidRPr="002F17EA" w14:paraId="4B97F271" w14:textId="77777777">
        <w:tc>
          <w:tcPr>
            <w:tcW w:w="1696" w:type="dxa"/>
            <w:hideMark/>
          </w:tcPr>
          <w:p w14:paraId="77FC4EF5"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Anguille européenne (</w:t>
            </w:r>
            <w:r w:rsidRPr="00036694">
              <w:rPr>
                <w:rFonts w:ascii="Arial" w:hAnsi="Arial" w:cs="Arial"/>
                <w:i/>
                <w:color w:val="000000" w:themeColor="text1"/>
                <w:sz w:val="20"/>
                <w:szCs w:val="20"/>
                <w:lang w:val="fr-FR"/>
              </w:rPr>
              <w:t>Anguilla anguilla</w:t>
            </w:r>
            <w:r w:rsidRPr="00036694">
              <w:rPr>
                <w:rFonts w:ascii="Arial" w:hAnsi="Arial" w:cs="Arial"/>
                <w:color w:val="000000" w:themeColor="text1"/>
                <w:sz w:val="20"/>
                <w:szCs w:val="20"/>
                <w:lang w:val="fr-FR"/>
              </w:rPr>
              <w:t>)</w:t>
            </w:r>
          </w:p>
        </w:tc>
        <w:tc>
          <w:tcPr>
            <w:tcW w:w="1134" w:type="dxa"/>
            <w:hideMark/>
          </w:tcPr>
          <w:p w14:paraId="256E0D35"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II</w:t>
            </w:r>
          </w:p>
        </w:tc>
        <w:tc>
          <w:tcPr>
            <w:tcW w:w="1134" w:type="dxa"/>
            <w:hideMark/>
          </w:tcPr>
          <w:p w14:paraId="09FD7C01"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CR</w:t>
            </w:r>
          </w:p>
        </w:tc>
        <w:tc>
          <w:tcPr>
            <w:tcW w:w="993" w:type="dxa"/>
            <w:hideMark/>
          </w:tcPr>
          <w:p w14:paraId="5C8AEC5B" w14:textId="77777777" w:rsidR="009672C2" w:rsidRPr="00036694" w:rsidRDefault="002A409C">
            <w:pPr>
              <w:pStyle w:val="NoSpacing"/>
              <w:jc w:val="center"/>
              <w:rPr>
                <w:rFonts w:ascii="Arial" w:hAnsi="Arial" w:cs="Arial"/>
                <w:color w:val="000000" w:themeColor="text1"/>
                <w:sz w:val="20"/>
                <w:szCs w:val="20"/>
                <w:lang w:val="fr-FR"/>
              </w:rPr>
            </w:pPr>
            <w:r w:rsidRPr="00036694">
              <w:rPr>
                <w:rFonts w:ascii="Arial" w:hAnsi="Arial" w:cs="Arial"/>
                <w:color w:val="000000" w:themeColor="text1"/>
                <w:sz w:val="20"/>
                <w:szCs w:val="20"/>
                <w:lang w:val="fr-FR"/>
              </w:rPr>
              <w:t>CITES II ; interdiction de commerce dans l'UE</w:t>
            </w:r>
          </w:p>
        </w:tc>
        <w:tc>
          <w:tcPr>
            <w:tcW w:w="1984" w:type="dxa"/>
            <w:hideMark/>
          </w:tcPr>
          <w:p w14:paraId="589A4F86"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Europe, Afrique du Nord ; fraie dans la mer des Sargasses</w:t>
            </w:r>
          </w:p>
        </w:tc>
        <w:tc>
          <w:tcPr>
            <w:tcW w:w="2409" w:type="dxa"/>
            <w:hideMark/>
          </w:tcPr>
          <w:p w14:paraId="32E9BA2C"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Barrières, turbines, perte d'habitat, pêche illégale, maladies, pollution</w:t>
            </w:r>
          </w:p>
        </w:tc>
      </w:tr>
      <w:tr w:rsidR="009672C2" w:rsidRPr="002F17EA" w14:paraId="24E1E48E" w14:textId="77777777">
        <w:tc>
          <w:tcPr>
            <w:tcW w:w="1696" w:type="dxa"/>
            <w:hideMark/>
          </w:tcPr>
          <w:p w14:paraId="1F3CA555"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Silure doré (</w:t>
            </w:r>
            <w:r w:rsidRPr="00036694">
              <w:rPr>
                <w:rFonts w:ascii="Arial" w:hAnsi="Arial" w:cs="Arial"/>
                <w:i/>
                <w:color w:val="000000" w:themeColor="text1"/>
                <w:sz w:val="20"/>
                <w:szCs w:val="20"/>
                <w:lang w:val="fr-FR"/>
              </w:rPr>
              <w:t>Brachyplatystoma rousseauxii</w:t>
            </w:r>
            <w:r w:rsidRPr="00036694">
              <w:rPr>
                <w:rFonts w:ascii="Arial" w:hAnsi="Arial" w:cs="Arial"/>
                <w:color w:val="000000" w:themeColor="text1"/>
                <w:sz w:val="20"/>
                <w:szCs w:val="20"/>
                <w:lang w:val="fr-FR"/>
              </w:rPr>
              <w:t>)</w:t>
            </w:r>
          </w:p>
        </w:tc>
        <w:tc>
          <w:tcPr>
            <w:tcW w:w="1134" w:type="dxa"/>
            <w:hideMark/>
          </w:tcPr>
          <w:p w14:paraId="749F5DE8"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 xml:space="preserve">II </w:t>
            </w:r>
          </w:p>
        </w:tc>
        <w:tc>
          <w:tcPr>
            <w:tcW w:w="1134" w:type="dxa"/>
            <w:hideMark/>
          </w:tcPr>
          <w:p w14:paraId="20E277AF" w14:textId="77777777" w:rsidR="009672C2" w:rsidRPr="00036694" w:rsidRDefault="002A409C">
            <w:pPr>
              <w:pStyle w:val="NoSpacing"/>
              <w:jc w:val="center"/>
              <w:rPr>
                <w:rFonts w:ascii="Arial" w:hAnsi="Arial" w:cs="Arial"/>
                <w:color w:val="000000" w:themeColor="text1"/>
                <w:sz w:val="20"/>
                <w:szCs w:val="20"/>
                <w:lang w:val="fr-FR"/>
              </w:rPr>
            </w:pPr>
            <w:r w:rsidRPr="00036694">
              <w:rPr>
                <w:rFonts w:ascii="Arial" w:hAnsi="Arial" w:cs="Arial"/>
                <w:color w:val="000000" w:themeColor="text1"/>
                <w:sz w:val="20"/>
                <w:szCs w:val="20"/>
                <w:lang w:val="fr-FR"/>
              </w:rPr>
              <w:t>VU / en baisse</w:t>
            </w:r>
          </w:p>
        </w:tc>
        <w:tc>
          <w:tcPr>
            <w:tcW w:w="993" w:type="dxa"/>
            <w:hideMark/>
          </w:tcPr>
          <w:p w14:paraId="2B16255B"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w:t>
            </w:r>
          </w:p>
        </w:tc>
        <w:tc>
          <w:tcPr>
            <w:tcW w:w="1984" w:type="dxa"/>
            <w:hideMark/>
          </w:tcPr>
          <w:p w14:paraId="0BA3D10E"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Bassin amazonien (des Andes à l'estuaire)</w:t>
            </w:r>
          </w:p>
        </w:tc>
        <w:tc>
          <w:tcPr>
            <w:tcW w:w="2409" w:type="dxa"/>
            <w:hideMark/>
          </w:tcPr>
          <w:p w14:paraId="2697B405"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Barrages bloquant les migrations, pression exercée sur la pêche</w:t>
            </w:r>
          </w:p>
        </w:tc>
      </w:tr>
      <w:tr w:rsidR="009672C2" w:rsidRPr="002F17EA" w14:paraId="203D8AF3" w14:textId="77777777">
        <w:tc>
          <w:tcPr>
            <w:tcW w:w="1696" w:type="dxa"/>
            <w:hideMark/>
          </w:tcPr>
          <w:p w14:paraId="0909F308" w14:textId="77777777" w:rsidR="009672C2" w:rsidRPr="00036694" w:rsidRDefault="002A409C">
            <w:pPr>
              <w:pStyle w:val="NoSpacing"/>
              <w:rPr>
                <w:rFonts w:ascii="Arial" w:hAnsi="Arial" w:cs="Arial"/>
                <w:color w:val="000000" w:themeColor="text1"/>
                <w:sz w:val="20"/>
                <w:szCs w:val="20"/>
              </w:rPr>
            </w:pPr>
            <w:r w:rsidRPr="00036694">
              <w:rPr>
                <w:rFonts w:ascii="Arial" w:hAnsi="Arial" w:cs="Arial"/>
                <w:color w:val="000000" w:themeColor="text1"/>
                <w:sz w:val="20"/>
                <w:szCs w:val="20"/>
              </w:rPr>
              <w:t>Piramutaba (</w:t>
            </w:r>
            <w:r w:rsidRPr="00036694">
              <w:rPr>
                <w:rFonts w:ascii="Arial" w:hAnsi="Arial" w:cs="Arial"/>
                <w:i/>
                <w:color w:val="000000" w:themeColor="text1"/>
                <w:sz w:val="20"/>
                <w:szCs w:val="20"/>
              </w:rPr>
              <w:t>B. vaillantii</w:t>
            </w:r>
            <w:r w:rsidRPr="00036694">
              <w:rPr>
                <w:rFonts w:ascii="Arial" w:hAnsi="Arial" w:cs="Arial"/>
                <w:color w:val="000000" w:themeColor="text1"/>
                <w:sz w:val="20"/>
                <w:szCs w:val="20"/>
              </w:rPr>
              <w:t>)</w:t>
            </w:r>
          </w:p>
        </w:tc>
        <w:tc>
          <w:tcPr>
            <w:tcW w:w="1134" w:type="dxa"/>
            <w:hideMark/>
          </w:tcPr>
          <w:p w14:paraId="5DBD2C68"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II</w:t>
            </w:r>
          </w:p>
        </w:tc>
        <w:tc>
          <w:tcPr>
            <w:tcW w:w="1134" w:type="dxa"/>
            <w:hideMark/>
          </w:tcPr>
          <w:p w14:paraId="3D5D7BF5" w14:textId="77777777" w:rsidR="009672C2" w:rsidRPr="00036694" w:rsidRDefault="002A409C">
            <w:pPr>
              <w:pStyle w:val="NoSpacing"/>
              <w:jc w:val="center"/>
              <w:rPr>
                <w:rFonts w:ascii="Arial" w:hAnsi="Arial" w:cs="Arial"/>
                <w:color w:val="000000" w:themeColor="text1"/>
                <w:sz w:val="20"/>
                <w:szCs w:val="20"/>
                <w:lang w:val="fr-FR"/>
              </w:rPr>
            </w:pPr>
            <w:r w:rsidRPr="00036694">
              <w:rPr>
                <w:rFonts w:ascii="Arial" w:hAnsi="Arial" w:cs="Arial"/>
                <w:color w:val="000000" w:themeColor="text1"/>
                <w:sz w:val="20"/>
                <w:szCs w:val="20"/>
                <w:lang w:val="fr-FR"/>
              </w:rPr>
              <w:t>VU / en baisse</w:t>
            </w:r>
          </w:p>
        </w:tc>
        <w:tc>
          <w:tcPr>
            <w:tcW w:w="993" w:type="dxa"/>
            <w:hideMark/>
          </w:tcPr>
          <w:p w14:paraId="4669283E" w14:textId="77777777" w:rsidR="009672C2" w:rsidRPr="00036694" w:rsidRDefault="002A409C">
            <w:pPr>
              <w:pStyle w:val="NoSpacing"/>
              <w:jc w:val="center"/>
              <w:rPr>
                <w:rFonts w:ascii="Arial" w:hAnsi="Arial" w:cs="Arial"/>
                <w:color w:val="000000" w:themeColor="text1"/>
                <w:sz w:val="20"/>
                <w:szCs w:val="20"/>
              </w:rPr>
            </w:pPr>
            <w:r w:rsidRPr="00036694">
              <w:rPr>
                <w:rFonts w:ascii="Arial" w:hAnsi="Arial" w:cs="Arial"/>
                <w:color w:val="000000" w:themeColor="text1"/>
                <w:sz w:val="20"/>
                <w:szCs w:val="20"/>
              </w:rPr>
              <w:t>–</w:t>
            </w:r>
          </w:p>
        </w:tc>
        <w:tc>
          <w:tcPr>
            <w:tcW w:w="1984" w:type="dxa"/>
            <w:hideMark/>
          </w:tcPr>
          <w:p w14:paraId="4B399BE1"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Bassin amazonien (des Andes à l'estuaire)</w:t>
            </w:r>
          </w:p>
        </w:tc>
        <w:tc>
          <w:tcPr>
            <w:tcW w:w="2409" w:type="dxa"/>
            <w:hideMark/>
          </w:tcPr>
          <w:p w14:paraId="7C1DD9E8" w14:textId="77777777" w:rsidR="009672C2" w:rsidRPr="00036694" w:rsidRDefault="002A409C">
            <w:pPr>
              <w:pStyle w:val="NoSpacing"/>
              <w:rPr>
                <w:rFonts w:ascii="Arial" w:hAnsi="Arial" w:cs="Arial"/>
                <w:color w:val="000000" w:themeColor="text1"/>
                <w:sz w:val="20"/>
                <w:szCs w:val="20"/>
                <w:lang w:val="fr-FR"/>
              </w:rPr>
            </w:pPr>
            <w:r w:rsidRPr="00036694">
              <w:rPr>
                <w:rFonts w:ascii="Arial" w:hAnsi="Arial" w:cs="Arial"/>
                <w:color w:val="000000" w:themeColor="text1"/>
                <w:sz w:val="20"/>
                <w:szCs w:val="20"/>
                <w:lang w:val="fr-FR"/>
              </w:rPr>
              <w:t>Identique à ce qui précède (barrages, surpêche, expansion de l'hydroélectricité)</w:t>
            </w:r>
          </w:p>
        </w:tc>
      </w:tr>
    </w:tbl>
    <w:p w14:paraId="740854E1" w14:textId="77777777" w:rsidR="009672C2" w:rsidRPr="00036694" w:rsidRDefault="009672C2">
      <w:pPr>
        <w:pStyle w:val="NoSpacing"/>
        <w:rPr>
          <w:rFonts w:ascii="Arial" w:hAnsi="Arial" w:cs="Arial"/>
          <w:color w:val="000000" w:themeColor="text1"/>
          <w:sz w:val="22"/>
          <w:lang w:val="fr-FR"/>
        </w:rPr>
      </w:pPr>
    </w:p>
    <w:p w14:paraId="7EAD3C50" w14:textId="712F2BE1" w:rsidR="009672C2" w:rsidRPr="00FA123C" w:rsidRDefault="002A409C" w:rsidP="00FA123C">
      <w:pPr>
        <w:pStyle w:val="NoSpacing"/>
        <w:ind w:left="567" w:hanging="567"/>
        <w:rPr>
          <w:rFonts w:ascii="Arial" w:hAnsi="Arial" w:cs="Arial"/>
          <w:b/>
          <w:bCs/>
          <w:color w:val="000000" w:themeColor="text1"/>
          <w:sz w:val="22"/>
          <w:lang w:val="fr-FR"/>
        </w:rPr>
      </w:pPr>
      <w:bookmarkStart w:id="21" w:name="_Toc214450253"/>
      <w:r w:rsidRPr="00FA123C">
        <w:rPr>
          <w:rStyle w:val="Heading2Char"/>
          <w:rFonts w:ascii="Arial" w:hAnsi="Arial" w:cs="Arial"/>
          <w:b w:val="0"/>
          <w:bCs w:val="0"/>
          <w:sz w:val="22"/>
          <w:szCs w:val="22"/>
          <w:lang w:val="fr-FR"/>
        </w:rPr>
        <w:t xml:space="preserve">3.5 </w:t>
      </w:r>
      <w:r w:rsidR="00FA123C">
        <w:rPr>
          <w:rStyle w:val="Heading2Char"/>
          <w:rFonts w:ascii="Arial" w:hAnsi="Arial" w:cs="Arial"/>
          <w:b w:val="0"/>
          <w:bCs w:val="0"/>
          <w:sz w:val="22"/>
          <w:szCs w:val="22"/>
          <w:lang w:val="fr-FR"/>
        </w:rPr>
        <w:tab/>
      </w:r>
      <w:r w:rsidRPr="00FA123C">
        <w:rPr>
          <w:rStyle w:val="Heading2Char"/>
          <w:rFonts w:ascii="Arial" w:hAnsi="Arial" w:cs="Arial"/>
          <w:b w:val="0"/>
          <w:bCs w:val="0"/>
          <w:sz w:val="22"/>
          <w:szCs w:val="22"/>
          <w:lang w:val="fr-FR"/>
        </w:rPr>
        <w:t>Régions prioritaires pour la coopération dans le cadre de la CMS</w:t>
      </w:r>
      <w:bookmarkEnd w:id="21"/>
      <w:r w:rsidRPr="00FA123C">
        <w:rPr>
          <w:rFonts w:ascii="Arial" w:hAnsi="Arial" w:cs="Arial"/>
          <w:b/>
          <w:bCs/>
          <w:color w:val="000000" w:themeColor="text1"/>
          <w:sz w:val="22"/>
          <w:lang w:val="fr-FR"/>
        </w:rPr>
        <w:t xml:space="preserve"> </w:t>
      </w:r>
    </w:p>
    <w:p w14:paraId="4EC93CD3" w14:textId="77777777" w:rsidR="00FA123C" w:rsidRDefault="00FA123C">
      <w:pPr>
        <w:pStyle w:val="NoSpacing"/>
        <w:jc w:val="both"/>
        <w:rPr>
          <w:rFonts w:ascii="Arial" w:hAnsi="Arial" w:cs="Arial"/>
          <w:color w:val="000000" w:themeColor="text1"/>
          <w:sz w:val="22"/>
          <w:lang w:val="fr-FR"/>
        </w:rPr>
      </w:pPr>
    </w:p>
    <w:p w14:paraId="56EFBD93" w14:textId="30B94643"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Conformément à l'évaluation mondiale et aux études de cas présentées dans ce rapport, plusieurs systèmes transfrontaliers se dégagent comme des zones où la coopération via la CMS est à la fois nécessaire et réalisable : </w:t>
      </w:r>
    </w:p>
    <w:p w14:paraId="46489BA0" w14:textId="77777777" w:rsidR="009672C2" w:rsidRPr="00036694" w:rsidRDefault="009672C2">
      <w:pPr>
        <w:pStyle w:val="NoSpacing"/>
        <w:jc w:val="both"/>
        <w:rPr>
          <w:rFonts w:ascii="Arial" w:hAnsi="Arial" w:cs="Arial"/>
          <w:color w:val="000000" w:themeColor="text1"/>
          <w:sz w:val="22"/>
          <w:lang w:val="fr-FR"/>
        </w:rPr>
      </w:pPr>
    </w:p>
    <w:p w14:paraId="6A872030" w14:textId="192F453E" w:rsidR="009672C2" w:rsidRPr="00036694" w:rsidRDefault="002A409C" w:rsidP="00FA123C">
      <w:pPr>
        <w:pStyle w:val="NoSpacing"/>
        <w:numPr>
          <w:ilvl w:val="0"/>
          <w:numId w:val="16"/>
        </w:numPr>
        <w:spacing w:after="80"/>
        <w:ind w:left="714" w:hanging="357"/>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l'Amazone et les bassins de La Plata–Paraná–Paraguay en Amérique du Sud (poissons-chats et characidés migrateurs sur de longues distances ; protection des zones de reproduction des plaines inondables ; fermetures saisonnières coordonnées ; adaptations à fort rendement des barrières) (Carolsfeld et al. 2003 ; Barthem et al. 2017); </w:t>
      </w:r>
    </w:p>
    <w:p w14:paraId="5CEAD430" w14:textId="77777777" w:rsidR="009672C2" w:rsidRPr="00036694" w:rsidRDefault="002A409C" w:rsidP="00FA123C">
      <w:pPr>
        <w:pStyle w:val="NoSpacing"/>
        <w:numPr>
          <w:ilvl w:val="0"/>
          <w:numId w:val="16"/>
        </w:numPr>
        <w:spacing w:after="80"/>
        <w:ind w:left="714" w:hanging="357"/>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le Danube et les bassins européens connectés (cypriniformes potamodromes et dernières remontées d'esturgeons/lamproies ; continuité des sédiments et passage à travers plusieurs Parties) (Kottelat et Freyhof 2007 ; Grill et al. 2019) ; </w:t>
      </w:r>
    </w:p>
    <w:p w14:paraId="37DB0DDB" w14:textId="77777777" w:rsidR="009672C2" w:rsidRPr="00036694" w:rsidRDefault="002A409C">
      <w:pPr>
        <w:pStyle w:val="NoSpacing"/>
        <w:numPr>
          <w:ilvl w:val="0"/>
          <w:numId w:val="16"/>
        </w:numPr>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le Congo, le Niger–lac Tchad et le Nil en Afrique (stocks partagés, sensibilité à la sécheresse et fragmentation nécessitant une surveillance coopérative ainsi que des mesures concernant le débit et la qualité de l'eau) (Levéque et al. 2008 ; Reid et al. 2019) ; </w:t>
      </w:r>
    </w:p>
    <w:p w14:paraId="69AF4AEB" w14:textId="77777777" w:rsidR="009672C2" w:rsidRPr="00036694" w:rsidRDefault="002A409C" w:rsidP="00FA123C">
      <w:pPr>
        <w:pStyle w:val="NoSpacing"/>
        <w:numPr>
          <w:ilvl w:val="0"/>
          <w:numId w:val="16"/>
        </w:numPr>
        <w:spacing w:after="80"/>
        <w:ind w:left="714" w:hanging="357"/>
        <w:jc w:val="both"/>
        <w:rPr>
          <w:rFonts w:ascii="Arial" w:hAnsi="Arial" w:cs="Arial"/>
          <w:color w:val="000000" w:themeColor="text1"/>
          <w:sz w:val="22"/>
          <w:lang w:val="fr-FR"/>
        </w:rPr>
      </w:pPr>
      <w:r w:rsidRPr="00036694">
        <w:rPr>
          <w:rFonts w:ascii="Arial" w:hAnsi="Arial" w:cs="Arial"/>
          <w:color w:val="000000" w:themeColor="text1"/>
          <w:sz w:val="22"/>
          <w:lang w:val="fr-FR"/>
        </w:rPr>
        <w:lastRenderedPageBreak/>
        <w:t xml:space="preserve">le Mékong et le Gange-Brahmapoutre-Meghna en Asie (forte biomasse de migrateurs ; barrages et fluctuations hydrauliques artificielles ; coordination des captures par des organismes régionaux en accord avec la CMS) (Baran et Myschowoda 2009 ; Dudgeon 2003) ; </w:t>
      </w:r>
    </w:p>
    <w:p w14:paraId="04DA1AB4" w14:textId="77777777" w:rsidR="009672C2" w:rsidRDefault="002A409C">
      <w:pPr>
        <w:pStyle w:val="NoSpacing"/>
        <w:numPr>
          <w:ilvl w:val="0"/>
          <w:numId w:val="16"/>
        </w:numPr>
        <w:jc w:val="both"/>
        <w:rPr>
          <w:rFonts w:ascii="Arial" w:hAnsi="Arial" w:cs="Arial"/>
          <w:color w:val="000000" w:themeColor="text1"/>
          <w:sz w:val="22"/>
          <w:lang w:val="fr-FR"/>
        </w:rPr>
      </w:pPr>
      <w:r w:rsidRPr="00036694">
        <w:rPr>
          <w:rFonts w:ascii="Arial" w:hAnsi="Arial" w:cs="Arial"/>
          <w:color w:val="000000" w:themeColor="text1"/>
          <w:sz w:val="22"/>
          <w:lang w:val="fr-FR"/>
        </w:rPr>
        <w:t>et des mesures régionales concernant les anguilles anguillidés en Océanie (normes de passage, réglementation de la pêche selon les stades de vie, indices de recrutement partagés) (Chang et al. 2020 ; Koster et al. 2021).</w:t>
      </w:r>
    </w:p>
    <w:p w14:paraId="710724F8" w14:textId="77777777" w:rsidR="00C005D5" w:rsidRPr="00036694" w:rsidRDefault="00C005D5" w:rsidP="00C005D5">
      <w:pPr>
        <w:pStyle w:val="NoSpacing"/>
        <w:ind w:left="720"/>
        <w:jc w:val="both"/>
        <w:rPr>
          <w:rFonts w:ascii="Arial" w:hAnsi="Arial" w:cs="Arial"/>
          <w:color w:val="000000" w:themeColor="text1"/>
          <w:sz w:val="22"/>
          <w:lang w:val="fr-FR"/>
        </w:rPr>
      </w:pPr>
    </w:p>
    <w:p w14:paraId="3E3F0C22" w14:textId="0978F5A7" w:rsidR="009672C2" w:rsidRDefault="00C005D5" w:rsidP="00C005D5">
      <w:pPr>
        <w:pStyle w:val="Heading1"/>
        <w:spacing w:before="0" w:line="240" w:lineRule="auto"/>
        <w:ind w:left="567" w:hanging="567"/>
        <w:rPr>
          <w:rFonts w:ascii="Arial" w:hAnsi="Arial" w:cs="Arial"/>
          <w:sz w:val="22"/>
          <w:szCs w:val="22"/>
          <w:lang w:val="fr-FR"/>
        </w:rPr>
      </w:pPr>
      <w:bookmarkStart w:id="22" w:name="_Toc214450254"/>
      <w:r w:rsidRPr="00FA123C">
        <w:rPr>
          <w:rFonts w:ascii="Arial" w:hAnsi="Arial" w:cs="Arial"/>
          <w:sz w:val="22"/>
          <w:szCs w:val="22"/>
          <w:lang w:val="fr-FR"/>
        </w:rPr>
        <w:t xml:space="preserve">4 </w:t>
      </w:r>
      <w:r>
        <w:rPr>
          <w:rFonts w:ascii="Arial" w:hAnsi="Arial" w:cs="Arial"/>
          <w:sz w:val="22"/>
          <w:szCs w:val="22"/>
          <w:lang w:val="fr-FR"/>
        </w:rPr>
        <w:tab/>
      </w:r>
      <w:r w:rsidRPr="00FA123C">
        <w:rPr>
          <w:rFonts w:ascii="Arial" w:hAnsi="Arial" w:cs="Arial"/>
          <w:sz w:val="22"/>
          <w:szCs w:val="22"/>
          <w:lang w:val="fr-FR"/>
        </w:rPr>
        <w:t>M</w:t>
      </w:r>
      <w:r>
        <w:rPr>
          <w:rFonts w:ascii="Arial" w:hAnsi="Arial" w:cs="Arial"/>
          <w:sz w:val="22"/>
          <w:szCs w:val="22"/>
          <w:lang w:val="fr-FR"/>
        </w:rPr>
        <w:t>É</w:t>
      </w:r>
      <w:r w:rsidRPr="00FA123C">
        <w:rPr>
          <w:rFonts w:ascii="Arial" w:hAnsi="Arial" w:cs="Arial"/>
          <w:sz w:val="22"/>
          <w:szCs w:val="22"/>
          <w:lang w:val="fr-FR"/>
        </w:rPr>
        <w:t>THODES</w:t>
      </w:r>
      <w:bookmarkEnd w:id="22"/>
    </w:p>
    <w:p w14:paraId="18FFEED5" w14:textId="77777777" w:rsidR="00C005D5" w:rsidRPr="00C005D5" w:rsidRDefault="00C005D5" w:rsidP="00C005D5">
      <w:pPr>
        <w:spacing w:after="0" w:line="240" w:lineRule="auto"/>
        <w:rPr>
          <w:lang w:val="fr-FR"/>
        </w:rPr>
      </w:pPr>
    </w:p>
    <w:p w14:paraId="13C15CA8" w14:textId="7042C68C" w:rsidR="009672C2" w:rsidRPr="00C005D5" w:rsidRDefault="002A409C" w:rsidP="00C005D5">
      <w:pPr>
        <w:pStyle w:val="Heading2"/>
        <w:spacing w:before="0" w:line="240" w:lineRule="auto"/>
        <w:ind w:left="567" w:hanging="567"/>
        <w:rPr>
          <w:rFonts w:ascii="Arial" w:hAnsi="Arial" w:cs="Arial"/>
          <w:b w:val="0"/>
          <w:bCs w:val="0"/>
          <w:sz w:val="22"/>
          <w:szCs w:val="22"/>
          <w:lang w:val="fr-FR"/>
        </w:rPr>
      </w:pPr>
      <w:bookmarkStart w:id="23" w:name="_Toc214450255"/>
      <w:r w:rsidRPr="00C005D5">
        <w:rPr>
          <w:rFonts w:ascii="Arial" w:hAnsi="Arial" w:cs="Arial"/>
          <w:b w:val="0"/>
          <w:bCs w:val="0"/>
          <w:sz w:val="22"/>
          <w:szCs w:val="22"/>
          <w:lang w:val="fr-FR"/>
        </w:rPr>
        <w:t xml:space="preserve">4.1 </w:t>
      </w:r>
      <w:r w:rsidR="00C005D5">
        <w:rPr>
          <w:rFonts w:ascii="Arial" w:hAnsi="Arial" w:cs="Arial"/>
          <w:b w:val="0"/>
          <w:bCs w:val="0"/>
          <w:sz w:val="22"/>
          <w:szCs w:val="22"/>
          <w:lang w:val="fr-FR"/>
        </w:rPr>
        <w:tab/>
      </w:r>
      <w:r w:rsidRPr="00C005D5">
        <w:rPr>
          <w:rFonts w:ascii="Arial" w:hAnsi="Arial" w:cs="Arial"/>
          <w:b w:val="0"/>
          <w:bCs w:val="0"/>
          <w:sz w:val="22"/>
          <w:szCs w:val="22"/>
          <w:lang w:val="fr-FR"/>
        </w:rPr>
        <w:t>Champ d'application et approche</w:t>
      </w:r>
      <w:bookmarkEnd w:id="23"/>
    </w:p>
    <w:p w14:paraId="40E64291" w14:textId="77777777" w:rsidR="00C005D5" w:rsidRPr="00C005D5" w:rsidRDefault="00C005D5" w:rsidP="00C005D5">
      <w:pPr>
        <w:spacing w:after="0" w:line="240" w:lineRule="auto"/>
        <w:rPr>
          <w:lang w:val="fr-FR"/>
        </w:rPr>
      </w:pPr>
    </w:p>
    <w:p w14:paraId="7C0C4682" w14:textId="77777777" w:rsidR="009672C2" w:rsidRPr="00FA123C" w:rsidRDefault="002A409C" w:rsidP="0092761A">
      <w:pPr>
        <w:spacing w:after="80" w:line="240" w:lineRule="auto"/>
        <w:jc w:val="both"/>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t xml:space="preserve">Ce rapport identifie les poissons migrateurs d'eau douce qui </w:t>
      </w:r>
    </w:p>
    <w:p w14:paraId="7DF9F33E" w14:textId="77777777" w:rsidR="009672C2" w:rsidRPr="00FA123C" w:rsidRDefault="002A409C" w:rsidP="0092761A">
      <w:pPr>
        <w:pStyle w:val="ListParagraph"/>
        <w:numPr>
          <w:ilvl w:val="0"/>
          <w:numId w:val="17"/>
        </w:numPr>
        <w:spacing w:after="80" w:line="240" w:lineRule="auto"/>
        <w:contextualSpacing w:val="0"/>
        <w:jc w:val="both"/>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t xml:space="preserve">effectuent des mouvements cycliques et prévisibles, </w:t>
      </w:r>
    </w:p>
    <w:p w14:paraId="78F581D6" w14:textId="77777777" w:rsidR="009672C2" w:rsidRPr="00FA123C" w:rsidRDefault="002A409C" w:rsidP="0092761A">
      <w:pPr>
        <w:pStyle w:val="ListParagraph"/>
        <w:numPr>
          <w:ilvl w:val="0"/>
          <w:numId w:val="17"/>
        </w:numPr>
        <w:spacing w:after="80" w:line="240" w:lineRule="auto"/>
        <w:contextualSpacing w:val="0"/>
        <w:jc w:val="both"/>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t xml:space="preserve">se produisent dans au moins deux pays au sein de cours d'eau intérieurs connectés, et </w:t>
      </w:r>
    </w:p>
    <w:p w14:paraId="7D82F9BB" w14:textId="77777777" w:rsidR="009672C2" w:rsidRDefault="002A409C" w:rsidP="00FA123C">
      <w:pPr>
        <w:pStyle w:val="ListParagraph"/>
        <w:numPr>
          <w:ilvl w:val="0"/>
          <w:numId w:val="17"/>
        </w:numPr>
        <w:spacing w:after="0" w:line="240" w:lineRule="auto"/>
        <w:contextualSpacing w:val="0"/>
        <w:jc w:val="both"/>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t>ont un état de conservation défavorable tel que défini par la CMS</w:t>
      </w:r>
      <w:r w:rsidRPr="00FA123C">
        <w:rPr>
          <w:rFonts w:ascii="Arial" w:hAnsi="Arial" w:cs="Arial"/>
          <w:color w:val="000000" w:themeColor="text1"/>
          <w:sz w:val="22"/>
          <w:lang w:val="fr-FR"/>
        </w:rPr>
        <w:t>–</w:t>
      </w:r>
      <w:r w:rsidRPr="00FA123C">
        <w:rPr>
          <w:rFonts w:ascii="Arial" w:eastAsia="Times New Roman" w:hAnsi="Arial" w:cs="Arial"/>
          <w:color w:val="000000" w:themeColor="text1"/>
          <w:sz w:val="22"/>
          <w:lang w:val="fr-FR"/>
        </w:rPr>
        <w:t xml:space="preserve"> c'est-à-dire qu'ils sont inscrits sur la liste rouge de l'UICN en tant que CR, EN, VU, NT, DD, NE ou LC, lorsque des sources crédibles indiquent un risque ou un déclin, ou si l'UICN détermine que la tendance est « à la baisse ». </w:t>
      </w:r>
    </w:p>
    <w:p w14:paraId="0DB9A558" w14:textId="77777777" w:rsidR="0092761A" w:rsidRPr="00FA123C" w:rsidRDefault="0092761A" w:rsidP="0092761A">
      <w:pPr>
        <w:pStyle w:val="ListParagraph"/>
        <w:spacing w:after="0" w:line="240" w:lineRule="auto"/>
        <w:ind w:left="1080"/>
        <w:contextualSpacing w:val="0"/>
        <w:jc w:val="both"/>
        <w:rPr>
          <w:rFonts w:ascii="Arial" w:eastAsia="Times New Roman" w:hAnsi="Arial" w:cs="Arial"/>
          <w:color w:val="000000" w:themeColor="text1"/>
          <w:sz w:val="22"/>
          <w:lang w:val="fr-FR"/>
        </w:rPr>
      </w:pPr>
    </w:p>
    <w:p w14:paraId="24B3790A" w14:textId="77777777" w:rsidR="009672C2" w:rsidRDefault="002A409C" w:rsidP="00FA123C">
      <w:pPr>
        <w:spacing w:after="0" w:line="240" w:lineRule="auto"/>
        <w:jc w:val="both"/>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t>Outre les données de l'IUCN sur les mouvements, l'évaluation intègre de multiples sources afin de fournir une base de preuves plus large sur le comportement migratoire. Pour garantir une confirmation spatiale à une échelle plus précise, les aires de répartition des espèces sont croisées avec les réseaux de drainage transfrontaliers à l'aide d'HydroRivers, avec un lissage des enregistrements ponctuels si nécessaire, afin de vérifier que les populations migratrices se trouvent dans des eaux intérieures interconnectées traversant les frontières nationales. L'éligibilité est alignée avec le concept de la CMS d'état de conservation « défavorable », en cohérence avec les catégories de l'UICN et l'extension aux espèces de « Préoccupation mineure » lorsque des sources crédibles, la littérature, des tendances ou des preuves d'experts indiquent un risque ou un déclin.</w:t>
      </w:r>
    </w:p>
    <w:p w14:paraId="3D437A25" w14:textId="77777777" w:rsidR="0092761A" w:rsidRPr="00FA123C" w:rsidRDefault="0092761A" w:rsidP="00FA123C">
      <w:pPr>
        <w:spacing w:after="0" w:line="240" w:lineRule="auto"/>
        <w:jc w:val="both"/>
        <w:rPr>
          <w:rFonts w:ascii="Arial" w:eastAsia="Times New Roman" w:hAnsi="Arial" w:cs="Arial"/>
          <w:color w:val="000000" w:themeColor="text1"/>
          <w:sz w:val="22"/>
          <w:lang w:val="fr-FR"/>
        </w:rPr>
      </w:pPr>
    </w:p>
    <w:p w14:paraId="14374316" w14:textId="77777777" w:rsidR="009672C2" w:rsidRDefault="002A409C" w:rsidP="00FA123C">
      <w:pPr>
        <w:spacing w:after="0" w:line="240" w:lineRule="auto"/>
        <w:jc w:val="both"/>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t>Les résultats sont présentés dans un format conforme à la CMS, organisé par espèce, groupe d'espèces, région et bassin fluvial, et soutenus par des études de cas ainsi que des options de coopération pour faciliter les propositions d'inscription et les instruments tels que les plans d'action ou les mémorandums d'entente (MdE). Le résultat est donc une liste consolidée d'espèces, destinée à la fois à la prise en considération pour l'inscription aux Annexes de la CMS et à la planification de mesures de conservation coopératives.</w:t>
      </w:r>
    </w:p>
    <w:p w14:paraId="1C557C64" w14:textId="77777777" w:rsidR="0092761A" w:rsidRPr="00FA123C" w:rsidRDefault="0092761A" w:rsidP="00FA123C">
      <w:pPr>
        <w:spacing w:after="0" w:line="240" w:lineRule="auto"/>
        <w:jc w:val="both"/>
        <w:rPr>
          <w:rFonts w:ascii="Arial" w:eastAsia="Times New Roman" w:hAnsi="Arial" w:cs="Arial"/>
          <w:color w:val="000000" w:themeColor="text1"/>
          <w:sz w:val="22"/>
          <w:lang w:val="fr-FR"/>
        </w:rPr>
      </w:pPr>
    </w:p>
    <w:p w14:paraId="735C9749" w14:textId="0F8D7EAB" w:rsidR="0092761A" w:rsidRPr="0092761A" w:rsidRDefault="002A409C" w:rsidP="0092761A">
      <w:pPr>
        <w:pStyle w:val="Heading2"/>
        <w:spacing w:before="0" w:line="240" w:lineRule="auto"/>
        <w:ind w:left="567" w:hanging="567"/>
        <w:rPr>
          <w:rFonts w:ascii="Arial" w:hAnsi="Arial" w:cs="Arial"/>
          <w:b w:val="0"/>
          <w:bCs w:val="0"/>
          <w:sz w:val="22"/>
          <w:szCs w:val="22"/>
          <w:lang w:val="fr-FR"/>
        </w:rPr>
      </w:pPr>
      <w:bookmarkStart w:id="24" w:name="_Toc214450256"/>
      <w:r w:rsidRPr="0092761A">
        <w:rPr>
          <w:rFonts w:ascii="Arial" w:hAnsi="Arial" w:cs="Arial"/>
          <w:b w:val="0"/>
          <w:bCs w:val="0"/>
          <w:sz w:val="22"/>
          <w:szCs w:val="22"/>
          <w:lang w:val="fr-FR"/>
        </w:rPr>
        <w:t xml:space="preserve">4.2 </w:t>
      </w:r>
      <w:r w:rsidR="0092761A">
        <w:rPr>
          <w:rFonts w:ascii="Arial" w:hAnsi="Arial" w:cs="Arial"/>
          <w:b w:val="0"/>
          <w:bCs w:val="0"/>
          <w:sz w:val="22"/>
          <w:szCs w:val="22"/>
          <w:lang w:val="fr-FR"/>
        </w:rPr>
        <w:tab/>
      </w:r>
      <w:r w:rsidRPr="0092761A">
        <w:rPr>
          <w:rFonts w:ascii="Arial" w:hAnsi="Arial" w:cs="Arial"/>
          <w:b w:val="0"/>
          <w:bCs w:val="0"/>
          <w:sz w:val="22"/>
          <w:szCs w:val="22"/>
          <w:lang w:val="fr-FR"/>
        </w:rPr>
        <w:t>Liste des sources et bases de données</w:t>
      </w:r>
      <w:bookmarkEnd w:id="24"/>
    </w:p>
    <w:p w14:paraId="08E12F7A" w14:textId="77777777" w:rsidR="0092761A" w:rsidRDefault="0092761A" w:rsidP="00FA123C">
      <w:pPr>
        <w:spacing w:after="0" w:line="240" w:lineRule="auto"/>
        <w:jc w:val="both"/>
        <w:rPr>
          <w:rFonts w:ascii="Arial" w:eastAsia="Times New Roman" w:hAnsi="Arial" w:cs="Arial"/>
          <w:color w:val="000000" w:themeColor="text1"/>
          <w:sz w:val="22"/>
          <w:lang w:val="fr-FR"/>
        </w:rPr>
      </w:pPr>
    </w:p>
    <w:p w14:paraId="79A89F7E" w14:textId="3071629F" w:rsidR="009672C2" w:rsidRPr="00FA123C" w:rsidRDefault="002A409C" w:rsidP="0092761A">
      <w:pPr>
        <w:spacing w:after="80" w:line="240" w:lineRule="auto"/>
        <w:jc w:val="both"/>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t>La liste initiale des poissons migrateurs d'eau douce utilisée ici a été fournie par Stoffers et al. (en préparation). Leur compilation repose sur huit bases de données et sur la littérature associée. Comme l'ont décrit Stoffers et ses collègues, les données comprennent les références suivantes :</w:t>
      </w:r>
    </w:p>
    <w:p w14:paraId="54FBAD24" w14:textId="77777777" w:rsidR="009672C2" w:rsidRPr="00FA123C" w:rsidRDefault="002A409C" w:rsidP="0092761A">
      <w:pPr>
        <w:numPr>
          <w:ilvl w:val="0"/>
          <w:numId w:val="7"/>
        </w:numPr>
        <w:spacing w:after="80" w:line="240" w:lineRule="auto"/>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t>Liste rouge de l'UICN (statut, menaces, tendance de la population)</w:t>
      </w:r>
    </w:p>
    <w:p w14:paraId="562E2E65" w14:textId="77777777" w:rsidR="009672C2" w:rsidRPr="00FA123C" w:rsidRDefault="002A409C" w:rsidP="0092761A">
      <w:pPr>
        <w:numPr>
          <w:ilvl w:val="0"/>
          <w:numId w:val="7"/>
        </w:numPr>
        <w:spacing w:after="80" w:line="240" w:lineRule="auto"/>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t>FishBase (répartition, biologie, remarques sur les mouvements)</w:t>
      </w:r>
    </w:p>
    <w:p w14:paraId="44B6BD3F" w14:textId="77777777" w:rsidR="009672C2" w:rsidRPr="00FA123C" w:rsidRDefault="002A409C" w:rsidP="0092761A">
      <w:pPr>
        <w:numPr>
          <w:ilvl w:val="0"/>
          <w:numId w:val="7"/>
        </w:numPr>
        <w:spacing w:after="80" w:line="240" w:lineRule="auto"/>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t>Registre mondial des espèces migratrices (GROMS)</w:t>
      </w:r>
    </w:p>
    <w:p w14:paraId="3186EA96" w14:textId="77777777" w:rsidR="009672C2" w:rsidRPr="00FA123C" w:rsidRDefault="002A409C" w:rsidP="0092761A">
      <w:pPr>
        <w:numPr>
          <w:ilvl w:val="0"/>
          <w:numId w:val="7"/>
        </w:numPr>
        <w:spacing w:after="80" w:line="240" w:lineRule="auto"/>
        <w:ind w:left="714" w:hanging="357"/>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lastRenderedPageBreak/>
        <w:t>Base de données sur les poissons migrateurs d'eau douce d'Amérique du Nord</w:t>
      </w:r>
    </w:p>
    <w:p w14:paraId="1FE24806" w14:textId="77777777" w:rsidR="009672C2" w:rsidRPr="00FA123C" w:rsidRDefault="002A409C" w:rsidP="0092761A">
      <w:pPr>
        <w:numPr>
          <w:ilvl w:val="0"/>
          <w:numId w:val="7"/>
        </w:numPr>
        <w:spacing w:after="80" w:line="240" w:lineRule="auto"/>
        <w:ind w:left="714" w:hanging="357"/>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t>Ressources de la Commission du Mékong sur les principales espèces migratrices</w:t>
      </w:r>
    </w:p>
    <w:p w14:paraId="46F1C540" w14:textId="77777777" w:rsidR="009672C2" w:rsidRPr="00FA123C" w:rsidRDefault="002A409C" w:rsidP="0092761A">
      <w:pPr>
        <w:numPr>
          <w:ilvl w:val="0"/>
          <w:numId w:val="7"/>
        </w:numPr>
        <w:spacing w:after="80" w:line="240" w:lineRule="auto"/>
        <w:ind w:left="714" w:hanging="357"/>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t>Documents de Trans-European Swimways / Wetlands International</w:t>
      </w:r>
    </w:p>
    <w:p w14:paraId="4429157F" w14:textId="77777777" w:rsidR="009672C2" w:rsidRPr="00FA123C" w:rsidRDefault="002A409C" w:rsidP="0092761A">
      <w:pPr>
        <w:numPr>
          <w:ilvl w:val="0"/>
          <w:numId w:val="7"/>
        </w:numPr>
        <w:spacing w:after="80" w:line="240" w:lineRule="auto"/>
        <w:ind w:left="714" w:hanging="357"/>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t>Éco-classification des rivières en Afrique du Sud</w:t>
      </w:r>
    </w:p>
    <w:p w14:paraId="772A7C87" w14:textId="77777777" w:rsidR="009672C2" w:rsidRDefault="002A409C" w:rsidP="00FA123C">
      <w:pPr>
        <w:numPr>
          <w:ilvl w:val="0"/>
          <w:numId w:val="7"/>
        </w:numPr>
        <w:spacing w:after="0" w:line="240" w:lineRule="auto"/>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t>Base de données sur les poissons d'eau douce de Nouvelle-Zélande</w:t>
      </w:r>
    </w:p>
    <w:p w14:paraId="3880E392" w14:textId="77777777" w:rsidR="0092761A" w:rsidRPr="00FA123C" w:rsidRDefault="0092761A" w:rsidP="0092761A">
      <w:pPr>
        <w:spacing w:after="0" w:line="240" w:lineRule="auto"/>
        <w:ind w:left="720"/>
        <w:rPr>
          <w:rFonts w:ascii="Arial" w:eastAsia="Times New Roman" w:hAnsi="Arial" w:cs="Arial"/>
          <w:color w:val="000000" w:themeColor="text1"/>
          <w:sz w:val="22"/>
          <w:lang w:val="fr-FR"/>
        </w:rPr>
      </w:pPr>
    </w:p>
    <w:p w14:paraId="33F84D9E" w14:textId="77777777" w:rsidR="009672C2" w:rsidRDefault="002A409C" w:rsidP="00FA123C">
      <w:pPr>
        <w:spacing w:after="0" w:line="240" w:lineRule="auto"/>
        <w:jc w:val="both"/>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t>Des études récentes évaluées par des pairs ont également été consultées (par exemple, Herrera-R. et al., 2023 ; Ngor et al., 2018 ; Yang et al., 2024 ; Zapata &amp; Usma, 2013) et l'avis d'experts pour vérifier les preuves de migration, la taxonomie et la répartition.</w:t>
      </w:r>
    </w:p>
    <w:p w14:paraId="7F56E03C" w14:textId="77777777" w:rsidR="0092761A" w:rsidRPr="00FA123C" w:rsidRDefault="0092761A" w:rsidP="00FA123C">
      <w:pPr>
        <w:spacing w:after="0" w:line="240" w:lineRule="auto"/>
        <w:jc w:val="both"/>
        <w:rPr>
          <w:rFonts w:ascii="Arial" w:eastAsia="Times New Roman" w:hAnsi="Arial" w:cs="Arial"/>
          <w:color w:val="000000" w:themeColor="text1"/>
          <w:sz w:val="22"/>
          <w:lang w:val="fr-FR"/>
        </w:rPr>
      </w:pPr>
    </w:p>
    <w:p w14:paraId="57C66291" w14:textId="77777777" w:rsidR="009672C2" w:rsidRPr="00FA123C" w:rsidRDefault="002A409C" w:rsidP="00FA123C">
      <w:pPr>
        <w:spacing w:after="0" w:line="240" w:lineRule="auto"/>
        <w:jc w:val="both"/>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t>S'appuyant sur la liste de Stoffers et al., ce rapport a appliqué les critères d'inclusion axés sur la CMS (occurrence transfrontalière et état défavorable, comme décrit ci-dessus) et a compilé les champs nécessaires par espèce pour l'utilisation de la CMS (taxonomie, type de migration, pays d'occurrence, catégorie et tendance selon l'UICN, ainsi que les principales menaces).</w:t>
      </w:r>
    </w:p>
    <w:p w14:paraId="75342DA8" w14:textId="77777777" w:rsidR="0092761A" w:rsidRDefault="0092761A" w:rsidP="00FA123C">
      <w:pPr>
        <w:pStyle w:val="NoSpacing"/>
        <w:rPr>
          <w:rStyle w:val="Heading2Char"/>
          <w:rFonts w:ascii="Arial" w:hAnsi="Arial" w:cs="Arial"/>
          <w:sz w:val="22"/>
          <w:szCs w:val="22"/>
          <w:lang w:val="fr-FR"/>
        </w:rPr>
      </w:pPr>
    </w:p>
    <w:p w14:paraId="70C0290B" w14:textId="62EEDC0D" w:rsidR="009672C2" w:rsidRPr="0092761A" w:rsidRDefault="002A409C" w:rsidP="0092761A">
      <w:pPr>
        <w:pStyle w:val="NoSpacing"/>
        <w:ind w:left="567" w:hanging="567"/>
        <w:rPr>
          <w:rStyle w:val="Heading2Char"/>
          <w:rFonts w:ascii="Arial" w:hAnsi="Arial" w:cs="Arial"/>
          <w:b w:val="0"/>
          <w:bCs w:val="0"/>
          <w:sz w:val="22"/>
          <w:szCs w:val="22"/>
          <w:lang w:val="fr-FR"/>
        </w:rPr>
      </w:pPr>
      <w:bookmarkStart w:id="25" w:name="_Toc214450257"/>
      <w:r w:rsidRPr="0092761A">
        <w:rPr>
          <w:rStyle w:val="Heading2Char"/>
          <w:rFonts w:ascii="Arial" w:hAnsi="Arial" w:cs="Arial"/>
          <w:b w:val="0"/>
          <w:bCs w:val="0"/>
          <w:sz w:val="22"/>
          <w:szCs w:val="22"/>
          <w:lang w:val="fr-FR"/>
        </w:rPr>
        <w:t xml:space="preserve">4.3 </w:t>
      </w:r>
      <w:r w:rsidR="0092761A">
        <w:rPr>
          <w:rStyle w:val="Heading2Char"/>
          <w:rFonts w:ascii="Arial" w:hAnsi="Arial" w:cs="Arial"/>
          <w:b w:val="0"/>
          <w:bCs w:val="0"/>
          <w:sz w:val="22"/>
          <w:szCs w:val="22"/>
          <w:lang w:val="fr-FR"/>
        </w:rPr>
        <w:tab/>
      </w:r>
      <w:r w:rsidRPr="0092761A">
        <w:rPr>
          <w:rStyle w:val="Heading2Char"/>
          <w:rFonts w:ascii="Arial" w:hAnsi="Arial" w:cs="Arial"/>
          <w:b w:val="0"/>
          <w:bCs w:val="0"/>
          <w:sz w:val="22"/>
          <w:szCs w:val="22"/>
          <w:lang w:val="fr-FR"/>
        </w:rPr>
        <w:t>Définir les critères</w:t>
      </w:r>
      <w:bookmarkEnd w:id="25"/>
    </w:p>
    <w:p w14:paraId="1D986F18" w14:textId="77777777" w:rsidR="0092761A" w:rsidRDefault="0092761A" w:rsidP="00FA123C">
      <w:pPr>
        <w:pStyle w:val="NoSpacing"/>
        <w:jc w:val="both"/>
        <w:rPr>
          <w:rFonts w:ascii="Arial" w:hAnsi="Arial" w:cs="Arial"/>
          <w:color w:val="000000" w:themeColor="text1"/>
          <w:sz w:val="22"/>
          <w:lang w:val="fr-FR"/>
        </w:rPr>
      </w:pPr>
    </w:p>
    <w:p w14:paraId="16F37912" w14:textId="368814F3" w:rsidR="009672C2" w:rsidRPr="00FA123C" w:rsidRDefault="002A409C" w:rsidP="00FA123C">
      <w:pPr>
        <w:pStyle w:val="NoSpacing"/>
        <w:jc w:val="both"/>
        <w:rPr>
          <w:rFonts w:ascii="Arial" w:hAnsi="Arial" w:cs="Arial"/>
          <w:i/>
          <w:iCs/>
          <w:color w:val="000000" w:themeColor="text1"/>
          <w:sz w:val="22"/>
          <w:lang w:val="fr-FR"/>
        </w:rPr>
      </w:pPr>
      <w:r w:rsidRPr="00FA123C">
        <w:rPr>
          <w:rFonts w:ascii="Arial" w:hAnsi="Arial" w:cs="Arial"/>
          <w:i/>
          <w:iCs/>
          <w:color w:val="000000" w:themeColor="text1"/>
          <w:sz w:val="22"/>
          <w:lang w:val="fr-FR"/>
        </w:rPr>
        <w:t>Espèces migratrices selon la CMS</w:t>
      </w:r>
    </w:p>
    <w:p w14:paraId="15785493" w14:textId="6DC87E37" w:rsidR="009672C2" w:rsidRPr="00FA123C" w:rsidRDefault="002A409C" w:rsidP="00FA123C">
      <w:pPr>
        <w:pStyle w:val="NoSpacing"/>
        <w:jc w:val="both"/>
        <w:rPr>
          <w:rFonts w:ascii="Arial" w:hAnsi="Arial" w:cs="Arial"/>
          <w:sz w:val="22"/>
          <w:lang w:val="fr-FR"/>
        </w:rPr>
      </w:pPr>
      <w:r w:rsidRPr="00FA123C">
        <w:rPr>
          <w:rFonts w:ascii="Arial" w:hAnsi="Arial" w:cs="Arial"/>
          <w:color w:val="000000" w:themeColor="text1"/>
          <w:sz w:val="22"/>
          <w:lang w:val="fr-FR"/>
        </w:rPr>
        <w:t>Depuis 2011, la disponibilité et la résolution des informations sur les poissons migrateurs d'eau douce ont considérablement augmenté. Néanmoins, déterminer si une espèce peut être considérée comme un poisson migrateur au sens de la CMS reste un défi en raison du manque de données spatiales et de la présence de populations multiples - certaines traversant des frontières internationales et d'autres restant dans un seul pays (Coates et al. 2000). Ces problèmes ne sont pas propres aux poissons et peuvent être résolus en combinant plusieurs sources de preuves et en coordonnant le partage d'informations entre les différentes juridictions. Les preuves utilisées dans cette évaluation incluent des études publiées sur les déplacements, la surveillance et les inventaires des bassins, des données de télémétrie et de marquage-recapture, des analyses d'otolithes et génétiques, ainsi que des connaissances locales soigneusement documentées, afin d'identifier les populations qui effectuent régulièrement des déplacements transfrontaliers.</w:t>
      </w:r>
    </w:p>
    <w:p w14:paraId="4451453F" w14:textId="77777777" w:rsidR="009672C2" w:rsidRPr="00FA123C" w:rsidRDefault="009672C2" w:rsidP="00FA123C">
      <w:pPr>
        <w:spacing w:after="0" w:line="240" w:lineRule="auto"/>
        <w:rPr>
          <w:rFonts w:ascii="Arial" w:hAnsi="Arial" w:cs="Arial"/>
          <w:i/>
          <w:iCs/>
          <w:sz w:val="22"/>
          <w:lang w:val="fr-FR"/>
        </w:rPr>
      </w:pPr>
    </w:p>
    <w:p w14:paraId="6417CBC3" w14:textId="77777777" w:rsidR="00F04F23" w:rsidRDefault="002A409C" w:rsidP="0092761A">
      <w:pPr>
        <w:spacing w:after="0" w:line="240" w:lineRule="auto"/>
        <w:jc w:val="both"/>
        <w:rPr>
          <w:rFonts w:ascii="Arial" w:hAnsi="Arial" w:cs="Arial"/>
          <w:i/>
          <w:iCs/>
          <w:sz w:val="22"/>
          <w:lang w:val="fr-FR"/>
        </w:rPr>
      </w:pPr>
      <w:r w:rsidRPr="00FA123C">
        <w:rPr>
          <w:rFonts w:ascii="Arial" w:hAnsi="Arial" w:cs="Arial"/>
          <w:i/>
          <w:iCs/>
          <w:sz w:val="22"/>
          <w:lang w:val="fr-FR"/>
        </w:rPr>
        <w:t xml:space="preserve">Présence transfrontalière </w:t>
      </w:r>
    </w:p>
    <w:p w14:paraId="7CDA646A" w14:textId="259BC66B" w:rsidR="009672C2" w:rsidRPr="00FA123C" w:rsidRDefault="002A409C" w:rsidP="0092761A">
      <w:pPr>
        <w:spacing w:after="0" w:line="240" w:lineRule="auto"/>
        <w:jc w:val="both"/>
        <w:rPr>
          <w:rFonts w:ascii="Arial" w:hAnsi="Arial" w:cs="Arial"/>
          <w:i/>
          <w:iCs/>
          <w:sz w:val="22"/>
          <w:lang w:val="fr-FR"/>
        </w:rPr>
      </w:pPr>
      <w:r w:rsidRPr="00FA123C">
        <w:rPr>
          <w:rFonts w:ascii="Arial" w:eastAsia="Times New Roman" w:hAnsi="Arial" w:cs="Arial"/>
          <w:color w:val="000000" w:themeColor="text1"/>
          <w:sz w:val="22"/>
          <w:lang w:val="fr-FR"/>
        </w:rPr>
        <w:t>Une espèce est considérée comme transfrontalière lorsque des sources fiables indiquent que son aire de répartition dans les eaux intérieures s'étend sur au moins deux pays et que les populations peuvent se déplacer dans des rivières ou des lacs connectés de part et d'autre de ces frontières. Pour les espèces diadromes, les déplacements marins ont été pris en considération lorsqu'ils entraînent la création de stocks intérieurs partagés entre les Parties.</w:t>
      </w:r>
    </w:p>
    <w:p w14:paraId="39B061F4" w14:textId="77777777" w:rsidR="0092761A" w:rsidRDefault="0092761A" w:rsidP="00FA123C">
      <w:pPr>
        <w:spacing w:after="0" w:line="240" w:lineRule="auto"/>
        <w:rPr>
          <w:rFonts w:ascii="Arial" w:hAnsi="Arial" w:cs="Arial"/>
          <w:i/>
          <w:iCs/>
          <w:sz w:val="22"/>
          <w:lang w:val="fr-FR"/>
        </w:rPr>
      </w:pPr>
    </w:p>
    <w:p w14:paraId="614B313D" w14:textId="6E5E7B62" w:rsidR="009672C2" w:rsidRPr="00FA123C" w:rsidRDefault="002A409C" w:rsidP="00FA123C">
      <w:pPr>
        <w:spacing w:after="0" w:line="240" w:lineRule="auto"/>
        <w:rPr>
          <w:rFonts w:ascii="Arial" w:eastAsia="Times New Roman" w:hAnsi="Arial" w:cs="Arial"/>
          <w:color w:val="000000" w:themeColor="text1"/>
          <w:sz w:val="22"/>
          <w:lang w:val="fr-FR"/>
        </w:rPr>
      </w:pPr>
      <w:r w:rsidRPr="00FA123C">
        <w:rPr>
          <w:rFonts w:ascii="Arial" w:hAnsi="Arial" w:cs="Arial"/>
          <w:i/>
          <w:iCs/>
          <w:sz w:val="22"/>
          <w:lang w:val="fr-FR"/>
        </w:rPr>
        <w:t>État de conservation défavorable</w:t>
      </w:r>
    </w:p>
    <w:p w14:paraId="1CACDF62" w14:textId="77777777" w:rsidR="009672C2" w:rsidRPr="00FA123C" w:rsidRDefault="002A409C" w:rsidP="00FA123C">
      <w:pPr>
        <w:spacing w:after="0" w:line="240" w:lineRule="auto"/>
        <w:jc w:val="both"/>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t>Interprétation guidée de l'Article 1 de la CMS Pour l'application pratique de cette évaluation, les espèces ont été incluses lorsque la catégorie de l'UICN était CR, EN, VU ou NT ; ou lorsque la catégorie était DD ou NE et qu'il existe des preuves publiées ou des avis d'experts indiquant un déclin, une fragmentation ou des menaces significatives ; ou lorsque l'UICN détermine que la tendance est « à la baisse ». Les espèces inscrites comme LC, avec des tendances stables ou à la hausse, ont été exclues.</w:t>
      </w:r>
    </w:p>
    <w:p w14:paraId="2E4E7596" w14:textId="0EA0D072" w:rsidR="005A396C" w:rsidRDefault="005A396C" w:rsidP="00FA123C">
      <w:pPr>
        <w:pStyle w:val="Heading2"/>
        <w:spacing w:before="0" w:line="240" w:lineRule="auto"/>
        <w:rPr>
          <w:rFonts w:ascii="Arial" w:hAnsi="Arial" w:cs="Arial"/>
          <w:sz w:val="22"/>
          <w:szCs w:val="22"/>
          <w:lang w:val="fr-FR"/>
        </w:rPr>
      </w:pPr>
      <w:r>
        <w:rPr>
          <w:rFonts w:ascii="Arial" w:hAnsi="Arial" w:cs="Arial"/>
          <w:sz w:val="22"/>
          <w:szCs w:val="22"/>
          <w:lang w:val="fr-FR"/>
        </w:rPr>
        <w:br w:type="page"/>
      </w:r>
    </w:p>
    <w:p w14:paraId="2F026D7F" w14:textId="5671D9AD" w:rsidR="009672C2" w:rsidRPr="005A396C" w:rsidRDefault="002A409C" w:rsidP="005A396C">
      <w:pPr>
        <w:pStyle w:val="Heading2"/>
        <w:spacing w:before="0" w:line="240" w:lineRule="auto"/>
        <w:ind w:left="567" w:hanging="567"/>
        <w:rPr>
          <w:rFonts w:ascii="Arial" w:hAnsi="Arial" w:cs="Arial"/>
          <w:b w:val="0"/>
          <w:bCs w:val="0"/>
          <w:sz w:val="22"/>
          <w:szCs w:val="22"/>
          <w:lang w:val="fr-FR"/>
        </w:rPr>
      </w:pPr>
      <w:bookmarkStart w:id="26" w:name="_Toc214450258"/>
      <w:r w:rsidRPr="005A396C">
        <w:rPr>
          <w:rFonts w:ascii="Arial" w:hAnsi="Arial" w:cs="Arial"/>
          <w:b w:val="0"/>
          <w:bCs w:val="0"/>
          <w:sz w:val="22"/>
          <w:szCs w:val="22"/>
          <w:lang w:val="fr-FR"/>
        </w:rPr>
        <w:lastRenderedPageBreak/>
        <w:t xml:space="preserve">4.4 </w:t>
      </w:r>
      <w:r w:rsidR="005A396C">
        <w:rPr>
          <w:rFonts w:ascii="Arial" w:hAnsi="Arial" w:cs="Arial"/>
          <w:b w:val="0"/>
          <w:bCs w:val="0"/>
          <w:sz w:val="22"/>
          <w:szCs w:val="22"/>
          <w:lang w:val="fr-FR"/>
        </w:rPr>
        <w:tab/>
      </w:r>
      <w:r w:rsidRPr="005A396C">
        <w:rPr>
          <w:rFonts w:ascii="Arial" w:hAnsi="Arial" w:cs="Arial"/>
          <w:b w:val="0"/>
          <w:bCs w:val="0"/>
          <w:sz w:val="22"/>
          <w:szCs w:val="22"/>
          <w:lang w:val="fr-FR"/>
        </w:rPr>
        <w:t>Compilation de la liste des candidats à la CMS</w:t>
      </w:r>
      <w:bookmarkEnd w:id="26"/>
    </w:p>
    <w:p w14:paraId="1FEB0FD1" w14:textId="77777777" w:rsidR="005A396C" w:rsidRDefault="005A396C" w:rsidP="00FA123C">
      <w:pPr>
        <w:spacing w:after="0" w:line="240" w:lineRule="auto"/>
        <w:jc w:val="both"/>
        <w:rPr>
          <w:rFonts w:ascii="Arial" w:eastAsia="Times New Roman" w:hAnsi="Arial" w:cs="Arial"/>
          <w:color w:val="000000" w:themeColor="text1"/>
          <w:sz w:val="22"/>
          <w:lang w:val="fr-FR"/>
        </w:rPr>
      </w:pPr>
    </w:p>
    <w:p w14:paraId="0B2F7223" w14:textId="3E28023F" w:rsidR="009672C2" w:rsidRPr="00FA123C" w:rsidRDefault="002A409C" w:rsidP="00FA123C">
      <w:pPr>
        <w:spacing w:after="0" w:line="240" w:lineRule="auto"/>
        <w:jc w:val="both"/>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t>Pour chaque espèce candidate, l'ensemble de données enregistre le nom scientifique et la taxonomie supérieure, le type de migration (potamodrome, anadrome, catadrome, amphidrome lorsqu'il est connu), les pays transfrontaliers, la catégorie et la tendance globales les plus récentes de l'UICN, ainsi que les principales menaces pertinentes pour les instruments de la CMS (connectivité, flux environnementaux, pêche, pollution, espèces invasives). Les synonymes ont été harmonisés avec l'usage actuel.</w:t>
      </w:r>
    </w:p>
    <w:p w14:paraId="5153CCBB" w14:textId="77777777" w:rsidR="005A396C" w:rsidRDefault="005A396C" w:rsidP="00FA123C">
      <w:pPr>
        <w:pStyle w:val="Heading2"/>
        <w:spacing w:before="0" w:line="240" w:lineRule="auto"/>
        <w:rPr>
          <w:rFonts w:ascii="Arial" w:hAnsi="Arial" w:cs="Arial"/>
          <w:sz w:val="22"/>
          <w:szCs w:val="22"/>
          <w:lang w:val="fr-FR"/>
        </w:rPr>
      </w:pPr>
    </w:p>
    <w:p w14:paraId="363A69C1" w14:textId="203F006B" w:rsidR="009672C2" w:rsidRPr="005A396C" w:rsidRDefault="002A409C" w:rsidP="005A396C">
      <w:pPr>
        <w:pStyle w:val="Heading2"/>
        <w:spacing w:before="0" w:line="240" w:lineRule="auto"/>
        <w:ind w:left="567" w:hanging="567"/>
        <w:rPr>
          <w:rFonts w:ascii="Arial" w:hAnsi="Arial" w:cs="Arial"/>
          <w:b w:val="0"/>
          <w:bCs w:val="0"/>
          <w:sz w:val="22"/>
          <w:szCs w:val="22"/>
          <w:lang w:val="fr-FR"/>
        </w:rPr>
      </w:pPr>
      <w:bookmarkStart w:id="27" w:name="_Toc214450259"/>
      <w:r w:rsidRPr="005A396C">
        <w:rPr>
          <w:rFonts w:ascii="Arial" w:hAnsi="Arial" w:cs="Arial"/>
          <w:b w:val="0"/>
          <w:bCs w:val="0"/>
          <w:sz w:val="22"/>
          <w:szCs w:val="22"/>
          <w:lang w:val="fr-FR"/>
        </w:rPr>
        <w:t xml:space="preserve">4.5 </w:t>
      </w:r>
      <w:r w:rsidR="005A396C">
        <w:rPr>
          <w:rFonts w:ascii="Arial" w:hAnsi="Arial" w:cs="Arial"/>
          <w:b w:val="0"/>
          <w:bCs w:val="0"/>
          <w:sz w:val="22"/>
          <w:szCs w:val="22"/>
          <w:lang w:val="fr-FR"/>
        </w:rPr>
        <w:tab/>
      </w:r>
      <w:r w:rsidRPr="005A396C">
        <w:rPr>
          <w:rFonts w:ascii="Arial" w:hAnsi="Arial" w:cs="Arial"/>
          <w:b w:val="0"/>
          <w:bCs w:val="0"/>
          <w:sz w:val="22"/>
          <w:szCs w:val="22"/>
          <w:lang w:val="fr-FR"/>
        </w:rPr>
        <w:t>Étude de cas sur le bassin amazonien</w:t>
      </w:r>
      <w:bookmarkEnd w:id="27"/>
    </w:p>
    <w:p w14:paraId="123EB56C" w14:textId="77777777" w:rsidR="005A396C" w:rsidRDefault="005A396C" w:rsidP="00FA123C">
      <w:pPr>
        <w:spacing w:after="0" w:line="240" w:lineRule="auto"/>
        <w:jc w:val="both"/>
        <w:rPr>
          <w:rFonts w:ascii="Arial" w:eastAsia="Times New Roman" w:hAnsi="Arial" w:cs="Arial"/>
          <w:color w:val="000000" w:themeColor="text1"/>
          <w:sz w:val="22"/>
          <w:lang w:val="fr-FR"/>
        </w:rPr>
      </w:pPr>
    </w:p>
    <w:p w14:paraId="79F7DE10" w14:textId="4CF29B5A" w:rsidR="009672C2" w:rsidRPr="00FA123C" w:rsidRDefault="002A409C" w:rsidP="00FA123C">
      <w:pPr>
        <w:spacing w:after="0" w:line="240" w:lineRule="auto"/>
        <w:jc w:val="both"/>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t>Compte tenu de la prévalence des migrations à longue distance et des stocks partagés dans l'Amazone, une évaluation ciblée a affiné la liste mondiale en utilisant la littérature spécifique au bassin pour la période 2021-2025 et une consultation structurée d'experts. Cela a permis d'obtenir un ensemble plus complet de candidats à l'Amazone qui reste conforme aux critères de la CMS. Une synthèse de l'étude de cas est exposée au chapitre 6.</w:t>
      </w:r>
    </w:p>
    <w:p w14:paraId="77568328" w14:textId="77777777" w:rsidR="005A396C" w:rsidRDefault="005A396C" w:rsidP="00FA123C">
      <w:pPr>
        <w:pStyle w:val="Heading2"/>
        <w:spacing w:before="0" w:line="240" w:lineRule="auto"/>
        <w:rPr>
          <w:rFonts w:ascii="Arial" w:hAnsi="Arial" w:cs="Arial"/>
          <w:sz w:val="22"/>
          <w:szCs w:val="22"/>
          <w:lang w:val="fr-FR"/>
        </w:rPr>
      </w:pPr>
    </w:p>
    <w:p w14:paraId="0B7B2651" w14:textId="5C2EB426" w:rsidR="005A396C" w:rsidRPr="005A396C" w:rsidRDefault="002A409C" w:rsidP="005A396C">
      <w:pPr>
        <w:pStyle w:val="Heading2"/>
        <w:spacing w:before="0" w:line="240" w:lineRule="auto"/>
        <w:ind w:left="567" w:hanging="567"/>
        <w:rPr>
          <w:rFonts w:ascii="Arial" w:hAnsi="Arial" w:cs="Arial"/>
          <w:b w:val="0"/>
          <w:bCs w:val="0"/>
          <w:sz w:val="22"/>
          <w:szCs w:val="22"/>
          <w:lang w:val="fr-FR"/>
        </w:rPr>
      </w:pPr>
      <w:bookmarkStart w:id="28" w:name="_Toc214450260"/>
      <w:r w:rsidRPr="005A396C">
        <w:rPr>
          <w:rFonts w:ascii="Arial" w:hAnsi="Arial" w:cs="Arial"/>
          <w:b w:val="0"/>
          <w:bCs w:val="0"/>
          <w:sz w:val="22"/>
          <w:szCs w:val="22"/>
          <w:lang w:val="fr-FR"/>
        </w:rPr>
        <w:t xml:space="preserve">4.6 </w:t>
      </w:r>
      <w:r w:rsidR="005A396C">
        <w:rPr>
          <w:rFonts w:ascii="Arial" w:hAnsi="Arial" w:cs="Arial"/>
          <w:b w:val="0"/>
          <w:bCs w:val="0"/>
          <w:sz w:val="22"/>
          <w:szCs w:val="22"/>
          <w:lang w:val="fr-FR"/>
        </w:rPr>
        <w:tab/>
      </w:r>
      <w:r w:rsidRPr="005A396C">
        <w:rPr>
          <w:rFonts w:ascii="Arial" w:hAnsi="Arial" w:cs="Arial"/>
          <w:b w:val="0"/>
          <w:bCs w:val="0"/>
          <w:sz w:val="22"/>
          <w:szCs w:val="22"/>
          <w:lang w:val="fr-FR"/>
        </w:rPr>
        <w:t>Utilisation dans le cadre de la CMS</w:t>
      </w:r>
      <w:bookmarkEnd w:id="28"/>
    </w:p>
    <w:p w14:paraId="5DA829D9" w14:textId="77777777" w:rsidR="005A396C" w:rsidRDefault="005A396C" w:rsidP="00FA123C">
      <w:pPr>
        <w:spacing w:after="0" w:line="240" w:lineRule="auto"/>
        <w:jc w:val="both"/>
        <w:rPr>
          <w:rFonts w:ascii="Arial" w:eastAsia="Times New Roman" w:hAnsi="Arial" w:cs="Arial"/>
          <w:color w:val="000000" w:themeColor="text1"/>
          <w:sz w:val="22"/>
          <w:lang w:val="fr-FR"/>
        </w:rPr>
      </w:pPr>
    </w:p>
    <w:p w14:paraId="1AAF0569" w14:textId="06C20E38" w:rsidR="009672C2" w:rsidRDefault="002A409C" w:rsidP="00FA123C">
      <w:pPr>
        <w:spacing w:after="0" w:line="240" w:lineRule="auto"/>
        <w:jc w:val="both"/>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t>La base de données finale est une liste de poissons migrateurs d'eau douce qui sont transfrontaliers et dont l'état est défavorable, organisée pour une application directe de la CMS (Annexe A). Elle est conçue pour soutenir les propositions visant à modifier les annexes, les actions concertées et les instruments de coopération tels que les plans d'action ou les mémorandums d'entente.</w:t>
      </w:r>
    </w:p>
    <w:p w14:paraId="7DCEA48C" w14:textId="77777777" w:rsidR="005A396C" w:rsidRPr="00FA123C" w:rsidRDefault="005A396C" w:rsidP="00FA123C">
      <w:pPr>
        <w:spacing w:after="0" w:line="240" w:lineRule="auto"/>
        <w:jc w:val="both"/>
        <w:rPr>
          <w:rFonts w:ascii="Arial" w:eastAsia="Times New Roman" w:hAnsi="Arial" w:cs="Arial"/>
          <w:color w:val="000000" w:themeColor="text1"/>
          <w:sz w:val="22"/>
          <w:lang w:val="fr-FR"/>
        </w:rPr>
      </w:pPr>
    </w:p>
    <w:p w14:paraId="476F4F3B" w14:textId="3E505B7F" w:rsidR="009672C2" w:rsidRPr="005A396C" w:rsidRDefault="002A409C" w:rsidP="005A396C">
      <w:pPr>
        <w:pStyle w:val="Heading2"/>
        <w:spacing w:before="0" w:line="240" w:lineRule="auto"/>
        <w:ind w:left="567" w:hanging="567"/>
        <w:rPr>
          <w:rFonts w:ascii="Arial" w:hAnsi="Arial" w:cs="Arial"/>
          <w:b w:val="0"/>
          <w:bCs w:val="0"/>
          <w:sz w:val="22"/>
          <w:szCs w:val="22"/>
          <w:lang w:val="fr-FR"/>
        </w:rPr>
      </w:pPr>
      <w:bookmarkStart w:id="29" w:name="_Toc214450261"/>
      <w:r w:rsidRPr="005A396C">
        <w:rPr>
          <w:rFonts w:ascii="Arial" w:hAnsi="Arial" w:cs="Arial"/>
          <w:b w:val="0"/>
          <w:bCs w:val="0"/>
          <w:sz w:val="22"/>
          <w:szCs w:val="22"/>
          <w:lang w:val="fr-FR"/>
        </w:rPr>
        <w:t xml:space="preserve">4.7 </w:t>
      </w:r>
      <w:r w:rsidR="005A396C">
        <w:rPr>
          <w:rFonts w:ascii="Arial" w:hAnsi="Arial" w:cs="Arial"/>
          <w:b w:val="0"/>
          <w:bCs w:val="0"/>
          <w:sz w:val="22"/>
          <w:szCs w:val="22"/>
          <w:lang w:val="fr-FR"/>
        </w:rPr>
        <w:tab/>
      </w:r>
      <w:r w:rsidRPr="005A396C">
        <w:rPr>
          <w:rFonts w:ascii="Arial" w:hAnsi="Arial" w:cs="Arial"/>
          <w:b w:val="0"/>
          <w:bCs w:val="0"/>
          <w:sz w:val="22"/>
          <w:szCs w:val="22"/>
          <w:lang w:val="fr-FR"/>
        </w:rPr>
        <w:t>Hypothèses et limitations</w:t>
      </w:r>
      <w:bookmarkEnd w:id="29"/>
    </w:p>
    <w:p w14:paraId="35049EAA" w14:textId="77777777" w:rsidR="005A396C" w:rsidRDefault="005A396C" w:rsidP="00FA123C">
      <w:pPr>
        <w:spacing w:after="0" w:line="240" w:lineRule="auto"/>
        <w:jc w:val="both"/>
        <w:rPr>
          <w:rFonts w:ascii="Arial" w:eastAsia="Times New Roman" w:hAnsi="Arial" w:cs="Arial"/>
          <w:color w:val="000000" w:themeColor="text1"/>
          <w:sz w:val="22"/>
          <w:lang w:val="fr-FR"/>
        </w:rPr>
      </w:pPr>
    </w:p>
    <w:p w14:paraId="143F6C38" w14:textId="7B8B95F4" w:rsidR="009672C2" w:rsidRDefault="002A409C" w:rsidP="00FA123C">
      <w:pPr>
        <w:spacing w:after="0" w:line="240" w:lineRule="auto"/>
        <w:jc w:val="both"/>
        <w:rPr>
          <w:rFonts w:ascii="Arial" w:eastAsia="Times New Roman" w:hAnsi="Arial" w:cs="Arial"/>
          <w:color w:val="000000" w:themeColor="text1"/>
          <w:sz w:val="22"/>
          <w:lang w:val="fr-FR"/>
        </w:rPr>
      </w:pPr>
      <w:r w:rsidRPr="00FA123C">
        <w:rPr>
          <w:rFonts w:ascii="Arial" w:eastAsia="Times New Roman" w:hAnsi="Arial" w:cs="Arial"/>
          <w:color w:val="000000" w:themeColor="text1"/>
          <w:sz w:val="22"/>
          <w:lang w:val="fr-FR"/>
        </w:rPr>
        <w:t>Les données sont inégales entre les régions et les taxons. De nombreuses espèces n'ont pas fait l'objet d'études formelles sur leurs déplacements ni d'évaluations récentes. L'inclusion des espèces DD et NE nécessite des preuves corroborantes du risque. Les déterminations transfrontalières reposent sur les meilleures informations disponibles en matière de répartition et de connectivité documentée ; les futures mises à jour devraient intégrer de nouvelles recherches (par exemple, télémétrie, génétique, ensembles de données normalisées sur l'aire de répartition) et les réévaluations de la liste rouge de l'UICN au fur et à mesure qu'elles sont disponibles.</w:t>
      </w:r>
    </w:p>
    <w:p w14:paraId="0F91A355" w14:textId="77777777" w:rsidR="005A396C" w:rsidRPr="00FA123C" w:rsidRDefault="005A396C" w:rsidP="00FA123C">
      <w:pPr>
        <w:spacing w:after="0" w:line="240" w:lineRule="auto"/>
        <w:jc w:val="both"/>
        <w:rPr>
          <w:rFonts w:ascii="Arial" w:eastAsia="Times New Roman" w:hAnsi="Arial" w:cs="Arial"/>
          <w:color w:val="000000" w:themeColor="text1"/>
          <w:sz w:val="22"/>
          <w:lang w:val="fr-FR"/>
        </w:rPr>
      </w:pPr>
    </w:p>
    <w:p w14:paraId="60275564" w14:textId="24819BFC" w:rsidR="009672C2" w:rsidRPr="005A396C" w:rsidRDefault="005A396C" w:rsidP="005A396C">
      <w:pPr>
        <w:pStyle w:val="Heading1"/>
        <w:spacing w:before="0" w:line="240" w:lineRule="auto"/>
        <w:ind w:left="567" w:hanging="567"/>
        <w:rPr>
          <w:rFonts w:ascii="Arial" w:hAnsi="Arial" w:cs="Arial"/>
          <w:sz w:val="22"/>
          <w:szCs w:val="22"/>
          <w:lang w:val="fr-FR"/>
        </w:rPr>
      </w:pPr>
      <w:bookmarkStart w:id="30" w:name="_Toc214450262"/>
      <w:r w:rsidRPr="005A396C">
        <w:rPr>
          <w:rFonts w:ascii="Arial" w:hAnsi="Arial" w:cs="Arial"/>
          <w:sz w:val="22"/>
          <w:szCs w:val="22"/>
          <w:lang w:val="fr-FR"/>
        </w:rPr>
        <w:t xml:space="preserve">5 </w:t>
      </w:r>
      <w:r>
        <w:rPr>
          <w:rFonts w:ascii="Arial" w:hAnsi="Arial" w:cs="Arial"/>
          <w:sz w:val="22"/>
          <w:szCs w:val="22"/>
          <w:lang w:val="fr-FR"/>
        </w:rPr>
        <w:tab/>
      </w:r>
      <w:r w:rsidRPr="005A396C">
        <w:rPr>
          <w:rFonts w:ascii="Arial" w:hAnsi="Arial" w:cs="Arial"/>
          <w:sz w:val="22"/>
          <w:szCs w:val="22"/>
          <w:lang w:val="fr-FR"/>
        </w:rPr>
        <w:t>R</w:t>
      </w:r>
      <w:r>
        <w:rPr>
          <w:rFonts w:ascii="Arial" w:hAnsi="Arial" w:cs="Arial"/>
          <w:sz w:val="22"/>
          <w:szCs w:val="22"/>
          <w:lang w:val="fr-FR"/>
        </w:rPr>
        <w:t>É</w:t>
      </w:r>
      <w:r w:rsidRPr="005A396C">
        <w:rPr>
          <w:rFonts w:ascii="Arial" w:hAnsi="Arial" w:cs="Arial"/>
          <w:sz w:val="22"/>
          <w:szCs w:val="22"/>
          <w:lang w:val="fr-FR"/>
        </w:rPr>
        <w:t>SULTATS</w:t>
      </w:r>
      <w:bookmarkEnd w:id="30"/>
    </w:p>
    <w:p w14:paraId="78D6FEFE" w14:textId="77777777" w:rsidR="005A396C" w:rsidRDefault="005A396C" w:rsidP="00FA123C">
      <w:pPr>
        <w:pStyle w:val="Heading2"/>
        <w:spacing w:before="0" w:line="240" w:lineRule="auto"/>
        <w:rPr>
          <w:rFonts w:ascii="Arial" w:hAnsi="Arial" w:cs="Arial"/>
          <w:sz w:val="22"/>
          <w:szCs w:val="22"/>
          <w:lang w:val="fr-FR"/>
        </w:rPr>
      </w:pPr>
    </w:p>
    <w:p w14:paraId="6003CE3E" w14:textId="2C23AB6F" w:rsidR="009672C2" w:rsidRPr="005A396C" w:rsidRDefault="002A409C" w:rsidP="005A396C">
      <w:pPr>
        <w:pStyle w:val="Heading2"/>
        <w:spacing w:before="0" w:line="240" w:lineRule="auto"/>
        <w:ind w:left="567" w:hanging="567"/>
        <w:rPr>
          <w:rFonts w:ascii="Arial" w:hAnsi="Arial" w:cs="Arial"/>
          <w:b w:val="0"/>
          <w:bCs w:val="0"/>
          <w:sz w:val="22"/>
          <w:szCs w:val="22"/>
          <w:lang w:val="fr-FR"/>
        </w:rPr>
      </w:pPr>
      <w:bookmarkStart w:id="31" w:name="_Toc214450263"/>
      <w:r w:rsidRPr="005A396C">
        <w:rPr>
          <w:rFonts w:ascii="Arial" w:hAnsi="Arial" w:cs="Arial"/>
          <w:b w:val="0"/>
          <w:bCs w:val="0"/>
          <w:sz w:val="22"/>
          <w:szCs w:val="22"/>
          <w:lang w:val="fr-FR"/>
        </w:rPr>
        <w:t xml:space="preserve">5.1 </w:t>
      </w:r>
      <w:r w:rsidR="005A396C">
        <w:rPr>
          <w:rFonts w:ascii="Arial" w:hAnsi="Arial" w:cs="Arial"/>
          <w:b w:val="0"/>
          <w:bCs w:val="0"/>
          <w:sz w:val="22"/>
          <w:szCs w:val="22"/>
          <w:lang w:val="fr-FR"/>
        </w:rPr>
        <w:tab/>
      </w:r>
      <w:r w:rsidRPr="005A396C">
        <w:rPr>
          <w:rFonts w:ascii="Arial" w:hAnsi="Arial" w:cs="Arial"/>
          <w:b w:val="0"/>
          <w:bCs w:val="0"/>
          <w:sz w:val="22"/>
          <w:szCs w:val="22"/>
          <w:lang w:val="fr-FR"/>
        </w:rPr>
        <w:t>Poissons migrateurs transfrontaliers dont l'état de conservation est défavorable</w:t>
      </w:r>
      <w:bookmarkEnd w:id="31"/>
    </w:p>
    <w:p w14:paraId="0D0C1677" w14:textId="77777777" w:rsidR="009672C2" w:rsidRPr="00FA123C" w:rsidRDefault="009672C2" w:rsidP="00FA123C">
      <w:pPr>
        <w:spacing w:after="0" w:line="240" w:lineRule="auto"/>
        <w:rPr>
          <w:rFonts w:ascii="Arial" w:hAnsi="Arial" w:cs="Arial"/>
          <w:color w:val="000000" w:themeColor="text1"/>
          <w:sz w:val="22"/>
          <w:lang w:val="fr-FR"/>
        </w:rPr>
      </w:pPr>
    </w:p>
    <w:p w14:paraId="23C682F6" w14:textId="77777777" w:rsidR="009672C2" w:rsidRPr="00FA123C" w:rsidRDefault="002A409C" w:rsidP="00FA123C">
      <w:pPr>
        <w:pStyle w:val="NoSpacing"/>
        <w:jc w:val="both"/>
        <w:rPr>
          <w:rFonts w:ascii="Arial" w:hAnsi="Arial" w:cs="Arial"/>
          <w:color w:val="000000" w:themeColor="text1"/>
          <w:sz w:val="22"/>
          <w:lang w:val="fr-FR"/>
        </w:rPr>
      </w:pPr>
      <w:r w:rsidRPr="00FA123C">
        <w:rPr>
          <w:rFonts w:ascii="Arial" w:hAnsi="Arial" w:cs="Arial"/>
          <w:color w:val="000000" w:themeColor="text1"/>
          <w:sz w:val="22"/>
          <w:lang w:val="fr-FR"/>
        </w:rPr>
        <w:t>En utilisant un ensemble intégré de données mondiales sur les poissons migrateurs d'eau douce, nous avons identifié 325 espèces candidates potentielles à l'inscription aux Annexes de la CMS (à l'exclusion des espèces déjà inscrites). Ces candidats se trouvent principalement en Asie (n = 205), avec des occurrences supplémentaires en Amérique du Sud (n = 55), en Afrique (n = 42), en Europe (n = 50), en Amérique du Nord (n = 32) et en Océanie (n = 6) (Annexe 1). Les chiffres par continent dépassent 325 puisque certaines espèces sont présentes sur plusieurs continents.</w:t>
      </w:r>
    </w:p>
    <w:p w14:paraId="119AE5E5" w14:textId="77777777" w:rsidR="009672C2" w:rsidRPr="00FA123C" w:rsidRDefault="009672C2" w:rsidP="00FA123C">
      <w:pPr>
        <w:pStyle w:val="NoSpacing"/>
        <w:jc w:val="both"/>
        <w:rPr>
          <w:rFonts w:ascii="Arial" w:hAnsi="Arial" w:cs="Arial"/>
          <w:color w:val="000000" w:themeColor="text1"/>
          <w:sz w:val="22"/>
          <w:lang w:val="fr-FR"/>
        </w:rPr>
      </w:pPr>
    </w:p>
    <w:p w14:paraId="7E724373" w14:textId="77777777" w:rsidR="009672C2" w:rsidRPr="00FA123C" w:rsidRDefault="002A409C" w:rsidP="005A396C">
      <w:pPr>
        <w:pStyle w:val="NoSpacing"/>
        <w:spacing w:after="80"/>
        <w:jc w:val="both"/>
        <w:rPr>
          <w:rFonts w:ascii="Arial" w:hAnsi="Arial" w:cs="Arial"/>
          <w:color w:val="000000" w:themeColor="text1"/>
          <w:sz w:val="22"/>
          <w:lang w:val="fr-FR"/>
        </w:rPr>
      </w:pPr>
      <w:r w:rsidRPr="00FA123C">
        <w:rPr>
          <w:rFonts w:ascii="Arial" w:hAnsi="Arial" w:cs="Arial"/>
          <w:color w:val="000000" w:themeColor="text1"/>
          <w:sz w:val="22"/>
          <w:lang w:val="fr-FR"/>
        </w:rPr>
        <w:t xml:space="preserve">En ce qui concerne l'adhésion des Parties à la CMS, 151 espèces sont présentes dans au moins deux Parties à la CMS, 31 sont présentes dans exactement une Partie, et 143 sont </w:t>
      </w:r>
      <w:r w:rsidRPr="00FA123C">
        <w:rPr>
          <w:rFonts w:ascii="Arial" w:hAnsi="Arial" w:cs="Arial"/>
          <w:color w:val="000000" w:themeColor="text1"/>
          <w:sz w:val="22"/>
          <w:lang w:val="fr-FR"/>
        </w:rPr>
        <w:lastRenderedPageBreak/>
        <w:t xml:space="preserve">présentes uniquement dans des pays non-Parties. Ces répartitions indiquent deux voies de mise en œuvre distinctes : </w:t>
      </w:r>
    </w:p>
    <w:p w14:paraId="00929B00" w14:textId="77777777" w:rsidR="009672C2" w:rsidRPr="00FA123C" w:rsidRDefault="002A409C" w:rsidP="005A396C">
      <w:pPr>
        <w:pStyle w:val="NoSpacing"/>
        <w:numPr>
          <w:ilvl w:val="0"/>
          <w:numId w:val="18"/>
        </w:numPr>
        <w:spacing w:after="80"/>
        <w:jc w:val="both"/>
        <w:rPr>
          <w:rFonts w:ascii="Arial" w:hAnsi="Arial" w:cs="Arial"/>
          <w:color w:val="000000" w:themeColor="text1"/>
          <w:sz w:val="22"/>
          <w:lang w:val="fr-FR"/>
        </w:rPr>
      </w:pPr>
      <w:r w:rsidRPr="00FA123C">
        <w:rPr>
          <w:rFonts w:ascii="Arial" w:hAnsi="Arial" w:cs="Arial"/>
          <w:color w:val="000000" w:themeColor="text1"/>
          <w:sz w:val="22"/>
          <w:lang w:val="fr-FR"/>
        </w:rPr>
        <w:t xml:space="preserve">les régions où l'inscription et les mesures de coopération pourraient être mises en œuvre immédiatement (≥2 Parties présentes), et </w:t>
      </w:r>
    </w:p>
    <w:p w14:paraId="13510B2C" w14:textId="77777777" w:rsidR="009672C2" w:rsidRPr="00FA123C" w:rsidRDefault="002A409C" w:rsidP="00FA123C">
      <w:pPr>
        <w:pStyle w:val="NoSpacing"/>
        <w:numPr>
          <w:ilvl w:val="0"/>
          <w:numId w:val="18"/>
        </w:numPr>
        <w:jc w:val="both"/>
        <w:rPr>
          <w:rFonts w:ascii="Arial" w:hAnsi="Arial" w:cs="Arial"/>
          <w:color w:val="000000" w:themeColor="text1"/>
          <w:sz w:val="22"/>
          <w:lang w:val="fr-FR"/>
        </w:rPr>
      </w:pPr>
      <w:r w:rsidRPr="00FA123C">
        <w:rPr>
          <w:rFonts w:ascii="Arial" w:hAnsi="Arial" w:cs="Arial"/>
          <w:color w:val="000000" w:themeColor="text1"/>
          <w:sz w:val="22"/>
          <w:lang w:val="fr-FR"/>
        </w:rPr>
        <w:t>(ii) les régions où les besoins en matière de conservation sont élevés, mais où les lacunes en matière d'adhésion à la CMS limitent actuellement la mise en œuvre des instruments de la CMS, ce qui appelle à un engagement politique parallèle pour encourager les États de l'aire de répartition non-Parties à envisager de signer la Convention.</w:t>
      </w:r>
    </w:p>
    <w:p w14:paraId="272644FE" w14:textId="77777777" w:rsidR="009672C2" w:rsidRPr="00FA123C" w:rsidRDefault="009672C2" w:rsidP="00FA123C">
      <w:pPr>
        <w:pStyle w:val="NoSpacing"/>
        <w:jc w:val="both"/>
        <w:rPr>
          <w:rFonts w:ascii="Arial" w:hAnsi="Arial" w:cs="Arial"/>
          <w:color w:val="000000" w:themeColor="text1"/>
          <w:sz w:val="22"/>
          <w:lang w:val="fr-FR"/>
        </w:rPr>
      </w:pPr>
    </w:p>
    <w:p w14:paraId="0231977C" w14:textId="77777777" w:rsidR="009672C2" w:rsidRDefault="002A409C" w:rsidP="00FA123C">
      <w:pPr>
        <w:pStyle w:val="NoSpacing"/>
        <w:jc w:val="both"/>
        <w:rPr>
          <w:rFonts w:ascii="Arial" w:hAnsi="Arial" w:cs="Arial"/>
          <w:color w:val="000000" w:themeColor="text1"/>
          <w:sz w:val="22"/>
          <w:lang w:val="fr-FR"/>
        </w:rPr>
      </w:pPr>
      <w:r w:rsidRPr="00FA123C">
        <w:rPr>
          <w:rFonts w:ascii="Arial" w:hAnsi="Arial" w:cs="Arial"/>
          <w:color w:val="000000" w:themeColor="text1"/>
          <w:sz w:val="22"/>
          <w:lang w:val="fr-FR"/>
        </w:rPr>
        <w:t>L'état des menaces pesant sur les espèces qui ne sont pas encore inscrites aux Annexes de la CMS démontre à la fois la nécessité d'une action urgente et les opportunités qu'offre une action coopérative. Au total, 136 espèces sont classées CR/EN/VU/NT ; parmi elles, 75 sont déjà présentes dans ≥2 Parties à la CMS, ce qui en fait de solides candidates à l'inscription sur la liste. En revanche, 61 répondent aux critères de menace mais ne sont présentes que dans ≤1 Partie, ce qui souligne un besoin urgent accompagné d'une exigence de participation élargie avant que la CMS puisse être pleinement exploitée. Les systèmes transfrontaliers riches en espèces, tels que le Danube et La Plata/Paraná (nombreux taxons potamodromes menacés), l'Amazone (characiformes et siluriformes sur de longues distances), les fleuves himalayens (par exemple, l'alose hilsa et d'autres clupéidés à travers le Gange, le Brahmapoutre et l'Indus), le Mékong (nombreux migrateurs hautement prioritaires mais lacunes dans les effectifs) et l'Océanie pour les anguilles anguillidés (large connectivité catadrome à travers les États insulaires), méritent une attention particulière.</w:t>
      </w:r>
    </w:p>
    <w:p w14:paraId="291AD8FD" w14:textId="77777777" w:rsidR="005A396C" w:rsidRPr="00FA123C" w:rsidRDefault="005A396C" w:rsidP="00FA123C">
      <w:pPr>
        <w:pStyle w:val="NoSpacing"/>
        <w:jc w:val="both"/>
        <w:rPr>
          <w:rFonts w:ascii="Arial" w:hAnsi="Arial" w:cs="Arial"/>
          <w:color w:val="000000" w:themeColor="text1"/>
          <w:sz w:val="22"/>
          <w:lang w:val="fr-FR"/>
        </w:rPr>
      </w:pPr>
    </w:p>
    <w:p w14:paraId="438D2BA7" w14:textId="25D47799" w:rsidR="009672C2" w:rsidRPr="005A396C" w:rsidRDefault="002A409C" w:rsidP="005A396C">
      <w:pPr>
        <w:pStyle w:val="Heading2"/>
        <w:spacing w:before="0" w:line="240" w:lineRule="auto"/>
        <w:ind w:left="567" w:hanging="567"/>
        <w:rPr>
          <w:rFonts w:ascii="Arial" w:hAnsi="Arial" w:cs="Arial"/>
          <w:b w:val="0"/>
          <w:bCs w:val="0"/>
          <w:sz w:val="22"/>
          <w:szCs w:val="22"/>
          <w:lang w:val="fr-FR"/>
        </w:rPr>
      </w:pPr>
      <w:bookmarkStart w:id="32" w:name="_Toc214450264"/>
      <w:r w:rsidRPr="005A396C">
        <w:rPr>
          <w:rFonts w:ascii="Arial" w:hAnsi="Arial" w:cs="Arial"/>
          <w:b w:val="0"/>
          <w:bCs w:val="0"/>
          <w:sz w:val="22"/>
          <w:szCs w:val="22"/>
          <w:lang w:val="fr-FR"/>
        </w:rPr>
        <w:t xml:space="preserve">5.2 </w:t>
      </w:r>
      <w:r w:rsidR="005A396C">
        <w:rPr>
          <w:rFonts w:ascii="Arial" w:hAnsi="Arial" w:cs="Arial"/>
          <w:b w:val="0"/>
          <w:bCs w:val="0"/>
          <w:sz w:val="22"/>
          <w:szCs w:val="22"/>
          <w:lang w:val="fr-FR"/>
        </w:rPr>
        <w:tab/>
      </w:r>
      <w:r w:rsidRPr="005A396C">
        <w:rPr>
          <w:rFonts w:ascii="Arial" w:hAnsi="Arial" w:cs="Arial"/>
          <w:b w:val="0"/>
          <w:bCs w:val="0"/>
          <w:sz w:val="22"/>
          <w:szCs w:val="22"/>
          <w:lang w:val="fr-FR"/>
        </w:rPr>
        <w:t>Espèces et assemblages d'espèces prioritaires</w:t>
      </w:r>
      <w:bookmarkEnd w:id="32"/>
    </w:p>
    <w:p w14:paraId="43CD754B" w14:textId="77777777" w:rsidR="005A396C" w:rsidRDefault="005A396C" w:rsidP="00FA123C">
      <w:pPr>
        <w:pStyle w:val="Heading4"/>
        <w:spacing w:before="0" w:line="240" w:lineRule="auto"/>
        <w:rPr>
          <w:lang w:val="fr-FR"/>
        </w:rPr>
      </w:pPr>
    </w:p>
    <w:p w14:paraId="19D07F53" w14:textId="06033323" w:rsidR="009672C2" w:rsidRPr="005A396C" w:rsidRDefault="002A409C" w:rsidP="005A396C">
      <w:pPr>
        <w:pStyle w:val="Heading4"/>
        <w:spacing w:before="0" w:line="240" w:lineRule="auto"/>
        <w:ind w:left="567"/>
        <w:rPr>
          <w:b w:val="0"/>
          <w:bCs w:val="0"/>
          <w:lang w:val="fr-FR"/>
        </w:rPr>
      </w:pPr>
      <w:r w:rsidRPr="005A396C">
        <w:rPr>
          <w:b w:val="0"/>
          <w:bCs w:val="0"/>
          <w:lang w:val="fr-FR"/>
        </w:rPr>
        <w:t>5.2.1 Espèces prioritaires</w:t>
      </w:r>
    </w:p>
    <w:p w14:paraId="3EE35F08" w14:textId="77777777" w:rsidR="005A396C" w:rsidRDefault="005A396C" w:rsidP="00FA123C">
      <w:pPr>
        <w:pStyle w:val="NoSpacing"/>
        <w:jc w:val="both"/>
        <w:rPr>
          <w:rFonts w:ascii="Arial" w:hAnsi="Arial" w:cs="Arial"/>
          <w:color w:val="000000" w:themeColor="text1"/>
          <w:sz w:val="22"/>
          <w:lang w:val="fr-FR"/>
        </w:rPr>
      </w:pPr>
    </w:p>
    <w:p w14:paraId="5F3F2827" w14:textId="77777777" w:rsidR="005A396C" w:rsidRDefault="002A409C" w:rsidP="005A396C">
      <w:pPr>
        <w:pStyle w:val="NoSpacing"/>
        <w:jc w:val="both"/>
        <w:rPr>
          <w:rFonts w:ascii="Arial" w:hAnsi="Arial" w:cs="Arial"/>
          <w:color w:val="000000" w:themeColor="text1"/>
          <w:sz w:val="22"/>
          <w:lang w:val="fr-FR"/>
        </w:rPr>
      </w:pPr>
      <w:r w:rsidRPr="00FA123C">
        <w:rPr>
          <w:rFonts w:ascii="Arial" w:hAnsi="Arial" w:cs="Arial"/>
          <w:color w:val="000000" w:themeColor="text1"/>
          <w:sz w:val="22"/>
          <w:lang w:val="fr-FR"/>
        </w:rPr>
        <w:t xml:space="preserve">Cette liste illustrée met en avant 30 poissons migrateurs d'eau douce qui sont de solides candidats, à court terme, pour une inscription à l'Annexe de la CMS. Les espèces ont été sélectionnées pour (i) démontrer des mouvements transfrontaliers clairs ou des stocks partagés et une présence dans ≥2 juridictions des Parties à la CMS (y compris à travers les ZEE des Parties pour les taxons diadromes), (ii) mettre l'accent sur le statut défavorable selon l'UICN (CR, EN, VU ou NT), et (iii) garantir une représentativité géographique et écologique à travers l'Europe, l'Asie, l'Afrique, l'Amérique du Sud et l'Océanie. L'ensemble couvre des guildes clés et des défis de gestion – par exemple, les salmonidés et les lamproies dans des systèmes mixtes rivière-mer (par exemple, </w:t>
      </w:r>
      <w:r w:rsidRPr="00FA123C">
        <w:rPr>
          <w:rFonts w:ascii="Arial" w:hAnsi="Arial" w:cs="Arial"/>
          <w:i/>
          <w:iCs/>
          <w:color w:val="000000" w:themeColor="text1"/>
          <w:sz w:val="22"/>
          <w:lang w:val="fr-FR"/>
        </w:rPr>
        <w:t>Salmo salar</w:t>
      </w:r>
      <w:r w:rsidRPr="00FA123C">
        <w:rPr>
          <w:rFonts w:ascii="Arial" w:hAnsi="Arial" w:cs="Arial"/>
          <w:color w:val="000000" w:themeColor="text1"/>
          <w:sz w:val="22"/>
          <w:lang w:val="fr-FR"/>
        </w:rPr>
        <w:t xml:space="preserve">, </w:t>
      </w:r>
      <w:r w:rsidRPr="00FA123C">
        <w:rPr>
          <w:rFonts w:ascii="Arial" w:hAnsi="Arial" w:cs="Arial"/>
          <w:i/>
          <w:iCs/>
          <w:color w:val="000000" w:themeColor="text1"/>
          <w:sz w:val="22"/>
          <w:lang w:val="fr-FR"/>
        </w:rPr>
        <w:t>Lampetra</w:t>
      </w:r>
      <w:r w:rsidRPr="00FA123C">
        <w:rPr>
          <w:rFonts w:ascii="Arial" w:hAnsi="Arial" w:cs="Arial"/>
          <w:color w:val="000000" w:themeColor="text1"/>
          <w:sz w:val="22"/>
          <w:lang w:val="fr-FR"/>
        </w:rPr>
        <w:t xml:space="preserve"> spp.), les salmonidés potamodromes à longue distance, les cyprinidés et les characiformes (par exemple, </w:t>
      </w:r>
      <w:r w:rsidRPr="00FA123C">
        <w:rPr>
          <w:rFonts w:ascii="Arial" w:hAnsi="Arial" w:cs="Arial"/>
          <w:i/>
          <w:iCs/>
          <w:color w:val="000000" w:themeColor="text1"/>
          <w:sz w:val="22"/>
          <w:lang w:val="fr-FR"/>
        </w:rPr>
        <w:t>Hucho hucho</w:t>
      </w:r>
      <w:r w:rsidRPr="00FA123C">
        <w:rPr>
          <w:rFonts w:ascii="Arial" w:hAnsi="Arial" w:cs="Arial"/>
          <w:color w:val="000000" w:themeColor="text1"/>
          <w:sz w:val="22"/>
          <w:lang w:val="fr-FR"/>
        </w:rPr>
        <w:t xml:space="preserve">, </w:t>
      </w:r>
      <w:r w:rsidRPr="00FA123C">
        <w:rPr>
          <w:rFonts w:ascii="Arial" w:hAnsi="Arial" w:cs="Arial"/>
          <w:i/>
          <w:iCs/>
          <w:color w:val="000000" w:themeColor="text1"/>
          <w:sz w:val="22"/>
          <w:lang w:val="fr-FR"/>
        </w:rPr>
        <w:t>Tor putitora</w:t>
      </w:r>
      <w:r w:rsidRPr="00FA123C">
        <w:rPr>
          <w:rFonts w:ascii="Arial" w:hAnsi="Arial" w:cs="Arial"/>
          <w:color w:val="000000" w:themeColor="text1"/>
          <w:sz w:val="22"/>
          <w:lang w:val="fr-FR"/>
        </w:rPr>
        <w:t xml:space="preserve">, </w:t>
      </w:r>
      <w:r w:rsidRPr="00FA123C">
        <w:rPr>
          <w:rFonts w:ascii="Arial" w:hAnsi="Arial" w:cs="Arial"/>
          <w:i/>
          <w:iCs/>
          <w:color w:val="000000" w:themeColor="text1"/>
          <w:sz w:val="22"/>
          <w:lang w:val="fr-FR"/>
        </w:rPr>
        <w:t>Brycon</w:t>
      </w:r>
      <w:r w:rsidRPr="00FA123C">
        <w:rPr>
          <w:rFonts w:ascii="Arial" w:hAnsi="Arial" w:cs="Arial"/>
          <w:color w:val="000000" w:themeColor="text1"/>
          <w:sz w:val="22"/>
          <w:lang w:val="fr-FR"/>
        </w:rPr>
        <w:t xml:space="preserve"> spp.), les grands siluriformes liés aux zones de reproduction des plaines inondables et aux flux environnementaux (par exemple, </w:t>
      </w:r>
      <w:r w:rsidRPr="00FA123C">
        <w:rPr>
          <w:rFonts w:ascii="Arial" w:hAnsi="Arial" w:cs="Arial"/>
          <w:i/>
          <w:iCs/>
          <w:color w:val="000000" w:themeColor="text1"/>
          <w:sz w:val="22"/>
          <w:lang w:val="fr-FR"/>
        </w:rPr>
        <w:t>Pseudoplatystoma</w:t>
      </w:r>
      <w:r w:rsidRPr="00FA123C">
        <w:rPr>
          <w:rFonts w:ascii="Arial" w:hAnsi="Arial" w:cs="Arial"/>
          <w:color w:val="000000" w:themeColor="text1"/>
          <w:sz w:val="22"/>
          <w:lang w:val="fr-FR"/>
        </w:rPr>
        <w:t xml:space="preserve"> spp., </w:t>
      </w:r>
      <w:r w:rsidRPr="00FA123C">
        <w:rPr>
          <w:rFonts w:ascii="Arial" w:hAnsi="Arial" w:cs="Arial"/>
          <w:i/>
          <w:iCs/>
          <w:color w:val="000000" w:themeColor="text1"/>
          <w:sz w:val="22"/>
          <w:lang w:val="fr-FR"/>
        </w:rPr>
        <w:t>Bagarius yarrelli</w:t>
      </w:r>
      <w:r w:rsidRPr="00FA123C">
        <w:rPr>
          <w:rFonts w:ascii="Arial" w:hAnsi="Arial" w:cs="Arial"/>
          <w:color w:val="000000" w:themeColor="text1"/>
          <w:sz w:val="22"/>
          <w:lang w:val="fr-FR"/>
        </w:rPr>
        <w:t xml:space="preserve">), ainsi que les anguilles dont les cycles de vie catadromes nécessitent un passage de la côte aux têtes de bassin et une gestion des civelles (par exemple, </w:t>
      </w:r>
      <w:r w:rsidRPr="00FA123C">
        <w:rPr>
          <w:rFonts w:ascii="Arial" w:hAnsi="Arial" w:cs="Arial"/>
          <w:i/>
          <w:iCs/>
          <w:color w:val="000000" w:themeColor="text1"/>
          <w:sz w:val="22"/>
          <w:lang w:val="fr-FR"/>
        </w:rPr>
        <w:t>Anguilla</w:t>
      </w:r>
      <w:r w:rsidRPr="00FA123C">
        <w:rPr>
          <w:rFonts w:ascii="Arial" w:hAnsi="Arial" w:cs="Arial"/>
          <w:color w:val="000000" w:themeColor="text1"/>
          <w:sz w:val="22"/>
          <w:lang w:val="fr-FR"/>
        </w:rPr>
        <w:t xml:space="preserve"> spp.). Cette liste est conçue pour un usage pratique, afin de classer par ordre de priorité les propositions d'inscription immédiates.</w:t>
      </w:r>
    </w:p>
    <w:p w14:paraId="03D7F5DC" w14:textId="77777777" w:rsidR="005A396C" w:rsidRDefault="005A396C" w:rsidP="005A396C">
      <w:pPr>
        <w:pStyle w:val="NoSpacing"/>
        <w:jc w:val="both"/>
        <w:rPr>
          <w:rFonts w:ascii="Arial" w:hAnsi="Arial" w:cs="Arial"/>
          <w:color w:val="000000" w:themeColor="text1"/>
          <w:sz w:val="22"/>
          <w:lang w:val="fr-FR"/>
        </w:rPr>
      </w:pPr>
      <w:r>
        <w:rPr>
          <w:rFonts w:ascii="Arial" w:hAnsi="Arial" w:cs="Arial"/>
          <w:color w:val="000000" w:themeColor="text1"/>
          <w:sz w:val="22"/>
          <w:lang w:val="fr-FR"/>
        </w:rPr>
        <w:br w:type="page"/>
      </w:r>
    </w:p>
    <w:p w14:paraId="246AA395" w14:textId="1E14178B" w:rsidR="009672C2" w:rsidRPr="005A396C" w:rsidRDefault="002A409C" w:rsidP="005A396C">
      <w:pPr>
        <w:pStyle w:val="NoSpacing"/>
        <w:spacing w:after="120"/>
        <w:jc w:val="both"/>
        <w:rPr>
          <w:rFonts w:ascii="Arial" w:hAnsi="Arial" w:cs="Arial"/>
          <w:color w:val="000000" w:themeColor="text1"/>
          <w:sz w:val="20"/>
          <w:szCs w:val="20"/>
          <w:lang w:val="fr-FR"/>
        </w:rPr>
      </w:pPr>
      <w:r w:rsidRPr="005A396C">
        <w:rPr>
          <w:rFonts w:ascii="Arial" w:hAnsi="Arial" w:cs="Arial"/>
          <w:color w:val="000000" w:themeColor="text1"/>
          <w:sz w:val="20"/>
          <w:szCs w:val="20"/>
          <w:lang w:val="fr-FR"/>
        </w:rPr>
        <w:lastRenderedPageBreak/>
        <w:t xml:space="preserve">Tableau 2 : Espèces de poissons d'eau douce prioritaires pour l'inscription aux Annexes de la CMS </w:t>
      </w:r>
    </w:p>
    <w:tbl>
      <w:tblPr>
        <w:tblStyle w:val="TableGrid"/>
        <w:tblpPr w:leftFromText="180" w:rightFromText="180" w:vertAnchor="text" w:tblpY="1"/>
        <w:tblW w:w="0" w:type="auto"/>
        <w:tblLook w:val="04A0" w:firstRow="1" w:lastRow="0" w:firstColumn="1" w:lastColumn="0" w:noHBand="0" w:noVBand="1"/>
      </w:tblPr>
      <w:tblGrid>
        <w:gridCol w:w="2920"/>
        <w:gridCol w:w="6656"/>
      </w:tblGrid>
      <w:tr w:rsidR="009672C2" w:rsidRPr="002F17EA" w14:paraId="363A1594" w14:textId="77777777">
        <w:trPr>
          <w:tblHeader/>
        </w:trPr>
        <w:tc>
          <w:tcPr>
            <w:tcW w:w="0" w:type="auto"/>
            <w:hideMark/>
          </w:tcPr>
          <w:p w14:paraId="2A124832" w14:textId="77777777" w:rsidR="009672C2" w:rsidRPr="00036694" w:rsidRDefault="002A409C">
            <w:pPr>
              <w:jc w:val="center"/>
              <w:rPr>
                <w:rFonts w:ascii="Arial" w:eastAsia="Times New Roman" w:hAnsi="Arial" w:cs="Arial"/>
                <w:b/>
                <w:bCs/>
                <w:color w:val="000000" w:themeColor="text1"/>
                <w:sz w:val="20"/>
                <w:szCs w:val="20"/>
                <w:lang w:val="fr-FR"/>
              </w:rPr>
            </w:pPr>
            <w:r w:rsidRPr="00036694">
              <w:rPr>
                <w:rFonts w:ascii="Arial" w:eastAsia="Times New Roman" w:hAnsi="Arial" w:cs="Arial"/>
                <w:b/>
                <w:bCs/>
                <w:color w:val="000000" w:themeColor="text1"/>
                <w:sz w:val="20"/>
                <w:szCs w:val="20"/>
                <w:lang w:val="fr-FR"/>
              </w:rPr>
              <w:t>Espèce</w:t>
            </w:r>
          </w:p>
        </w:tc>
        <w:tc>
          <w:tcPr>
            <w:tcW w:w="0" w:type="auto"/>
            <w:hideMark/>
          </w:tcPr>
          <w:p w14:paraId="1A68816E" w14:textId="77777777" w:rsidR="009672C2" w:rsidRPr="00036694" w:rsidRDefault="002A409C">
            <w:pPr>
              <w:jc w:val="center"/>
              <w:rPr>
                <w:rFonts w:ascii="Arial" w:eastAsia="Times New Roman" w:hAnsi="Arial" w:cs="Arial"/>
                <w:b/>
                <w:bCs/>
                <w:color w:val="000000" w:themeColor="text1"/>
                <w:sz w:val="20"/>
                <w:szCs w:val="20"/>
                <w:lang w:val="fr-FR"/>
              </w:rPr>
            </w:pPr>
            <w:r w:rsidRPr="00036694">
              <w:rPr>
                <w:rFonts w:ascii="Arial" w:eastAsia="Times New Roman" w:hAnsi="Arial" w:cs="Arial"/>
                <w:b/>
                <w:bCs/>
                <w:color w:val="000000" w:themeColor="text1"/>
                <w:sz w:val="20"/>
                <w:szCs w:val="20"/>
                <w:lang w:val="fr-FR"/>
              </w:rPr>
              <w:t>Résumé (répartition, état de l'UICN, migration et opportunités de coopération)</w:t>
            </w:r>
          </w:p>
        </w:tc>
      </w:tr>
      <w:tr w:rsidR="009672C2" w:rsidRPr="002F17EA" w14:paraId="51B53299" w14:textId="77777777">
        <w:tc>
          <w:tcPr>
            <w:tcW w:w="0" w:type="auto"/>
            <w:hideMark/>
          </w:tcPr>
          <w:p w14:paraId="6D5AA694" w14:textId="77777777" w:rsidR="009672C2" w:rsidRPr="00036694" w:rsidRDefault="009672C2">
            <w:pPr>
              <w:rPr>
                <w:rFonts w:ascii="Arial" w:eastAsia="Times New Roman" w:hAnsi="Arial" w:cs="Arial"/>
                <w:color w:val="000000" w:themeColor="text1"/>
                <w:sz w:val="20"/>
                <w:szCs w:val="20"/>
                <w:lang w:val="fr-FR"/>
              </w:rPr>
            </w:pPr>
          </w:p>
        </w:tc>
        <w:tc>
          <w:tcPr>
            <w:tcW w:w="0" w:type="auto"/>
            <w:hideMark/>
          </w:tcPr>
          <w:p w14:paraId="49B57779" w14:textId="77777777" w:rsidR="009672C2" w:rsidRPr="00036694" w:rsidRDefault="009672C2">
            <w:pPr>
              <w:rPr>
                <w:rFonts w:ascii="Arial" w:eastAsia="Times New Roman" w:hAnsi="Arial" w:cs="Arial"/>
                <w:color w:val="000000" w:themeColor="text1"/>
                <w:sz w:val="20"/>
                <w:szCs w:val="20"/>
                <w:lang w:val="fr-FR"/>
              </w:rPr>
            </w:pPr>
          </w:p>
        </w:tc>
      </w:tr>
      <w:tr w:rsidR="009672C2" w:rsidRPr="002F17EA" w14:paraId="02F9223C" w14:textId="77777777">
        <w:tc>
          <w:tcPr>
            <w:tcW w:w="0" w:type="auto"/>
          </w:tcPr>
          <w:p w14:paraId="2F630906"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i/>
                <w:iCs/>
                <w:color w:val="000000" w:themeColor="text1"/>
                <w:sz w:val="20"/>
                <w:szCs w:val="20"/>
                <w:lang w:val="fr-FR"/>
              </w:rPr>
              <w:t>Alburnus sarmaticus</w:t>
            </w:r>
            <w:r w:rsidRPr="00036694">
              <w:rPr>
                <w:rFonts w:ascii="Arial" w:eastAsia="Times New Roman" w:hAnsi="Arial" w:cs="Arial"/>
                <w:color w:val="000000" w:themeColor="text1"/>
                <w:sz w:val="20"/>
                <w:szCs w:val="20"/>
                <w:lang w:val="fr-FR"/>
              </w:rPr>
              <w:t xml:space="preserve"> (ablette du delta du Danube)</w:t>
            </w:r>
          </w:p>
        </w:tc>
        <w:tc>
          <w:tcPr>
            <w:tcW w:w="0" w:type="auto"/>
          </w:tcPr>
          <w:p w14:paraId="055E052C" w14:textId="77777777" w:rsidR="009672C2" w:rsidRPr="00036694" w:rsidRDefault="002A409C">
            <w:pPr>
              <w:rPr>
                <w:rFonts w:ascii="Arial" w:eastAsia="Times New Roman" w:hAnsi="Arial" w:cs="Arial"/>
                <w:b/>
                <w:bCs/>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Roumanie, Ukraine, Bulgarie, Croatie, Slovénie. </w:t>
            </w:r>
            <w:r w:rsidRPr="00036694">
              <w:rPr>
                <w:rFonts w:ascii="Arial" w:eastAsia="Times New Roman" w:hAnsi="Arial" w:cs="Arial"/>
                <w:b/>
                <w:bCs/>
                <w:color w:val="000000" w:themeColor="text1"/>
                <w:sz w:val="20"/>
                <w:szCs w:val="20"/>
                <w:lang w:val="fr-FR"/>
              </w:rPr>
              <w:t xml:space="preserve">UICN : </w:t>
            </w:r>
            <w:r w:rsidRPr="00036694">
              <w:rPr>
                <w:rFonts w:ascii="Arial" w:eastAsia="Times New Roman" w:hAnsi="Arial" w:cs="Arial"/>
                <w:color w:val="000000" w:themeColor="text1"/>
                <w:sz w:val="20"/>
                <w:szCs w:val="20"/>
                <w:lang w:val="fr-FR"/>
              </w:rPr>
              <w:t xml:space="preserve">En danger (2023). </w:t>
            </w:r>
            <w:r w:rsidRPr="00036694">
              <w:rPr>
                <w:rFonts w:ascii="Arial" w:eastAsia="Times New Roman" w:hAnsi="Arial" w:cs="Arial"/>
                <w:b/>
                <w:bCs/>
                <w:color w:val="000000" w:themeColor="text1"/>
                <w:sz w:val="20"/>
                <w:szCs w:val="20"/>
                <w:lang w:val="fr-FR"/>
              </w:rPr>
              <w:t>Migration :</w:t>
            </w:r>
            <w:r w:rsidRPr="00036694">
              <w:rPr>
                <w:rFonts w:ascii="Arial" w:eastAsia="Times New Roman" w:hAnsi="Arial" w:cs="Arial"/>
                <w:color w:val="000000" w:themeColor="text1"/>
                <w:sz w:val="20"/>
                <w:szCs w:val="20"/>
                <w:lang w:val="fr-FR"/>
              </w:rPr>
              <w:t xml:space="preserve"> Potamodrome dans les chenaux du cours principal et du delta, sensible aux modifications de flux et d'habitat.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projets conjoints de connectivité des deltas et réduction harmonisée des prises accessoires dans les estuaires.</w:t>
            </w:r>
          </w:p>
        </w:tc>
      </w:tr>
      <w:tr w:rsidR="009672C2" w:rsidRPr="002F17EA" w14:paraId="7E7D3084" w14:textId="77777777">
        <w:tc>
          <w:tcPr>
            <w:tcW w:w="0" w:type="auto"/>
          </w:tcPr>
          <w:p w14:paraId="2AA30295"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i/>
                <w:iCs/>
                <w:color w:val="000000" w:themeColor="text1"/>
                <w:sz w:val="20"/>
                <w:szCs w:val="20"/>
                <w:lang w:val="fr-FR"/>
              </w:rPr>
              <w:t>Alosa alosa</w:t>
            </w:r>
            <w:r w:rsidRPr="00036694">
              <w:rPr>
                <w:rFonts w:ascii="Arial" w:eastAsia="Times New Roman" w:hAnsi="Arial" w:cs="Arial"/>
                <w:color w:val="000000" w:themeColor="text1"/>
                <w:sz w:val="20"/>
                <w:szCs w:val="20"/>
                <w:lang w:val="fr-FR"/>
              </w:rPr>
              <w:t xml:space="preserve"> (grande alose)</w:t>
            </w:r>
          </w:p>
        </w:tc>
        <w:tc>
          <w:tcPr>
            <w:tcW w:w="0" w:type="auto"/>
          </w:tcPr>
          <w:p w14:paraId="4AA6DD1B" w14:textId="77777777" w:rsidR="009672C2" w:rsidRPr="00036694" w:rsidRDefault="002A409C">
            <w:pPr>
              <w:rPr>
                <w:rFonts w:ascii="Arial" w:eastAsia="Times New Roman" w:hAnsi="Arial" w:cs="Arial"/>
                <w:b/>
                <w:bCs/>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Portugal, Espagne, France, Irlande, Royaume-Uni, Belgique, Pays-Bas, Allemagne, Danemark, Norvège.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Préoccupation mineure à l'échelle mondiale (forts déclins régionaux).</w:t>
            </w:r>
            <w:r w:rsidRPr="00036694">
              <w:rPr>
                <w:rFonts w:ascii="Arial" w:eastAsia="Times New Roman" w:hAnsi="Arial" w:cs="Arial"/>
                <w:b/>
                <w:bCs/>
                <w:color w:val="000000" w:themeColor="text1"/>
                <w:sz w:val="20"/>
                <w:szCs w:val="20"/>
                <w:lang w:val="fr-FR"/>
              </w:rPr>
              <w:t xml:space="preserve"> Migration : </w:t>
            </w:r>
            <w:r w:rsidRPr="00036694">
              <w:rPr>
                <w:rFonts w:ascii="Arial" w:eastAsia="Times New Roman" w:hAnsi="Arial" w:cs="Arial"/>
                <w:color w:val="000000" w:themeColor="text1"/>
                <w:sz w:val="20"/>
                <w:szCs w:val="20"/>
                <w:lang w:val="fr-FR"/>
              </w:rPr>
              <w:t xml:space="preserve">Les adultes anadromes remontent des eaux côtières vers les rivières partagées ; les juvéniles grandissent dans les estuaires et les parties inférieures des rivières.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coordonner les adaptations des passes à poissons aux nœuds des estuaires et des barrages, harmoniser les fermetures pendant la saison de frai et partager la surveillance des juvéniles entre les Parties.</w:t>
            </w:r>
          </w:p>
        </w:tc>
      </w:tr>
      <w:tr w:rsidR="009672C2" w:rsidRPr="002F17EA" w14:paraId="285989C9" w14:textId="77777777">
        <w:tc>
          <w:tcPr>
            <w:tcW w:w="0" w:type="auto"/>
          </w:tcPr>
          <w:p w14:paraId="23BB44BF" w14:textId="77777777" w:rsidR="009672C2" w:rsidRPr="00036694" w:rsidRDefault="002A409C">
            <w:pPr>
              <w:rPr>
                <w:rFonts w:ascii="Arial" w:eastAsia="Times New Roman" w:hAnsi="Arial" w:cs="Arial"/>
                <w:i/>
                <w:iCs/>
                <w:color w:val="000000" w:themeColor="text1"/>
                <w:sz w:val="20"/>
                <w:szCs w:val="20"/>
                <w:lang w:val="fr-FR"/>
              </w:rPr>
            </w:pPr>
            <w:r w:rsidRPr="00036694">
              <w:rPr>
                <w:rFonts w:ascii="Arial" w:eastAsia="Times New Roman" w:hAnsi="Arial" w:cs="Arial"/>
                <w:i/>
                <w:iCs/>
                <w:color w:val="000000" w:themeColor="text1"/>
                <w:sz w:val="20"/>
                <w:szCs w:val="20"/>
                <w:lang w:val="fr-FR"/>
              </w:rPr>
              <w:t>Anguilla bengalensis</w:t>
            </w:r>
            <w:r w:rsidRPr="00036694">
              <w:rPr>
                <w:rFonts w:ascii="Arial" w:eastAsia="Times New Roman" w:hAnsi="Arial" w:cs="Arial"/>
                <w:color w:val="000000" w:themeColor="text1"/>
                <w:sz w:val="20"/>
                <w:szCs w:val="20"/>
                <w:lang w:val="fr-FR"/>
              </w:rPr>
              <w:t xml:space="preserve"> (Anguille marbrée indienne)</w:t>
            </w:r>
          </w:p>
        </w:tc>
        <w:tc>
          <w:tcPr>
            <w:tcW w:w="0" w:type="auto"/>
          </w:tcPr>
          <w:p w14:paraId="6249128D" w14:textId="77777777" w:rsidR="009672C2" w:rsidRPr="00036694" w:rsidRDefault="002A409C">
            <w:pPr>
              <w:rPr>
                <w:rFonts w:ascii="Arial" w:eastAsia="Times New Roman" w:hAnsi="Arial" w:cs="Arial"/>
                <w:b/>
                <w:bCs/>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Inde, Bangladesh, Sri Lanka, Népal, Pakistan, Myanmar, Indonésie ; Kenya, Tanzanie, Mozambique ; Madagascar.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Quasi menacé (2019). </w:t>
            </w:r>
            <w:r w:rsidRPr="00036694">
              <w:rPr>
                <w:rFonts w:ascii="Arial" w:eastAsia="Times New Roman" w:hAnsi="Arial" w:cs="Arial"/>
                <w:b/>
                <w:bCs/>
                <w:color w:val="000000" w:themeColor="text1"/>
                <w:sz w:val="20"/>
                <w:szCs w:val="20"/>
                <w:lang w:val="fr-FR"/>
              </w:rPr>
              <w:t>Migration :</w:t>
            </w:r>
            <w:r w:rsidRPr="00036694">
              <w:rPr>
                <w:rFonts w:ascii="Arial" w:eastAsia="Times New Roman" w:hAnsi="Arial" w:cs="Arial"/>
                <w:color w:val="000000" w:themeColor="text1"/>
                <w:sz w:val="20"/>
                <w:szCs w:val="20"/>
                <w:lang w:val="fr-FR"/>
              </w:rPr>
              <w:t xml:space="preserve"> Catadrome avec frai océanique et de longues phases de croissance en eau douce.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normes communes de passage en amont/en aval et gestion coordonnée de la pêche à la civelle entre les Parties.</w:t>
            </w:r>
          </w:p>
        </w:tc>
      </w:tr>
      <w:tr w:rsidR="009672C2" w:rsidRPr="002F17EA" w14:paraId="4BD911B0" w14:textId="77777777">
        <w:tc>
          <w:tcPr>
            <w:tcW w:w="0" w:type="auto"/>
          </w:tcPr>
          <w:p w14:paraId="0E07A057" w14:textId="77777777" w:rsidR="009672C2" w:rsidRPr="00036694" w:rsidRDefault="002A409C">
            <w:pPr>
              <w:rPr>
                <w:rFonts w:ascii="Arial" w:eastAsia="Times New Roman" w:hAnsi="Arial" w:cs="Arial"/>
                <w:i/>
                <w:iCs/>
                <w:color w:val="000000" w:themeColor="text1"/>
                <w:sz w:val="20"/>
                <w:szCs w:val="20"/>
                <w:lang w:val="fr-FR"/>
              </w:rPr>
            </w:pPr>
            <w:r w:rsidRPr="00036694">
              <w:rPr>
                <w:rFonts w:ascii="Arial" w:eastAsia="Times New Roman" w:hAnsi="Arial" w:cs="Arial"/>
                <w:i/>
                <w:iCs/>
                <w:color w:val="000000" w:themeColor="text1"/>
                <w:sz w:val="20"/>
                <w:szCs w:val="20"/>
                <w:lang w:val="fr-FR"/>
              </w:rPr>
              <w:t>Anguilla bicolor</w:t>
            </w:r>
            <w:r w:rsidRPr="00036694">
              <w:rPr>
                <w:rFonts w:ascii="Arial" w:eastAsia="Times New Roman" w:hAnsi="Arial" w:cs="Arial"/>
                <w:color w:val="000000" w:themeColor="text1"/>
                <w:sz w:val="20"/>
                <w:szCs w:val="20"/>
                <w:lang w:val="fr-FR"/>
              </w:rPr>
              <w:t xml:space="preserve"> (Anguille à nageoire courte)</w:t>
            </w:r>
          </w:p>
        </w:tc>
        <w:tc>
          <w:tcPr>
            <w:tcW w:w="0" w:type="auto"/>
          </w:tcPr>
          <w:p w14:paraId="559EE58C" w14:textId="77777777" w:rsidR="009672C2" w:rsidRPr="00036694" w:rsidRDefault="002A409C">
            <w:pPr>
              <w:rPr>
                <w:rFonts w:ascii="Arial" w:eastAsia="Times New Roman" w:hAnsi="Arial" w:cs="Arial"/>
                <w:b/>
                <w:bCs/>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Indonésie, Malaisie, Thaïlande, Viet Nam, Philippines, Papouasie-Nouvelle-Guinée, Australie, Timor-Leste ; Tanzanie, Kenya, Mozambique, Afrique du Sud ; Inde, Sri Lanka.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Quasi menacé (2019).</w:t>
            </w:r>
            <w:r w:rsidRPr="00036694">
              <w:rPr>
                <w:rFonts w:ascii="Arial" w:eastAsia="Times New Roman" w:hAnsi="Arial" w:cs="Arial"/>
                <w:b/>
                <w:bCs/>
                <w:color w:val="000000" w:themeColor="text1"/>
                <w:sz w:val="20"/>
                <w:szCs w:val="20"/>
                <w:lang w:val="fr-FR"/>
              </w:rPr>
              <w:t xml:space="preserve"> Migration : </w:t>
            </w:r>
            <w:r w:rsidRPr="00036694">
              <w:rPr>
                <w:rFonts w:ascii="Arial" w:eastAsia="Times New Roman" w:hAnsi="Arial" w:cs="Arial"/>
                <w:color w:val="000000" w:themeColor="text1"/>
                <w:sz w:val="20"/>
                <w:szCs w:val="20"/>
                <w:lang w:val="fr-FR"/>
              </w:rPr>
              <w:t xml:space="preserve">Catadrome avec des leptocéphales largement dispersés et un recrutement transfrontalier.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alignement régional sur le filtrage des prises d'eau et l'atténuation des effets des turbines, ainsi que le partage des indices de surveillance des civelles.</w:t>
            </w:r>
          </w:p>
        </w:tc>
      </w:tr>
      <w:tr w:rsidR="009672C2" w:rsidRPr="002F17EA" w14:paraId="0419508B" w14:textId="77777777">
        <w:tc>
          <w:tcPr>
            <w:tcW w:w="0" w:type="auto"/>
          </w:tcPr>
          <w:p w14:paraId="61886101" w14:textId="77777777" w:rsidR="009672C2" w:rsidRPr="00036694" w:rsidRDefault="002A409C">
            <w:pPr>
              <w:rPr>
                <w:rFonts w:ascii="Arial" w:eastAsia="Times New Roman" w:hAnsi="Arial" w:cs="Arial"/>
                <w:i/>
                <w:iCs/>
                <w:color w:val="000000" w:themeColor="text1"/>
                <w:sz w:val="20"/>
                <w:szCs w:val="20"/>
                <w:lang w:val="fr-FR"/>
              </w:rPr>
            </w:pPr>
            <w:r w:rsidRPr="00036694">
              <w:rPr>
                <w:rFonts w:ascii="Arial" w:eastAsia="Times New Roman" w:hAnsi="Arial" w:cs="Arial"/>
                <w:i/>
                <w:color w:val="000000" w:themeColor="text1"/>
                <w:sz w:val="20"/>
                <w:szCs w:val="20"/>
                <w:lang w:val="fr-FR"/>
              </w:rPr>
              <w:t>Anguilla mossambica</w:t>
            </w:r>
            <w:r w:rsidRPr="00036694">
              <w:rPr>
                <w:rFonts w:ascii="Arial" w:eastAsia="Times New Roman" w:hAnsi="Arial" w:cs="Arial"/>
                <w:color w:val="000000" w:themeColor="text1"/>
                <w:sz w:val="20"/>
                <w:szCs w:val="20"/>
                <w:lang w:val="fr-FR"/>
              </w:rPr>
              <w:t xml:space="preserve"> (Anguille à longue nageoire)</w:t>
            </w:r>
          </w:p>
        </w:tc>
        <w:tc>
          <w:tcPr>
            <w:tcW w:w="0" w:type="auto"/>
          </w:tcPr>
          <w:p w14:paraId="47FE5BEC" w14:textId="77777777" w:rsidR="009672C2" w:rsidRPr="00036694" w:rsidRDefault="002A409C">
            <w:pPr>
              <w:rPr>
                <w:rFonts w:ascii="Arial" w:eastAsia="Times New Roman" w:hAnsi="Arial" w:cs="Arial"/>
                <w:b/>
                <w:bCs/>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Afrique du Sud, Eswatini, Mozambique, Tanzanie, Kenya ; Madagascar, Comores, Maurice, La Réunion, Seychelles.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Quasi menacé (2018).</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Catadrome avec frai océanique ; le recrutement et l'échappée des anguilles argentées sont transfrontaliers.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normes régionales pour le passage des anguilles et surveillance coordonnée du recrutement et de l'échappement à travers plusieurs petites juridictions.</w:t>
            </w:r>
          </w:p>
        </w:tc>
      </w:tr>
      <w:tr w:rsidR="009672C2" w:rsidRPr="002F17EA" w14:paraId="6F9D1F70" w14:textId="77777777">
        <w:tc>
          <w:tcPr>
            <w:tcW w:w="0" w:type="auto"/>
          </w:tcPr>
          <w:p w14:paraId="5A3395DF" w14:textId="77777777" w:rsidR="009672C2" w:rsidRPr="00036694" w:rsidRDefault="002A409C">
            <w:pPr>
              <w:rPr>
                <w:rFonts w:ascii="Arial" w:eastAsia="Times New Roman" w:hAnsi="Arial" w:cs="Arial"/>
                <w:i/>
                <w:color w:val="000000" w:themeColor="text1"/>
                <w:sz w:val="20"/>
                <w:szCs w:val="20"/>
                <w:lang w:val="fr-FR"/>
              </w:rPr>
            </w:pPr>
            <w:r w:rsidRPr="00036694">
              <w:rPr>
                <w:rFonts w:ascii="Arial" w:eastAsia="Times New Roman" w:hAnsi="Arial" w:cs="Arial"/>
                <w:i/>
                <w:iCs/>
                <w:color w:val="000000" w:themeColor="text1"/>
                <w:sz w:val="20"/>
                <w:szCs w:val="20"/>
                <w:lang w:val="fr-FR"/>
              </w:rPr>
              <w:t>Anguilla rostrata</w:t>
            </w:r>
            <w:r w:rsidRPr="00036694">
              <w:rPr>
                <w:rFonts w:ascii="Arial" w:eastAsia="Times New Roman" w:hAnsi="Arial" w:cs="Arial"/>
                <w:color w:val="000000" w:themeColor="text1"/>
                <w:sz w:val="20"/>
                <w:szCs w:val="20"/>
                <w:lang w:val="fr-FR"/>
              </w:rPr>
              <w:t xml:space="preserve"> (Anguille d'Amérique)</w:t>
            </w:r>
          </w:p>
        </w:tc>
        <w:tc>
          <w:tcPr>
            <w:tcW w:w="0" w:type="auto"/>
          </w:tcPr>
          <w:p w14:paraId="080980C1" w14:textId="77777777" w:rsidR="009672C2" w:rsidRPr="00036694" w:rsidRDefault="002A409C">
            <w:pPr>
              <w:rPr>
                <w:rFonts w:ascii="Arial" w:eastAsia="Times New Roman" w:hAnsi="Arial" w:cs="Arial"/>
                <w:b/>
                <w:bCs/>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Canada, États-Unis, Mexique, Bahamas, Cuba, Jamaïque, République dominicaine, Haïti, Trinité-et-Tobago, Guatemala, Belize, Honduras, Nicaragua, Costa Rica, Panama, Colombie, Venezuela, Guyana, Suriname. </w:t>
            </w:r>
            <w:r w:rsidRPr="00036694">
              <w:rPr>
                <w:rFonts w:ascii="Arial" w:eastAsia="Times New Roman" w:hAnsi="Arial" w:cs="Arial"/>
                <w:b/>
                <w:bCs/>
                <w:color w:val="000000" w:themeColor="text1"/>
                <w:sz w:val="20"/>
                <w:szCs w:val="20"/>
                <w:lang w:val="fr-FR"/>
              </w:rPr>
              <w:t xml:space="preserve">UICN : </w:t>
            </w:r>
            <w:r w:rsidRPr="00036694">
              <w:rPr>
                <w:rFonts w:ascii="Arial" w:eastAsia="Times New Roman" w:hAnsi="Arial" w:cs="Arial"/>
                <w:color w:val="000000" w:themeColor="text1"/>
                <w:sz w:val="20"/>
                <w:szCs w:val="20"/>
                <w:lang w:val="fr-FR"/>
              </w:rPr>
              <w:t>En danger (2020).</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Catadrome avec frai océanique dans la mer des Sargasses et recrutement partagé ; l'échappée des anguilles argentées est transjuridictionnelle.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indices de recrutement partagés, règles coordonnées pour la capture des civelles et mesures d'atténuation de la mortalité liée aux turbines.</w:t>
            </w:r>
          </w:p>
        </w:tc>
      </w:tr>
      <w:tr w:rsidR="009672C2" w:rsidRPr="002F17EA" w14:paraId="5BC93138" w14:textId="77777777">
        <w:tc>
          <w:tcPr>
            <w:tcW w:w="0" w:type="auto"/>
          </w:tcPr>
          <w:p w14:paraId="79CBF5C8" w14:textId="77777777" w:rsidR="009672C2" w:rsidRPr="00036694" w:rsidRDefault="002A409C">
            <w:pPr>
              <w:rPr>
                <w:rFonts w:ascii="Arial" w:eastAsia="Times New Roman" w:hAnsi="Arial" w:cs="Arial"/>
                <w:i/>
                <w:iCs/>
                <w:color w:val="000000" w:themeColor="text1"/>
                <w:sz w:val="20"/>
                <w:szCs w:val="20"/>
                <w:lang w:val="fr-FR"/>
              </w:rPr>
            </w:pPr>
            <w:r w:rsidRPr="00036694">
              <w:rPr>
                <w:rFonts w:ascii="Arial" w:eastAsia="Times New Roman" w:hAnsi="Arial" w:cs="Arial"/>
                <w:i/>
                <w:iCs/>
                <w:color w:val="000000" w:themeColor="text1"/>
                <w:sz w:val="20"/>
                <w:szCs w:val="20"/>
                <w:lang w:val="fr-FR"/>
              </w:rPr>
              <w:t>Aspiolucius esocinus</w:t>
            </w:r>
          </w:p>
        </w:tc>
        <w:tc>
          <w:tcPr>
            <w:tcW w:w="0" w:type="auto"/>
          </w:tcPr>
          <w:p w14:paraId="20A101A7" w14:textId="77777777" w:rsidR="009672C2" w:rsidRPr="00036694" w:rsidRDefault="002A409C">
            <w:pPr>
              <w:rPr>
                <w:rFonts w:ascii="Arial" w:eastAsia="Times New Roman" w:hAnsi="Arial" w:cs="Arial"/>
                <w:b/>
                <w:bCs/>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Ouzbékistan, Turkménistan, Tadjikistan, Kazakhstan, Afghanistan, Kirghizistan. </w:t>
            </w:r>
            <w:r w:rsidRPr="00036694">
              <w:rPr>
                <w:rFonts w:ascii="Arial" w:eastAsia="Times New Roman" w:hAnsi="Arial" w:cs="Arial"/>
                <w:b/>
                <w:bCs/>
                <w:color w:val="000000" w:themeColor="text1"/>
                <w:sz w:val="20"/>
                <w:szCs w:val="20"/>
                <w:lang w:val="fr-FR"/>
              </w:rPr>
              <w:t xml:space="preserve">UICN : </w:t>
            </w:r>
            <w:r w:rsidRPr="00036694">
              <w:rPr>
                <w:rFonts w:ascii="Arial" w:eastAsia="Times New Roman" w:hAnsi="Arial" w:cs="Arial"/>
                <w:color w:val="000000" w:themeColor="text1"/>
                <w:sz w:val="20"/>
                <w:szCs w:val="20"/>
                <w:lang w:val="fr-FR"/>
              </w:rPr>
              <w:t>En danger (2020).</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Migrateur des grands fleuves sensible à la régulation et à l'abstraction.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coordination des lâchers de flux environnementaux et protection des corridors de migration entre les Parties riveraines.</w:t>
            </w:r>
          </w:p>
        </w:tc>
      </w:tr>
      <w:tr w:rsidR="009672C2" w:rsidRPr="002F17EA" w14:paraId="066B9DE4" w14:textId="77777777">
        <w:tc>
          <w:tcPr>
            <w:tcW w:w="0" w:type="auto"/>
          </w:tcPr>
          <w:p w14:paraId="50720B1B" w14:textId="77777777" w:rsidR="009672C2" w:rsidRPr="00036694" w:rsidRDefault="002A409C">
            <w:pPr>
              <w:rPr>
                <w:rFonts w:ascii="Arial" w:eastAsia="Times New Roman" w:hAnsi="Arial" w:cs="Arial"/>
                <w:i/>
                <w:iCs/>
                <w:color w:val="000000" w:themeColor="text1"/>
                <w:sz w:val="20"/>
                <w:szCs w:val="20"/>
              </w:rPr>
            </w:pPr>
            <w:r w:rsidRPr="00036694">
              <w:rPr>
                <w:rFonts w:ascii="Arial" w:eastAsia="Times New Roman" w:hAnsi="Arial" w:cs="Arial"/>
                <w:i/>
                <w:iCs/>
                <w:color w:val="000000" w:themeColor="text1"/>
                <w:sz w:val="20"/>
                <w:szCs w:val="20"/>
              </w:rPr>
              <w:t>Bagarius yarrelli</w:t>
            </w:r>
            <w:r w:rsidRPr="00036694">
              <w:rPr>
                <w:rFonts w:ascii="Arial" w:eastAsia="Times New Roman" w:hAnsi="Arial" w:cs="Arial"/>
                <w:color w:val="000000" w:themeColor="text1"/>
                <w:sz w:val="20"/>
                <w:szCs w:val="20"/>
              </w:rPr>
              <w:t xml:space="preserve"> (goonch)</w:t>
            </w:r>
          </w:p>
        </w:tc>
        <w:tc>
          <w:tcPr>
            <w:tcW w:w="0" w:type="auto"/>
          </w:tcPr>
          <w:p w14:paraId="4220FBE0" w14:textId="77777777" w:rsidR="009672C2" w:rsidRPr="00036694" w:rsidRDefault="002A409C">
            <w:pPr>
              <w:rPr>
                <w:rFonts w:ascii="Arial" w:eastAsia="Times New Roman" w:hAnsi="Arial" w:cs="Arial"/>
                <w:b/>
                <w:bCs/>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Inde, Népal, Bangladesh, Pakistan, Myanmar, Thaïlande, République démocratique populaire lao, Cambodge, Viet Nam.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Vulnérable (2022).</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Grand poisson-chat prédateur des rapides et des cours d'eau profonds ; sensible aux modifications des flux </w:t>
            </w:r>
            <w:r w:rsidRPr="00036694">
              <w:rPr>
                <w:rFonts w:ascii="Arial" w:eastAsia="Times New Roman" w:hAnsi="Arial" w:cs="Arial"/>
                <w:color w:val="000000" w:themeColor="text1"/>
                <w:sz w:val="20"/>
                <w:szCs w:val="20"/>
                <w:lang w:val="fr-FR"/>
              </w:rPr>
              <w:lastRenderedPageBreak/>
              <w:t xml:space="preserve">et à la pêche.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règles harmonisées de pêche et normes de flux environnemental sur les principaux cours d'eau partagés.</w:t>
            </w:r>
          </w:p>
        </w:tc>
      </w:tr>
      <w:tr w:rsidR="009672C2" w:rsidRPr="002F17EA" w14:paraId="57B2909C" w14:textId="77777777">
        <w:tc>
          <w:tcPr>
            <w:tcW w:w="0" w:type="auto"/>
          </w:tcPr>
          <w:p w14:paraId="6994DB50" w14:textId="77777777" w:rsidR="009672C2" w:rsidRPr="00036694" w:rsidRDefault="002A409C">
            <w:pPr>
              <w:rPr>
                <w:rFonts w:ascii="Arial" w:eastAsia="Times New Roman" w:hAnsi="Arial" w:cs="Arial"/>
                <w:i/>
                <w:iCs/>
                <w:color w:val="000000" w:themeColor="text1"/>
                <w:sz w:val="20"/>
                <w:szCs w:val="20"/>
                <w:lang w:val="en-GB"/>
              </w:rPr>
            </w:pPr>
            <w:r w:rsidRPr="00036694">
              <w:rPr>
                <w:rFonts w:ascii="Arial" w:eastAsia="Times New Roman" w:hAnsi="Arial" w:cs="Arial"/>
                <w:i/>
                <w:iCs/>
                <w:color w:val="000000" w:themeColor="text1"/>
                <w:sz w:val="20"/>
                <w:szCs w:val="20"/>
                <w:lang w:val="en-GB"/>
              </w:rPr>
              <w:lastRenderedPageBreak/>
              <w:t xml:space="preserve">Brachyplatystoma filamentosum </w:t>
            </w:r>
            <w:r w:rsidRPr="00036694">
              <w:rPr>
                <w:rFonts w:ascii="Arial" w:eastAsia="Times New Roman" w:hAnsi="Arial" w:cs="Arial"/>
                <w:color w:val="000000" w:themeColor="text1"/>
                <w:sz w:val="20"/>
                <w:szCs w:val="20"/>
                <w:lang w:val="en-GB"/>
              </w:rPr>
              <w:t>(piraíba)</w:t>
            </w:r>
          </w:p>
        </w:tc>
        <w:tc>
          <w:tcPr>
            <w:tcW w:w="0" w:type="auto"/>
          </w:tcPr>
          <w:p w14:paraId="0EAE81B4"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Amazonie, Orénoque, Guyanes. </w:t>
            </w:r>
            <w:r w:rsidRPr="00036694">
              <w:rPr>
                <w:rFonts w:ascii="Arial" w:eastAsia="Times New Roman" w:hAnsi="Arial" w:cs="Arial"/>
                <w:b/>
                <w:bCs/>
                <w:color w:val="000000" w:themeColor="text1"/>
                <w:sz w:val="20"/>
                <w:szCs w:val="20"/>
                <w:lang w:val="fr-FR"/>
              </w:rPr>
              <w:t>UICN</w:t>
            </w:r>
            <w:r w:rsidRPr="00036694">
              <w:rPr>
                <w:rFonts w:ascii="Arial" w:eastAsia="Times New Roman" w:hAnsi="Arial" w:cs="Arial"/>
                <w:color w:val="000000" w:themeColor="text1"/>
                <w:sz w:val="20"/>
                <w:szCs w:val="20"/>
                <w:lang w:val="fr-FR"/>
              </w:rPr>
              <w:t xml:space="preserve"> : selon la base de données.</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Siluriforme emblématique de longue distance se déplaçant sur des milliers de kilomètres, de la rivière à l'estuaire.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stratégie de connectivité à l'échelle du bassin ; contrôle des prises accessoires dans les pêcheries mixtes ; protection des goulots d'étranglement migratoires.</w:t>
            </w:r>
          </w:p>
        </w:tc>
      </w:tr>
      <w:tr w:rsidR="009672C2" w:rsidRPr="002F17EA" w14:paraId="3B2D8F43" w14:textId="77777777">
        <w:tc>
          <w:tcPr>
            <w:tcW w:w="0" w:type="auto"/>
          </w:tcPr>
          <w:p w14:paraId="78628FAE" w14:textId="77777777" w:rsidR="009672C2" w:rsidRPr="00036694" w:rsidRDefault="002A409C">
            <w:pPr>
              <w:rPr>
                <w:rFonts w:ascii="Arial" w:eastAsia="Times New Roman" w:hAnsi="Arial" w:cs="Arial"/>
                <w:i/>
                <w:iCs/>
                <w:color w:val="000000" w:themeColor="text1"/>
                <w:sz w:val="20"/>
                <w:szCs w:val="20"/>
                <w:lang w:val="en-GB"/>
              </w:rPr>
            </w:pPr>
            <w:r w:rsidRPr="00036694">
              <w:rPr>
                <w:rFonts w:ascii="Arial" w:eastAsia="Times New Roman" w:hAnsi="Arial" w:cs="Arial"/>
                <w:i/>
                <w:iCs/>
                <w:color w:val="000000" w:themeColor="text1"/>
                <w:sz w:val="20"/>
                <w:szCs w:val="20"/>
              </w:rPr>
              <w:t>Brycon orbignyanus</w:t>
            </w:r>
            <w:r w:rsidRPr="00036694">
              <w:rPr>
                <w:rFonts w:ascii="Arial" w:eastAsia="Times New Roman" w:hAnsi="Arial" w:cs="Arial"/>
                <w:color w:val="000000" w:themeColor="text1"/>
                <w:sz w:val="20"/>
                <w:szCs w:val="20"/>
              </w:rPr>
              <w:t xml:space="preserve"> (sábalo / piracanjuba)</w:t>
            </w:r>
          </w:p>
        </w:tc>
        <w:tc>
          <w:tcPr>
            <w:tcW w:w="0" w:type="auto"/>
          </w:tcPr>
          <w:p w14:paraId="782EEC56" w14:textId="77777777" w:rsidR="009672C2" w:rsidRPr="00036694" w:rsidRDefault="002A409C">
            <w:pPr>
              <w:rPr>
                <w:rFonts w:ascii="Arial" w:eastAsia="Times New Roman" w:hAnsi="Arial" w:cs="Arial"/>
                <w:b/>
                <w:bCs/>
                <w:color w:val="000000" w:themeColor="text1"/>
                <w:sz w:val="20"/>
                <w:szCs w:val="20"/>
                <w:lang w:val="fr-FR"/>
              </w:rPr>
            </w:pPr>
            <w:r w:rsidRPr="002F17EA">
              <w:rPr>
                <w:rFonts w:ascii="Arial" w:eastAsia="Times New Roman" w:hAnsi="Arial" w:cs="Arial"/>
                <w:b/>
                <w:bCs/>
                <w:color w:val="000000" w:themeColor="text1"/>
                <w:sz w:val="20"/>
                <w:szCs w:val="20"/>
                <w:lang w:val="es-ES"/>
              </w:rPr>
              <w:t>Pays :</w:t>
            </w:r>
            <w:r w:rsidRPr="002F17EA">
              <w:rPr>
                <w:rFonts w:ascii="Arial" w:eastAsia="Times New Roman" w:hAnsi="Arial" w:cs="Arial"/>
                <w:color w:val="000000" w:themeColor="text1"/>
                <w:sz w:val="20"/>
                <w:szCs w:val="20"/>
                <w:lang w:val="es-ES"/>
              </w:rPr>
              <w:t xml:space="preserve"> Argentine, Uruguay, Paraguay, Brésil, Bolivie. </w:t>
            </w:r>
            <w:r w:rsidRPr="00036694">
              <w:rPr>
                <w:rFonts w:ascii="Arial" w:eastAsia="Times New Roman" w:hAnsi="Arial" w:cs="Arial"/>
                <w:b/>
                <w:bCs/>
                <w:color w:val="000000" w:themeColor="text1"/>
                <w:sz w:val="20"/>
                <w:szCs w:val="20"/>
                <w:lang w:val="fr-FR"/>
              </w:rPr>
              <w:t xml:space="preserve">UICN : </w:t>
            </w:r>
            <w:r w:rsidRPr="00036694">
              <w:rPr>
                <w:rFonts w:ascii="Arial" w:eastAsia="Times New Roman" w:hAnsi="Arial" w:cs="Arial"/>
                <w:color w:val="000000" w:themeColor="text1"/>
                <w:sz w:val="20"/>
                <w:szCs w:val="20"/>
                <w:lang w:val="fr-FR"/>
              </w:rPr>
              <w:t>En danger (2020).</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Characin potamodrome de longue distance reliant les zones de frai et les zones de reproduction des plaines inondables ; les barrages et la pression exercée par la pêche ont entraîné des déclins.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fermetures saisonnières à l'échelle du bassin, modernisation des passes à poissons à haut rendement et protection des zones de reproduction dans les plaines inondables entre les Parties.</w:t>
            </w:r>
          </w:p>
        </w:tc>
      </w:tr>
      <w:tr w:rsidR="009672C2" w:rsidRPr="002F17EA" w14:paraId="0B7B26EC" w14:textId="77777777">
        <w:tc>
          <w:tcPr>
            <w:tcW w:w="0" w:type="auto"/>
          </w:tcPr>
          <w:p w14:paraId="5DDDC618" w14:textId="77777777" w:rsidR="009672C2" w:rsidRPr="00036694" w:rsidRDefault="002A409C">
            <w:pPr>
              <w:rPr>
                <w:rFonts w:ascii="Arial" w:eastAsia="Times New Roman" w:hAnsi="Arial" w:cs="Arial"/>
                <w:i/>
                <w:iCs/>
                <w:color w:val="000000" w:themeColor="text1"/>
                <w:sz w:val="20"/>
                <w:szCs w:val="20"/>
                <w:lang w:val="fr-FR"/>
              </w:rPr>
            </w:pPr>
            <w:r w:rsidRPr="00036694">
              <w:rPr>
                <w:rFonts w:ascii="Arial" w:eastAsia="Times New Roman" w:hAnsi="Arial" w:cs="Arial"/>
                <w:i/>
                <w:iCs/>
                <w:color w:val="000000" w:themeColor="text1"/>
                <w:sz w:val="20"/>
                <w:szCs w:val="20"/>
                <w:lang w:val="fr-FR"/>
              </w:rPr>
              <w:t>Chondrostoma nasus</w:t>
            </w:r>
            <w:r w:rsidRPr="00036694">
              <w:rPr>
                <w:rFonts w:ascii="Arial" w:eastAsia="Times New Roman" w:hAnsi="Arial" w:cs="Arial"/>
                <w:color w:val="000000" w:themeColor="text1"/>
                <w:sz w:val="20"/>
                <w:szCs w:val="20"/>
                <w:lang w:val="fr-FR"/>
              </w:rPr>
              <w:t xml:space="preserve"> (nase commun)</w:t>
            </w:r>
          </w:p>
        </w:tc>
        <w:tc>
          <w:tcPr>
            <w:tcW w:w="0" w:type="auto"/>
          </w:tcPr>
          <w:p w14:paraId="20056EDF" w14:textId="77777777" w:rsidR="009672C2" w:rsidRPr="00036694" w:rsidRDefault="002A409C">
            <w:pPr>
              <w:rPr>
                <w:rFonts w:ascii="Arial" w:eastAsia="Times New Roman" w:hAnsi="Arial" w:cs="Arial"/>
                <w:b/>
                <w:bCs/>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France, Italie, Suisse, Allemagne, Autriche, Slovénie, Croatie, Bosnie-Herzégovine, Serbie, Hongrie, Roumanie, Bulgarie, Pologne, Tchéquie, Slovaquie, Ukraine.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Quasi menacé (2023).</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Fraie potamodrome sur les radiers de gravier ; sensible aux seuils et à la canalisation.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synchronisation de l'atténuation des barrières et de la protection des zones de frai dans les bassins versants partagés.</w:t>
            </w:r>
          </w:p>
        </w:tc>
      </w:tr>
      <w:tr w:rsidR="009672C2" w:rsidRPr="002F17EA" w14:paraId="21F25BED" w14:textId="77777777">
        <w:tc>
          <w:tcPr>
            <w:tcW w:w="0" w:type="auto"/>
          </w:tcPr>
          <w:p w14:paraId="0E90F145" w14:textId="77777777" w:rsidR="009672C2" w:rsidRPr="00036694" w:rsidRDefault="002A409C">
            <w:pPr>
              <w:rPr>
                <w:rFonts w:ascii="Arial" w:eastAsia="Times New Roman" w:hAnsi="Arial" w:cs="Arial"/>
                <w:i/>
                <w:iCs/>
                <w:color w:val="000000" w:themeColor="text1"/>
                <w:sz w:val="20"/>
                <w:szCs w:val="20"/>
                <w:lang w:val="fr-FR"/>
              </w:rPr>
            </w:pPr>
            <w:r w:rsidRPr="00036694">
              <w:rPr>
                <w:rFonts w:ascii="Arial" w:eastAsia="Times New Roman" w:hAnsi="Arial" w:cs="Arial"/>
                <w:i/>
                <w:color w:val="000000" w:themeColor="text1"/>
                <w:sz w:val="20"/>
                <w:szCs w:val="20"/>
                <w:lang w:val="fr-FR"/>
              </w:rPr>
              <w:t>Chondrostoma soetta</w:t>
            </w:r>
            <w:r w:rsidRPr="00036694">
              <w:rPr>
                <w:rFonts w:ascii="Arial" w:eastAsia="Times New Roman" w:hAnsi="Arial" w:cs="Arial"/>
                <w:color w:val="000000" w:themeColor="text1"/>
                <w:sz w:val="20"/>
                <w:szCs w:val="20"/>
                <w:lang w:val="fr-FR"/>
              </w:rPr>
              <w:t xml:space="preserve"> (complexe du nase sud-européen)</w:t>
            </w:r>
          </w:p>
        </w:tc>
        <w:tc>
          <w:tcPr>
            <w:tcW w:w="0" w:type="auto"/>
          </w:tcPr>
          <w:p w14:paraId="6984AD1F" w14:textId="77777777" w:rsidR="009672C2" w:rsidRPr="00036694" w:rsidRDefault="002A409C">
            <w:pPr>
              <w:rPr>
                <w:rFonts w:ascii="Arial" w:eastAsia="Times New Roman" w:hAnsi="Arial" w:cs="Arial"/>
                <w:b/>
                <w:bCs/>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Italie, Slovénie, Croatie.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En danger (évaluations régionales).</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Courses saisonnières vers les zones de frai sur gravier ; très sensible aux barrières.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Amélioration des passages bilatéraux et restauration du régime sédimentaire sur les affluents partagés des régions alpines et adriatiques.</w:t>
            </w:r>
          </w:p>
        </w:tc>
      </w:tr>
      <w:tr w:rsidR="009672C2" w:rsidRPr="002F17EA" w14:paraId="525F3E73" w14:textId="77777777">
        <w:tc>
          <w:tcPr>
            <w:tcW w:w="0" w:type="auto"/>
          </w:tcPr>
          <w:p w14:paraId="69BD4885" w14:textId="77777777" w:rsidR="009672C2" w:rsidRPr="00036694" w:rsidRDefault="002A409C">
            <w:pPr>
              <w:rPr>
                <w:rFonts w:ascii="Arial" w:eastAsia="Times New Roman" w:hAnsi="Arial" w:cs="Arial"/>
                <w:i/>
                <w:iCs/>
                <w:color w:val="000000" w:themeColor="text1"/>
                <w:sz w:val="20"/>
                <w:szCs w:val="20"/>
              </w:rPr>
            </w:pPr>
            <w:r w:rsidRPr="00036694">
              <w:rPr>
                <w:rFonts w:ascii="Arial" w:eastAsia="Times New Roman" w:hAnsi="Arial" w:cs="Arial"/>
                <w:i/>
                <w:iCs/>
                <w:color w:val="000000" w:themeColor="text1"/>
                <w:sz w:val="20"/>
                <w:szCs w:val="20"/>
                <w:lang w:val="en-GB"/>
              </w:rPr>
              <w:t>Genidens barbus</w:t>
            </w:r>
          </w:p>
        </w:tc>
        <w:tc>
          <w:tcPr>
            <w:tcW w:w="0" w:type="auto"/>
          </w:tcPr>
          <w:p w14:paraId="1D9403B7"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Estuaire de La Plata et plateau atlantique (Argentine–Uruguay–Brésil).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selon la base de données.</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Migrateur estuaire-fleuve / diadromie partielle avec des stocks côtiers partagés.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aligner les prises accessoires côtières/estuariennes et les fermetures saisonnières ; protéger les panaches turbides des zones de reproduction.</w:t>
            </w:r>
          </w:p>
        </w:tc>
      </w:tr>
      <w:tr w:rsidR="009672C2" w:rsidRPr="002F17EA" w14:paraId="66B70AA9" w14:textId="77777777">
        <w:tc>
          <w:tcPr>
            <w:tcW w:w="0" w:type="auto"/>
            <w:hideMark/>
          </w:tcPr>
          <w:p w14:paraId="2AEB99BF" w14:textId="77777777" w:rsidR="009672C2" w:rsidRPr="00036694" w:rsidRDefault="002A409C">
            <w:pPr>
              <w:rPr>
                <w:rFonts w:ascii="Arial" w:eastAsia="Times New Roman" w:hAnsi="Arial" w:cs="Arial"/>
                <w:color w:val="000000" w:themeColor="text1"/>
                <w:sz w:val="20"/>
                <w:szCs w:val="20"/>
              </w:rPr>
            </w:pPr>
            <w:r w:rsidRPr="00036694">
              <w:rPr>
                <w:rFonts w:ascii="Arial" w:eastAsia="Times New Roman" w:hAnsi="Arial" w:cs="Arial"/>
                <w:i/>
                <w:iCs/>
                <w:color w:val="000000" w:themeColor="text1"/>
                <w:sz w:val="20"/>
                <w:szCs w:val="20"/>
              </w:rPr>
              <w:t>Hucho hucho</w:t>
            </w:r>
            <w:r w:rsidRPr="00036694">
              <w:rPr>
                <w:rFonts w:ascii="Arial" w:eastAsia="Times New Roman" w:hAnsi="Arial" w:cs="Arial"/>
                <w:color w:val="000000" w:themeColor="text1"/>
                <w:sz w:val="20"/>
                <w:szCs w:val="20"/>
              </w:rPr>
              <w:t xml:space="preserve"> (huchen)</w:t>
            </w:r>
          </w:p>
        </w:tc>
        <w:tc>
          <w:tcPr>
            <w:tcW w:w="0" w:type="auto"/>
            <w:hideMark/>
          </w:tcPr>
          <w:p w14:paraId="2B75F14E"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Autriche, Slovénie, Croatie, Bosnie-Herzégovine, Serbie, Roumanie.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En danger.</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Migrations potamodromes entre les zones de repos, d'alimentation et de frai dans le système du Danube ; très sensibles aux barrières.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priorisation conjointe de la modernisation des barrières, de la restauration de la continuité des sédiments et des graviers, et de la surveillance normalisée du calendrier de migration parmi les Parties du Danube.</w:t>
            </w:r>
          </w:p>
        </w:tc>
      </w:tr>
      <w:tr w:rsidR="009672C2" w:rsidRPr="002F17EA" w14:paraId="712A859D" w14:textId="77777777">
        <w:tc>
          <w:tcPr>
            <w:tcW w:w="0" w:type="auto"/>
          </w:tcPr>
          <w:p w14:paraId="1720E09F" w14:textId="77777777" w:rsidR="009672C2" w:rsidRPr="00036694" w:rsidRDefault="002A409C">
            <w:pPr>
              <w:rPr>
                <w:rFonts w:ascii="Arial" w:eastAsia="Times New Roman" w:hAnsi="Arial" w:cs="Arial"/>
                <w:i/>
                <w:iCs/>
                <w:color w:val="000000" w:themeColor="text1"/>
                <w:sz w:val="20"/>
                <w:szCs w:val="20"/>
                <w:lang w:val="fr-FR"/>
              </w:rPr>
            </w:pPr>
            <w:r w:rsidRPr="00036694">
              <w:rPr>
                <w:rFonts w:ascii="Arial" w:eastAsia="Times New Roman" w:hAnsi="Arial" w:cs="Arial"/>
                <w:i/>
                <w:iCs/>
                <w:color w:val="000000" w:themeColor="text1"/>
                <w:sz w:val="20"/>
                <w:szCs w:val="20"/>
                <w:lang w:val="fr-FR"/>
              </w:rPr>
              <w:t>Lampetra fluviatilis</w:t>
            </w:r>
            <w:r w:rsidRPr="00036694">
              <w:rPr>
                <w:rFonts w:ascii="Arial" w:eastAsia="Times New Roman" w:hAnsi="Arial" w:cs="Arial"/>
                <w:color w:val="000000" w:themeColor="text1"/>
                <w:sz w:val="20"/>
                <w:szCs w:val="20"/>
                <w:lang w:val="fr-FR"/>
              </w:rPr>
              <w:t xml:space="preserve"> (lamproie fluviatile)</w:t>
            </w:r>
          </w:p>
        </w:tc>
        <w:tc>
          <w:tcPr>
            <w:tcW w:w="0" w:type="auto"/>
          </w:tcPr>
          <w:p w14:paraId="6355E477" w14:textId="77777777" w:rsidR="009672C2" w:rsidRPr="00036694" w:rsidRDefault="002A409C">
            <w:pPr>
              <w:rPr>
                <w:rFonts w:ascii="Arial" w:eastAsia="Times New Roman" w:hAnsi="Arial" w:cs="Arial"/>
                <w:b/>
                <w:bCs/>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Norvège, Suède, Finlande, Estonie, Lettonie, Lituanie, Pologne, Allemagne, Danemark, Pays-Bas, Belgique, Royaume-Uni, Irlande, France, Italie.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Quasi menacé (évaluations régionales).</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Anadrome, se déplaçant entre les eaux côtières et les rivières pour frayer ; sensible aux barrières et aux prises accessoires.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standardiser les aménagements de petites barrières sur les affluents et harmoniser les contrôles des prises accessoires dans les estuaires.</w:t>
            </w:r>
          </w:p>
        </w:tc>
      </w:tr>
      <w:tr w:rsidR="009672C2" w:rsidRPr="002F17EA" w14:paraId="126081D9" w14:textId="77777777">
        <w:tc>
          <w:tcPr>
            <w:tcW w:w="0" w:type="auto"/>
          </w:tcPr>
          <w:p w14:paraId="0754D6D1" w14:textId="77777777" w:rsidR="009672C2" w:rsidRPr="00036694" w:rsidRDefault="002A409C">
            <w:pPr>
              <w:rPr>
                <w:rFonts w:ascii="Arial" w:eastAsia="Times New Roman" w:hAnsi="Arial" w:cs="Arial"/>
                <w:i/>
                <w:iCs/>
                <w:color w:val="000000" w:themeColor="text1"/>
                <w:sz w:val="20"/>
                <w:szCs w:val="20"/>
                <w:lang w:val="fr-FR"/>
              </w:rPr>
            </w:pPr>
            <w:r w:rsidRPr="00036694">
              <w:rPr>
                <w:rFonts w:ascii="Arial" w:eastAsia="Times New Roman" w:hAnsi="Arial" w:cs="Arial"/>
                <w:i/>
                <w:iCs/>
                <w:color w:val="000000" w:themeColor="text1"/>
                <w:sz w:val="20"/>
                <w:szCs w:val="20"/>
                <w:lang w:val="fr-FR"/>
              </w:rPr>
              <w:t>Lampetra planeri</w:t>
            </w:r>
            <w:r w:rsidRPr="00036694">
              <w:rPr>
                <w:rFonts w:ascii="Arial" w:eastAsia="Times New Roman" w:hAnsi="Arial" w:cs="Arial"/>
                <w:color w:val="000000" w:themeColor="text1"/>
                <w:sz w:val="20"/>
                <w:szCs w:val="20"/>
                <w:lang w:val="fr-FR"/>
              </w:rPr>
              <w:t xml:space="preserve"> (lamproie de ruisseau)</w:t>
            </w:r>
          </w:p>
        </w:tc>
        <w:tc>
          <w:tcPr>
            <w:tcW w:w="0" w:type="auto"/>
          </w:tcPr>
          <w:p w14:paraId="5CC1D04A" w14:textId="77777777" w:rsidR="009672C2" w:rsidRPr="00036694" w:rsidRDefault="002A409C">
            <w:pPr>
              <w:rPr>
                <w:rFonts w:ascii="Arial" w:eastAsia="Times New Roman" w:hAnsi="Arial" w:cs="Arial"/>
                <w:b/>
                <w:bCs/>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Royaume-Uni, Irlande, France, Belgique, Pays-Bas, Allemagne, Danemark, Norvège, Suède, Finlande, Pologne, Tchéquie, Slovaquie, Autriche, Suisse, Espagne, Portugal, Italie, Slovénie.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Quasi menacé (2023).</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Migrations en eau douce sur de courtes distances vers des graviers propres ; profite de la connectivité des eaux d'amont.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élimination/réaménagement coordonnés de </w:t>
            </w:r>
            <w:r w:rsidRPr="00036694">
              <w:rPr>
                <w:rFonts w:ascii="Arial" w:eastAsia="Times New Roman" w:hAnsi="Arial" w:cs="Arial"/>
                <w:color w:val="000000" w:themeColor="text1"/>
                <w:sz w:val="20"/>
                <w:szCs w:val="20"/>
                <w:lang w:val="fr-FR"/>
              </w:rPr>
              <w:lastRenderedPageBreak/>
              <w:t>petites barrières et restauration des zones riveraines dans les cours d'eau d'amont partagés.</w:t>
            </w:r>
          </w:p>
        </w:tc>
      </w:tr>
      <w:tr w:rsidR="009672C2" w:rsidRPr="002F17EA" w14:paraId="0C93FA42" w14:textId="77777777">
        <w:tc>
          <w:tcPr>
            <w:tcW w:w="0" w:type="auto"/>
            <w:hideMark/>
          </w:tcPr>
          <w:p w14:paraId="1B6228F1"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i/>
                <w:iCs/>
                <w:color w:val="000000" w:themeColor="text1"/>
                <w:sz w:val="20"/>
                <w:szCs w:val="20"/>
                <w:lang w:val="fr-FR"/>
              </w:rPr>
              <w:lastRenderedPageBreak/>
              <w:t>Luciobarbus brachycephalus</w:t>
            </w:r>
            <w:r w:rsidRPr="00036694">
              <w:rPr>
                <w:rFonts w:ascii="Arial" w:eastAsia="Times New Roman" w:hAnsi="Arial" w:cs="Arial"/>
                <w:color w:val="000000" w:themeColor="text1"/>
                <w:sz w:val="20"/>
                <w:szCs w:val="20"/>
                <w:lang w:val="fr-FR"/>
              </w:rPr>
              <w:t xml:space="preserve"> (Barbeau d'Aral)</w:t>
            </w:r>
          </w:p>
        </w:tc>
        <w:tc>
          <w:tcPr>
            <w:tcW w:w="0" w:type="auto"/>
            <w:hideMark/>
          </w:tcPr>
          <w:p w14:paraId="1FC9677D"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Kazakhstan, Ouzbékistan, Turkménistan, Tadjikistan, Kirghizistan, Iran.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En danger.</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Les parcours potamodromes vers les frayères à flux rapide, fragmentés par les barrages et les prélèvements.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règles transfrontalières concernant les débits environnementaux et fermetures synchronisées sur les zones de frayère partagées.</w:t>
            </w:r>
          </w:p>
        </w:tc>
      </w:tr>
      <w:tr w:rsidR="009672C2" w:rsidRPr="002F17EA" w14:paraId="622A2CA1" w14:textId="77777777">
        <w:tc>
          <w:tcPr>
            <w:tcW w:w="0" w:type="auto"/>
          </w:tcPr>
          <w:p w14:paraId="23F47345" w14:textId="77777777" w:rsidR="009672C2" w:rsidRPr="00036694" w:rsidRDefault="002A409C">
            <w:pPr>
              <w:rPr>
                <w:rFonts w:ascii="Arial" w:eastAsia="Times New Roman" w:hAnsi="Arial" w:cs="Arial"/>
                <w:i/>
                <w:iCs/>
                <w:color w:val="000000" w:themeColor="text1"/>
                <w:sz w:val="20"/>
                <w:szCs w:val="20"/>
                <w:lang w:val="fr-FR"/>
              </w:rPr>
            </w:pPr>
            <w:r w:rsidRPr="00036694">
              <w:rPr>
                <w:rFonts w:ascii="Arial" w:eastAsia="Times New Roman" w:hAnsi="Arial" w:cs="Arial"/>
                <w:i/>
                <w:iCs/>
                <w:color w:val="000000" w:themeColor="text1"/>
                <w:sz w:val="20"/>
                <w:szCs w:val="20"/>
                <w:lang w:val="fr-FR"/>
              </w:rPr>
              <w:t>Luciobarbus longiceps</w:t>
            </w:r>
            <w:r w:rsidRPr="00036694">
              <w:rPr>
                <w:rFonts w:ascii="Arial" w:eastAsia="Times New Roman" w:hAnsi="Arial" w:cs="Arial"/>
                <w:color w:val="000000" w:themeColor="text1"/>
                <w:sz w:val="20"/>
                <w:szCs w:val="20"/>
                <w:lang w:val="fr-FR"/>
              </w:rPr>
              <w:t xml:space="preserve"> (barbeau de Jordanie)</w:t>
            </w:r>
          </w:p>
        </w:tc>
        <w:tc>
          <w:tcPr>
            <w:tcW w:w="0" w:type="auto"/>
          </w:tcPr>
          <w:p w14:paraId="73F6E7DE" w14:textId="77777777" w:rsidR="009672C2" w:rsidRPr="00036694" w:rsidRDefault="002A409C">
            <w:pPr>
              <w:rPr>
                <w:rFonts w:ascii="Arial" w:eastAsia="Times New Roman" w:hAnsi="Arial" w:cs="Arial"/>
                <w:b/>
                <w:bCs/>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Türkiye, Syrie, Israël, Jordanie.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En danger.</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Déplacements potamodromes vers les affluents pour la reproduction ; impactés par les prélèvements et les barrières.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coordination bilatérale des flux et atténuation des barrières sur les tronçons partagés.</w:t>
            </w:r>
          </w:p>
        </w:tc>
      </w:tr>
      <w:tr w:rsidR="009672C2" w:rsidRPr="002F17EA" w14:paraId="513F0223" w14:textId="77777777">
        <w:tc>
          <w:tcPr>
            <w:tcW w:w="0" w:type="auto"/>
          </w:tcPr>
          <w:p w14:paraId="06FEF56F" w14:textId="77777777" w:rsidR="009672C2" w:rsidRPr="00036694" w:rsidRDefault="002A409C">
            <w:pPr>
              <w:rPr>
                <w:rFonts w:ascii="Arial" w:eastAsia="Times New Roman" w:hAnsi="Arial" w:cs="Arial"/>
                <w:i/>
                <w:iCs/>
                <w:color w:val="000000" w:themeColor="text1"/>
                <w:sz w:val="20"/>
                <w:szCs w:val="20"/>
                <w:lang w:val="fr-FR"/>
              </w:rPr>
            </w:pPr>
            <w:r w:rsidRPr="00036694">
              <w:rPr>
                <w:rFonts w:ascii="Arial" w:eastAsia="Times New Roman" w:hAnsi="Arial" w:cs="Arial"/>
                <w:i/>
                <w:iCs/>
                <w:color w:val="000000" w:themeColor="text1"/>
                <w:sz w:val="20"/>
                <w:szCs w:val="20"/>
                <w:lang w:val="fr-FR"/>
              </w:rPr>
              <w:t>Luciobarbus subquincunciatus</w:t>
            </w:r>
            <w:r w:rsidRPr="00036694">
              <w:rPr>
                <w:rFonts w:ascii="Arial" w:eastAsia="Times New Roman" w:hAnsi="Arial" w:cs="Arial"/>
                <w:color w:val="000000" w:themeColor="text1"/>
                <w:sz w:val="20"/>
                <w:szCs w:val="20"/>
                <w:lang w:val="fr-FR"/>
              </w:rPr>
              <w:t xml:space="preserve"> (barbeau mésopotamien/barbeau léopard)</w:t>
            </w:r>
          </w:p>
        </w:tc>
        <w:tc>
          <w:tcPr>
            <w:tcW w:w="0" w:type="auto"/>
          </w:tcPr>
          <w:p w14:paraId="7E1A47BC" w14:textId="77777777" w:rsidR="009672C2" w:rsidRPr="00036694" w:rsidRDefault="002A409C">
            <w:pPr>
              <w:rPr>
                <w:rFonts w:ascii="Arial" w:eastAsia="Times New Roman" w:hAnsi="Arial" w:cs="Arial"/>
                <w:b/>
                <w:bCs/>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Türkiye, Syrie, Iraq, Iran.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En danger critique.</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Le grand barbeau potamodrome est désormais extrêmement rare en raison de la surexploitation, des barrages et des prélèvements.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accords multi-étatiques sur les flux environnementaux et les aménagements prioritaires de passes à poissons sur les tronçons principaux partagés.</w:t>
            </w:r>
          </w:p>
        </w:tc>
      </w:tr>
      <w:tr w:rsidR="009672C2" w:rsidRPr="002F17EA" w14:paraId="5EDEF7C8" w14:textId="77777777">
        <w:tc>
          <w:tcPr>
            <w:tcW w:w="0" w:type="auto"/>
            <w:hideMark/>
          </w:tcPr>
          <w:p w14:paraId="7941E8E1"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i/>
                <w:iCs/>
                <w:color w:val="000000" w:themeColor="text1"/>
                <w:sz w:val="20"/>
                <w:szCs w:val="20"/>
                <w:lang w:val="fr-FR"/>
              </w:rPr>
              <w:t>Megalops atlanticus</w:t>
            </w:r>
            <w:r w:rsidRPr="00036694">
              <w:rPr>
                <w:rFonts w:ascii="Arial" w:eastAsia="Times New Roman" w:hAnsi="Arial" w:cs="Arial"/>
                <w:color w:val="000000" w:themeColor="text1"/>
                <w:sz w:val="20"/>
                <w:szCs w:val="20"/>
                <w:lang w:val="fr-FR"/>
              </w:rPr>
              <w:t xml:space="preserve"> (tarpon de l'Atlantique)</w:t>
            </w:r>
          </w:p>
        </w:tc>
        <w:tc>
          <w:tcPr>
            <w:tcW w:w="0" w:type="auto"/>
            <w:hideMark/>
          </w:tcPr>
          <w:p w14:paraId="708FFCB7"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b/>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États-Unis, Mexique, Belize, Guatemala, Honduras, Nicaragua, Costa Rica, Panama, Colombie, Venezuela, Trinité-et-Tobago, Guyana, Suriname, Brésil ; Mauritanie, Sénégal, Gambie, Guinée-Bissau, Guinée, Sierra Leone, Libéria, Côte d’Ivoire, Ghana, Togo, Bénin, Nigéria, Cameroun, Guinée équatoriale, Gabon, République du Congo, Angola.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Vulnérable (2018).</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Migrateur côtier-estuarien utilisant les embouchures des fleuves et les lagunes comme zones de reproduction ; les longs mouvements côtiers créent des stocks partagés.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aligner les règles de récolte des pêcheries mixtes et protéger les zones de reproduction estuariennes partagées grâce à un marquage à l'échelle de la côte entre les Parties.</w:t>
            </w:r>
          </w:p>
        </w:tc>
      </w:tr>
      <w:tr w:rsidR="009672C2" w:rsidRPr="002F17EA" w14:paraId="55C07679" w14:textId="77777777">
        <w:tc>
          <w:tcPr>
            <w:tcW w:w="0" w:type="auto"/>
          </w:tcPr>
          <w:p w14:paraId="2AD4A4E0"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i/>
                <w:iCs/>
                <w:color w:val="000000" w:themeColor="text1"/>
                <w:sz w:val="20"/>
                <w:szCs w:val="20"/>
                <w:lang w:val="fr-FR"/>
              </w:rPr>
              <w:t>Pangasius sanitwongsei</w:t>
            </w:r>
            <w:r w:rsidRPr="00036694">
              <w:rPr>
                <w:rFonts w:ascii="Arial" w:eastAsia="Times New Roman" w:hAnsi="Arial" w:cs="Arial"/>
                <w:color w:val="000000" w:themeColor="text1"/>
                <w:sz w:val="20"/>
                <w:szCs w:val="20"/>
                <w:lang w:val="fr-FR"/>
              </w:rPr>
              <w:t xml:space="preserve"> (pangasius géant)</w:t>
            </w:r>
          </w:p>
        </w:tc>
        <w:tc>
          <w:tcPr>
            <w:tcW w:w="0" w:type="auto"/>
          </w:tcPr>
          <w:p w14:paraId="3AC5EA76"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Bassin du Mékong inférieur (Thaïlande–RDP lao–Cambodge) et Chao Phraya.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En danger critique.</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Potamodrome de longue distance.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fermetures saisonnières transfrontalières ; protection des sites d'agrégation de frai ; modernisation des principales barrières sur les tronçons principaux ; application coordonnée de la législation contre la pêche illégale.</w:t>
            </w:r>
          </w:p>
        </w:tc>
      </w:tr>
      <w:tr w:rsidR="009672C2" w:rsidRPr="002F17EA" w14:paraId="43FFC263" w14:textId="77777777">
        <w:tc>
          <w:tcPr>
            <w:tcW w:w="0" w:type="auto"/>
          </w:tcPr>
          <w:p w14:paraId="538DF658"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i/>
                <w:iCs/>
                <w:color w:val="000000" w:themeColor="text1"/>
                <w:sz w:val="20"/>
                <w:szCs w:val="20"/>
                <w:lang w:val="fr-FR"/>
              </w:rPr>
              <w:t>Probarbus jullieni</w:t>
            </w:r>
            <w:r w:rsidRPr="00036694">
              <w:rPr>
                <w:rFonts w:ascii="Arial" w:eastAsia="Times New Roman" w:hAnsi="Arial" w:cs="Arial"/>
                <w:color w:val="000000" w:themeColor="text1"/>
                <w:sz w:val="20"/>
                <w:szCs w:val="20"/>
                <w:lang w:val="fr-FR"/>
              </w:rPr>
              <w:t xml:space="preserve"> (Barbeau de Jullien)</w:t>
            </w:r>
          </w:p>
        </w:tc>
        <w:tc>
          <w:tcPr>
            <w:tcW w:w="0" w:type="auto"/>
          </w:tcPr>
          <w:p w14:paraId="08306783"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Cambodge, République démocratique populaire lao, Thaïlande, Viet Nam (anciennement Malaisie).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En danger critique (2019).</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Très grand reproducteur potamodrome avec des agrégations saisonnières sur le cours principal ; vulnérable à la pêche et aux fluctuations hydrauliques artificielles.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Fermetures saisonnières transfrontalières sur les sites d'agrégation connus et surveillance conjointe par l'intermédiaire des organismes régionaux des bassins hydrographiques.</w:t>
            </w:r>
          </w:p>
        </w:tc>
      </w:tr>
      <w:tr w:rsidR="009672C2" w:rsidRPr="002F17EA" w14:paraId="7879FA37" w14:textId="77777777">
        <w:tc>
          <w:tcPr>
            <w:tcW w:w="0" w:type="auto"/>
          </w:tcPr>
          <w:p w14:paraId="45D139D7"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i/>
                <w:iCs/>
                <w:color w:val="000000" w:themeColor="text1"/>
                <w:sz w:val="20"/>
                <w:szCs w:val="20"/>
                <w:lang w:val="fr-FR"/>
              </w:rPr>
              <w:t>Pseudoplatystoma corruscans</w:t>
            </w:r>
            <w:r w:rsidRPr="00036694">
              <w:rPr>
                <w:rFonts w:ascii="Arial" w:eastAsia="Times New Roman" w:hAnsi="Arial" w:cs="Arial"/>
                <w:color w:val="000000" w:themeColor="text1"/>
                <w:sz w:val="20"/>
                <w:szCs w:val="20"/>
                <w:lang w:val="fr-FR"/>
              </w:rPr>
              <w:t xml:space="preserve"> (surubim tigré)</w:t>
            </w:r>
          </w:p>
        </w:tc>
        <w:tc>
          <w:tcPr>
            <w:tcW w:w="0" w:type="auto"/>
          </w:tcPr>
          <w:p w14:paraId="06A4B9D6"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b/>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Argentine, Brésil, Paraguay, Uruguay, Bolivie.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Quasi menacé (2020).</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Grand pimélodidé migrateur dépendant de la connectivité longitudinale entre les sites de frai et les plaines d'inondation servant de zones de reproduction.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amélioration des passages communs aux principaux barrages et mesures de protection transfrontalières pour les zones de reproduction des plaines inondables.</w:t>
            </w:r>
          </w:p>
        </w:tc>
      </w:tr>
      <w:tr w:rsidR="009672C2" w:rsidRPr="002F17EA" w14:paraId="58389E82" w14:textId="77777777">
        <w:tc>
          <w:tcPr>
            <w:tcW w:w="0" w:type="auto"/>
          </w:tcPr>
          <w:p w14:paraId="7A810803"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i/>
                <w:iCs/>
                <w:color w:val="000000" w:themeColor="text1"/>
                <w:sz w:val="20"/>
                <w:szCs w:val="20"/>
                <w:lang w:val="fr-FR"/>
              </w:rPr>
              <w:t>Salmo marmoratus</w:t>
            </w:r>
            <w:r w:rsidRPr="00036694">
              <w:rPr>
                <w:rFonts w:ascii="Arial" w:eastAsia="Times New Roman" w:hAnsi="Arial" w:cs="Arial"/>
                <w:color w:val="000000" w:themeColor="text1"/>
                <w:sz w:val="20"/>
                <w:szCs w:val="20"/>
                <w:lang w:val="fr-FR"/>
              </w:rPr>
              <w:t xml:space="preserve"> (truite marbrée)</w:t>
            </w:r>
          </w:p>
        </w:tc>
        <w:tc>
          <w:tcPr>
            <w:tcW w:w="0" w:type="auto"/>
          </w:tcPr>
          <w:p w14:paraId="431D5AFE"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Italie, Slovénie, Croatie, Bosnie-Herzégovine, Monténégro.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Vulnérable (2024).</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Potamodrome dans les rivières </w:t>
            </w:r>
            <w:r w:rsidRPr="00036694">
              <w:rPr>
                <w:rFonts w:ascii="Arial" w:eastAsia="Times New Roman" w:hAnsi="Arial" w:cs="Arial"/>
                <w:color w:val="000000" w:themeColor="text1"/>
                <w:sz w:val="20"/>
                <w:szCs w:val="20"/>
                <w:lang w:val="fr-FR"/>
              </w:rPr>
              <w:lastRenderedPageBreak/>
              <w:t xml:space="preserve">karstiques ; les menaces incluent les barrages, la modification des sédiments et l'hybridation avec la truite brune.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Conservation génétique transfrontalière et atténuation des barrières dans les affluents communs de l'Adriatique.</w:t>
            </w:r>
          </w:p>
        </w:tc>
      </w:tr>
      <w:tr w:rsidR="009672C2" w:rsidRPr="002F17EA" w14:paraId="3AAFF6A8" w14:textId="77777777">
        <w:tc>
          <w:tcPr>
            <w:tcW w:w="0" w:type="auto"/>
          </w:tcPr>
          <w:p w14:paraId="0F25D212"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i/>
                <w:iCs/>
                <w:color w:val="000000" w:themeColor="text1"/>
                <w:sz w:val="20"/>
                <w:szCs w:val="20"/>
                <w:lang w:val="fr-FR"/>
              </w:rPr>
              <w:lastRenderedPageBreak/>
              <w:t>Salmo salar</w:t>
            </w:r>
            <w:r w:rsidRPr="00036694">
              <w:rPr>
                <w:rFonts w:ascii="Arial" w:eastAsia="Times New Roman" w:hAnsi="Arial" w:cs="Arial"/>
                <w:color w:val="000000" w:themeColor="text1"/>
                <w:sz w:val="20"/>
                <w:szCs w:val="20"/>
                <w:lang w:val="fr-FR"/>
              </w:rPr>
              <w:t xml:space="preserve"> (saumon atlantique)</w:t>
            </w:r>
          </w:p>
        </w:tc>
        <w:tc>
          <w:tcPr>
            <w:tcW w:w="0" w:type="auto"/>
          </w:tcPr>
          <w:p w14:paraId="38F8C525"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Canada, États-Unis (Maine), Islande, Norvège, Royaume-Uni, Irlande, France, Espagne, Portugal.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Quasi menacé (2023).</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Anadrome avec de vastes migrations marines et un retour natal ; la pêche de stocks mixtes et les barrages compliquent la gestion.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harmoniser la gestion des stocks mixtes et accélérer la modernisation des passes à poissons sur les rivières partagées.</w:t>
            </w:r>
          </w:p>
        </w:tc>
      </w:tr>
      <w:tr w:rsidR="009672C2" w:rsidRPr="002F17EA" w14:paraId="61DADC05" w14:textId="77777777">
        <w:tc>
          <w:tcPr>
            <w:tcW w:w="0" w:type="auto"/>
          </w:tcPr>
          <w:p w14:paraId="0B96592F"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i/>
                <w:iCs/>
                <w:color w:val="000000" w:themeColor="text1"/>
                <w:sz w:val="20"/>
                <w:szCs w:val="20"/>
                <w:lang w:val="fr-FR"/>
              </w:rPr>
              <w:t>Schizothorax plagiostomus</w:t>
            </w:r>
            <w:r w:rsidRPr="00036694">
              <w:rPr>
                <w:rFonts w:ascii="Arial" w:eastAsia="Times New Roman" w:hAnsi="Arial" w:cs="Arial"/>
                <w:color w:val="000000" w:themeColor="text1"/>
                <w:sz w:val="20"/>
                <w:szCs w:val="20"/>
                <w:lang w:val="fr-FR"/>
              </w:rPr>
              <w:t xml:space="preserve"> (Truite des neiges)</w:t>
            </w:r>
          </w:p>
        </w:tc>
        <w:tc>
          <w:tcPr>
            <w:tcW w:w="0" w:type="auto"/>
          </w:tcPr>
          <w:p w14:paraId="21E824DC"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Afghanistan, Pakistan, Inde, Népal, Bhoutan (ouest de la Chine dans les régions supérieures).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Vulnérable (2022).</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Potamodrome avec des remontées saisonnières vers des zones de frai graveleuses ; sensible à la sédimentation et à la modification de l'habitat.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Restauration de la connectivité des eaux d'amont et gestion du régime des sédiments dans des bassins partagés.</w:t>
            </w:r>
          </w:p>
        </w:tc>
      </w:tr>
      <w:tr w:rsidR="009672C2" w:rsidRPr="002F17EA" w14:paraId="19EC560D" w14:textId="77777777">
        <w:tc>
          <w:tcPr>
            <w:tcW w:w="0" w:type="auto"/>
          </w:tcPr>
          <w:p w14:paraId="24378C53" w14:textId="77777777" w:rsidR="009672C2" w:rsidRPr="00036694" w:rsidRDefault="002A409C">
            <w:pPr>
              <w:rPr>
                <w:rFonts w:ascii="Arial" w:eastAsia="Times New Roman" w:hAnsi="Arial" w:cs="Arial"/>
                <w:color w:val="000000" w:themeColor="text1"/>
                <w:sz w:val="20"/>
                <w:szCs w:val="20"/>
                <w:lang w:val="pt-PT"/>
              </w:rPr>
            </w:pPr>
            <w:r w:rsidRPr="00036694">
              <w:rPr>
                <w:rFonts w:ascii="Arial" w:eastAsia="Times New Roman" w:hAnsi="Arial" w:cs="Arial"/>
                <w:i/>
                <w:color w:val="000000" w:themeColor="text1"/>
                <w:sz w:val="20"/>
                <w:szCs w:val="20"/>
                <w:lang w:val="de-DE"/>
              </w:rPr>
              <w:t>Steindachneridion scriptum</w:t>
            </w:r>
            <w:r w:rsidRPr="00036694">
              <w:rPr>
                <w:rFonts w:ascii="Arial" w:eastAsia="Times New Roman" w:hAnsi="Arial" w:cs="Arial"/>
                <w:color w:val="000000" w:themeColor="text1"/>
                <w:sz w:val="20"/>
                <w:szCs w:val="20"/>
                <w:lang w:val="de-DE"/>
              </w:rPr>
              <w:t xml:space="preserve"> (surubim-do-Iguaçu)</w:t>
            </w:r>
          </w:p>
        </w:tc>
        <w:tc>
          <w:tcPr>
            <w:tcW w:w="0" w:type="auto"/>
          </w:tcPr>
          <w:p w14:paraId="020F2432"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Brésil, Paraguay, Argentine, Uruguay. </w:t>
            </w:r>
            <w:r w:rsidRPr="00036694">
              <w:rPr>
                <w:rFonts w:ascii="Arial" w:eastAsia="Times New Roman" w:hAnsi="Arial" w:cs="Arial"/>
                <w:b/>
                <w:bCs/>
                <w:color w:val="000000" w:themeColor="text1"/>
                <w:sz w:val="20"/>
                <w:szCs w:val="20"/>
                <w:lang w:val="fr-FR"/>
              </w:rPr>
              <w:t xml:space="preserve">UICN : </w:t>
            </w:r>
            <w:r w:rsidRPr="00036694">
              <w:rPr>
                <w:rFonts w:ascii="Arial" w:eastAsia="Times New Roman" w:hAnsi="Arial" w:cs="Arial"/>
                <w:color w:val="000000" w:themeColor="text1"/>
                <w:sz w:val="20"/>
                <w:szCs w:val="20"/>
                <w:lang w:val="fr-FR"/>
              </w:rPr>
              <w:t>En danger (2023).</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Grand pimélodidé migrateur se déplaçant le long des cours d'eau principaux ; les barrages fragmentent la connectivité entre les zones de frai et les zones de reproduction.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priorités communes pour la modernisation des barrières et la protection des zones de reproduction situées dans les plaines inondables, au-delà des frontières.</w:t>
            </w:r>
          </w:p>
        </w:tc>
      </w:tr>
      <w:tr w:rsidR="009672C2" w:rsidRPr="002F17EA" w14:paraId="5A19CC81" w14:textId="77777777">
        <w:tc>
          <w:tcPr>
            <w:tcW w:w="0" w:type="auto"/>
          </w:tcPr>
          <w:p w14:paraId="1AADF9EF"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i/>
                <w:iCs/>
                <w:color w:val="000000" w:themeColor="text1"/>
                <w:sz w:val="20"/>
                <w:szCs w:val="20"/>
                <w:lang w:val="fr-FR"/>
              </w:rPr>
              <w:t>Tenualosa ilisha</w:t>
            </w:r>
            <w:r w:rsidRPr="00036694">
              <w:rPr>
                <w:rFonts w:ascii="Arial" w:eastAsia="Times New Roman" w:hAnsi="Arial" w:cs="Arial"/>
                <w:color w:val="000000" w:themeColor="text1"/>
                <w:sz w:val="20"/>
                <w:szCs w:val="20"/>
                <w:lang w:val="fr-FR"/>
              </w:rPr>
              <w:t xml:space="preserve"> (alose hilsa)</w:t>
            </w:r>
          </w:p>
        </w:tc>
        <w:tc>
          <w:tcPr>
            <w:tcW w:w="0" w:type="auto"/>
          </w:tcPr>
          <w:p w14:paraId="1F59FBB3"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Baie du Bengale (Inde-Bangladesh-Myanmar ; Pakistan via l'Indus).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selon la base de données. </w:t>
            </w:r>
            <w:r w:rsidRPr="00036694">
              <w:rPr>
                <w:rFonts w:ascii="Arial" w:eastAsia="Times New Roman" w:hAnsi="Arial" w:cs="Arial"/>
                <w:b/>
                <w:bCs/>
                <w:color w:val="000000" w:themeColor="text1"/>
                <w:sz w:val="20"/>
                <w:szCs w:val="20"/>
                <w:lang w:val="fr-FR"/>
              </w:rPr>
              <w:t>Migration :</w:t>
            </w:r>
            <w:r w:rsidRPr="00036694">
              <w:rPr>
                <w:rFonts w:ascii="Arial" w:eastAsia="Times New Roman" w:hAnsi="Arial" w:cs="Arial"/>
                <w:color w:val="000000" w:themeColor="text1"/>
                <w:sz w:val="20"/>
                <w:szCs w:val="20"/>
                <w:lang w:val="fr-FR"/>
              </w:rPr>
              <w:t xml:space="preserve"> Clupéidé anadrome avec des parcours transfrontaliers entre le fleuve et le delta.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coordination des fermetures saisonnières, harmonisation des engins et des maillages, et objectifs d'échappement entre les Parties.</w:t>
            </w:r>
          </w:p>
        </w:tc>
      </w:tr>
      <w:tr w:rsidR="009672C2" w:rsidRPr="002F17EA" w14:paraId="4851BD5E" w14:textId="77777777">
        <w:tc>
          <w:tcPr>
            <w:tcW w:w="0" w:type="auto"/>
          </w:tcPr>
          <w:p w14:paraId="2AC75FD5"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i/>
                <w:iCs/>
                <w:color w:val="000000" w:themeColor="text1"/>
                <w:sz w:val="20"/>
                <w:szCs w:val="20"/>
                <w:lang w:val="fr-FR"/>
              </w:rPr>
              <w:t>Tor putitora</w:t>
            </w:r>
            <w:r w:rsidRPr="00036694">
              <w:rPr>
                <w:rFonts w:ascii="Arial" w:eastAsia="Times New Roman" w:hAnsi="Arial" w:cs="Arial"/>
                <w:color w:val="000000" w:themeColor="text1"/>
                <w:sz w:val="20"/>
                <w:szCs w:val="20"/>
                <w:lang w:val="fr-FR"/>
              </w:rPr>
              <w:t xml:space="preserve"> (mahseer)</w:t>
            </w:r>
          </w:p>
        </w:tc>
        <w:tc>
          <w:tcPr>
            <w:tcW w:w="0" w:type="auto"/>
          </w:tcPr>
          <w:p w14:paraId="3DB44898"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Afghanistan, Pakistan, Inde, Népal, Bhoutan, Bangladesh (données également du Myanmar et de Thaïlande).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En danger.</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Longues migrations pré-mousson des rivières principales vers les sites de frai en amont ; les barrages et la récolte entraînent des déclins.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fermetures saisonnières transfrontalières, sanctuaires des affluents et lâchers coordonnés de flux environnementaux.</w:t>
            </w:r>
          </w:p>
        </w:tc>
      </w:tr>
      <w:tr w:rsidR="009672C2" w:rsidRPr="002F17EA" w14:paraId="0DB60144" w14:textId="77777777">
        <w:tc>
          <w:tcPr>
            <w:tcW w:w="0" w:type="auto"/>
          </w:tcPr>
          <w:p w14:paraId="02DAAA4D" w14:textId="77777777" w:rsidR="009672C2" w:rsidRPr="00036694" w:rsidRDefault="002A409C">
            <w:pPr>
              <w:rPr>
                <w:rFonts w:ascii="Arial" w:eastAsia="Times New Roman" w:hAnsi="Arial" w:cs="Arial"/>
                <w:color w:val="000000" w:themeColor="text1"/>
                <w:sz w:val="20"/>
                <w:szCs w:val="20"/>
              </w:rPr>
            </w:pPr>
            <w:r w:rsidRPr="00036694">
              <w:rPr>
                <w:rFonts w:ascii="Arial" w:eastAsia="Times New Roman" w:hAnsi="Arial" w:cs="Arial"/>
                <w:i/>
                <w:iCs/>
                <w:color w:val="000000" w:themeColor="text1"/>
                <w:sz w:val="20"/>
                <w:szCs w:val="20"/>
                <w:lang w:val="en-GB"/>
              </w:rPr>
              <w:t>Zungaro jahu</w:t>
            </w:r>
            <w:r w:rsidRPr="00036694">
              <w:rPr>
                <w:rFonts w:ascii="Arial" w:eastAsia="Times New Roman" w:hAnsi="Arial" w:cs="Arial"/>
                <w:color w:val="000000" w:themeColor="text1"/>
                <w:sz w:val="20"/>
                <w:szCs w:val="20"/>
                <w:lang w:val="en-GB"/>
              </w:rPr>
              <w:t xml:space="preserve"> (jau)</w:t>
            </w:r>
          </w:p>
        </w:tc>
        <w:tc>
          <w:tcPr>
            <w:tcW w:w="0" w:type="auto"/>
          </w:tcPr>
          <w:p w14:paraId="19C3F5B6" w14:textId="77777777" w:rsidR="009672C2" w:rsidRPr="00036694" w:rsidRDefault="002A409C">
            <w:pPr>
              <w:rPr>
                <w:rFonts w:ascii="Arial" w:eastAsia="Times New Roman" w:hAnsi="Arial" w:cs="Arial"/>
                <w:color w:val="000000" w:themeColor="text1"/>
                <w:sz w:val="20"/>
                <w:szCs w:val="20"/>
                <w:lang w:val="fr-FR"/>
              </w:rPr>
            </w:pPr>
            <w:r w:rsidRPr="00036694">
              <w:rPr>
                <w:rFonts w:ascii="Arial" w:eastAsia="Times New Roman" w:hAnsi="Arial" w:cs="Arial"/>
                <w:b/>
                <w:bCs/>
                <w:color w:val="000000" w:themeColor="text1"/>
                <w:sz w:val="20"/>
                <w:szCs w:val="20"/>
                <w:lang w:val="fr-FR"/>
              </w:rPr>
              <w:t>Pays :</w:t>
            </w:r>
            <w:r w:rsidRPr="00036694">
              <w:rPr>
                <w:rFonts w:ascii="Arial" w:eastAsia="Times New Roman" w:hAnsi="Arial" w:cs="Arial"/>
                <w:color w:val="000000" w:themeColor="text1"/>
                <w:sz w:val="20"/>
                <w:szCs w:val="20"/>
                <w:lang w:val="fr-FR"/>
              </w:rPr>
              <w:t xml:space="preserve"> Haut Paraná/Paraguay-Paraná. </w:t>
            </w:r>
            <w:r w:rsidRPr="00036694">
              <w:rPr>
                <w:rFonts w:ascii="Arial" w:eastAsia="Times New Roman" w:hAnsi="Arial" w:cs="Arial"/>
                <w:b/>
                <w:bCs/>
                <w:color w:val="000000" w:themeColor="text1"/>
                <w:sz w:val="20"/>
                <w:szCs w:val="20"/>
                <w:lang w:val="fr-FR"/>
              </w:rPr>
              <w:t>UICN :</w:t>
            </w:r>
            <w:r w:rsidRPr="00036694">
              <w:rPr>
                <w:rFonts w:ascii="Arial" w:eastAsia="Times New Roman" w:hAnsi="Arial" w:cs="Arial"/>
                <w:color w:val="000000" w:themeColor="text1"/>
                <w:sz w:val="20"/>
                <w:szCs w:val="20"/>
                <w:lang w:val="fr-FR"/>
              </w:rPr>
              <w:t xml:space="preserve"> selon la base de données.</w:t>
            </w:r>
            <w:r w:rsidRPr="00036694">
              <w:rPr>
                <w:rFonts w:ascii="Arial" w:eastAsia="Times New Roman" w:hAnsi="Arial" w:cs="Arial"/>
                <w:b/>
                <w:bCs/>
                <w:color w:val="000000" w:themeColor="text1"/>
                <w:sz w:val="20"/>
                <w:szCs w:val="20"/>
                <w:lang w:val="fr-FR"/>
              </w:rPr>
              <w:t xml:space="preserve"> Migration :</w:t>
            </w:r>
            <w:r w:rsidRPr="00036694">
              <w:rPr>
                <w:rFonts w:ascii="Arial" w:eastAsia="Times New Roman" w:hAnsi="Arial" w:cs="Arial"/>
                <w:color w:val="000000" w:themeColor="text1"/>
                <w:sz w:val="20"/>
                <w:szCs w:val="20"/>
                <w:lang w:val="fr-FR"/>
              </w:rPr>
              <w:t xml:space="preserve"> Poisson-chat potamodrome de longue distance qui dépend des zones de reproduction des plaines inondables. </w:t>
            </w:r>
            <w:r w:rsidRPr="00036694">
              <w:rPr>
                <w:rFonts w:ascii="Arial" w:eastAsia="Times New Roman" w:hAnsi="Arial" w:cs="Arial"/>
                <w:b/>
                <w:bCs/>
                <w:color w:val="000000" w:themeColor="text1"/>
                <w:sz w:val="20"/>
                <w:szCs w:val="20"/>
                <w:lang w:val="fr-FR"/>
              </w:rPr>
              <w:t>Coopération :</w:t>
            </w:r>
            <w:r w:rsidRPr="00036694">
              <w:rPr>
                <w:rFonts w:ascii="Arial" w:eastAsia="Times New Roman" w:hAnsi="Arial" w:cs="Arial"/>
                <w:color w:val="000000" w:themeColor="text1"/>
                <w:sz w:val="20"/>
                <w:szCs w:val="20"/>
                <w:lang w:val="fr-FR"/>
              </w:rPr>
              <w:t xml:space="preserve"> aménagements de passage transfrontalier ; règles de flux environnementaux/de pointe ; sanctuaires dans les zones de frai connues.</w:t>
            </w:r>
          </w:p>
        </w:tc>
      </w:tr>
    </w:tbl>
    <w:p w14:paraId="5E13E750" w14:textId="77777777" w:rsidR="00303385" w:rsidRDefault="00303385" w:rsidP="005A396C">
      <w:pPr>
        <w:pStyle w:val="Heading3"/>
      </w:pPr>
    </w:p>
    <w:p w14:paraId="1A5B5663" w14:textId="22E248E9" w:rsidR="009672C2" w:rsidRPr="005A396C" w:rsidRDefault="002A409C" w:rsidP="005A396C">
      <w:pPr>
        <w:pStyle w:val="Heading3"/>
      </w:pPr>
      <w:bookmarkStart w:id="33" w:name="_Toc214450265"/>
      <w:r w:rsidRPr="005A396C">
        <w:t>5.2.2 Assemblages d'espèces</w:t>
      </w:r>
      <w:bookmarkEnd w:id="33"/>
    </w:p>
    <w:p w14:paraId="0C9A3BC8" w14:textId="77777777" w:rsidR="00303385" w:rsidRDefault="00303385">
      <w:pPr>
        <w:pStyle w:val="NoSpacing"/>
        <w:rPr>
          <w:rStyle w:val="Heading4Char"/>
          <w:sz w:val="22"/>
          <w:lang w:val="fr-FR"/>
        </w:rPr>
      </w:pPr>
    </w:p>
    <w:p w14:paraId="3D0DCEC9" w14:textId="3C9DCBA5" w:rsidR="009672C2" w:rsidRPr="00036694" w:rsidRDefault="002A409C">
      <w:pPr>
        <w:pStyle w:val="NoSpacing"/>
        <w:rPr>
          <w:rStyle w:val="Heading4Char"/>
          <w:sz w:val="22"/>
          <w:lang w:val="fr-FR"/>
        </w:rPr>
      </w:pPr>
      <w:r w:rsidRPr="00036694">
        <w:rPr>
          <w:rStyle w:val="Heading4Char"/>
          <w:sz w:val="22"/>
          <w:lang w:val="fr-FR"/>
        </w:rPr>
        <w:t>Grands poissons-chats migrateurs de la famille des Pimélodidés (Brachyplatystoma, Pseudoplatystoma, Zungaro)</w:t>
      </w:r>
    </w:p>
    <w:p w14:paraId="55C2BF0C" w14:textId="43C22BC4"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Ces espèces forment des stocks partagés et transfrontaliers dans les affluents de La Plata et de l'Amazone et entreprennent des mouvements saisonniers à l'échelle du bassin, reliant les corridors de frai en amont aux zones de reproduction des plaines inondables, avec un déclin généralisé ou une disparition locale indiquant un statut défavorable dans certaines parties de leurs aires de répartition (Carolsfeld et al. 2003 ; Agostinho et al. 2003). </w:t>
      </w:r>
      <w:r w:rsidRPr="00036694">
        <w:rPr>
          <w:rFonts w:ascii="Arial" w:hAnsi="Arial" w:cs="Arial"/>
          <w:i/>
          <w:iCs/>
          <w:color w:val="000000" w:themeColor="text1"/>
          <w:sz w:val="22"/>
          <w:lang w:val="fr-FR"/>
        </w:rPr>
        <w:t xml:space="preserve">Pseudoplatystoma </w:t>
      </w:r>
      <w:r w:rsidRPr="00036694">
        <w:rPr>
          <w:rFonts w:ascii="Arial" w:hAnsi="Arial" w:cs="Arial"/>
          <w:i/>
          <w:iCs/>
          <w:color w:val="000000" w:themeColor="text1"/>
          <w:sz w:val="22"/>
          <w:lang w:val="fr-FR"/>
        </w:rPr>
        <w:lastRenderedPageBreak/>
        <w:t>corruscans</w:t>
      </w:r>
      <w:r w:rsidRPr="00036694">
        <w:rPr>
          <w:rFonts w:ascii="Arial" w:hAnsi="Arial" w:cs="Arial"/>
          <w:color w:val="000000" w:themeColor="text1"/>
          <w:sz w:val="22"/>
          <w:lang w:val="fr-FR"/>
        </w:rPr>
        <w:t xml:space="preserve"> et </w:t>
      </w:r>
      <w:r w:rsidRPr="00036694">
        <w:rPr>
          <w:rFonts w:ascii="Arial" w:hAnsi="Arial" w:cs="Arial"/>
          <w:i/>
          <w:iCs/>
          <w:color w:val="000000" w:themeColor="text1"/>
          <w:sz w:val="22"/>
          <w:lang w:val="fr-FR"/>
        </w:rPr>
        <w:t>Pseudoplatystoma fasciatum</w:t>
      </w:r>
      <w:r w:rsidRPr="00036694">
        <w:rPr>
          <w:rFonts w:ascii="Arial" w:hAnsi="Arial" w:cs="Arial"/>
          <w:color w:val="000000" w:themeColor="text1"/>
          <w:sz w:val="22"/>
          <w:lang w:val="fr-FR"/>
        </w:rPr>
        <w:t xml:space="preserve"> ont considérablement régressé dans le système de La Plata, avec des rapports d'extirpation dans le haut Uruguay, de surexploitation dans le haut Paraguay et de réduction des débarquements dans le bas Paraná et le Río de la Plata – des tendances attribuables à la régulation des rivières, à la fragmentation des routes et à l'intensification de la pêche des adultes migrateurs (Carolsfeld et al. 2003 ; Quirós 2003 ; Agostinho et al. 2003). </w:t>
      </w:r>
      <w:r w:rsidRPr="00036694">
        <w:rPr>
          <w:rFonts w:ascii="Arial" w:hAnsi="Arial" w:cs="Arial"/>
          <w:i/>
          <w:iCs/>
          <w:color w:val="000000" w:themeColor="text1"/>
          <w:sz w:val="22"/>
          <w:lang w:val="fr-FR"/>
        </w:rPr>
        <w:t>Le Zungaro jahu</w:t>
      </w:r>
      <w:r w:rsidRPr="00036694">
        <w:rPr>
          <w:rFonts w:ascii="Arial" w:hAnsi="Arial" w:cs="Arial"/>
          <w:color w:val="000000" w:themeColor="text1"/>
          <w:sz w:val="22"/>
          <w:lang w:val="fr-FR"/>
        </w:rPr>
        <w:t xml:space="preserve"> montre des mouvements similaires sur de longues distances et des réductions marquées, y compris des déclins soutenus près d'Itaipu et une quasi-absence dans les tronçons lacustres, ce qui est cohérent avec les effets des barrières sur la connectivité et l'accès aux plaines inondables (Agostinho et al. 2003 ; Quirós 2003 ; Petrere et al. 2000). En Amazonie, </w:t>
      </w:r>
      <w:r w:rsidRPr="00036694">
        <w:rPr>
          <w:rFonts w:ascii="Arial" w:hAnsi="Arial" w:cs="Arial"/>
          <w:i/>
          <w:iCs/>
          <w:color w:val="000000" w:themeColor="text1"/>
          <w:sz w:val="22"/>
          <w:lang w:val="fr-FR"/>
        </w:rPr>
        <w:t>Brachyplatystoma</w:t>
      </w:r>
      <w:r w:rsidRPr="00036694">
        <w:rPr>
          <w:rFonts w:ascii="Arial" w:hAnsi="Arial" w:cs="Arial"/>
          <w:color w:val="000000" w:themeColor="text1"/>
          <w:sz w:val="22"/>
          <w:lang w:val="fr-FR"/>
        </w:rPr>
        <w:t xml:space="preserve"> regroupe des espèces migratrices extrêmes sur de très longues distances, qui dépendent de voies principales ininterrompues et de corridors de dérive. Cela souligne l'importance de mesures coopératives à l'échelle du bassin, où les juridictions sont partagées entre l'Argentine, le Paraguay, le Brésil, la Bolivie et l'Uruguay (Agostinho et al. 2003 ; Carolsfeld et al. 2003). L'inscription à l'Annexe II pourrait harmoniser l'évaluation transfrontalière des stocks, les normes de performance pour le passage des poissons, les débits environnementaux pour la dérive des larves et la protection des zones de reproduction des plaines inondables ; lorsque l'adhésion par les Parties est incomplète, des mesures de coopération peuvent être développées parallèlement aux efforts d'adhésion (Agostinho et al. 2003 ; Quirós 2003).</w:t>
      </w:r>
    </w:p>
    <w:p w14:paraId="2B281AE2" w14:textId="77777777" w:rsidR="009672C2" w:rsidRPr="00036694" w:rsidRDefault="009672C2">
      <w:pPr>
        <w:pStyle w:val="NoSpacing"/>
        <w:rPr>
          <w:rFonts w:ascii="Arial" w:hAnsi="Arial" w:cs="Arial"/>
          <w:color w:val="000000" w:themeColor="text1"/>
          <w:sz w:val="22"/>
          <w:lang w:val="fr-FR"/>
        </w:rPr>
      </w:pPr>
    </w:p>
    <w:p w14:paraId="3C9C1CAE" w14:textId="77777777" w:rsidR="009672C2" w:rsidRPr="00036694" w:rsidRDefault="002A409C">
      <w:pPr>
        <w:pStyle w:val="NoSpacing"/>
        <w:rPr>
          <w:rStyle w:val="Heading4Char"/>
          <w:sz w:val="22"/>
          <w:lang w:val="fr-FR"/>
        </w:rPr>
      </w:pPr>
      <w:r w:rsidRPr="00036694">
        <w:rPr>
          <w:rStyle w:val="Heading4Char"/>
          <w:sz w:val="22"/>
          <w:lang w:val="fr-FR"/>
        </w:rPr>
        <w:t>Grands characidés et Serrasalmidae migrateurs (Brycon, Salminus, Piaractus ; Prochilodus et Semaprochilodus ; familles Characidae, Serrasalmidae, Prochilodontidae)</w:t>
      </w:r>
    </w:p>
    <w:p w14:paraId="4C050B1D" w14:textId="5BCD2D9B"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Ces taxons forment des populations transfrontalières qui entreprennent de longues migrations de pré-fraie et de fraie, avec des déclins prononcés indiquant des conditions défavorables dans plusieurs tronçons de rivière (Carolsfeld et al. 2003 ; Agostinho et al. 2003). </w:t>
      </w:r>
      <w:r w:rsidRPr="00036694">
        <w:rPr>
          <w:rFonts w:ascii="Arial" w:hAnsi="Arial" w:cs="Arial"/>
          <w:i/>
          <w:iCs/>
          <w:color w:val="000000" w:themeColor="text1"/>
          <w:sz w:val="22"/>
          <w:lang w:val="fr-FR"/>
        </w:rPr>
        <w:t>Salminus spp.</w:t>
      </w:r>
      <w:r w:rsidRPr="00036694">
        <w:rPr>
          <w:rFonts w:ascii="Arial" w:hAnsi="Arial" w:cs="Arial"/>
          <w:color w:val="000000" w:themeColor="text1"/>
          <w:sz w:val="22"/>
          <w:lang w:val="fr-FR"/>
        </w:rPr>
        <w:t xml:space="preserve"> se déplace sur des centaines – et même jusqu'à plus de mille – kilomètres entre les tronçons estuariens et amonts, y compris un déplacement documenté d'environ 1 440 kilomètres dans le système de La Plata, démontrant l'ampleur de la connectivité inter-juridictionnelle que la gestion doit prendre en considération (Petrere 1985 ; Sverlij et Espinach-Ros 1986). Les analyses régionales signalent de fortes diminutions de l'abondance dans les zones inférieure et moyenne du Paraná ainsi que dans les affluents du bassin supérieur, avec des effets de barrière et la perte d'habitats riverains et de plaines inondables fragmentant les itinéraires et réduisant le recrutement, ce qui correspond à une trajectoire défavorable (Agostinho et al. 2003 ; Quirós 2003). </w:t>
      </w:r>
      <w:r w:rsidRPr="00036694">
        <w:rPr>
          <w:rFonts w:ascii="Arial" w:hAnsi="Arial" w:cs="Arial"/>
          <w:i/>
          <w:iCs/>
          <w:color w:val="000000" w:themeColor="text1"/>
          <w:sz w:val="22"/>
          <w:lang w:val="fr-FR"/>
        </w:rPr>
        <w:t>Les espèces de Prochilodus</w:t>
      </w:r>
      <w:r w:rsidRPr="00036694">
        <w:rPr>
          <w:rFonts w:ascii="Arial" w:hAnsi="Arial" w:cs="Arial"/>
          <w:color w:val="000000" w:themeColor="text1"/>
          <w:sz w:val="22"/>
          <w:lang w:val="fr-FR"/>
        </w:rPr>
        <w:t>, grands détritivores effectuant des migrations sur de longues distances qui relient les troncs principaux aux plaines inondables, sont particulièrement sensibles à l'échec du passage dans les barrages et à la modification des flux saisonniers, ce qui renforce l'argument en faveur d'une gestion coordonnée entre l'Argentine, l'Uruguay, le Paraguay et le Brésil (Agostinho et al. 2003 ; Carolsfeld et al. 2003). Lorsque plusieurs Parties partagent des stocks, les mesures de l'Annexe II peuvent formaliser les fermetures saisonnières des remontées de cours d'eau, l'identification et la surveillance des stocks génétiques, ainsi que la remise en service de l'énergie hydroélectrique pour restaurer la connectivité et les impulsions de crue (Agostinho et al. 2003 ; Quirós 2003).</w:t>
      </w:r>
    </w:p>
    <w:p w14:paraId="78883172" w14:textId="77777777" w:rsidR="009672C2" w:rsidRPr="00036694" w:rsidRDefault="009672C2">
      <w:pPr>
        <w:pStyle w:val="NoSpacing"/>
        <w:rPr>
          <w:rFonts w:ascii="Arial" w:hAnsi="Arial" w:cs="Arial"/>
          <w:color w:val="000000" w:themeColor="text1"/>
          <w:sz w:val="22"/>
          <w:lang w:val="fr-FR"/>
        </w:rPr>
      </w:pPr>
    </w:p>
    <w:p w14:paraId="1BDDE16C" w14:textId="77777777" w:rsidR="009672C2" w:rsidRPr="00036694" w:rsidRDefault="002A409C">
      <w:pPr>
        <w:pStyle w:val="NoSpacing"/>
        <w:rPr>
          <w:rStyle w:val="Heading4Char"/>
          <w:sz w:val="22"/>
          <w:lang w:val="fr-FR"/>
        </w:rPr>
      </w:pPr>
      <w:r w:rsidRPr="00036694">
        <w:rPr>
          <w:rStyle w:val="Heading4Char"/>
          <w:sz w:val="22"/>
          <w:lang w:val="fr-FR"/>
        </w:rPr>
        <w:t>Poisson-chat pangasiidé d'Asie du Sud-Est continentale, notamment le Mékong (Pangasius, Pangasianodon ; famille des Pangasiidae)</w:t>
      </w:r>
    </w:p>
    <w:p w14:paraId="2A1D9B37" w14:textId="695B7FCD"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Ces espèces maintiennent des stocks partagés au-delà des frontières nationales et montrent des déclins prononcés dans certaines parties de leurs aires de répartition, répondant à la fois aux critères migratoires et défavorables dans plusieurs cas (Ngor et al. 2018 ; Herrera-R et al. 2023). </w:t>
      </w:r>
      <w:r w:rsidRPr="00036694">
        <w:rPr>
          <w:rFonts w:ascii="Arial" w:hAnsi="Arial" w:cs="Arial"/>
          <w:i/>
          <w:iCs/>
          <w:color w:val="000000" w:themeColor="text1"/>
          <w:sz w:val="22"/>
          <w:lang w:val="fr-FR"/>
        </w:rPr>
        <w:t>Pangasianodon hypophthalmus</w:t>
      </w:r>
      <w:r w:rsidRPr="00036694">
        <w:rPr>
          <w:rFonts w:ascii="Arial" w:hAnsi="Arial" w:cs="Arial"/>
          <w:color w:val="000000" w:themeColor="text1"/>
          <w:sz w:val="22"/>
          <w:lang w:val="fr-FR"/>
        </w:rPr>
        <w:t xml:space="preserve">, classé comme espèce en danger, a subi un déclin sévère dans le Chao Phraya et montre des réductions importantes dans les pêcheries des plaines inondables du bas Mékong, telles que le système du Tonle Sap. Les mouvements </w:t>
      </w:r>
      <w:r w:rsidRPr="00036694">
        <w:rPr>
          <w:rFonts w:ascii="Arial" w:hAnsi="Arial" w:cs="Arial"/>
          <w:color w:val="000000" w:themeColor="text1"/>
          <w:sz w:val="22"/>
          <w:lang w:val="fr-FR"/>
        </w:rPr>
        <w:lastRenderedPageBreak/>
        <w:t xml:space="preserve">saisonniers incluent les migrations des adultes en amont avec le début des flux de la mousson, ainsi que la dérive des larves en aval vers les nurseries des plaines inondables qui s'étendent au-delà des frontières entre le Cambodge et le Viet Nam, ainsi qu'entre la République démocratique populaire lao et la Thaïlande (So et al. 2006 ; Poulsen et Jørgensen 2000 ; Van Zalinge et al. 2002 ; Ngor et al. 2018). Alors que </w:t>
      </w:r>
      <w:r w:rsidRPr="00036694">
        <w:rPr>
          <w:rFonts w:ascii="Arial" w:hAnsi="Arial" w:cs="Arial"/>
          <w:i/>
          <w:iCs/>
          <w:color w:val="000000" w:themeColor="text1"/>
          <w:sz w:val="22"/>
          <w:lang w:val="fr-FR"/>
        </w:rPr>
        <w:t>Pangasianodon gigas</w:t>
      </w:r>
      <w:r w:rsidRPr="00036694">
        <w:rPr>
          <w:rFonts w:ascii="Arial" w:hAnsi="Arial" w:cs="Arial"/>
          <w:color w:val="000000" w:themeColor="text1"/>
          <w:sz w:val="22"/>
          <w:lang w:val="fr-FR"/>
        </w:rPr>
        <w:t xml:space="preserve"> est déjà inscrit à l'Annexe I, les pangasiidés apparentés figurant sur la liste satisfont aux critères de menace et aux critères transfrontaliers et se trouvent dans les juridictions des Parties, ce qui permet d'appliquer les mesures de l'Annexe II pour la surveillance partagée, la protection des frayères, la réduction des prises accessoires dans les pêcheries de barrage et de filet-barrage, et la gestion du débit pour préserver les fenêtres de dérive des larves. En cas de lacunes dans l'adhésion, les cadres des commissions fluviales peuvent promouvoir ces actions en attendant l'adhésion (Ngor et al. 2018 ; Herrera-R et al. 2023).</w:t>
      </w:r>
    </w:p>
    <w:p w14:paraId="4CD8628C" w14:textId="77777777" w:rsidR="009672C2" w:rsidRPr="00036694" w:rsidRDefault="009672C2">
      <w:pPr>
        <w:pStyle w:val="NoSpacing"/>
        <w:rPr>
          <w:rFonts w:ascii="Arial" w:hAnsi="Arial" w:cs="Arial"/>
          <w:color w:val="000000" w:themeColor="text1"/>
          <w:sz w:val="22"/>
          <w:lang w:val="fr-FR"/>
        </w:rPr>
      </w:pPr>
    </w:p>
    <w:p w14:paraId="24497F56" w14:textId="77777777" w:rsidR="009672C2" w:rsidRPr="00036694" w:rsidRDefault="002A409C">
      <w:pPr>
        <w:pStyle w:val="NoSpacing"/>
        <w:rPr>
          <w:rStyle w:val="Heading4Char"/>
          <w:sz w:val="22"/>
          <w:lang w:val="fr-FR"/>
        </w:rPr>
      </w:pPr>
      <w:r w:rsidRPr="00036694">
        <w:rPr>
          <w:rStyle w:val="Heading4Char"/>
          <w:sz w:val="22"/>
          <w:lang w:val="fr-FR"/>
        </w:rPr>
        <w:t>Mégacarpes du Mékong (Probarbus, Catlocarpio ; famille des Cyprinidés)</w:t>
      </w:r>
    </w:p>
    <w:p w14:paraId="32A6BDFD" w14:textId="7642DC45"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Ces cyprinidés à longue durée de vie forment des stocks partagés du cours principal qui se rassemblent pour frayer dans des bassins profonds et se dispersent largement avec l'impulsion de la crue, une dynamique transfrontalière qui les rend très vulnérables aux pêcheries ciblées et aux altérations hydrologiques au-delà des frontières nationales (Ngor et al. 2018). </w:t>
      </w:r>
      <w:r w:rsidRPr="00036694">
        <w:rPr>
          <w:rFonts w:ascii="Arial" w:hAnsi="Arial" w:cs="Arial"/>
          <w:i/>
          <w:iCs/>
          <w:color w:val="000000" w:themeColor="text1"/>
          <w:sz w:val="22"/>
          <w:lang w:val="fr-FR"/>
        </w:rPr>
        <w:t>Les espèces de Probarbus</w:t>
      </w:r>
      <w:r w:rsidRPr="00036694">
        <w:rPr>
          <w:rFonts w:ascii="Arial" w:hAnsi="Arial" w:cs="Arial"/>
          <w:color w:val="000000" w:themeColor="text1"/>
          <w:sz w:val="22"/>
          <w:lang w:val="fr-FR"/>
        </w:rPr>
        <w:t xml:space="preserve"> se reproduisent pendant la saison sèche dans des bassins profonds et sont vulnérables à l'exploitation à des endroits et moments prévisibles, tandis que </w:t>
      </w:r>
      <w:r w:rsidRPr="00036694">
        <w:rPr>
          <w:rFonts w:ascii="Arial" w:hAnsi="Arial" w:cs="Arial"/>
          <w:i/>
          <w:iCs/>
          <w:color w:val="000000" w:themeColor="text1"/>
          <w:sz w:val="22"/>
          <w:lang w:val="fr-FR"/>
        </w:rPr>
        <w:t>Catlocarpio siamensis</w:t>
      </w:r>
      <w:r w:rsidRPr="00036694">
        <w:rPr>
          <w:rFonts w:ascii="Arial" w:hAnsi="Arial" w:cs="Arial"/>
          <w:color w:val="000000" w:themeColor="text1"/>
          <w:sz w:val="22"/>
          <w:lang w:val="fr-FR"/>
        </w:rPr>
        <w:t xml:space="preserve"> dépend de repères de flux saisonniers intacts et de la connectivité, avec des déclins liés à la pression de la pêche et aux changements des régimes de débit dans les tronçons partagés du Mékong inférieur et moyen (Ngor et al. 2018). Lorsque plusieurs Parties se chevauchent, les mesures de l'Annexe II peuvent formaliser les sanctuaires de mares profondes, les fermetures saisonnières sur les sites de frai connus et la coordination des flux adaptatifs. Dans les tronçons non-Parties, des mesures similaires peuvent être mises en œuvre par le biais d'accords sous-régionaux pendant la procédure d'adhésion (Ngor et al. 2018).</w:t>
      </w:r>
    </w:p>
    <w:p w14:paraId="41D37225" w14:textId="77777777" w:rsidR="009672C2" w:rsidRPr="00036694" w:rsidRDefault="009672C2">
      <w:pPr>
        <w:pStyle w:val="NoSpacing"/>
        <w:rPr>
          <w:rFonts w:ascii="Arial" w:hAnsi="Arial" w:cs="Arial"/>
          <w:color w:val="000000" w:themeColor="text1"/>
          <w:sz w:val="22"/>
          <w:lang w:val="fr-FR"/>
        </w:rPr>
      </w:pPr>
    </w:p>
    <w:p w14:paraId="67CECA1C" w14:textId="77777777" w:rsidR="009672C2" w:rsidRPr="00036694" w:rsidRDefault="002A409C">
      <w:pPr>
        <w:pStyle w:val="NoSpacing"/>
        <w:rPr>
          <w:rStyle w:val="Heading4Char"/>
          <w:sz w:val="22"/>
          <w:lang w:val="fr-FR"/>
        </w:rPr>
      </w:pPr>
      <w:r w:rsidRPr="00036694">
        <w:rPr>
          <w:rStyle w:val="Heading4Char"/>
          <w:sz w:val="22"/>
          <w:lang w:val="fr-FR"/>
        </w:rPr>
        <w:t>Salmonidés de l'hémisphère Nord tempéré (Salmo, Hucho, Salvelinus, Coregonus ; famille Salmonidae)</w:t>
      </w:r>
    </w:p>
    <w:p w14:paraId="032C77C1" w14:textId="7E094C7B"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Ces espèces comprennent des migrateurs transfrontaliers d'eau douce dont le déclin est documenté dans plusieurs juridictions, indiquant un statut défavorable pour plusieurs populations (Ocock et al. 2006). </w:t>
      </w:r>
      <w:r w:rsidRPr="00036694">
        <w:rPr>
          <w:rFonts w:ascii="Arial" w:hAnsi="Arial" w:cs="Arial"/>
          <w:i/>
          <w:iCs/>
          <w:color w:val="000000" w:themeColor="text1"/>
          <w:sz w:val="22"/>
          <w:lang w:val="fr-FR"/>
        </w:rPr>
        <w:t>Hucho taimen</w:t>
      </w:r>
      <w:r w:rsidRPr="00036694">
        <w:rPr>
          <w:rFonts w:ascii="Arial" w:hAnsi="Arial" w:cs="Arial"/>
          <w:color w:val="000000" w:themeColor="text1"/>
          <w:sz w:val="22"/>
          <w:lang w:val="fr-FR"/>
        </w:rPr>
        <w:t xml:space="preserve"> effectue des déplacements à l'échelle du bassin dans les systèmes hydrographiques de l'Amour et de l'Arctique eurasien et a connu un déclin en Russie, en Mongolie et en Chine en raison de la surpêche, de la dégradation de l'habitat, des pressions sur la qualité de l'eau et des effets des barrières ; les grands spécimens adultes sont désormais rares dans de nombreux tronçons historiques, et des régressions ont été signalées dans les rivières endiguées de l'ouest de la Russie ainsi que dans les eaux touchées par l'exploitation minière en Mongolie (Ocock et al. 2006 ; Gilroy et al. 2010). Dans les bassins versants transfrontaliers européens, certaines populations de </w:t>
      </w:r>
      <w:r w:rsidRPr="00036694">
        <w:rPr>
          <w:rFonts w:ascii="Arial" w:hAnsi="Arial" w:cs="Arial"/>
          <w:i/>
          <w:iCs/>
          <w:color w:val="000000" w:themeColor="text1"/>
          <w:sz w:val="22"/>
          <w:lang w:val="fr-FR"/>
        </w:rPr>
        <w:t>Coregonus</w:t>
      </w:r>
      <w:r w:rsidRPr="00036694">
        <w:rPr>
          <w:rFonts w:ascii="Arial" w:hAnsi="Arial" w:cs="Arial"/>
          <w:color w:val="000000" w:themeColor="text1"/>
          <w:sz w:val="22"/>
          <w:lang w:val="fr-FR"/>
        </w:rPr>
        <w:t xml:space="preserve"> et </w:t>
      </w:r>
      <w:r w:rsidRPr="00036694">
        <w:rPr>
          <w:rFonts w:ascii="Arial" w:hAnsi="Arial" w:cs="Arial"/>
          <w:i/>
          <w:iCs/>
          <w:color w:val="000000" w:themeColor="text1"/>
          <w:sz w:val="22"/>
          <w:lang w:val="fr-FR"/>
        </w:rPr>
        <w:t>Salmo</w:t>
      </w:r>
      <w:r w:rsidRPr="00036694">
        <w:rPr>
          <w:rFonts w:ascii="Arial" w:hAnsi="Arial" w:cs="Arial"/>
          <w:color w:val="000000" w:themeColor="text1"/>
          <w:sz w:val="22"/>
          <w:lang w:val="fr-FR"/>
        </w:rPr>
        <w:t xml:space="preserve"> traversent les frontières nationales, répondant au critère migratoire où le statut de menace est également élevé ; les mesures de l'Annexe II pourraient se concentrer sur les refuges thermiques, l'habitat de frai sur gravier et les effets cumulatifs de l'hydroélectricité qui opèrent au-delà des frontières (Ocock et al. 2006).</w:t>
      </w:r>
    </w:p>
    <w:p w14:paraId="5BFAE9F3" w14:textId="77777777" w:rsidR="009672C2" w:rsidRPr="00036694" w:rsidRDefault="009672C2">
      <w:pPr>
        <w:pStyle w:val="NoSpacing"/>
        <w:rPr>
          <w:rFonts w:ascii="Arial" w:hAnsi="Arial" w:cs="Arial"/>
          <w:color w:val="000000" w:themeColor="text1"/>
          <w:sz w:val="22"/>
          <w:lang w:val="fr-FR"/>
        </w:rPr>
      </w:pPr>
    </w:p>
    <w:p w14:paraId="43EDEA05" w14:textId="77777777" w:rsidR="009672C2" w:rsidRPr="00036694" w:rsidRDefault="002A409C">
      <w:pPr>
        <w:pStyle w:val="NoSpacing"/>
        <w:rPr>
          <w:rStyle w:val="Heading4Char"/>
          <w:sz w:val="22"/>
          <w:lang w:val="fr-FR"/>
        </w:rPr>
      </w:pPr>
      <w:r w:rsidRPr="00036694">
        <w:rPr>
          <w:rStyle w:val="Heading4Char"/>
          <w:sz w:val="22"/>
          <w:lang w:val="fr-FR"/>
        </w:rPr>
        <w:t>Anguilles anguillidés (Anguilla ; famille des Anguillidae)</w:t>
      </w:r>
    </w:p>
    <w:p w14:paraId="19378B06" w14:textId="45C80FFB"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Ces poissons catadromes relient les eaux intérieures de plusieurs juridictions aux zones de reproduction océaniques, créant ainsi des stocks intrinsèquement transfrontaliers qui répondent au critère migratoire et sont confrontés à des conditions défavorables dans de nombreux endroits en raison des obstacles au passage, de la mortalité due aux turbines, de l'exploitation des juvéniles et des adultes, et de l'évolution des conditions océaniques (Yang et al. 2024). </w:t>
      </w:r>
      <w:r w:rsidRPr="00036694">
        <w:rPr>
          <w:rFonts w:ascii="Arial" w:hAnsi="Arial" w:cs="Arial"/>
          <w:color w:val="000000" w:themeColor="text1"/>
          <w:sz w:val="22"/>
          <w:lang w:val="fr-FR"/>
        </w:rPr>
        <w:lastRenderedPageBreak/>
        <w:t>Comme de nombreuses aires de répartition comprennent déjà au moins deux Parties, une action coordonnée au titre de l'Annexe II peut aligner les normes de passage à l'intérieur des terres, réglementer les pêcheries spécifiques aux stades de vie et harmoniser le recrutement et la surveillance des échappées entre les pays, notamment les petits États insulaires d'Océanie où la connectivité s'étend sur de multiples souverainetés (Yang et al. 2024).</w:t>
      </w:r>
    </w:p>
    <w:p w14:paraId="02DD2A6B" w14:textId="77777777" w:rsidR="009672C2" w:rsidRPr="00036694" w:rsidRDefault="009672C2">
      <w:pPr>
        <w:pStyle w:val="NoSpacing"/>
        <w:rPr>
          <w:rFonts w:ascii="Arial" w:hAnsi="Arial" w:cs="Arial"/>
          <w:color w:val="000000" w:themeColor="text1"/>
          <w:sz w:val="22"/>
          <w:lang w:val="fr-FR"/>
        </w:rPr>
      </w:pPr>
    </w:p>
    <w:p w14:paraId="79B0F80D" w14:textId="77777777" w:rsidR="009672C2" w:rsidRPr="00036694" w:rsidRDefault="002A409C">
      <w:pPr>
        <w:pStyle w:val="NoSpacing"/>
        <w:rPr>
          <w:rStyle w:val="Heading4Char"/>
          <w:sz w:val="22"/>
          <w:lang w:val="fr-FR"/>
        </w:rPr>
      </w:pPr>
      <w:r w:rsidRPr="00036694">
        <w:rPr>
          <w:rStyle w:val="Heading4Char"/>
          <w:sz w:val="22"/>
          <w:lang w:val="fr-FR"/>
        </w:rPr>
        <w:t>Aloses clupéidées de la sous-famille des Alosinae (Alosa, Tenualosa ; famille des Clupéidés)</w:t>
      </w:r>
    </w:p>
    <w:p w14:paraId="1528F8DF" w14:textId="2719EF6B"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Ces migrateurs anadromes constituent des stocks partagés entre les estuaires et les rivières et effectuent des migrations saisonnières dans des systèmes transfrontaliers, l'alose hilsa étant un exemple marquant en Asie du Sud. Ils répondent ainsi aux critères de migration et de stocks partagés, tout en mettant en évidence des conditions défavorables dans les zones où l'exploitation et l'altération des flux sont particulièrement intenses (Zapata et Usma 2013 ; Herrera-R et al. 2023). </w:t>
      </w:r>
      <w:r w:rsidRPr="00036694">
        <w:rPr>
          <w:rFonts w:ascii="Arial" w:hAnsi="Arial" w:cs="Arial"/>
          <w:i/>
          <w:iCs/>
          <w:color w:val="000000" w:themeColor="text1"/>
          <w:sz w:val="22"/>
          <w:lang w:val="fr-FR"/>
        </w:rPr>
        <w:t>Tenualosa ilisha</w:t>
      </w:r>
      <w:r w:rsidRPr="00036694">
        <w:rPr>
          <w:rFonts w:ascii="Arial" w:hAnsi="Arial" w:cs="Arial"/>
          <w:color w:val="000000" w:themeColor="text1"/>
          <w:sz w:val="22"/>
          <w:lang w:val="fr-FR"/>
        </w:rPr>
        <w:t xml:space="preserve"> soutient des pêcheries majeures dans le système du Gange, du Brahmapoutre et de la Meghna, partagé par le Bangladesh et l'Inde. La force et le calendrier des remontées ainsi que du recrutement sont influencés par les flux, la salinité et la gestion de l'habitat estuarien au-delà des frontières, ce qui souligne l'importance de mesures coordonnées là où les Parties coexistent (Zapata et Usma 2013). Dans les eaux partagées des Parties, les approches de l'Annexe II peuvent harmoniser les fermetures saisonnières, la régulation des mailles et la gestion des flux environnementaux afin de protéger les affluents de frai en amont ainsi que les conditions des zones de reproduction estuariennes (Zapata et Usma 2013 ; Herrera-R et al. 2023).</w:t>
      </w:r>
    </w:p>
    <w:p w14:paraId="5FE04E03" w14:textId="77777777" w:rsidR="009672C2" w:rsidRPr="00036694" w:rsidRDefault="009672C2">
      <w:pPr>
        <w:pStyle w:val="NoSpacing"/>
        <w:rPr>
          <w:rFonts w:ascii="Arial" w:hAnsi="Arial" w:cs="Arial"/>
          <w:color w:val="000000" w:themeColor="text1"/>
          <w:sz w:val="22"/>
          <w:lang w:val="fr-FR"/>
        </w:rPr>
      </w:pPr>
    </w:p>
    <w:p w14:paraId="3B1DC279" w14:textId="77777777" w:rsidR="009672C2" w:rsidRPr="00036694" w:rsidRDefault="002A409C">
      <w:pPr>
        <w:pStyle w:val="NoSpacing"/>
        <w:rPr>
          <w:rStyle w:val="Heading4Char"/>
          <w:sz w:val="22"/>
          <w:lang w:val="fr-FR"/>
        </w:rPr>
      </w:pPr>
      <w:r w:rsidRPr="00036694">
        <w:rPr>
          <w:rStyle w:val="Heading4Char"/>
          <w:sz w:val="22"/>
          <w:lang w:val="fr-FR"/>
        </w:rPr>
        <w:t>Mahseer et cyprinidés de montagne apparentés (Tor, Neolissochilus, Naziritor ; famille Cyprinidae)</w:t>
      </w:r>
    </w:p>
    <w:p w14:paraId="7FBA7FAF" w14:textId="2902B08B" w:rsidR="009672C2" w:rsidRPr="00036694"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Ces poissons fluviaux entreprennent des migrations vers l'amont, quittant les grands cours d'eau principaux pour rejoindre les affluents situés en amont afin de frayer, avant de retourner en aval vers leurs habitats d'alimentation. Ils forment des stocks transfrontaliers à travers la région himalayenne et subissent de multiples pressions qui témoignent d'un statut défavorable dans certaines parties de leurs aires de répartition (Malik et Negi 2007 ; Jayaram 2005). </w:t>
      </w:r>
      <w:r w:rsidRPr="00036694">
        <w:rPr>
          <w:rFonts w:ascii="Arial" w:hAnsi="Arial" w:cs="Arial"/>
          <w:i/>
          <w:iCs/>
          <w:color w:val="000000" w:themeColor="text1"/>
          <w:sz w:val="22"/>
          <w:lang w:val="fr-FR"/>
        </w:rPr>
        <w:t>Tor putitora</w:t>
      </w:r>
      <w:r w:rsidRPr="00036694">
        <w:rPr>
          <w:rFonts w:ascii="Arial" w:hAnsi="Arial" w:cs="Arial"/>
          <w:color w:val="000000" w:themeColor="text1"/>
          <w:sz w:val="22"/>
          <w:lang w:val="fr-FR"/>
        </w:rPr>
        <w:t xml:space="preserve"> est partagé entre l'Afghanistan, le Pakistan, l'Inde, le Népal, le Bhoutan, le Bangladesh, le Sri Lanka et les pays voisins, et est confronté à la surpêche, à l'extraction d'agrégats et aux effets cumulatifs des cascades de barrages qui fragmentent les corridors et altèrent les indices de flux et de température essentiels à la migration (Malik et Negi 2007). Lorsque deux ou plusieurs Parties se partagent des stocks, les mesures de l'Annexe II peuvent établir des objectifs de performance pour le passage, protéger les affluents de frai, coordonner les débits environnementaux pendant la saison sèche et réglementer la capture des adultes avant le frai. Dans les tronçons non-Parties, les accords sur les cours d'eau transfrontaliers peuvent avancer des mesures similaires en attendant l'adhésion (Malik et Negi 2007 ; Jayaram 2005).</w:t>
      </w:r>
    </w:p>
    <w:p w14:paraId="30C153B6" w14:textId="77777777" w:rsidR="009672C2" w:rsidRPr="00036694" w:rsidRDefault="009672C2">
      <w:pPr>
        <w:pStyle w:val="NoSpacing"/>
        <w:rPr>
          <w:rFonts w:ascii="Arial" w:hAnsi="Arial" w:cs="Arial"/>
          <w:color w:val="000000" w:themeColor="text1"/>
          <w:sz w:val="22"/>
          <w:lang w:val="fr-FR"/>
        </w:rPr>
      </w:pPr>
    </w:p>
    <w:p w14:paraId="03B53FC4" w14:textId="77777777" w:rsidR="009672C2" w:rsidRPr="00036694" w:rsidRDefault="002A409C">
      <w:pPr>
        <w:pStyle w:val="NoSpacing"/>
        <w:rPr>
          <w:rStyle w:val="Heading4Char"/>
          <w:sz w:val="22"/>
          <w:lang w:val="fr-FR"/>
        </w:rPr>
      </w:pPr>
      <w:r w:rsidRPr="00036694">
        <w:rPr>
          <w:rStyle w:val="Heading4Char"/>
          <w:sz w:val="22"/>
          <w:lang w:val="fr-FR"/>
        </w:rPr>
        <w:t>Mulets, barbeaux, truites de rivière, gobies, raies pastenagues</w:t>
      </w:r>
    </w:p>
    <w:p w14:paraId="5B5C0317" w14:textId="673B81B6" w:rsidR="009672C2"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Les mulets sont des migrateurs amphidromes qui connectent les habitats côtiers et fluviaux et constituent des stocks partagés dans les estuaires, ce qui souligne l'intérêt d'une gestion coordonnée des barrages de marée et de la connectivité entre les zones côtières et fluviales là où les Parties se chevauchent (Herrera-R et al. 2023). Le barbeau européen (</w:t>
      </w:r>
      <w:r w:rsidRPr="00036694">
        <w:rPr>
          <w:rFonts w:ascii="Arial" w:hAnsi="Arial" w:cs="Arial"/>
          <w:i/>
          <w:iCs/>
          <w:color w:val="000000" w:themeColor="text1"/>
          <w:sz w:val="22"/>
          <w:lang w:val="fr-FR"/>
        </w:rPr>
        <w:t>Luciobarbus</w:t>
      </w:r>
      <w:r w:rsidRPr="00036694">
        <w:rPr>
          <w:rFonts w:ascii="Arial" w:hAnsi="Arial" w:cs="Arial"/>
          <w:color w:val="000000" w:themeColor="text1"/>
          <w:sz w:val="22"/>
          <w:lang w:val="fr-FR"/>
        </w:rPr>
        <w:t>) et le petit barbeau africain (</w:t>
      </w:r>
      <w:r w:rsidRPr="00036694">
        <w:rPr>
          <w:rFonts w:ascii="Arial" w:hAnsi="Arial" w:cs="Arial"/>
          <w:i/>
          <w:iCs/>
          <w:color w:val="000000" w:themeColor="text1"/>
          <w:sz w:val="22"/>
          <w:lang w:val="fr-FR"/>
        </w:rPr>
        <w:t>Enteromius</w:t>
      </w:r>
      <w:r w:rsidRPr="00036694">
        <w:rPr>
          <w:rFonts w:ascii="Arial" w:hAnsi="Arial" w:cs="Arial"/>
          <w:color w:val="000000" w:themeColor="text1"/>
          <w:sz w:val="22"/>
          <w:lang w:val="fr-FR"/>
        </w:rPr>
        <w:t xml:space="preserve">) sont des spécialistes des rivières potamodromes dont les mouvements transfrontaliers sont entravés par des seuils et des barrages de taille moyenne, ce qui suggère la valeur d'une atténuation harmonisée des obstacles dans les bassins versants partagés (Herrera-R et al. 2023). Les truites des neiges de l'Himalaya et d'Asie dans </w:t>
      </w:r>
      <w:r w:rsidRPr="00036694">
        <w:rPr>
          <w:rFonts w:ascii="Arial" w:hAnsi="Arial" w:cs="Arial"/>
          <w:i/>
          <w:iCs/>
          <w:color w:val="000000" w:themeColor="text1"/>
          <w:sz w:val="22"/>
          <w:lang w:val="fr-FR"/>
        </w:rPr>
        <w:t>Schizothorax</w:t>
      </w:r>
      <w:r w:rsidRPr="00036694">
        <w:rPr>
          <w:rFonts w:ascii="Arial" w:hAnsi="Arial" w:cs="Arial"/>
          <w:color w:val="000000" w:themeColor="text1"/>
          <w:sz w:val="22"/>
          <w:lang w:val="fr-FR"/>
        </w:rPr>
        <w:t xml:space="preserve"> dépendent des cours d'eau froids et rapides et présentent des schémas de déplacement saisonniers liés au débit et à la température qui traversent les frontières politiques, </w:t>
      </w:r>
      <w:r w:rsidRPr="00036694">
        <w:rPr>
          <w:rFonts w:ascii="Arial" w:hAnsi="Arial" w:cs="Arial"/>
          <w:color w:val="000000" w:themeColor="text1"/>
          <w:sz w:val="22"/>
          <w:lang w:val="fr-FR"/>
        </w:rPr>
        <w:lastRenderedPageBreak/>
        <w:t xml:space="preserve">tandis que les gobies amphidromes </w:t>
      </w:r>
      <w:r w:rsidRPr="00036694">
        <w:rPr>
          <w:rFonts w:ascii="Arial" w:hAnsi="Arial" w:cs="Arial"/>
          <w:i/>
          <w:iCs/>
          <w:color w:val="000000" w:themeColor="text1"/>
          <w:sz w:val="22"/>
          <w:lang w:val="fr-FR"/>
        </w:rPr>
        <w:t>Sicydium</w:t>
      </w:r>
      <w:r w:rsidRPr="00036694">
        <w:rPr>
          <w:rFonts w:ascii="Arial" w:hAnsi="Arial" w:cs="Arial"/>
          <w:color w:val="000000" w:themeColor="text1"/>
          <w:sz w:val="22"/>
          <w:lang w:val="fr-FR"/>
        </w:rPr>
        <w:t xml:space="preserve"> démontrent des cycles de vie tête de bassin-estuaire sur des îles tropicales où de nombreuses petites barrières interrompent la connectivité entre les juridictions (Herrera-R et al. 2023 ; Yang et al. 2024). Les raies d'eau douce de la famille </w:t>
      </w:r>
      <w:r w:rsidRPr="00036694">
        <w:rPr>
          <w:rFonts w:ascii="Arial" w:hAnsi="Arial" w:cs="Arial"/>
          <w:i/>
          <w:color w:val="000000" w:themeColor="text1"/>
          <w:sz w:val="22"/>
          <w:lang w:val="fr-FR"/>
        </w:rPr>
        <w:t>Dasyatidae</w:t>
      </w:r>
      <w:r w:rsidRPr="00036694">
        <w:rPr>
          <w:rFonts w:ascii="Arial" w:hAnsi="Arial" w:cs="Arial"/>
          <w:color w:val="000000" w:themeColor="text1"/>
          <w:sz w:val="22"/>
          <w:lang w:val="fr-FR"/>
        </w:rPr>
        <w:t xml:space="preserve"> en Asie occupent des chenaux de plaine d'inondation et des habitats à fond de sable exposés au dragage et à la modification des flux. Plusieurs pays partagent des populations dans de grands bassins, ce qui renforce le besoin de mesures transfrontalières (Carolsfeld et al. 2003 ; Herrera-R et al. 2023).</w:t>
      </w:r>
    </w:p>
    <w:p w14:paraId="3F7F99CA" w14:textId="77777777" w:rsidR="00C9584A" w:rsidRPr="00036694" w:rsidRDefault="00C9584A">
      <w:pPr>
        <w:pStyle w:val="NoSpacing"/>
        <w:jc w:val="both"/>
        <w:rPr>
          <w:rFonts w:ascii="Arial" w:hAnsi="Arial" w:cs="Arial"/>
          <w:color w:val="000000" w:themeColor="text1"/>
          <w:sz w:val="22"/>
          <w:lang w:val="fr-FR"/>
        </w:rPr>
      </w:pPr>
    </w:p>
    <w:p w14:paraId="73EF6EBB" w14:textId="3777146C" w:rsidR="009672C2" w:rsidRDefault="002A409C" w:rsidP="00C9584A">
      <w:pPr>
        <w:pStyle w:val="Heading2"/>
        <w:spacing w:before="0" w:line="240" w:lineRule="auto"/>
        <w:ind w:left="567" w:hanging="567"/>
        <w:rPr>
          <w:rFonts w:ascii="Arial" w:hAnsi="Arial" w:cs="Arial"/>
          <w:b w:val="0"/>
          <w:bCs w:val="0"/>
          <w:sz w:val="22"/>
          <w:szCs w:val="22"/>
          <w:lang w:val="fr-FR"/>
        </w:rPr>
      </w:pPr>
      <w:bookmarkStart w:id="34" w:name="_Toc214450266"/>
      <w:r w:rsidRPr="00C9584A">
        <w:rPr>
          <w:rFonts w:ascii="Arial" w:hAnsi="Arial" w:cs="Arial"/>
          <w:b w:val="0"/>
          <w:bCs w:val="0"/>
          <w:sz w:val="22"/>
          <w:szCs w:val="22"/>
          <w:lang w:val="fr-FR"/>
        </w:rPr>
        <w:t xml:space="preserve">5.3 </w:t>
      </w:r>
      <w:r w:rsidR="00C9584A">
        <w:rPr>
          <w:rFonts w:ascii="Arial" w:hAnsi="Arial" w:cs="Arial"/>
          <w:b w:val="0"/>
          <w:bCs w:val="0"/>
          <w:sz w:val="22"/>
          <w:szCs w:val="22"/>
          <w:lang w:val="fr-FR"/>
        </w:rPr>
        <w:tab/>
      </w:r>
      <w:r w:rsidRPr="00C9584A">
        <w:rPr>
          <w:rFonts w:ascii="Arial" w:hAnsi="Arial" w:cs="Arial"/>
          <w:b w:val="0"/>
          <w:bCs w:val="0"/>
          <w:sz w:val="22"/>
          <w:szCs w:val="22"/>
          <w:lang w:val="fr-FR"/>
        </w:rPr>
        <w:t>Bassins fluviaux prioritaires</w:t>
      </w:r>
      <w:bookmarkEnd w:id="34"/>
    </w:p>
    <w:p w14:paraId="26965F2E" w14:textId="77777777" w:rsidR="00C9584A" w:rsidRPr="00C9584A" w:rsidRDefault="00C9584A" w:rsidP="00C9584A">
      <w:pPr>
        <w:spacing w:after="0" w:line="240" w:lineRule="auto"/>
        <w:rPr>
          <w:lang w:val="fr-FR"/>
        </w:rPr>
      </w:pPr>
    </w:p>
    <w:p w14:paraId="4377F2EB" w14:textId="77777777" w:rsidR="009672C2" w:rsidRPr="00036694" w:rsidRDefault="002A409C" w:rsidP="005A396C">
      <w:pPr>
        <w:pStyle w:val="Heading3"/>
      </w:pPr>
      <w:bookmarkStart w:id="35" w:name="_Toc214450267"/>
      <w:r w:rsidRPr="00036694">
        <w:t>5.3.1 Bassin amazonien (Amérique du Sud)</w:t>
      </w:r>
      <w:bookmarkEnd w:id="35"/>
    </w:p>
    <w:p w14:paraId="74E0D7BF" w14:textId="77777777" w:rsidR="00C9584A" w:rsidRDefault="00C9584A">
      <w:pPr>
        <w:pStyle w:val="NoSpacing"/>
        <w:jc w:val="both"/>
        <w:rPr>
          <w:rFonts w:ascii="Arial" w:hAnsi="Arial" w:cs="Arial"/>
          <w:sz w:val="22"/>
          <w:lang w:val="fr-FR"/>
        </w:rPr>
      </w:pPr>
    </w:p>
    <w:p w14:paraId="6BAF0C4B" w14:textId="36018F3D" w:rsidR="009672C2" w:rsidRDefault="002A409C">
      <w:pPr>
        <w:pStyle w:val="NoSpacing"/>
        <w:jc w:val="both"/>
        <w:rPr>
          <w:rFonts w:ascii="Arial" w:hAnsi="Arial" w:cs="Arial"/>
          <w:sz w:val="22"/>
          <w:lang w:val="fr-FR"/>
        </w:rPr>
      </w:pPr>
      <w:r w:rsidRPr="00036694">
        <w:rPr>
          <w:rFonts w:ascii="Arial" w:hAnsi="Arial" w:cs="Arial"/>
          <w:sz w:val="22"/>
          <w:lang w:val="fr-FR"/>
        </w:rPr>
        <w:t>L'Amazone abrite les mouvements à l'échelle du bassin des grands poissons-chats et des characiformes, avec une connectivité qui s'étend des zones de frai des eaux d'amont aux vastes zones de reproduction des plaines inondables, franchissant souvent les frontières nationales. Les stocks partagés sont préservés grâce à de longs corridors ininterrompus du cours principal et à des cycles hydroclimatiques prévisibles. Les pressions récentes exercées par les cascades hydroélectriques, le dragage des chenaux et les pêcheries à grandes mailles ont accru les risques pour les adultes migrateurs et les larves dérivantes dans les segments transfrontaliers, ce qui indique des trajectoires défavorables pour plusieurs taxons (Carolsfeld et al. 2003). Les mesures de coopération devraient donner la priorité à la protection des corridors d'étranglement utilisés pendant les migrations des adultes, à la sauvegarde et à la cartographie des voies de dérive des larves, ainsi qu'à la surveillance conjointe de l'efficacité du passage et de la survie aux barrages existants et prévus le long des tronçons internationaux (Carolsfeld et al. 2003). Dans le cadre d'un instrument de l'Annexe II, les Parties pourraient coordonner les réglementations saisonnières en matière de pêche pendant les mouvements de remontée des cours d'eau, normaliser les restrictions en matière d'engins qui minimisent les prises accessoires des grands migrateurs, et aligner les régimes de flux environnementaux afin de préserver les modèles d'inondation des plaines inondables qui sont essentiels pour le recrutement (Carolsfeld et al. 2003). Étant donné que plusieurs affluents majeurs traversent les frontières peu en amont des plaines inondables de grande valeur, la protection précoce de ces nœuds peut offrir des avantages à l'échelle du bassin qui sont disproportionnés par rapport à la portée géographique de l'intervention (Carolsfeld et al. 2003).</w:t>
      </w:r>
    </w:p>
    <w:p w14:paraId="50AD60CB" w14:textId="77777777" w:rsidR="00C9584A" w:rsidRPr="00036694" w:rsidRDefault="00C9584A">
      <w:pPr>
        <w:pStyle w:val="NoSpacing"/>
        <w:jc w:val="both"/>
        <w:rPr>
          <w:rFonts w:ascii="Arial" w:hAnsi="Arial" w:cs="Arial"/>
          <w:sz w:val="22"/>
          <w:lang w:val="fr-FR"/>
        </w:rPr>
      </w:pPr>
    </w:p>
    <w:p w14:paraId="35777ACE" w14:textId="77777777" w:rsidR="009672C2" w:rsidRPr="00036694" w:rsidRDefault="002A409C" w:rsidP="005A396C">
      <w:pPr>
        <w:pStyle w:val="Heading3"/>
      </w:pPr>
      <w:bookmarkStart w:id="36" w:name="_Toc214450268"/>
      <w:r w:rsidRPr="00036694">
        <w:t>5.3.2 Système de La Plata et du Paraná (Amérique du Sud)</w:t>
      </w:r>
      <w:bookmarkEnd w:id="36"/>
    </w:p>
    <w:p w14:paraId="327D8B7D" w14:textId="77777777" w:rsidR="00C9584A" w:rsidRDefault="00C9584A">
      <w:pPr>
        <w:pStyle w:val="NoSpacing"/>
        <w:jc w:val="both"/>
        <w:rPr>
          <w:rFonts w:ascii="Arial" w:hAnsi="Arial" w:cs="Arial"/>
          <w:color w:val="000000" w:themeColor="text1"/>
          <w:sz w:val="22"/>
          <w:lang w:val="fr-FR"/>
        </w:rPr>
      </w:pPr>
    </w:p>
    <w:p w14:paraId="43AEF77E" w14:textId="7BD84289" w:rsidR="009672C2"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Ce système abrite de nombreux migrateurs transfrontaliers sur de longues distances parmi les grands poissons-chats pimélodidés ainsi que les characidés et Serrasalmidae migrateurs, avec une connectivité des populations s'étendant sur l'Argentine, le Brésil, le Paraguay, l'Uruguay et la Bolivie. Les espèces prioritaires dans ce bassin sont </w:t>
      </w:r>
      <w:r w:rsidRPr="00036694">
        <w:rPr>
          <w:rFonts w:ascii="Arial" w:hAnsi="Arial" w:cs="Arial"/>
          <w:i/>
          <w:iCs/>
          <w:color w:val="000000" w:themeColor="text1"/>
          <w:sz w:val="22"/>
          <w:lang w:val="fr-FR"/>
        </w:rPr>
        <w:t>Brycon orbignyanus</w:t>
      </w:r>
      <w:r w:rsidRPr="00036694">
        <w:rPr>
          <w:rFonts w:ascii="Arial" w:hAnsi="Arial" w:cs="Arial"/>
          <w:color w:val="000000" w:themeColor="text1"/>
          <w:sz w:val="22"/>
          <w:lang w:val="fr-FR"/>
        </w:rPr>
        <w:t xml:space="preserve">, </w:t>
      </w:r>
      <w:r w:rsidRPr="00036694">
        <w:rPr>
          <w:rFonts w:ascii="Arial" w:hAnsi="Arial" w:cs="Arial"/>
          <w:i/>
          <w:iCs/>
          <w:color w:val="000000" w:themeColor="text1"/>
          <w:sz w:val="22"/>
          <w:lang w:val="fr-FR"/>
        </w:rPr>
        <w:t>Genidens barbus</w:t>
      </w:r>
      <w:r w:rsidRPr="00036694">
        <w:rPr>
          <w:rFonts w:ascii="Arial" w:hAnsi="Arial" w:cs="Arial"/>
          <w:color w:val="000000" w:themeColor="text1"/>
          <w:sz w:val="22"/>
          <w:lang w:val="fr-FR"/>
        </w:rPr>
        <w:t xml:space="preserve"> et </w:t>
      </w:r>
      <w:r w:rsidRPr="00036694">
        <w:rPr>
          <w:rFonts w:ascii="Arial" w:hAnsi="Arial" w:cs="Arial"/>
          <w:i/>
          <w:iCs/>
          <w:color w:val="000000" w:themeColor="text1"/>
          <w:sz w:val="22"/>
          <w:lang w:val="fr-FR"/>
        </w:rPr>
        <w:t>Zungaro jahu</w:t>
      </w:r>
      <w:r w:rsidRPr="00036694">
        <w:rPr>
          <w:rFonts w:ascii="Arial" w:hAnsi="Arial" w:cs="Arial"/>
          <w:color w:val="000000" w:themeColor="text1"/>
          <w:sz w:val="22"/>
          <w:lang w:val="fr-FR"/>
        </w:rPr>
        <w:t xml:space="preserve">. Les preuves de stocks partagés et d'un état défavorable sont solides : des rapports répétés font état de déclins et de disparitions locales pour </w:t>
      </w:r>
      <w:r w:rsidRPr="00036694">
        <w:rPr>
          <w:rFonts w:ascii="Arial" w:hAnsi="Arial" w:cs="Arial"/>
          <w:i/>
          <w:iCs/>
          <w:color w:val="000000" w:themeColor="text1"/>
          <w:sz w:val="22"/>
          <w:lang w:val="fr-FR"/>
        </w:rPr>
        <w:t>Pseudoplatystoma</w:t>
      </w:r>
      <w:r w:rsidRPr="00036694">
        <w:rPr>
          <w:rFonts w:ascii="Arial" w:hAnsi="Arial" w:cs="Arial"/>
          <w:color w:val="000000" w:themeColor="text1"/>
          <w:sz w:val="22"/>
          <w:lang w:val="fr-FR"/>
        </w:rPr>
        <w:t xml:space="preserve"> et </w:t>
      </w:r>
      <w:r w:rsidRPr="00036694">
        <w:rPr>
          <w:rFonts w:ascii="Arial" w:hAnsi="Arial" w:cs="Arial"/>
          <w:i/>
          <w:iCs/>
          <w:color w:val="000000" w:themeColor="text1"/>
          <w:sz w:val="22"/>
          <w:lang w:val="fr-FR"/>
        </w:rPr>
        <w:t>Zungaro</w:t>
      </w:r>
      <w:r w:rsidRPr="00036694">
        <w:rPr>
          <w:rFonts w:ascii="Arial" w:hAnsi="Arial" w:cs="Arial"/>
          <w:color w:val="000000" w:themeColor="text1"/>
          <w:sz w:val="22"/>
          <w:lang w:val="fr-FR"/>
        </w:rPr>
        <w:t xml:space="preserve">, ainsi que de fortes réductions des migrateurs sur de longues distances tels que </w:t>
      </w:r>
      <w:r w:rsidRPr="00036694">
        <w:rPr>
          <w:rFonts w:ascii="Arial" w:hAnsi="Arial" w:cs="Arial"/>
          <w:i/>
          <w:iCs/>
          <w:color w:val="000000" w:themeColor="text1"/>
          <w:sz w:val="22"/>
          <w:lang w:val="fr-FR"/>
        </w:rPr>
        <w:t>Salminus</w:t>
      </w:r>
      <w:r w:rsidRPr="00036694">
        <w:rPr>
          <w:rFonts w:ascii="Arial" w:hAnsi="Arial" w:cs="Arial"/>
          <w:color w:val="000000" w:themeColor="text1"/>
          <w:sz w:val="22"/>
          <w:lang w:val="fr-FR"/>
        </w:rPr>
        <w:t xml:space="preserve"> et </w:t>
      </w:r>
      <w:r w:rsidRPr="00036694">
        <w:rPr>
          <w:rFonts w:ascii="Arial" w:hAnsi="Arial" w:cs="Arial"/>
          <w:i/>
          <w:iCs/>
          <w:color w:val="000000" w:themeColor="text1"/>
          <w:sz w:val="22"/>
          <w:lang w:val="fr-FR"/>
        </w:rPr>
        <w:t>Brycon</w:t>
      </w:r>
      <w:r w:rsidRPr="00036694">
        <w:rPr>
          <w:rFonts w:ascii="Arial" w:hAnsi="Arial" w:cs="Arial"/>
          <w:color w:val="000000" w:themeColor="text1"/>
          <w:sz w:val="22"/>
          <w:lang w:val="fr-FR"/>
        </w:rPr>
        <w:t xml:space="preserve">. Ces réductions sont liées aux effets de barrière, à la déconnexion des plaines inondables et à l'exploitation intensive lors des mouvements vers l'amont (Agostinho et al. 2003 ; Carolsfeld et al. 2003 ; Quirós 2003). Un cadre de l'Annexe II entre les Parties pourrait coordonner les fermetures saisonnières des frayères, mettre en œuvre des normes de performance pour le passage aux barrages prioritaires situés dans les couloirs de migration, protéger et restaurer les zones de reproduction des plaines inondables, et aligner les lâchers de flux environnemental afin de maintenir la dérive des larves et les impulsions de recrutement (Agostinho et al. 2003 ; Carolsfeld et al. 2003 ; Quirós 2003). Les actions complémentaires </w:t>
      </w:r>
      <w:r w:rsidRPr="00036694">
        <w:rPr>
          <w:rFonts w:ascii="Arial" w:hAnsi="Arial" w:cs="Arial"/>
          <w:color w:val="000000" w:themeColor="text1"/>
          <w:sz w:val="22"/>
          <w:lang w:val="fr-FR"/>
        </w:rPr>
        <w:lastRenderedPageBreak/>
        <w:t>comprennent des protocoles communs d'évaluation des stocks, l'identification des stocks génétiques entre les juridictions et la réduction des prises accessoires transfrontalières dans les pêcheries mixtes où les grands migrateurs sont vulnérables pendant les agrégations précédant le frai (Agostinho et al. 2003 ; Quirós 2003). Lorsque les segments amont et aval sont séparés par des frontières internationales, le partage d'indices indépendants de la pêche et la coordination de la conformité peuvent réduire le risque d'épuisement en série le long de la voie de migration (Carolsfeld et al. 2003).</w:t>
      </w:r>
    </w:p>
    <w:p w14:paraId="2E0FB63C" w14:textId="77777777" w:rsidR="00C9584A" w:rsidRPr="00036694" w:rsidRDefault="00C9584A">
      <w:pPr>
        <w:pStyle w:val="NoSpacing"/>
        <w:jc w:val="both"/>
        <w:rPr>
          <w:rFonts w:ascii="Arial" w:hAnsi="Arial" w:cs="Arial"/>
          <w:color w:val="000000" w:themeColor="text1"/>
          <w:sz w:val="22"/>
          <w:lang w:val="fr-FR"/>
        </w:rPr>
      </w:pPr>
    </w:p>
    <w:p w14:paraId="2A5981A1" w14:textId="77777777" w:rsidR="009672C2" w:rsidRPr="00036694" w:rsidRDefault="002A409C" w:rsidP="005A396C">
      <w:pPr>
        <w:pStyle w:val="Heading3"/>
      </w:pPr>
      <w:bookmarkStart w:id="37" w:name="_Toc214450269"/>
      <w:r w:rsidRPr="00036694">
        <w:t>5.3.3 Bassin du Danube (Europe)</w:t>
      </w:r>
      <w:bookmarkEnd w:id="37"/>
    </w:p>
    <w:p w14:paraId="1985B5B3" w14:textId="77777777" w:rsidR="00C9584A" w:rsidRDefault="00C9584A">
      <w:pPr>
        <w:pStyle w:val="NoSpacing"/>
        <w:jc w:val="both"/>
        <w:rPr>
          <w:rFonts w:ascii="Arial" w:hAnsi="Arial" w:cs="Arial"/>
          <w:sz w:val="22"/>
          <w:lang w:val="fr-FR"/>
        </w:rPr>
      </w:pPr>
    </w:p>
    <w:p w14:paraId="46CEC3B2" w14:textId="56C9DF3B" w:rsidR="009672C2" w:rsidRDefault="002A409C">
      <w:pPr>
        <w:pStyle w:val="NoSpacing"/>
        <w:jc w:val="both"/>
        <w:rPr>
          <w:rFonts w:ascii="Arial" w:hAnsi="Arial" w:cs="Arial"/>
          <w:sz w:val="22"/>
          <w:lang w:val="fr-FR"/>
        </w:rPr>
      </w:pPr>
      <w:r w:rsidRPr="00036694">
        <w:rPr>
          <w:rFonts w:ascii="Arial" w:hAnsi="Arial" w:cs="Arial"/>
          <w:sz w:val="22"/>
          <w:lang w:val="fr-FR"/>
        </w:rPr>
        <w:t>Le Danube relie un grand nombre de Parties et abrite des assemblages de cypriniformes potamodromes qui traversent les frontières nationales pour accomplir leurs migrations entre les corridors du cours principal, les zones de frai des affluents et les zones de reproduction des plaines inondables. Ces stocks partagés ont été fragmentés par la canalisation historique, la construction de barrages et de déversoirs, ainsi que par l'altération des régimes sédimentaires. Cela a entraîné des contractions de population documentées et des ruptures dans l'aire de répartition de plusieurs taxons, ce qui concorde avec un statut défavorable (Ocock et al. 2006). Les mesures prioritaires comprennent la restauration de la connectivité longitudinale au niveau des barrières stratégiques sur le cours principal et les principaux affluents, le rétablissement de la continuité sédimentaire pour stabiliser les graviers de frai, et la coordination des flux environnementaux pour reconnecter les plaines d'inondation et les indices de migration au-delà des frontières (Ocock et al. 2006). Dans le cadre de l'Annexe II, les Parties pourraient formaliser un suivi commun de la chronologie de la montaison et du recrutement, établir des normes coordonnées pour la remise en état des barrières adaptées aux grands migrateurs, et harmoniser les réglementations de pêche dans les tronçons transfrontaliers où les pêcheries transjuridictionnelles ciblent les adultes avant le frai (Ocock et al. 2006). Les premières actions doivent se concentrer sur les nœuds à fort potentiel, où l'élimination des obstacles ou un passage efficace des poissons permettrait de rouvrir de longues sections de rivière tout en préservant les habitats de plaine inondable, qui ont une grande valeur pour l'élevage des juvéniles (Ocock et al. 2006).</w:t>
      </w:r>
    </w:p>
    <w:p w14:paraId="235AA1C2" w14:textId="77777777" w:rsidR="00C9584A" w:rsidRPr="00036694" w:rsidRDefault="00C9584A">
      <w:pPr>
        <w:pStyle w:val="NoSpacing"/>
        <w:jc w:val="both"/>
        <w:rPr>
          <w:rFonts w:ascii="Arial" w:hAnsi="Arial" w:cs="Arial"/>
          <w:sz w:val="22"/>
          <w:lang w:val="fr-FR"/>
        </w:rPr>
      </w:pPr>
    </w:p>
    <w:p w14:paraId="05366513" w14:textId="77777777" w:rsidR="009672C2" w:rsidRPr="00036694" w:rsidRDefault="002A409C" w:rsidP="005A396C">
      <w:pPr>
        <w:pStyle w:val="Heading3"/>
      </w:pPr>
      <w:bookmarkStart w:id="38" w:name="_Toc214450270"/>
      <w:r w:rsidRPr="00036694">
        <w:t>5.3.4 Bassin du Mékong (Asie du Sud-Est continentale)</w:t>
      </w:r>
      <w:bookmarkEnd w:id="38"/>
    </w:p>
    <w:p w14:paraId="41992009" w14:textId="77777777" w:rsidR="00C9584A" w:rsidRDefault="00C9584A">
      <w:pPr>
        <w:pStyle w:val="NoSpacing"/>
        <w:jc w:val="both"/>
        <w:rPr>
          <w:rFonts w:ascii="Arial" w:hAnsi="Arial" w:cs="Arial"/>
          <w:color w:val="000000" w:themeColor="text1"/>
          <w:sz w:val="22"/>
          <w:lang w:val="fr-FR"/>
        </w:rPr>
      </w:pPr>
    </w:p>
    <w:p w14:paraId="12D0427A" w14:textId="3D8F6817" w:rsidR="009672C2"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Le Mékong concentre de nombreux migrateurs hautement prioritaires qui répondent aux critères d'inscription, notamment les poissons-chats pangasiidés et les mégacarpes à longue durée de vie, avec des stocks partagés entre le Cambodge, la République démocratique populaire lao, la Thaïlande et le Viet Nam. Les preuves incluent les migrations saisonnières à longue distance des adultes le long du bras principal, les rassemblements de frai prévisibles dans les bassins profonds et la dérive transfrontalière des larves vers les zones de reproduction des plaines inondables, accompagnés de baisses généralisées des prises par pêcheur et de réductions des grands adultes, ce qui indique un statut défavorable (Ngor et al. 2018). Bien que le manque de membres limite actuellement l'implication formelle de la Convention, des mesures techniques peuvent être prises par le biais de la commission fluviale et des accords sous-régionaux, y compris l'établissement de sanctuaires de bassins profonds sur des sites de frai connus, des fermetures saisonnières coordonnées synchronisées avec les hydrogrammes de mousson, et des règles transfrontalières de flux environnemental qui préservent les fenêtres de dérive des larves et les indices de température (Ngor et al. 2018). Lorsque les Parties sont couvertes, les instruments de l'Annexe II pourraient normaliser l'atténuation des prises accessoires dans les pêcheries à barrage et à filet, harmoniser la surveillance des pics de recrutement dans le système du Tonlé Sap et évaluer les impacts cumulatifs des nouvelles barrières sur les </w:t>
      </w:r>
      <w:r w:rsidRPr="00036694">
        <w:rPr>
          <w:rFonts w:ascii="Arial" w:hAnsi="Arial" w:cs="Arial"/>
          <w:color w:val="000000" w:themeColor="text1"/>
          <w:sz w:val="22"/>
          <w:lang w:val="fr-FR"/>
        </w:rPr>
        <w:lastRenderedPageBreak/>
        <w:t>mouvements transfrontaliers grâce à des cadres de décision communs pour la gestion des passes à poissons et des sédiments (Ngor et al. 2018).</w:t>
      </w:r>
    </w:p>
    <w:p w14:paraId="75B1ACDA" w14:textId="77777777" w:rsidR="00C9584A" w:rsidRPr="00036694" w:rsidRDefault="00C9584A">
      <w:pPr>
        <w:pStyle w:val="NoSpacing"/>
        <w:jc w:val="both"/>
        <w:rPr>
          <w:rFonts w:ascii="Arial" w:hAnsi="Arial" w:cs="Arial"/>
          <w:color w:val="000000" w:themeColor="text1"/>
          <w:sz w:val="22"/>
          <w:lang w:val="fr-FR"/>
        </w:rPr>
      </w:pPr>
    </w:p>
    <w:p w14:paraId="5A92FB1D" w14:textId="77777777" w:rsidR="009672C2" w:rsidRPr="00036694" w:rsidRDefault="002A409C" w:rsidP="005A396C">
      <w:pPr>
        <w:pStyle w:val="Heading3"/>
      </w:pPr>
      <w:bookmarkStart w:id="39" w:name="_Toc214450271"/>
      <w:r w:rsidRPr="00036694">
        <w:t>5.3.5 Fleuves himalayens : systèmes du Gange, du Brahmapoutre, de la Meghna et de l'Indus</w:t>
      </w:r>
      <w:bookmarkEnd w:id="39"/>
    </w:p>
    <w:p w14:paraId="7625587E" w14:textId="77777777" w:rsidR="00C9584A" w:rsidRDefault="00C9584A">
      <w:pPr>
        <w:pStyle w:val="NoSpacing"/>
        <w:jc w:val="both"/>
        <w:rPr>
          <w:rFonts w:ascii="Arial" w:hAnsi="Arial" w:cs="Arial"/>
          <w:color w:val="000000" w:themeColor="text1"/>
          <w:sz w:val="22"/>
          <w:lang w:val="fr-FR"/>
        </w:rPr>
      </w:pPr>
    </w:p>
    <w:p w14:paraId="53B87B99" w14:textId="71F59A17" w:rsidR="009672C2"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Les migrateurs anadromes et potamodromes traversent les frontières dans ces systèmes, l'alose hilsa dans le Gange-Brahmapoutre-Meghna et le mahseer dans les affluents de l'Indus et du Gange constituant des exemples clairs de stocks partagés et de tendances défavorables là où l'exploitation et les effets de barrière sont intenses. Les migrations du hilsa connectent les habitats estuariens et fluviaux à travers le Bangladesh et l'Inde, et le recrutement est influencé par le débit, la salinité et la gestion des estuaires, qui sont régis par différentes juridictions (Zapata et Usma 2013). Les mahseers effectuent des migrations de frai en amont vers les affluents des eaux de tête et retournent dans les grandes rivières pour se nourrir à l'âge adulte, avec des impacts cumulés des cascades de barrages, de l'extraction d'agrégats et de la pêche ciblée réduisant la connectivité et le succès du frai dans les tronçons de rivières partagés (Malik et Negi 2007). Pour les Parties concernées dans ces bassins, les mesures prévues à l'Annexe II peuvent harmoniser les fermetures saisonnières aux nœuds situés en amont et dans les estuaires, protéger et restaurer les habitats de frai de grande valeur des affluents, et coordonner les flux environnementaux en saison sèche afin de préserver les signaux de migration et les régimes thermiques. La contribution reçue conjointe de données sur le moment de la montaison, la dérive des larves et le recrutement des juvéniles peut servir de base à une régulation adaptative transfrontalière (Zapata et Usma 2013 ; Malik et Negi 2007). Lorsque les juridictions non-Parties sont au cœur des voies de migration, les accords sur les cours d'eau transfrontaliers peuvent favoriser des mesures compatibles pendant que l'adhésion est en cours (Zapata et Usma 2013 ; Malik et Negi 2007).</w:t>
      </w:r>
    </w:p>
    <w:p w14:paraId="2F4BD400" w14:textId="77777777" w:rsidR="00C9584A" w:rsidRPr="00036694" w:rsidRDefault="00C9584A">
      <w:pPr>
        <w:pStyle w:val="NoSpacing"/>
        <w:jc w:val="both"/>
        <w:rPr>
          <w:rFonts w:ascii="Arial" w:hAnsi="Arial" w:cs="Arial"/>
          <w:color w:val="000000" w:themeColor="text1"/>
          <w:sz w:val="22"/>
          <w:lang w:val="fr-FR"/>
        </w:rPr>
      </w:pPr>
    </w:p>
    <w:p w14:paraId="676A8448" w14:textId="77777777" w:rsidR="009672C2" w:rsidRPr="00036694" w:rsidRDefault="002A409C" w:rsidP="005A396C">
      <w:pPr>
        <w:pStyle w:val="Heading3"/>
      </w:pPr>
      <w:bookmarkStart w:id="40" w:name="_Toc214450272"/>
      <w:r w:rsidRPr="00036694">
        <w:t>5.3.6 Océanie : corridors régionaux pour les anguilles à travers les États insulaires</w:t>
      </w:r>
      <w:bookmarkEnd w:id="40"/>
    </w:p>
    <w:p w14:paraId="574BAD05" w14:textId="77777777" w:rsidR="00C9584A" w:rsidRDefault="00C9584A">
      <w:pPr>
        <w:pStyle w:val="NoSpacing"/>
        <w:jc w:val="both"/>
        <w:rPr>
          <w:rFonts w:ascii="Arial" w:hAnsi="Arial" w:cs="Arial"/>
          <w:color w:val="000000" w:themeColor="text1"/>
          <w:sz w:val="22"/>
          <w:lang w:val="fr-FR"/>
        </w:rPr>
      </w:pPr>
    </w:p>
    <w:p w14:paraId="7C61A6FA" w14:textId="3412FB9E" w:rsidR="009672C2" w:rsidRDefault="002A409C">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Les anguilles anguillidés d'Océanie présentent des cycles de vie catadromes qui relient plusieurs petits États insulaires par l'intermédiaire de zones de frai océaniques communes et d'habitats de croissance en eau douce très répandus, formant ainsi des stocks intrinsèquement transfrontaliers. Ces espèces répondent au critère migratoire et présentent des conditions défavorables lorsque les barrières intérieures et les turbines réduisent la survie au passage, que les pêcheries aux différentes étapes de la vie ciblent les civelles et les anguilles jaunes, et que la variabilité océanique affecte le recrutement (Yang et al. 2024). Une mesure régionale concernant l'anguille pourrait standardiser la conception des passages intérieurs et le filtrage aux prises d'eau, harmoniser les réglementations saisonnières et de taille entre les pays, et coordonner le suivi des périodes de recrutement et des échappées d'anguilles argentées, en constituant une base de données commune pour évaluer l'état de la population et les avantages de la gestion (Yang et al., 2024). Étant donné que de nombreuses îles sont Parties à la convention, un instrument relevant de l'Annexe II pourrait rapidement établir un cadre technique commun, tandis que les pays voisins non-Parties pourraient être associés par l'intermédiaire d'organismes de pêche régionaux et de protocoles d'accord de coopération en attendant leur adhésion (Yang et al. 2024).</w:t>
      </w:r>
    </w:p>
    <w:p w14:paraId="148657E3" w14:textId="18AF42FD" w:rsidR="00C9584A" w:rsidRDefault="00C9584A">
      <w:pPr>
        <w:pStyle w:val="NoSpacing"/>
        <w:jc w:val="both"/>
        <w:rPr>
          <w:rFonts w:ascii="Arial" w:hAnsi="Arial" w:cs="Arial"/>
          <w:color w:val="000000" w:themeColor="text1"/>
          <w:sz w:val="22"/>
          <w:lang w:val="fr-FR"/>
        </w:rPr>
      </w:pPr>
      <w:r>
        <w:rPr>
          <w:rFonts w:ascii="Arial" w:hAnsi="Arial" w:cs="Arial"/>
          <w:color w:val="000000" w:themeColor="text1"/>
          <w:sz w:val="22"/>
          <w:lang w:val="fr-FR"/>
        </w:rPr>
        <w:br w:type="page"/>
      </w:r>
    </w:p>
    <w:p w14:paraId="494FC971" w14:textId="35F85837" w:rsidR="009672C2" w:rsidRDefault="00C9584A" w:rsidP="00C9584A">
      <w:pPr>
        <w:pStyle w:val="Heading1"/>
        <w:spacing w:before="0" w:line="240" w:lineRule="auto"/>
        <w:ind w:left="567" w:hanging="567"/>
        <w:jc w:val="both"/>
        <w:rPr>
          <w:rFonts w:ascii="Arial" w:hAnsi="Arial" w:cs="Arial"/>
          <w:sz w:val="22"/>
          <w:szCs w:val="22"/>
          <w:lang w:val="fr-FR"/>
        </w:rPr>
      </w:pPr>
      <w:bookmarkStart w:id="41" w:name="_Toc214450273"/>
      <w:r w:rsidRPr="00C9584A">
        <w:rPr>
          <w:rFonts w:ascii="Arial" w:hAnsi="Arial" w:cs="Arial"/>
          <w:sz w:val="22"/>
          <w:szCs w:val="22"/>
          <w:lang w:val="fr-FR"/>
        </w:rPr>
        <w:lastRenderedPageBreak/>
        <w:t xml:space="preserve">6 </w:t>
      </w:r>
      <w:r>
        <w:rPr>
          <w:rFonts w:ascii="Arial" w:hAnsi="Arial" w:cs="Arial"/>
          <w:sz w:val="22"/>
          <w:szCs w:val="22"/>
          <w:lang w:val="fr-FR"/>
        </w:rPr>
        <w:tab/>
      </w:r>
      <w:r w:rsidRPr="00C9584A">
        <w:rPr>
          <w:rFonts w:ascii="Arial" w:hAnsi="Arial" w:cs="Arial"/>
          <w:sz w:val="22"/>
          <w:szCs w:val="22"/>
          <w:lang w:val="fr-FR"/>
        </w:rPr>
        <w:t>ESP</w:t>
      </w:r>
      <w:r>
        <w:rPr>
          <w:rFonts w:ascii="Arial" w:hAnsi="Arial" w:cs="Arial"/>
          <w:sz w:val="22"/>
          <w:szCs w:val="22"/>
          <w:lang w:val="fr-FR"/>
        </w:rPr>
        <w:t>È</w:t>
      </w:r>
      <w:r w:rsidRPr="00C9584A">
        <w:rPr>
          <w:rFonts w:ascii="Arial" w:hAnsi="Arial" w:cs="Arial"/>
          <w:sz w:val="22"/>
          <w:szCs w:val="22"/>
          <w:lang w:val="fr-FR"/>
        </w:rPr>
        <w:t>CES SUPPL</w:t>
      </w:r>
      <w:r>
        <w:rPr>
          <w:rFonts w:ascii="Arial" w:hAnsi="Arial" w:cs="Arial"/>
          <w:sz w:val="22"/>
          <w:szCs w:val="22"/>
          <w:lang w:val="fr-FR"/>
        </w:rPr>
        <w:t>É</w:t>
      </w:r>
      <w:r w:rsidRPr="00C9584A">
        <w:rPr>
          <w:rFonts w:ascii="Arial" w:hAnsi="Arial" w:cs="Arial"/>
          <w:sz w:val="22"/>
          <w:szCs w:val="22"/>
          <w:lang w:val="fr-FR"/>
        </w:rPr>
        <w:t>MENTAIRES SUSCEPTIBLES DE B</w:t>
      </w:r>
      <w:r>
        <w:rPr>
          <w:rFonts w:ascii="Arial" w:hAnsi="Arial" w:cs="Arial"/>
          <w:sz w:val="22"/>
          <w:szCs w:val="22"/>
          <w:lang w:val="fr-FR"/>
        </w:rPr>
        <w:t>É</w:t>
      </w:r>
      <w:r w:rsidRPr="00C9584A">
        <w:rPr>
          <w:rFonts w:ascii="Arial" w:hAnsi="Arial" w:cs="Arial"/>
          <w:sz w:val="22"/>
          <w:szCs w:val="22"/>
          <w:lang w:val="fr-FR"/>
        </w:rPr>
        <w:t>N</w:t>
      </w:r>
      <w:r>
        <w:rPr>
          <w:rFonts w:ascii="Arial" w:hAnsi="Arial" w:cs="Arial"/>
          <w:sz w:val="22"/>
          <w:szCs w:val="22"/>
          <w:lang w:val="fr-FR"/>
        </w:rPr>
        <w:t>É</w:t>
      </w:r>
      <w:r w:rsidRPr="00C9584A">
        <w:rPr>
          <w:rFonts w:ascii="Arial" w:hAnsi="Arial" w:cs="Arial"/>
          <w:sz w:val="22"/>
          <w:szCs w:val="22"/>
          <w:lang w:val="fr-FR"/>
        </w:rPr>
        <w:t xml:space="preserve">FICIER DE L'INSCRIPTION AUX ANNEXES DE LA CMS : </w:t>
      </w:r>
      <w:r>
        <w:rPr>
          <w:rFonts w:ascii="Arial" w:hAnsi="Arial" w:cs="Arial"/>
          <w:sz w:val="22"/>
          <w:szCs w:val="22"/>
          <w:lang w:val="fr-FR"/>
        </w:rPr>
        <w:t>É</w:t>
      </w:r>
      <w:r w:rsidRPr="00C9584A">
        <w:rPr>
          <w:rFonts w:ascii="Arial" w:hAnsi="Arial" w:cs="Arial"/>
          <w:sz w:val="22"/>
          <w:szCs w:val="22"/>
          <w:lang w:val="fr-FR"/>
        </w:rPr>
        <w:t>TUDE DE CAS SUR LES POISSONS MIGRATEURS DE L'AMAZONE</w:t>
      </w:r>
      <w:bookmarkEnd w:id="41"/>
    </w:p>
    <w:p w14:paraId="45E9D0B4" w14:textId="77777777" w:rsidR="00C9584A" w:rsidRPr="00C9584A" w:rsidRDefault="00C9584A" w:rsidP="00130891">
      <w:pPr>
        <w:spacing w:after="0" w:line="240" w:lineRule="auto"/>
        <w:rPr>
          <w:lang w:val="fr-FR"/>
        </w:rPr>
      </w:pPr>
    </w:p>
    <w:p w14:paraId="14EFE160" w14:textId="782BAECE" w:rsidR="009672C2" w:rsidRPr="00130891" w:rsidRDefault="002A409C" w:rsidP="00130891">
      <w:pPr>
        <w:pStyle w:val="Heading2"/>
        <w:spacing w:before="0" w:line="240" w:lineRule="auto"/>
        <w:ind w:left="567" w:hanging="567"/>
        <w:rPr>
          <w:rFonts w:ascii="Arial" w:hAnsi="Arial" w:cs="Arial"/>
          <w:b w:val="0"/>
          <w:bCs w:val="0"/>
          <w:sz w:val="22"/>
          <w:szCs w:val="22"/>
          <w:lang w:val="fr-FR"/>
        </w:rPr>
      </w:pPr>
      <w:bookmarkStart w:id="42" w:name="_Toc214450274"/>
      <w:r w:rsidRPr="00130891">
        <w:rPr>
          <w:rFonts w:ascii="Arial" w:hAnsi="Arial" w:cs="Arial"/>
          <w:b w:val="0"/>
          <w:bCs w:val="0"/>
          <w:sz w:val="22"/>
          <w:szCs w:val="22"/>
          <w:lang w:val="fr-FR"/>
        </w:rPr>
        <w:t xml:space="preserve">6.1 </w:t>
      </w:r>
      <w:r w:rsidR="00130891">
        <w:rPr>
          <w:rFonts w:ascii="Arial" w:hAnsi="Arial" w:cs="Arial"/>
          <w:b w:val="0"/>
          <w:bCs w:val="0"/>
          <w:sz w:val="22"/>
          <w:szCs w:val="22"/>
          <w:lang w:val="fr-FR"/>
        </w:rPr>
        <w:tab/>
      </w:r>
      <w:r w:rsidRPr="00130891">
        <w:rPr>
          <w:rFonts w:ascii="Arial" w:hAnsi="Arial" w:cs="Arial"/>
          <w:b w:val="0"/>
          <w:bCs w:val="0"/>
          <w:sz w:val="22"/>
          <w:szCs w:val="22"/>
          <w:lang w:val="fr-FR"/>
        </w:rPr>
        <w:t>Introduction et approche</w:t>
      </w:r>
      <w:bookmarkEnd w:id="42"/>
    </w:p>
    <w:p w14:paraId="51A5D3E0" w14:textId="77777777" w:rsidR="009672C2" w:rsidRPr="00036694" w:rsidRDefault="009672C2" w:rsidP="00130891">
      <w:pPr>
        <w:pStyle w:val="NoSpacing"/>
        <w:rPr>
          <w:rFonts w:ascii="Arial" w:hAnsi="Arial" w:cs="Arial"/>
          <w:color w:val="000000" w:themeColor="text1"/>
          <w:sz w:val="22"/>
          <w:lang w:val="fr-FR"/>
        </w:rPr>
      </w:pPr>
    </w:p>
    <w:p w14:paraId="61BE1476" w14:textId="77777777" w:rsidR="009672C2" w:rsidRDefault="002A409C" w:rsidP="00130891">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Afin d'identifier d'autres espèces susceptibles de bénéficier d'une inscription aux Annexes de la CMS, une évaluation spécifique à l'Amazone a été entreprise, intégrant un examen ciblé de la littérature scientifique récente et la consultation d'experts régionaux. En utilisant la définition des taxons migrateurs de la CMS (membres d'une population qui franchissent cycliquement et de façon prévisible une ou plusieurs des limites de juridiction nationale), les espèces candidates ont été compilées à partir de quatre synthèses récentes. Les noms taxonomiques ont été standardisés et les taxons présents uniquement en dehors de l'Amazonie (par exemple, ceux limités au Tocantins) ont été exclus. L'état de conservation a ensuite été évalué en fonction des listes rouges nationales de la Bolivie, de la Colombie, du Pérou, de l'Équateur et du Brésil, ainsi que des catégories de l'UICN (CR, EN, VU, NT, DD) et des tendances de population « en baisse ». Des preuves issues d'études récentes sur le déclin ont été intégrées afin d'identifier des taxons supplémentaires en danger. La liste qui en résulte donne la priorité aux espèces dont l'état de conservation est défavorable, qui entreprennent des migrations transfrontalières et qui sont les plus susceptibles de bénéficier d'une gestion internationale coordonnée dans le cadre de la CMS.</w:t>
      </w:r>
    </w:p>
    <w:p w14:paraId="68081BE5" w14:textId="77777777" w:rsidR="00130891" w:rsidRPr="00036694" w:rsidRDefault="00130891" w:rsidP="00130891">
      <w:pPr>
        <w:pStyle w:val="NoSpacing"/>
        <w:jc w:val="both"/>
        <w:rPr>
          <w:rFonts w:ascii="Arial" w:hAnsi="Arial" w:cs="Arial"/>
          <w:color w:val="000000" w:themeColor="text1"/>
          <w:sz w:val="22"/>
          <w:lang w:val="fr-FR"/>
        </w:rPr>
      </w:pPr>
    </w:p>
    <w:p w14:paraId="5423D5C6" w14:textId="7383F658" w:rsidR="009672C2" w:rsidRPr="00130891" w:rsidRDefault="002A409C" w:rsidP="00130891">
      <w:pPr>
        <w:pStyle w:val="Heading2"/>
        <w:spacing w:before="0" w:line="240" w:lineRule="auto"/>
        <w:ind w:left="567" w:hanging="567"/>
        <w:rPr>
          <w:rFonts w:ascii="Arial" w:hAnsi="Arial" w:cs="Arial"/>
          <w:b w:val="0"/>
          <w:bCs w:val="0"/>
          <w:sz w:val="22"/>
          <w:szCs w:val="22"/>
          <w:lang w:val="fr-FR"/>
        </w:rPr>
      </w:pPr>
      <w:bookmarkStart w:id="43" w:name="_Toc214450275"/>
      <w:r w:rsidRPr="00130891">
        <w:rPr>
          <w:rFonts w:ascii="Arial" w:hAnsi="Arial" w:cs="Arial"/>
          <w:b w:val="0"/>
          <w:bCs w:val="0"/>
          <w:sz w:val="22"/>
          <w:szCs w:val="22"/>
          <w:lang w:val="fr-FR"/>
        </w:rPr>
        <w:t xml:space="preserve">6.2 </w:t>
      </w:r>
      <w:r w:rsidR="00130891">
        <w:rPr>
          <w:rFonts w:ascii="Arial" w:hAnsi="Arial" w:cs="Arial"/>
          <w:b w:val="0"/>
          <w:bCs w:val="0"/>
          <w:sz w:val="22"/>
          <w:szCs w:val="22"/>
          <w:lang w:val="fr-FR"/>
        </w:rPr>
        <w:tab/>
      </w:r>
      <w:r w:rsidRPr="00130891">
        <w:rPr>
          <w:rFonts w:ascii="Arial" w:hAnsi="Arial" w:cs="Arial"/>
          <w:b w:val="0"/>
          <w:bCs w:val="0"/>
          <w:sz w:val="22"/>
          <w:szCs w:val="22"/>
          <w:lang w:val="fr-FR"/>
        </w:rPr>
        <w:t>Résumé des résultats et liste des candidats</w:t>
      </w:r>
      <w:bookmarkEnd w:id="43"/>
    </w:p>
    <w:p w14:paraId="7DCCDDC6" w14:textId="77777777" w:rsidR="009672C2" w:rsidRPr="00036694" w:rsidRDefault="009672C2" w:rsidP="00130891">
      <w:pPr>
        <w:pStyle w:val="NoSpacing"/>
        <w:rPr>
          <w:rFonts w:ascii="Arial" w:hAnsi="Arial" w:cs="Arial"/>
          <w:color w:val="000000" w:themeColor="text1"/>
          <w:sz w:val="22"/>
          <w:lang w:val="fr-FR"/>
        </w:rPr>
      </w:pPr>
    </w:p>
    <w:p w14:paraId="3764F4C2" w14:textId="77777777" w:rsidR="009672C2" w:rsidRPr="00036694" w:rsidRDefault="002A409C" w:rsidP="00130891">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Le rapport inclut une évaluation d'experts portant sur 33 poissons migrateurs d'eau douce, identifiant 20 poissons migrateurs d'eau douce répondant aux critères de la CMS : mouvements transfrontaliers documentés/stocks partagés, préoccupations liées à une conservation défavorable et avantages clairs découlant de la coopération internationale. L'ensemble est dominé par des siluriformes à longue distance (par exemple, </w:t>
      </w:r>
      <w:r w:rsidRPr="00036694">
        <w:rPr>
          <w:rFonts w:ascii="Arial" w:hAnsi="Arial" w:cs="Arial"/>
          <w:i/>
          <w:iCs/>
          <w:color w:val="000000" w:themeColor="text1"/>
          <w:sz w:val="22"/>
          <w:lang w:val="fr-FR"/>
        </w:rPr>
        <w:t>Brachyplatystoma filamentosum</w:t>
      </w:r>
      <w:r w:rsidRPr="00036694">
        <w:rPr>
          <w:rFonts w:ascii="Arial" w:hAnsi="Arial" w:cs="Arial"/>
          <w:color w:val="000000" w:themeColor="text1"/>
          <w:sz w:val="22"/>
          <w:lang w:val="fr-FR"/>
        </w:rPr>
        <w:t xml:space="preserve">, </w:t>
      </w:r>
      <w:r w:rsidRPr="00036694">
        <w:rPr>
          <w:rFonts w:ascii="Arial" w:hAnsi="Arial" w:cs="Arial"/>
          <w:i/>
          <w:iCs/>
          <w:color w:val="000000" w:themeColor="text1"/>
          <w:sz w:val="22"/>
          <w:lang w:val="fr-FR"/>
        </w:rPr>
        <w:t>B. juruense</w:t>
      </w:r>
      <w:r w:rsidRPr="00036694">
        <w:rPr>
          <w:rFonts w:ascii="Arial" w:hAnsi="Arial" w:cs="Arial"/>
          <w:color w:val="000000" w:themeColor="text1"/>
          <w:sz w:val="22"/>
          <w:lang w:val="fr-FR"/>
        </w:rPr>
        <w:t xml:space="preserve">, </w:t>
      </w:r>
      <w:r w:rsidRPr="00036694">
        <w:rPr>
          <w:rFonts w:ascii="Arial" w:hAnsi="Arial" w:cs="Arial"/>
          <w:i/>
          <w:iCs/>
          <w:color w:val="000000" w:themeColor="text1"/>
          <w:sz w:val="22"/>
          <w:lang w:val="fr-FR"/>
        </w:rPr>
        <w:t>B. capapretum</w:t>
      </w:r>
      <w:r w:rsidRPr="00036694">
        <w:rPr>
          <w:rFonts w:ascii="Arial" w:hAnsi="Arial" w:cs="Arial"/>
          <w:color w:val="000000" w:themeColor="text1"/>
          <w:sz w:val="22"/>
          <w:lang w:val="fr-FR"/>
        </w:rPr>
        <w:t xml:space="preserve">, </w:t>
      </w:r>
      <w:r w:rsidRPr="00036694">
        <w:rPr>
          <w:rFonts w:ascii="Arial" w:hAnsi="Arial" w:cs="Arial"/>
          <w:i/>
          <w:iCs/>
          <w:color w:val="000000" w:themeColor="text1"/>
          <w:sz w:val="22"/>
          <w:lang w:val="fr-FR"/>
        </w:rPr>
        <w:t>B. platynemum</w:t>
      </w:r>
      <w:r w:rsidRPr="00036694">
        <w:rPr>
          <w:rFonts w:ascii="Arial" w:hAnsi="Arial" w:cs="Arial"/>
          <w:color w:val="000000" w:themeColor="text1"/>
          <w:sz w:val="22"/>
          <w:lang w:val="fr-FR"/>
        </w:rPr>
        <w:t xml:space="preserve"> ; </w:t>
      </w:r>
      <w:r w:rsidRPr="00036694">
        <w:rPr>
          <w:rFonts w:ascii="Arial" w:hAnsi="Arial" w:cs="Arial"/>
          <w:i/>
          <w:iCs/>
          <w:color w:val="000000" w:themeColor="text1"/>
          <w:sz w:val="22"/>
          <w:lang w:val="fr-FR"/>
        </w:rPr>
        <w:t>Pseudoplatystoma tigrinum</w:t>
      </w:r>
      <w:r w:rsidRPr="00036694">
        <w:rPr>
          <w:rFonts w:ascii="Arial" w:hAnsi="Arial" w:cs="Arial"/>
          <w:color w:val="000000" w:themeColor="text1"/>
          <w:sz w:val="22"/>
          <w:lang w:val="fr-FR"/>
        </w:rPr>
        <w:t xml:space="preserve"> ; </w:t>
      </w:r>
      <w:r w:rsidRPr="00036694">
        <w:rPr>
          <w:rFonts w:ascii="Arial" w:hAnsi="Arial" w:cs="Arial"/>
          <w:i/>
          <w:iCs/>
          <w:color w:val="000000" w:themeColor="text1"/>
          <w:sz w:val="22"/>
          <w:lang w:val="fr-FR"/>
        </w:rPr>
        <w:t>Phractocephalus hemioliopterus</w:t>
      </w:r>
      <w:r w:rsidRPr="00036694">
        <w:rPr>
          <w:rFonts w:ascii="Arial" w:hAnsi="Arial" w:cs="Arial"/>
          <w:color w:val="000000" w:themeColor="text1"/>
          <w:sz w:val="22"/>
          <w:lang w:val="fr-FR"/>
        </w:rPr>
        <w:t xml:space="preserve"> ; </w:t>
      </w:r>
      <w:r w:rsidRPr="00036694">
        <w:rPr>
          <w:rFonts w:ascii="Arial" w:hAnsi="Arial" w:cs="Arial"/>
          <w:i/>
          <w:iCs/>
          <w:color w:val="000000" w:themeColor="text1"/>
          <w:sz w:val="22"/>
          <w:lang w:val="fr-FR"/>
        </w:rPr>
        <w:t>Pinirampus pirinampu</w:t>
      </w:r>
      <w:r w:rsidRPr="00036694">
        <w:rPr>
          <w:rFonts w:ascii="Arial" w:hAnsi="Arial" w:cs="Arial"/>
          <w:color w:val="000000" w:themeColor="text1"/>
          <w:sz w:val="22"/>
          <w:lang w:val="fr-FR"/>
        </w:rPr>
        <w:t xml:space="preserve"> ; </w:t>
      </w:r>
      <w:r w:rsidRPr="00036694">
        <w:rPr>
          <w:rFonts w:ascii="Arial" w:hAnsi="Arial" w:cs="Arial"/>
          <w:i/>
          <w:iCs/>
          <w:color w:val="000000" w:themeColor="text1"/>
          <w:sz w:val="22"/>
          <w:lang w:val="fr-FR"/>
        </w:rPr>
        <w:t>Platynematichthys notatus</w:t>
      </w:r>
      <w:r w:rsidRPr="00036694">
        <w:rPr>
          <w:rFonts w:ascii="Arial" w:hAnsi="Arial" w:cs="Arial"/>
          <w:color w:val="000000" w:themeColor="text1"/>
          <w:sz w:val="22"/>
          <w:lang w:val="fr-FR"/>
        </w:rPr>
        <w:t xml:space="preserve"> ; </w:t>
      </w:r>
      <w:r w:rsidRPr="00036694">
        <w:rPr>
          <w:rFonts w:ascii="Arial" w:hAnsi="Arial" w:cs="Arial"/>
          <w:i/>
          <w:iCs/>
          <w:color w:val="000000" w:themeColor="text1"/>
          <w:sz w:val="22"/>
          <w:lang w:val="fr-FR"/>
        </w:rPr>
        <w:t>Sorubim lima</w:t>
      </w:r>
      <w:r w:rsidRPr="00036694">
        <w:rPr>
          <w:rFonts w:ascii="Arial" w:hAnsi="Arial" w:cs="Arial"/>
          <w:color w:val="000000" w:themeColor="text1"/>
          <w:sz w:val="22"/>
          <w:lang w:val="fr-FR"/>
        </w:rPr>
        <w:t xml:space="preserve"> ; </w:t>
      </w:r>
      <w:r w:rsidRPr="00036694">
        <w:rPr>
          <w:rFonts w:ascii="Arial" w:hAnsi="Arial" w:cs="Arial"/>
          <w:i/>
          <w:iCs/>
          <w:color w:val="000000" w:themeColor="text1"/>
          <w:sz w:val="22"/>
          <w:lang w:val="fr-FR"/>
        </w:rPr>
        <w:t>Sorubimichthys planiceps</w:t>
      </w:r>
      <w:r w:rsidRPr="00036694">
        <w:rPr>
          <w:rFonts w:ascii="Arial" w:hAnsi="Arial" w:cs="Arial"/>
          <w:color w:val="000000" w:themeColor="text1"/>
          <w:sz w:val="22"/>
          <w:lang w:val="fr-FR"/>
        </w:rPr>
        <w:t xml:space="preserve"> ; </w:t>
      </w:r>
      <w:r w:rsidRPr="00036694">
        <w:rPr>
          <w:rFonts w:ascii="Arial" w:hAnsi="Arial" w:cs="Arial"/>
          <w:i/>
          <w:iCs/>
          <w:color w:val="000000" w:themeColor="text1"/>
          <w:sz w:val="22"/>
          <w:lang w:val="fr-FR"/>
        </w:rPr>
        <w:t>Zungaro zungaro</w:t>
      </w:r>
      <w:r w:rsidRPr="00036694">
        <w:rPr>
          <w:rFonts w:ascii="Arial" w:hAnsi="Arial" w:cs="Arial"/>
          <w:color w:val="000000" w:themeColor="text1"/>
          <w:sz w:val="22"/>
          <w:lang w:val="fr-FR"/>
        </w:rPr>
        <w:t xml:space="preserve">), des characiformes à moyenne ou longue distance (par exemple, </w:t>
      </w:r>
      <w:r w:rsidRPr="00036694">
        <w:rPr>
          <w:rFonts w:ascii="Arial" w:hAnsi="Arial" w:cs="Arial"/>
          <w:i/>
          <w:iCs/>
          <w:color w:val="000000" w:themeColor="text1"/>
          <w:sz w:val="22"/>
          <w:lang w:val="fr-FR"/>
        </w:rPr>
        <w:t>Brycon amazonicus</w:t>
      </w:r>
      <w:r w:rsidRPr="00036694">
        <w:rPr>
          <w:rFonts w:ascii="Arial" w:hAnsi="Arial" w:cs="Arial"/>
          <w:color w:val="000000" w:themeColor="text1"/>
          <w:sz w:val="22"/>
          <w:lang w:val="fr-FR"/>
        </w:rPr>
        <w:t xml:space="preserve">, </w:t>
      </w:r>
      <w:r w:rsidRPr="00036694">
        <w:rPr>
          <w:rFonts w:ascii="Arial" w:hAnsi="Arial" w:cs="Arial"/>
          <w:i/>
          <w:iCs/>
          <w:color w:val="000000" w:themeColor="text1"/>
          <w:sz w:val="22"/>
          <w:lang w:val="fr-FR"/>
        </w:rPr>
        <w:t>B. falcatus</w:t>
      </w:r>
      <w:r w:rsidRPr="00036694">
        <w:rPr>
          <w:rFonts w:ascii="Arial" w:hAnsi="Arial" w:cs="Arial"/>
          <w:color w:val="000000" w:themeColor="text1"/>
          <w:sz w:val="22"/>
          <w:lang w:val="fr-FR"/>
        </w:rPr>
        <w:t xml:space="preserve">, </w:t>
      </w:r>
      <w:r w:rsidRPr="00036694">
        <w:rPr>
          <w:rFonts w:ascii="Arial" w:hAnsi="Arial" w:cs="Arial"/>
          <w:i/>
          <w:iCs/>
          <w:color w:val="000000" w:themeColor="text1"/>
          <w:sz w:val="22"/>
          <w:lang w:val="fr-FR"/>
        </w:rPr>
        <w:t>B. melanopterus</w:t>
      </w:r>
      <w:r w:rsidRPr="00036694">
        <w:rPr>
          <w:rFonts w:ascii="Arial" w:hAnsi="Arial" w:cs="Arial"/>
          <w:color w:val="000000" w:themeColor="text1"/>
          <w:sz w:val="22"/>
          <w:lang w:val="fr-FR"/>
        </w:rPr>
        <w:t xml:space="preserve"> ; </w:t>
      </w:r>
      <w:r w:rsidRPr="00036694">
        <w:rPr>
          <w:rFonts w:ascii="Arial" w:hAnsi="Arial" w:cs="Arial"/>
          <w:i/>
          <w:iCs/>
          <w:color w:val="000000" w:themeColor="text1"/>
          <w:sz w:val="22"/>
          <w:lang w:val="fr-FR"/>
        </w:rPr>
        <w:t>Prochilodus nigricans</w:t>
      </w:r>
      <w:r w:rsidRPr="00036694">
        <w:rPr>
          <w:rFonts w:ascii="Arial" w:hAnsi="Arial" w:cs="Arial"/>
          <w:color w:val="000000" w:themeColor="text1"/>
          <w:sz w:val="22"/>
          <w:lang w:val="fr-FR"/>
        </w:rPr>
        <w:t xml:space="preserve"> ; </w:t>
      </w:r>
      <w:r w:rsidRPr="00036694">
        <w:rPr>
          <w:rFonts w:ascii="Arial" w:hAnsi="Arial" w:cs="Arial"/>
          <w:i/>
          <w:iCs/>
          <w:color w:val="000000" w:themeColor="text1"/>
          <w:sz w:val="22"/>
          <w:lang w:val="fr-FR"/>
        </w:rPr>
        <w:t>Semaprochilodus insignis</w:t>
      </w:r>
      <w:r w:rsidRPr="00036694">
        <w:rPr>
          <w:rFonts w:ascii="Arial" w:hAnsi="Arial" w:cs="Arial"/>
          <w:color w:val="000000" w:themeColor="text1"/>
          <w:sz w:val="22"/>
          <w:lang w:val="fr-FR"/>
        </w:rPr>
        <w:t xml:space="preserve"> ; </w:t>
      </w:r>
      <w:r w:rsidRPr="00036694">
        <w:rPr>
          <w:rFonts w:ascii="Arial" w:hAnsi="Arial" w:cs="Arial"/>
          <w:i/>
          <w:iCs/>
          <w:color w:val="000000" w:themeColor="text1"/>
          <w:sz w:val="22"/>
          <w:lang w:val="fr-FR"/>
        </w:rPr>
        <w:t>Leporinus fasciatus</w:t>
      </w:r>
      <w:r w:rsidRPr="00036694">
        <w:rPr>
          <w:rFonts w:ascii="Arial" w:hAnsi="Arial" w:cs="Arial"/>
          <w:color w:val="000000" w:themeColor="text1"/>
          <w:sz w:val="22"/>
          <w:lang w:val="fr-FR"/>
        </w:rPr>
        <w:t xml:space="preserve">, </w:t>
      </w:r>
      <w:r w:rsidRPr="00036694">
        <w:rPr>
          <w:rFonts w:ascii="Arial" w:hAnsi="Arial" w:cs="Arial"/>
          <w:i/>
          <w:iCs/>
          <w:color w:val="000000" w:themeColor="text1"/>
          <w:sz w:val="22"/>
          <w:lang w:val="fr-FR"/>
        </w:rPr>
        <w:t>L. friderici</w:t>
      </w:r>
      <w:r w:rsidRPr="00036694">
        <w:rPr>
          <w:rFonts w:ascii="Arial" w:hAnsi="Arial" w:cs="Arial"/>
          <w:color w:val="000000" w:themeColor="text1"/>
          <w:sz w:val="22"/>
          <w:lang w:val="fr-FR"/>
        </w:rPr>
        <w:t>), et des Serrasalmidae largement exploités (</w:t>
      </w:r>
      <w:r w:rsidRPr="00036694">
        <w:rPr>
          <w:rFonts w:ascii="Arial" w:hAnsi="Arial" w:cs="Arial"/>
          <w:i/>
          <w:iCs/>
          <w:color w:val="000000" w:themeColor="text1"/>
          <w:sz w:val="22"/>
          <w:lang w:val="fr-FR"/>
        </w:rPr>
        <w:t>Colossoma macropomum</w:t>
      </w:r>
      <w:r w:rsidRPr="00036694">
        <w:rPr>
          <w:rFonts w:ascii="Arial" w:hAnsi="Arial" w:cs="Arial"/>
          <w:color w:val="000000" w:themeColor="text1"/>
          <w:sz w:val="22"/>
          <w:lang w:val="fr-FR"/>
        </w:rPr>
        <w:t xml:space="preserve">, </w:t>
      </w:r>
      <w:r w:rsidRPr="00036694">
        <w:rPr>
          <w:rFonts w:ascii="Arial" w:hAnsi="Arial" w:cs="Arial"/>
          <w:i/>
          <w:iCs/>
          <w:color w:val="000000" w:themeColor="text1"/>
          <w:sz w:val="22"/>
          <w:lang w:val="fr-FR"/>
        </w:rPr>
        <w:t>Piaractus brachypomus</w:t>
      </w:r>
      <w:r w:rsidRPr="00036694">
        <w:rPr>
          <w:rFonts w:ascii="Arial" w:hAnsi="Arial" w:cs="Arial"/>
          <w:color w:val="000000" w:themeColor="text1"/>
          <w:sz w:val="22"/>
          <w:lang w:val="fr-FR"/>
        </w:rPr>
        <w:t>). Ensemble, ces espèces illustrent les principaux besoins de gestion pour les actions de la CMS dans le système amazonien : connectivité à l'échelle du bassin (atténuation des obstacles et gestion des flux), fermetures saisonnières coordonnées pour les pêcheries à stocks mixtes, contrôles des prises accessoires, et surveillance/marquage partagé pour suivre les mouvements transfrontaliers et le recrutement. La base de données sous-jacente synthétise les distances de migration (souvent comprises entre 100 et plus de 1 500 km, et dépassant parfois 3 000 à 4 000 km pour certains Brachyplatystoma), la structure des stocks partagés, ainsi que les déclins des pêcheries ou des populations documentés dans des études à l'échelle du bassin et des évaluations nationales.</w:t>
      </w:r>
    </w:p>
    <w:p w14:paraId="370E8BD2" w14:textId="6D099611" w:rsidR="00130891" w:rsidRDefault="00130891" w:rsidP="00130891">
      <w:pPr>
        <w:pStyle w:val="NoSpacing"/>
        <w:jc w:val="both"/>
        <w:rPr>
          <w:rFonts w:ascii="Arial" w:hAnsi="Arial" w:cs="Arial"/>
          <w:color w:val="000000" w:themeColor="text1"/>
          <w:sz w:val="22"/>
          <w:lang w:val="fr-FR"/>
        </w:rPr>
      </w:pPr>
      <w:r>
        <w:rPr>
          <w:rFonts w:ascii="Arial" w:hAnsi="Arial" w:cs="Arial"/>
          <w:color w:val="000000" w:themeColor="text1"/>
          <w:sz w:val="22"/>
          <w:lang w:val="fr-FR"/>
        </w:rPr>
        <w:br w:type="page"/>
      </w:r>
    </w:p>
    <w:p w14:paraId="4416CCDB" w14:textId="36E624E8" w:rsidR="009672C2" w:rsidRPr="00130891" w:rsidRDefault="002A409C" w:rsidP="00130891">
      <w:pPr>
        <w:pStyle w:val="Heading2"/>
        <w:spacing w:before="0" w:line="240" w:lineRule="auto"/>
        <w:ind w:left="567" w:hanging="567"/>
        <w:rPr>
          <w:rFonts w:ascii="Arial" w:hAnsi="Arial" w:cs="Arial"/>
          <w:b w:val="0"/>
          <w:bCs w:val="0"/>
          <w:sz w:val="22"/>
          <w:szCs w:val="22"/>
          <w:lang w:val="fr-FR"/>
        </w:rPr>
      </w:pPr>
      <w:bookmarkStart w:id="44" w:name="_Toc214450276"/>
      <w:r w:rsidRPr="00130891">
        <w:rPr>
          <w:rFonts w:ascii="Arial" w:hAnsi="Arial" w:cs="Arial"/>
          <w:b w:val="0"/>
          <w:bCs w:val="0"/>
          <w:sz w:val="22"/>
          <w:szCs w:val="22"/>
          <w:lang w:val="fr-FR"/>
        </w:rPr>
        <w:lastRenderedPageBreak/>
        <w:t xml:space="preserve">6.3 </w:t>
      </w:r>
      <w:r w:rsidR="00130891">
        <w:rPr>
          <w:rFonts w:ascii="Arial" w:hAnsi="Arial" w:cs="Arial"/>
          <w:b w:val="0"/>
          <w:bCs w:val="0"/>
          <w:sz w:val="22"/>
          <w:szCs w:val="22"/>
          <w:lang w:val="fr-FR"/>
        </w:rPr>
        <w:tab/>
      </w:r>
      <w:r w:rsidRPr="00130891">
        <w:rPr>
          <w:rFonts w:ascii="Arial" w:hAnsi="Arial" w:cs="Arial"/>
          <w:b w:val="0"/>
          <w:bCs w:val="0"/>
          <w:sz w:val="22"/>
          <w:szCs w:val="22"/>
          <w:lang w:val="fr-FR"/>
        </w:rPr>
        <w:t>Liste complète des poissons d'Amazonie candidats répondant aux critères d'inscription aux Annexes de la CMS</w:t>
      </w:r>
      <w:bookmarkEnd w:id="44"/>
    </w:p>
    <w:p w14:paraId="39BDD808" w14:textId="77777777" w:rsidR="009672C2" w:rsidRPr="00036694" w:rsidRDefault="009672C2" w:rsidP="00130891">
      <w:pPr>
        <w:spacing w:after="0" w:line="240" w:lineRule="auto"/>
        <w:rPr>
          <w:lang w:val="fr-FR"/>
        </w:rPr>
      </w:pPr>
    </w:p>
    <w:p w14:paraId="43158904" w14:textId="77777777" w:rsidR="009672C2" w:rsidRPr="00036694" w:rsidRDefault="002A409C" w:rsidP="00130891">
      <w:pPr>
        <w:spacing w:after="0" w:line="240" w:lineRule="auto"/>
        <w:rPr>
          <w:lang w:val="fr-FR"/>
        </w:rPr>
      </w:pPr>
      <w:r w:rsidRPr="00036694">
        <w:rPr>
          <w:rFonts w:asciiTheme="minorHAnsi" w:hAnsiTheme="minorHAnsi" w:cstheme="minorHAnsi"/>
          <w:sz w:val="22"/>
          <w:lang w:val="fr-FR"/>
        </w:rPr>
        <w:t>Tableau 3 : Poissons migrateurs prioritaires de l'Amazonie répondant aux critères de sélection de l'Annexe II de la CMS.</w:t>
      </w:r>
      <w:r w:rsidRPr="00036694">
        <w:rPr>
          <w:rFonts w:asciiTheme="minorHAnsi" w:hAnsiTheme="minorHAnsi" w:cstheme="minorHAnsi"/>
          <w:sz w:val="22"/>
          <w:lang w:val="fr-FR"/>
        </w:rPr>
        <w:br/>
        <w:t>(Espèces inscrites qui satisfont aux quatre critères utilisés dans l'évaluation : (i) preuve d'un comportement migratoire (mouvements transfrontaliers ou stocks partagés) ; (ii) état de conservation défavorable ou tendance à la baisse ; (iii) avantages clairs attendus de la coopération internationale – par exemple, mesures de pêche coordonnées, connectivité, surveillance conjointe).</w:t>
      </w:r>
    </w:p>
    <w:tbl>
      <w:tblPr>
        <w:tblStyle w:val="TableGrid"/>
        <w:tblW w:w="9351" w:type="dxa"/>
        <w:tblLook w:val="04A0" w:firstRow="1" w:lastRow="0" w:firstColumn="1" w:lastColumn="0" w:noHBand="0" w:noVBand="1"/>
      </w:tblPr>
      <w:tblGrid>
        <w:gridCol w:w="1838"/>
        <w:gridCol w:w="1985"/>
        <w:gridCol w:w="5528"/>
      </w:tblGrid>
      <w:tr w:rsidR="009672C2" w:rsidRPr="00036694" w14:paraId="667E7BAA" w14:textId="77777777">
        <w:tc>
          <w:tcPr>
            <w:tcW w:w="1838" w:type="dxa"/>
          </w:tcPr>
          <w:p w14:paraId="2C363DB0" w14:textId="77777777" w:rsidR="009672C2" w:rsidRPr="00036694" w:rsidRDefault="002A409C" w:rsidP="00130891">
            <w:pPr>
              <w:rPr>
                <w:rFonts w:ascii="Arial" w:hAnsi="Arial" w:cs="Arial"/>
                <w:b/>
                <w:bCs/>
                <w:lang w:val="fr-FR"/>
              </w:rPr>
            </w:pPr>
            <w:r w:rsidRPr="00036694">
              <w:rPr>
                <w:rFonts w:ascii="Arial" w:hAnsi="Arial" w:cs="Arial"/>
                <w:b/>
                <w:bCs/>
                <w:lang w:val="fr-FR"/>
              </w:rPr>
              <w:t>Ordre</w:t>
            </w:r>
          </w:p>
        </w:tc>
        <w:tc>
          <w:tcPr>
            <w:tcW w:w="1985" w:type="dxa"/>
          </w:tcPr>
          <w:p w14:paraId="37E95D9B" w14:textId="77777777" w:rsidR="009672C2" w:rsidRPr="00036694" w:rsidRDefault="002A409C" w:rsidP="00130891">
            <w:pPr>
              <w:rPr>
                <w:rFonts w:ascii="Arial" w:hAnsi="Arial" w:cs="Arial"/>
                <w:b/>
                <w:bCs/>
                <w:lang w:val="fr-FR"/>
              </w:rPr>
            </w:pPr>
            <w:r w:rsidRPr="00036694">
              <w:rPr>
                <w:rFonts w:ascii="Arial" w:hAnsi="Arial" w:cs="Arial"/>
                <w:b/>
                <w:bCs/>
                <w:lang w:val="fr-FR"/>
              </w:rPr>
              <w:t>Famille</w:t>
            </w:r>
          </w:p>
        </w:tc>
        <w:tc>
          <w:tcPr>
            <w:tcW w:w="5528" w:type="dxa"/>
          </w:tcPr>
          <w:p w14:paraId="0EB8E6E4" w14:textId="77777777" w:rsidR="009672C2" w:rsidRPr="00036694" w:rsidRDefault="002A409C" w:rsidP="00130891">
            <w:pPr>
              <w:rPr>
                <w:rFonts w:ascii="Arial" w:hAnsi="Arial" w:cs="Arial"/>
                <w:b/>
                <w:bCs/>
                <w:lang w:val="fr-FR"/>
              </w:rPr>
            </w:pPr>
            <w:r w:rsidRPr="00036694">
              <w:rPr>
                <w:rFonts w:ascii="Arial" w:hAnsi="Arial" w:cs="Arial"/>
                <w:b/>
                <w:bCs/>
                <w:lang w:val="fr-FR"/>
              </w:rPr>
              <w:t>Espèce</w:t>
            </w:r>
          </w:p>
        </w:tc>
      </w:tr>
      <w:tr w:rsidR="009672C2" w:rsidRPr="00036694" w14:paraId="7AAA9305" w14:textId="77777777">
        <w:tc>
          <w:tcPr>
            <w:tcW w:w="1838" w:type="dxa"/>
          </w:tcPr>
          <w:p w14:paraId="1D5B0380" w14:textId="77777777" w:rsidR="009672C2" w:rsidRPr="00036694" w:rsidRDefault="002A409C" w:rsidP="00130891">
            <w:pPr>
              <w:rPr>
                <w:rFonts w:ascii="Arial" w:hAnsi="Arial" w:cs="Arial"/>
              </w:rPr>
            </w:pPr>
            <w:r w:rsidRPr="00036694">
              <w:rPr>
                <w:rFonts w:ascii="Arial" w:hAnsi="Arial" w:cs="Arial"/>
              </w:rPr>
              <w:t>Characiformes</w:t>
            </w:r>
          </w:p>
        </w:tc>
        <w:tc>
          <w:tcPr>
            <w:tcW w:w="1985" w:type="dxa"/>
          </w:tcPr>
          <w:p w14:paraId="47A1F7B4" w14:textId="77777777" w:rsidR="009672C2" w:rsidRPr="00036694" w:rsidRDefault="002A409C" w:rsidP="00130891">
            <w:pPr>
              <w:rPr>
                <w:rFonts w:ascii="Arial" w:hAnsi="Arial" w:cs="Arial"/>
              </w:rPr>
            </w:pPr>
            <w:r w:rsidRPr="00036694">
              <w:rPr>
                <w:rFonts w:ascii="Arial" w:hAnsi="Arial" w:cs="Arial"/>
              </w:rPr>
              <w:t>Bryconidae</w:t>
            </w:r>
          </w:p>
        </w:tc>
        <w:tc>
          <w:tcPr>
            <w:tcW w:w="5528" w:type="dxa"/>
          </w:tcPr>
          <w:p w14:paraId="2BA882B1" w14:textId="77777777" w:rsidR="009672C2" w:rsidRPr="002F17EA" w:rsidRDefault="002A409C" w:rsidP="00130891">
            <w:pPr>
              <w:rPr>
                <w:rFonts w:ascii="Arial" w:hAnsi="Arial" w:cs="Arial"/>
                <w:i/>
                <w:iCs/>
                <w:lang w:val="en-GB"/>
              </w:rPr>
            </w:pPr>
            <w:r w:rsidRPr="002F17EA">
              <w:rPr>
                <w:rFonts w:ascii="Arial" w:hAnsi="Arial" w:cs="Arial"/>
                <w:i/>
                <w:iCs/>
                <w:lang w:val="en-GB"/>
              </w:rPr>
              <w:t>Brycon amazonicus ; Brycon falcatus ; Brycon melanopterus</w:t>
            </w:r>
          </w:p>
        </w:tc>
      </w:tr>
      <w:tr w:rsidR="009672C2" w:rsidRPr="00036694" w14:paraId="18B9FFCC" w14:textId="77777777">
        <w:tc>
          <w:tcPr>
            <w:tcW w:w="1838" w:type="dxa"/>
          </w:tcPr>
          <w:p w14:paraId="7CD71508" w14:textId="77777777" w:rsidR="009672C2" w:rsidRPr="002F17EA" w:rsidRDefault="009672C2" w:rsidP="00130891">
            <w:pPr>
              <w:rPr>
                <w:rFonts w:ascii="Arial" w:hAnsi="Arial" w:cs="Arial"/>
                <w:lang w:val="en-GB"/>
              </w:rPr>
            </w:pPr>
          </w:p>
        </w:tc>
        <w:tc>
          <w:tcPr>
            <w:tcW w:w="1985" w:type="dxa"/>
          </w:tcPr>
          <w:p w14:paraId="624EDB9A" w14:textId="77777777" w:rsidR="009672C2" w:rsidRPr="00036694" w:rsidRDefault="002A409C" w:rsidP="00130891">
            <w:pPr>
              <w:rPr>
                <w:rFonts w:ascii="Arial" w:hAnsi="Arial" w:cs="Arial"/>
              </w:rPr>
            </w:pPr>
            <w:r w:rsidRPr="00036694">
              <w:rPr>
                <w:rFonts w:ascii="Arial" w:hAnsi="Arial" w:cs="Arial"/>
              </w:rPr>
              <w:t>Anostomidae</w:t>
            </w:r>
          </w:p>
        </w:tc>
        <w:tc>
          <w:tcPr>
            <w:tcW w:w="5528" w:type="dxa"/>
          </w:tcPr>
          <w:p w14:paraId="064B7AFD" w14:textId="77777777" w:rsidR="009672C2" w:rsidRPr="00036694" w:rsidRDefault="002A409C" w:rsidP="00130891">
            <w:pPr>
              <w:rPr>
                <w:rFonts w:ascii="Arial" w:hAnsi="Arial" w:cs="Arial"/>
                <w:i/>
                <w:iCs/>
                <w:lang w:val="fr-FR"/>
              </w:rPr>
            </w:pPr>
            <w:r w:rsidRPr="00036694">
              <w:rPr>
                <w:rFonts w:ascii="Arial" w:hAnsi="Arial" w:cs="Arial"/>
                <w:i/>
                <w:iCs/>
                <w:lang w:val="fr-FR"/>
              </w:rPr>
              <w:t>Leporinus fasciatus ; Leporinus friderici</w:t>
            </w:r>
          </w:p>
        </w:tc>
      </w:tr>
      <w:tr w:rsidR="009672C2" w:rsidRPr="00036694" w14:paraId="30E9D155" w14:textId="77777777">
        <w:tc>
          <w:tcPr>
            <w:tcW w:w="1838" w:type="dxa"/>
          </w:tcPr>
          <w:p w14:paraId="3296FE51" w14:textId="77777777" w:rsidR="009672C2" w:rsidRPr="00036694" w:rsidRDefault="009672C2" w:rsidP="00130891">
            <w:pPr>
              <w:rPr>
                <w:rFonts w:ascii="Arial" w:hAnsi="Arial" w:cs="Arial"/>
                <w:lang w:val="fr-FR"/>
              </w:rPr>
            </w:pPr>
          </w:p>
        </w:tc>
        <w:tc>
          <w:tcPr>
            <w:tcW w:w="1985" w:type="dxa"/>
          </w:tcPr>
          <w:p w14:paraId="65A72EA8" w14:textId="77777777" w:rsidR="009672C2" w:rsidRPr="00036694" w:rsidRDefault="002A409C" w:rsidP="00130891">
            <w:pPr>
              <w:rPr>
                <w:rFonts w:ascii="Arial" w:hAnsi="Arial" w:cs="Arial"/>
              </w:rPr>
            </w:pPr>
            <w:r w:rsidRPr="00036694">
              <w:rPr>
                <w:rFonts w:ascii="Arial" w:hAnsi="Arial" w:cs="Arial"/>
              </w:rPr>
              <w:t>Prochilodontidae</w:t>
            </w:r>
          </w:p>
        </w:tc>
        <w:tc>
          <w:tcPr>
            <w:tcW w:w="5528" w:type="dxa"/>
          </w:tcPr>
          <w:p w14:paraId="59B5DCF0" w14:textId="77777777" w:rsidR="009672C2" w:rsidRPr="00036694" w:rsidRDefault="002A409C" w:rsidP="00130891">
            <w:pPr>
              <w:rPr>
                <w:rFonts w:ascii="Arial" w:hAnsi="Arial" w:cs="Arial"/>
                <w:i/>
                <w:iCs/>
                <w:lang w:val="fr-FR"/>
              </w:rPr>
            </w:pPr>
            <w:r w:rsidRPr="00036694">
              <w:rPr>
                <w:rFonts w:ascii="Arial" w:hAnsi="Arial" w:cs="Arial"/>
                <w:i/>
                <w:iCs/>
                <w:lang w:val="fr-FR"/>
              </w:rPr>
              <w:t>Prochilodus nigricans ; Semaprochilodus insignis</w:t>
            </w:r>
          </w:p>
        </w:tc>
      </w:tr>
      <w:tr w:rsidR="009672C2" w:rsidRPr="00036694" w14:paraId="6AD96F68" w14:textId="77777777">
        <w:tc>
          <w:tcPr>
            <w:tcW w:w="1838" w:type="dxa"/>
          </w:tcPr>
          <w:p w14:paraId="1510842C" w14:textId="77777777" w:rsidR="009672C2" w:rsidRPr="00036694" w:rsidRDefault="009672C2" w:rsidP="00130891">
            <w:pPr>
              <w:rPr>
                <w:rFonts w:ascii="Arial" w:hAnsi="Arial" w:cs="Arial"/>
                <w:lang w:val="fr-FR"/>
              </w:rPr>
            </w:pPr>
          </w:p>
        </w:tc>
        <w:tc>
          <w:tcPr>
            <w:tcW w:w="1985" w:type="dxa"/>
          </w:tcPr>
          <w:p w14:paraId="35AB3ABE" w14:textId="77777777" w:rsidR="009672C2" w:rsidRPr="00036694" w:rsidRDefault="002A409C" w:rsidP="00130891">
            <w:pPr>
              <w:rPr>
                <w:rFonts w:ascii="Arial" w:hAnsi="Arial" w:cs="Arial"/>
              </w:rPr>
            </w:pPr>
            <w:r w:rsidRPr="00036694">
              <w:rPr>
                <w:rFonts w:ascii="Arial" w:hAnsi="Arial" w:cs="Arial"/>
              </w:rPr>
              <w:t>Serrasalmidae</w:t>
            </w:r>
          </w:p>
        </w:tc>
        <w:tc>
          <w:tcPr>
            <w:tcW w:w="5528" w:type="dxa"/>
          </w:tcPr>
          <w:p w14:paraId="04F94BB1" w14:textId="77777777" w:rsidR="009672C2" w:rsidRPr="00036694" w:rsidRDefault="002A409C" w:rsidP="00130891">
            <w:pPr>
              <w:rPr>
                <w:rFonts w:ascii="Arial" w:hAnsi="Arial" w:cs="Arial"/>
                <w:i/>
                <w:iCs/>
                <w:lang w:val="fr-FR"/>
              </w:rPr>
            </w:pPr>
            <w:r w:rsidRPr="00036694">
              <w:rPr>
                <w:rFonts w:ascii="Arial" w:hAnsi="Arial" w:cs="Arial"/>
                <w:i/>
                <w:iCs/>
                <w:lang w:val="fr-FR"/>
              </w:rPr>
              <w:t>Colossoma macropomum ; Piaractus brachypomus</w:t>
            </w:r>
          </w:p>
        </w:tc>
      </w:tr>
      <w:tr w:rsidR="009672C2" w:rsidRPr="00036694" w14:paraId="31953AEE" w14:textId="77777777">
        <w:tc>
          <w:tcPr>
            <w:tcW w:w="1838" w:type="dxa"/>
          </w:tcPr>
          <w:p w14:paraId="3293EC22" w14:textId="77777777" w:rsidR="009672C2" w:rsidRPr="00036694" w:rsidRDefault="002A409C" w:rsidP="00130891">
            <w:pPr>
              <w:rPr>
                <w:rFonts w:ascii="Arial" w:hAnsi="Arial" w:cs="Arial"/>
              </w:rPr>
            </w:pPr>
            <w:r w:rsidRPr="00036694">
              <w:rPr>
                <w:rFonts w:ascii="Arial" w:hAnsi="Arial" w:cs="Arial"/>
              </w:rPr>
              <w:t>Siluriformes</w:t>
            </w:r>
          </w:p>
        </w:tc>
        <w:tc>
          <w:tcPr>
            <w:tcW w:w="1985" w:type="dxa"/>
          </w:tcPr>
          <w:p w14:paraId="6FD697DC" w14:textId="77777777" w:rsidR="009672C2" w:rsidRPr="00036694" w:rsidRDefault="002A409C" w:rsidP="00130891">
            <w:pPr>
              <w:rPr>
                <w:rFonts w:ascii="Arial" w:hAnsi="Arial" w:cs="Arial"/>
              </w:rPr>
            </w:pPr>
            <w:r w:rsidRPr="00036694">
              <w:rPr>
                <w:rFonts w:ascii="Arial" w:hAnsi="Arial" w:cs="Arial"/>
              </w:rPr>
              <w:t>Pimelodidae</w:t>
            </w:r>
          </w:p>
        </w:tc>
        <w:tc>
          <w:tcPr>
            <w:tcW w:w="5528" w:type="dxa"/>
          </w:tcPr>
          <w:p w14:paraId="168CC604" w14:textId="77777777" w:rsidR="009672C2" w:rsidRPr="002F17EA" w:rsidRDefault="002A409C" w:rsidP="00130891">
            <w:pPr>
              <w:rPr>
                <w:rFonts w:ascii="Arial" w:hAnsi="Arial" w:cs="Arial"/>
                <w:i/>
                <w:iCs/>
              </w:rPr>
            </w:pPr>
            <w:r w:rsidRPr="002F17EA">
              <w:rPr>
                <w:rFonts w:ascii="Arial" w:hAnsi="Arial" w:cs="Arial"/>
                <w:i/>
                <w:iCs/>
              </w:rPr>
              <w:t>Brachyplatystoma capapretum ; Brachyplatystoma filamentosum ; Brachyplatystoma juruense ; Brachyplatystoma platynemum ; Pseudoplatystoma tigrinum ; Phractocephalus hemioliopterus ; Pinirampus pirinampu ; Platynematichthys notatus ; Sorubim lima ; Sorubimichthys planiceps ; Zungaro zungaro</w:t>
            </w:r>
          </w:p>
        </w:tc>
      </w:tr>
    </w:tbl>
    <w:p w14:paraId="45028E22" w14:textId="77777777" w:rsidR="009672C2" w:rsidRPr="002F17EA" w:rsidRDefault="009672C2" w:rsidP="00130891">
      <w:pPr>
        <w:spacing w:after="0" w:line="240" w:lineRule="auto"/>
        <w:rPr>
          <w:rFonts w:ascii="Arial" w:hAnsi="Arial" w:cs="Arial"/>
          <w:sz w:val="22"/>
        </w:rPr>
      </w:pPr>
    </w:p>
    <w:p w14:paraId="0E1387BF" w14:textId="7F3DAA7F" w:rsidR="009672C2" w:rsidRPr="00130891" w:rsidRDefault="002A409C" w:rsidP="00130891">
      <w:pPr>
        <w:pStyle w:val="Heading2"/>
        <w:spacing w:before="0" w:line="240" w:lineRule="auto"/>
        <w:ind w:left="567" w:hanging="567"/>
        <w:rPr>
          <w:rFonts w:ascii="Arial" w:hAnsi="Arial" w:cs="Arial"/>
          <w:b w:val="0"/>
          <w:bCs w:val="0"/>
          <w:sz w:val="22"/>
          <w:szCs w:val="22"/>
          <w:lang w:val="fr-FR"/>
        </w:rPr>
      </w:pPr>
      <w:bookmarkStart w:id="45" w:name="_Toc214450277"/>
      <w:r w:rsidRPr="00130891">
        <w:rPr>
          <w:rFonts w:ascii="Arial" w:hAnsi="Arial" w:cs="Arial"/>
          <w:b w:val="0"/>
          <w:bCs w:val="0"/>
          <w:sz w:val="22"/>
          <w:szCs w:val="22"/>
          <w:lang w:val="fr-FR"/>
        </w:rPr>
        <w:t xml:space="preserve">6.4 </w:t>
      </w:r>
      <w:r w:rsidR="00130891">
        <w:rPr>
          <w:rFonts w:ascii="Arial" w:hAnsi="Arial" w:cs="Arial"/>
          <w:b w:val="0"/>
          <w:bCs w:val="0"/>
          <w:sz w:val="22"/>
          <w:szCs w:val="22"/>
          <w:lang w:val="fr-FR"/>
        </w:rPr>
        <w:tab/>
      </w:r>
      <w:r w:rsidRPr="00130891">
        <w:rPr>
          <w:rFonts w:ascii="Arial" w:hAnsi="Arial" w:cs="Arial"/>
          <w:b w:val="0"/>
          <w:bCs w:val="0"/>
          <w:sz w:val="22"/>
          <w:szCs w:val="22"/>
          <w:lang w:val="fr-FR"/>
        </w:rPr>
        <w:t>Remarques sur les taxons représentatifs</w:t>
      </w:r>
      <w:bookmarkEnd w:id="45"/>
    </w:p>
    <w:p w14:paraId="1E4B5240" w14:textId="77777777" w:rsidR="009672C2" w:rsidRPr="00036694" w:rsidRDefault="009672C2" w:rsidP="00130891">
      <w:pPr>
        <w:pStyle w:val="NoSpacing"/>
        <w:rPr>
          <w:rFonts w:ascii="Arial" w:hAnsi="Arial" w:cs="Arial"/>
          <w:color w:val="000000" w:themeColor="text1"/>
          <w:sz w:val="22"/>
          <w:lang w:val="fr-FR"/>
        </w:rPr>
      </w:pPr>
    </w:p>
    <w:p w14:paraId="4A9F2D01" w14:textId="77777777" w:rsidR="009672C2" w:rsidRDefault="002A409C" w:rsidP="00130891">
      <w:pPr>
        <w:pStyle w:val="NoSpacing"/>
        <w:jc w:val="both"/>
        <w:rPr>
          <w:rFonts w:ascii="Arial" w:hAnsi="Arial" w:cs="Arial"/>
          <w:color w:val="000000" w:themeColor="text1"/>
          <w:sz w:val="22"/>
          <w:lang w:val="fr-FR"/>
        </w:rPr>
      </w:pPr>
      <w:r w:rsidRPr="00036694">
        <w:rPr>
          <w:rFonts w:ascii="Arial" w:hAnsi="Arial" w:cs="Arial"/>
          <w:i/>
          <w:color w:val="000000" w:themeColor="text1"/>
          <w:sz w:val="22"/>
          <w:lang w:val="fr-FR"/>
        </w:rPr>
        <w:t>Brycon amazonicus</w:t>
      </w:r>
      <w:r w:rsidRPr="00036694">
        <w:rPr>
          <w:rFonts w:ascii="Arial" w:hAnsi="Arial" w:cs="Arial"/>
          <w:color w:val="000000" w:themeColor="text1"/>
          <w:sz w:val="22"/>
          <w:lang w:val="fr-FR"/>
        </w:rPr>
        <w:t xml:space="preserve"> et ses proches congénères entreprennent des migrations de bassin de moyenne à longue distance (souvent supérieures à 500 km) et présentent des signes de surpêche ou de vulnérabilité à la surpêche liée à la croissance. </w:t>
      </w:r>
      <w:r w:rsidRPr="00036694">
        <w:rPr>
          <w:rFonts w:ascii="Arial" w:hAnsi="Arial" w:cs="Arial"/>
          <w:i/>
          <w:color w:val="000000" w:themeColor="text1"/>
          <w:sz w:val="22"/>
          <w:lang w:val="fr-FR"/>
        </w:rPr>
        <w:t>Arapaima gigas</w:t>
      </w:r>
      <w:r w:rsidRPr="00036694">
        <w:rPr>
          <w:rFonts w:ascii="Arial" w:hAnsi="Arial" w:cs="Arial"/>
          <w:color w:val="000000" w:themeColor="text1"/>
          <w:sz w:val="22"/>
          <w:lang w:val="fr-FR"/>
        </w:rPr>
        <w:t xml:space="preserve"> est une espèce dont les données sont insuffisantes au niveau mondial, mais qui est vulnérable dans plusieurs évaluations nationales et qui figure à l'Annexe II de la CITES, avec des baisses de captures documentées dans certaines parties de l'Amazonie péruvienne. Plusieurs espèces de </w:t>
      </w:r>
      <w:r w:rsidRPr="00036694">
        <w:rPr>
          <w:rFonts w:ascii="Arial" w:hAnsi="Arial" w:cs="Arial"/>
          <w:i/>
          <w:color w:val="000000" w:themeColor="text1"/>
          <w:sz w:val="22"/>
          <w:lang w:val="fr-FR"/>
        </w:rPr>
        <w:t>Brachyplatystoma</w:t>
      </w:r>
      <w:r w:rsidRPr="00036694">
        <w:rPr>
          <w:rFonts w:ascii="Arial" w:hAnsi="Arial" w:cs="Arial"/>
          <w:color w:val="000000" w:themeColor="text1"/>
          <w:sz w:val="22"/>
          <w:lang w:val="fr-FR"/>
        </w:rPr>
        <w:t xml:space="preserve"> possèdent un cycle de vie à l'échelle du continent, avec une reproduction concentrée dans l'ouest de l'Amazonie et une dérive des larves ou des juvéniles vers les zones de reproduction situées au centre et à l'est, traversant ainsi plusieurs juridictions nationales. Collectivement, l'étude de cas de l'Amazonie affine et élargit la liste restreinte mondiale en ajoutant des taxons justifiés par l'écologie des mouvements spécifiques au bassin, les tendances de la pêche et l'examen des experts, ce qui donne un ensemble de 33 espèces à prendre en considération dans le cadre de l'Annexe II de la CMS.</w:t>
      </w:r>
    </w:p>
    <w:p w14:paraId="23D1CCE7" w14:textId="77777777" w:rsidR="000A51E0" w:rsidRPr="00036694" w:rsidRDefault="000A51E0" w:rsidP="00130891">
      <w:pPr>
        <w:pStyle w:val="NoSpacing"/>
        <w:jc w:val="both"/>
        <w:rPr>
          <w:rFonts w:ascii="Arial" w:hAnsi="Arial" w:cs="Arial"/>
          <w:color w:val="000000" w:themeColor="text1"/>
          <w:sz w:val="22"/>
          <w:lang w:val="fr-FR"/>
        </w:rPr>
      </w:pPr>
    </w:p>
    <w:p w14:paraId="578E4B57" w14:textId="7B21B9FD" w:rsidR="009672C2" w:rsidRDefault="000A51E0" w:rsidP="000A51E0">
      <w:pPr>
        <w:pStyle w:val="Heading1"/>
        <w:spacing w:before="0" w:line="240" w:lineRule="auto"/>
        <w:ind w:left="567" w:hanging="567"/>
        <w:jc w:val="both"/>
        <w:rPr>
          <w:lang w:val="fr-FR"/>
        </w:rPr>
      </w:pPr>
      <w:bookmarkStart w:id="46" w:name="_Toc214450278"/>
      <w:r w:rsidRPr="00036694">
        <w:rPr>
          <w:lang w:val="fr-FR"/>
        </w:rPr>
        <w:t xml:space="preserve">7 </w:t>
      </w:r>
      <w:r>
        <w:rPr>
          <w:lang w:val="fr-FR"/>
        </w:rPr>
        <w:tab/>
      </w:r>
      <w:r w:rsidRPr="00036694">
        <w:rPr>
          <w:lang w:val="fr-FR"/>
        </w:rPr>
        <w:t>OPTIONS POUR LA GESTION DES POISSONS D'EAU DOUCE TRANSFRONTALIERS</w:t>
      </w:r>
      <w:bookmarkEnd w:id="46"/>
    </w:p>
    <w:p w14:paraId="21DA95A2" w14:textId="77777777" w:rsidR="000A51E0" w:rsidRPr="000A51E0" w:rsidRDefault="000A51E0" w:rsidP="000A51E0">
      <w:pPr>
        <w:spacing w:after="0" w:line="240" w:lineRule="auto"/>
        <w:rPr>
          <w:lang w:val="fr-FR"/>
        </w:rPr>
      </w:pPr>
    </w:p>
    <w:p w14:paraId="08ED297E" w14:textId="2325B1F1" w:rsidR="009672C2" w:rsidRPr="000A51E0" w:rsidRDefault="002A409C" w:rsidP="000A51E0">
      <w:pPr>
        <w:pStyle w:val="Heading2"/>
        <w:spacing w:before="0" w:line="240" w:lineRule="auto"/>
        <w:ind w:left="567" w:hanging="567"/>
        <w:rPr>
          <w:rFonts w:ascii="Arial" w:hAnsi="Arial" w:cs="Arial"/>
          <w:b w:val="0"/>
          <w:bCs w:val="0"/>
          <w:sz w:val="22"/>
          <w:szCs w:val="22"/>
          <w:lang w:val="fr-FR"/>
        </w:rPr>
      </w:pPr>
      <w:bookmarkStart w:id="47" w:name="_Toc214450279"/>
      <w:r w:rsidRPr="000A51E0">
        <w:rPr>
          <w:rFonts w:ascii="Arial" w:hAnsi="Arial" w:cs="Arial"/>
          <w:b w:val="0"/>
          <w:bCs w:val="0"/>
          <w:sz w:val="22"/>
          <w:szCs w:val="22"/>
          <w:lang w:val="fr-FR"/>
        </w:rPr>
        <w:t xml:space="preserve">7.1 </w:t>
      </w:r>
      <w:r w:rsidR="000A51E0">
        <w:rPr>
          <w:rFonts w:ascii="Arial" w:hAnsi="Arial" w:cs="Arial"/>
          <w:b w:val="0"/>
          <w:bCs w:val="0"/>
          <w:sz w:val="22"/>
          <w:szCs w:val="22"/>
          <w:lang w:val="fr-FR"/>
        </w:rPr>
        <w:tab/>
      </w:r>
      <w:r w:rsidRPr="000A51E0">
        <w:rPr>
          <w:rFonts w:ascii="Arial" w:hAnsi="Arial" w:cs="Arial"/>
          <w:b w:val="0"/>
          <w:bCs w:val="0"/>
          <w:sz w:val="22"/>
          <w:szCs w:val="22"/>
          <w:lang w:val="fr-FR"/>
        </w:rPr>
        <w:t>Coopération internationale</w:t>
      </w:r>
      <w:bookmarkEnd w:id="47"/>
      <w:r w:rsidRPr="000A51E0">
        <w:rPr>
          <w:rFonts w:ascii="Arial" w:hAnsi="Arial" w:cs="Arial"/>
          <w:b w:val="0"/>
          <w:bCs w:val="0"/>
          <w:sz w:val="22"/>
          <w:szCs w:val="22"/>
          <w:lang w:val="fr-FR"/>
        </w:rPr>
        <w:t xml:space="preserve"> </w:t>
      </w:r>
    </w:p>
    <w:p w14:paraId="0D5D74EF" w14:textId="77777777" w:rsidR="009672C2" w:rsidRPr="00036694" w:rsidRDefault="009672C2" w:rsidP="000A51E0">
      <w:pPr>
        <w:pStyle w:val="NoSpacing"/>
        <w:rPr>
          <w:rFonts w:ascii="Arial" w:hAnsi="Arial" w:cs="Arial"/>
          <w:color w:val="000000" w:themeColor="text1"/>
          <w:sz w:val="22"/>
          <w:lang w:val="fr-FR"/>
        </w:rPr>
      </w:pPr>
    </w:p>
    <w:p w14:paraId="555BA41A" w14:textId="77777777" w:rsidR="009672C2" w:rsidRPr="00036694" w:rsidRDefault="002A409C" w:rsidP="00130891">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Les accords et la coopération à l'échelle internationale sont établis de longue date pour les espèces marines, où de nombreux taxons traversent régulièrement les frontières ou utilisent des zones situées au-delà de la juridiction nationale. Une coopération comparable pour les eaux intérieures a pris du retard, en partie parce que les écosystèmes d'eau douce ont souvent été considérés comme une question de souveraineté nationale exclusive. Pourtant, lorsque les </w:t>
      </w:r>
      <w:r w:rsidRPr="00036694">
        <w:rPr>
          <w:rFonts w:ascii="Arial" w:hAnsi="Arial" w:cs="Arial"/>
          <w:color w:val="000000" w:themeColor="text1"/>
          <w:sz w:val="22"/>
          <w:lang w:val="fr-FR"/>
        </w:rPr>
        <w:lastRenderedPageBreak/>
        <w:t xml:space="preserve">stocks migrent au-delà des frontières ou sont partagés au sein de lacs et de rivières internationaux, les lacunes en matière de gouvernance rendent les poissons migrateurs d'eau douce vulnérables à la surpêche (notamment sur les sites de frai et le long des corridors), à la perte d'habitat et de connectivité, ainsi qu'à l'altération des régimes fluviaux (flux, température, qualité de l'eau). </w:t>
      </w:r>
    </w:p>
    <w:p w14:paraId="37B36AE3" w14:textId="77777777" w:rsidR="009672C2" w:rsidRPr="00036694" w:rsidRDefault="009672C2" w:rsidP="00130891">
      <w:pPr>
        <w:pStyle w:val="NoSpacing"/>
        <w:jc w:val="both"/>
        <w:rPr>
          <w:rFonts w:ascii="Arial" w:hAnsi="Arial" w:cs="Arial"/>
          <w:color w:val="000000" w:themeColor="text1"/>
          <w:sz w:val="22"/>
          <w:lang w:val="fr-FR"/>
        </w:rPr>
      </w:pPr>
    </w:p>
    <w:p w14:paraId="79186073" w14:textId="77777777" w:rsidR="009672C2" w:rsidRDefault="002A409C" w:rsidP="00130891">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La CMS est la seule convention mondiale conçue spécifiquement pour faciliter la conservation et la gestion des espèces migratrices, y compris les poissons d'eau douce. Bien que l'adhésion à la CMS soit partielle dans certaines régions, ses instruments permettent d'impliquer les États non-Parties et de collaborer avec d'autres processus multilatéraux pour obtenir des résultats à l'échelle des bassins hydrographiques.</w:t>
      </w:r>
    </w:p>
    <w:p w14:paraId="378A7367" w14:textId="77777777" w:rsidR="000A51E0" w:rsidRPr="00036694" w:rsidRDefault="000A51E0" w:rsidP="00130891">
      <w:pPr>
        <w:pStyle w:val="NoSpacing"/>
        <w:jc w:val="both"/>
        <w:rPr>
          <w:rFonts w:ascii="Arial" w:hAnsi="Arial" w:cs="Arial"/>
          <w:color w:val="000000" w:themeColor="text1"/>
          <w:sz w:val="22"/>
          <w:lang w:val="fr-FR"/>
        </w:rPr>
      </w:pPr>
    </w:p>
    <w:p w14:paraId="373921C0" w14:textId="395C5C9F" w:rsidR="009672C2" w:rsidRPr="000A51E0" w:rsidRDefault="002A409C" w:rsidP="000A51E0">
      <w:pPr>
        <w:pStyle w:val="Heading2"/>
        <w:spacing w:before="0" w:line="240" w:lineRule="auto"/>
        <w:ind w:left="567" w:hanging="567"/>
        <w:rPr>
          <w:rFonts w:ascii="Arial" w:hAnsi="Arial" w:cs="Arial"/>
          <w:b w:val="0"/>
          <w:bCs w:val="0"/>
          <w:sz w:val="22"/>
          <w:szCs w:val="22"/>
          <w:lang w:val="fr-FR"/>
        </w:rPr>
      </w:pPr>
      <w:bookmarkStart w:id="48" w:name="_Toc214450280"/>
      <w:r w:rsidRPr="000A51E0">
        <w:rPr>
          <w:rFonts w:ascii="Arial" w:hAnsi="Arial" w:cs="Arial"/>
          <w:b w:val="0"/>
          <w:bCs w:val="0"/>
          <w:sz w:val="22"/>
          <w:szCs w:val="22"/>
          <w:lang w:val="fr-FR"/>
        </w:rPr>
        <w:t xml:space="preserve">7.2 </w:t>
      </w:r>
      <w:r w:rsidR="000A51E0">
        <w:rPr>
          <w:rFonts w:ascii="Arial" w:hAnsi="Arial" w:cs="Arial"/>
          <w:b w:val="0"/>
          <w:bCs w:val="0"/>
          <w:sz w:val="22"/>
          <w:szCs w:val="22"/>
          <w:lang w:val="fr-FR"/>
        </w:rPr>
        <w:tab/>
      </w:r>
      <w:r w:rsidRPr="000A51E0">
        <w:rPr>
          <w:rFonts w:ascii="Arial" w:hAnsi="Arial" w:cs="Arial"/>
          <w:b w:val="0"/>
          <w:bCs w:val="0"/>
          <w:sz w:val="22"/>
          <w:szCs w:val="22"/>
          <w:lang w:val="fr-FR"/>
        </w:rPr>
        <w:t>Voies complémentaires dans le cadre de la CMS</w:t>
      </w:r>
      <w:bookmarkEnd w:id="48"/>
      <w:r w:rsidRPr="000A51E0">
        <w:rPr>
          <w:rFonts w:ascii="Arial" w:hAnsi="Arial" w:cs="Arial"/>
          <w:b w:val="0"/>
          <w:bCs w:val="0"/>
          <w:sz w:val="22"/>
          <w:szCs w:val="22"/>
          <w:lang w:val="fr-FR"/>
        </w:rPr>
        <w:t xml:space="preserve"> </w:t>
      </w:r>
    </w:p>
    <w:p w14:paraId="46F10419" w14:textId="77777777" w:rsidR="000A51E0" w:rsidRDefault="000A51E0" w:rsidP="000A51E0">
      <w:pPr>
        <w:spacing w:after="0" w:line="240" w:lineRule="auto"/>
        <w:jc w:val="both"/>
        <w:rPr>
          <w:rFonts w:ascii="Arial" w:eastAsia="Times New Roman" w:hAnsi="Arial" w:cs="Arial"/>
          <w:color w:val="000000" w:themeColor="text1"/>
          <w:sz w:val="22"/>
          <w:lang w:val="fr-FR"/>
        </w:rPr>
      </w:pPr>
    </w:p>
    <w:p w14:paraId="25D093E6" w14:textId="557A1128" w:rsidR="009672C2" w:rsidRDefault="002A409C" w:rsidP="000A51E0">
      <w:pPr>
        <w:spacing w:after="0" w:line="240" w:lineRule="auto"/>
        <w:jc w:val="both"/>
        <w:rPr>
          <w:rFonts w:ascii="Arial" w:eastAsia="Times New Roman" w:hAnsi="Arial" w:cs="Arial"/>
          <w:color w:val="000000" w:themeColor="text1"/>
          <w:sz w:val="22"/>
          <w:lang w:val="fr-FR"/>
        </w:rPr>
      </w:pPr>
      <w:r w:rsidRPr="00036694">
        <w:rPr>
          <w:rFonts w:ascii="Arial" w:eastAsia="Times New Roman" w:hAnsi="Arial" w:cs="Arial"/>
          <w:color w:val="000000" w:themeColor="text1"/>
          <w:sz w:val="22"/>
          <w:lang w:val="fr-FR"/>
        </w:rPr>
        <w:t>Les États de l'aire de répartition, qu'ils soient Parties ou non-Parties, peuvent combiner les voies suivantes de la CMS pour s'adapter au contexte régional et à l'état de préparation. Elles sont complémentaires plutôt que successives.</w:t>
      </w:r>
    </w:p>
    <w:p w14:paraId="7A5C3C3C" w14:textId="77777777" w:rsidR="00646E59" w:rsidRPr="00036694" w:rsidRDefault="00646E59" w:rsidP="000A51E0">
      <w:pPr>
        <w:spacing w:after="0" w:line="240" w:lineRule="auto"/>
        <w:jc w:val="both"/>
        <w:rPr>
          <w:rFonts w:ascii="Arial" w:eastAsia="Times New Roman" w:hAnsi="Arial" w:cs="Arial"/>
          <w:color w:val="000000" w:themeColor="text1"/>
          <w:sz w:val="22"/>
          <w:lang w:val="fr-FR"/>
        </w:rPr>
      </w:pPr>
    </w:p>
    <w:p w14:paraId="6826087D" w14:textId="77777777" w:rsidR="000A51E0" w:rsidRDefault="002A409C" w:rsidP="000A51E0">
      <w:pPr>
        <w:numPr>
          <w:ilvl w:val="0"/>
          <w:numId w:val="8"/>
        </w:numPr>
        <w:spacing w:after="0" w:line="240" w:lineRule="auto"/>
        <w:jc w:val="both"/>
        <w:rPr>
          <w:rFonts w:ascii="Arial" w:eastAsia="Times New Roman" w:hAnsi="Arial" w:cs="Arial"/>
          <w:color w:val="000000" w:themeColor="text1"/>
          <w:sz w:val="22"/>
          <w:lang w:val="fr-FR"/>
        </w:rPr>
      </w:pPr>
      <w:r w:rsidRPr="00036694">
        <w:rPr>
          <w:rFonts w:ascii="Arial" w:eastAsia="Times New Roman" w:hAnsi="Arial" w:cs="Arial"/>
          <w:i/>
          <w:color w:val="000000" w:themeColor="text1"/>
          <w:sz w:val="22"/>
          <w:lang w:val="fr-FR"/>
        </w:rPr>
        <w:t xml:space="preserve">Listes d'espèces dans les Annexes de la CMS </w:t>
      </w:r>
      <w:r w:rsidRPr="00036694">
        <w:rPr>
          <w:rFonts w:ascii="Arial" w:eastAsia="Times New Roman" w:hAnsi="Arial" w:cs="Arial"/>
          <w:color w:val="000000" w:themeColor="text1"/>
          <w:sz w:val="22"/>
          <w:lang w:val="fr-FR"/>
        </w:rPr>
        <w:t>:</w:t>
      </w:r>
    </w:p>
    <w:p w14:paraId="4DC6AD87" w14:textId="46D157E7" w:rsidR="009672C2" w:rsidRDefault="002A409C" w:rsidP="000A51E0">
      <w:pPr>
        <w:spacing w:after="0" w:line="240" w:lineRule="auto"/>
        <w:ind w:left="720"/>
        <w:jc w:val="both"/>
        <w:rPr>
          <w:rFonts w:ascii="Arial" w:eastAsia="Times New Roman" w:hAnsi="Arial" w:cs="Arial"/>
          <w:color w:val="000000" w:themeColor="text1"/>
          <w:sz w:val="22"/>
          <w:lang w:val="fr-FR"/>
        </w:rPr>
      </w:pPr>
      <w:r w:rsidRPr="00036694">
        <w:rPr>
          <w:rFonts w:ascii="Arial" w:eastAsia="Times New Roman" w:hAnsi="Arial" w:cs="Arial"/>
          <w:color w:val="000000" w:themeColor="text1"/>
          <w:sz w:val="22"/>
          <w:lang w:val="fr-FR"/>
        </w:rPr>
        <w:t>utiliser l'Annexe I pour les taxons en danger immédiat nécessitant une protection stricte et une réduction des prises accessoires ; utiliser l'Annexe II pour les taxons nécessitant une gestion coordonnée au-delà des frontières (par exemple, stocks partagés, mesures de sauvegarde des corridors, règles harmonisées en matière de récolte et de commerce). Les inscriptions peuvent être proposées individuellement ou sous forme d'assemblages lorsque les écologies et les pressions sont partagées.</w:t>
      </w:r>
    </w:p>
    <w:p w14:paraId="4E406DCF" w14:textId="77777777" w:rsidR="000A51E0" w:rsidRPr="00036694" w:rsidRDefault="000A51E0" w:rsidP="000A51E0">
      <w:pPr>
        <w:spacing w:after="0" w:line="240" w:lineRule="auto"/>
        <w:ind w:left="720"/>
        <w:jc w:val="both"/>
        <w:rPr>
          <w:rFonts w:ascii="Arial" w:eastAsia="Times New Roman" w:hAnsi="Arial" w:cs="Arial"/>
          <w:color w:val="000000" w:themeColor="text1"/>
          <w:sz w:val="22"/>
          <w:lang w:val="fr-FR"/>
        </w:rPr>
      </w:pPr>
    </w:p>
    <w:p w14:paraId="67A23D9C" w14:textId="77777777" w:rsidR="000A51E0" w:rsidRPr="000A51E0" w:rsidRDefault="002A409C" w:rsidP="000A51E0">
      <w:pPr>
        <w:numPr>
          <w:ilvl w:val="0"/>
          <w:numId w:val="8"/>
        </w:numPr>
        <w:spacing w:after="0" w:line="240" w:lineRule="auto"/>
        <w:jc w:val="both"/>
        <w:rPr>
          <w:rFonts w:ascii="Arial" w:eastAsia="Times New Roman" w:hAnsi="Arial" w:cs="Arial"/>
          <w:color w:val="000000" w:themeColor="text1"/>
          <w:sz w:val="22"/>
          <w:lang w:val="fr-FR"/>
        </w:rPr>
      </w:pPr>
      <w:r w:rsidRPr="00036694">
        <w:rPr>
          <w:rFonts w:ascii="Arial" w:eastAsia="Times New Roman" w:hAnsi="Arial" w:cs="Arial"/>
          <w:i/>
          <w:color w:val="000000" w:themeColor="text1"/>
          <w:sz w:val="22"/>
          <w:lang w:val="fr-FR"/>
        </w:rPr>
        <w:t xml:space="preserve">Plans d'action pour une ou plusieurs espèces </w:t>
      </w:r>
      <w:r w:rsidRPr="00036694">
        <w:rPr>
          <w:rFonts w:ascii="Arial" w:eastAsia="Times New Roman" w:hAnsi="Arial" w:cs="Arial"/>
          <w:i/>
          <w:iCs/>
          <w:color w:val="000000" w:themeColor="text1"/>
          <w:sz w:val="22"/>
          <w:lang w:val="fr-FR"/>
        </w:rPr>
        <w:t>:</w:t>
      </w:r>
    </w:p>
    <w:p w14:paraId="59FBFF1D" w14:textId="18C16F6D" w:rsidR="009672C2" w:rsidRDefault="002A409C" w:rsidP="000A51E0">
      <w:pPr>
        <w:spacing w:after="0" w:line="240" w:lineRule="auto"/>
        <w:ind w:left="720"/>
        <w:jc w:val="both"/>
        <w:rPr>
          <w:rFonts w:ascii="Arial" w:eastAsia="Times New Roman" w:hAnsi="Arial" w:cs="Arial"/>
          <w:color w:val="000000" w:themeColor="text1"/>
          <w:sz w:val="22"/>
          <w:lang w:val="fr-FR"/>
        </w:rPr>
      </w:pPr>
      <w:r w:rsidRPr="00036694">
        <w:rPr>
          <w:rFonts w:ascii="Arial" w:eastAsia="Times New Roman" w:hAnsi="Arial" w:cs="Arial"/>
          <w:color w:val="000000" w:themeColor="text1"/>
          <w:sz w:val="22"/>
          <w:lang w:val="fr-FR"/>
        </w:rPr>
        <w:t>les plans à durée déterminée annexés à une résolution de la COP peuvent fixer des objectifs à l'échelle du bassin, identifier les corridors prioritaires et les goulets d'étranglement, spécifier des mesures pour une pêche et un commerce durables, établir un suivi et des rapports, et désigner des organes de coordination.</w:t>
      </w:r>
    </w:p>
    <w:p w14:paraId="11FCBC17" w14:textId="77777777" w:rsidR="006E2B9A" w:rsidRPr="00036694" w:rsidRDefault="006E2B9A" w:rsidP="000A51E0">
      <w:pPr>
        <w:spacing w:after="0" w:line="240" w:lineRule="auto"/>
        <w:ind w:left="720"/>
        <w:jc w:val="both"/>
        <w:rPr>
          <w:rFonts w:ascii="Arial" w:eastAsia="Times New Roman" w:hAnsi="Arial" w:cs="Arial"/>
          <w:color w:val="000000" w:themeColor="text1"/>
          <w:sz w:val="22"/>
          <w:lang w:val="fr-FR"/>
        </w:rPr>
      </w:pPr>
    </w:p>
    <w:p w14:paraId="2DBE11EC" w14:textId="77777777" w:rsidR="000A51E0" w:rsidRPr="000A51E0" w:rsidRDefault="002A409C" w:rsidP="000A51E0">
      <w:pPr>
        <w:numPr>
          <w:ilvl w:val="0"/>
          <w:numId w:val="8"/>
        </w:numPr>
        <w:spacing w:after="0" w:line="240" w:lineRule="auto"/>
        <w:jc w:val="both"/>
        <w:rPr>
          <w:rFonts w:ascii="Arial" w:eastAsia="Times New Roman" w:hAnsi="Arial" w:cs="Arial"/>
          <w:color w:val="000000" w:themeColor="text1"/>
          <w:sz w:val="22"/>
          <w:lang w:val="fr-FR"/>
        </w:rPr>
      </w:pPr>
      <w:r w:rsidRPr="00036694">
        <w:rPr>
          <w:rFonts w:ascii="Arial" w:eastAsia="Times New Roman" w:hAnsi="Arial" w:cs="Arial"/>
          <w:i/>
          <w:color w:val="000000" w:themeColor="text1"/>
          <w:sz w:val="22"/>
          <w:lang w:val="fr-FR"/>
        </w:rPr>
        <w:t>Mémorandums d'entente (MdE) au titre des articles IV/V</w:t>
      </w:r>
      <w:r w:rsidRPr="00036694">
        <w:rPr>
          <w:rFonts w:ascii="Arial" w:eastAsia="Times New Roman" w:hAnsi="Arial" w:cs="Arial"/>
          <w:i/>
          <w:iCs/>
          <w:color w:val="000000" w:themeColor="text1"/>
          <w:sz w:val="22"/>
          <w:lang w:val="fr-FR"/>
        </w:rPr>
        <w:t xml:space="preserve"> :</w:t>
      </w:r>
    </w:p>
    <w:p w14:paraId="3376EB08" w14:textId="27C88BE8" w:rsidR="009672C2" w:rsidRDefault="002A409C" w:rsidP="006E2B9A">
      <w:pPr>
        <w:spacing w:after="0" w:line="240" w:lineRule="auto"/>
        <w:ind w:left="720"/>
        <w:jc w:val="both"/>
        <w:rPr>
          <w:rFonts w:ascii="Arial" w:eastAsia="Times New Roman" w:hAnsi="Arial" w:cs="Arial"/>
          <w:color w:val="000000" w:themeColor="text1"/>
          <w:sz w:val="22"/>
          <w:lang w:val="fr-FR"/>
        </w:rPr>
      </w:pPr>
      <w:r w:rsidRPr="00036694">
        <w:rPr>
          <w:rFonts w:ascii="Arial" w:eastAsia="Times New Roman" w:hAnsi="Arial" w:cs="Arial"/>
          <w:color w:val="000000" w:themeColor="text1"/>
          <w:sz w:val="22"/>
          <w:lang w:val="fr-FR"/>
        </w:rPr>
        <w:t>cadres juridiquement non contraignants qui permettent la participation des États de l'aire de répartition indépendamment de leur statut de Partie à la CMS. Les MdE établissent généralement des réunions de signataires, des groupes consultatifs techniques et des plans de travail évolutifs, et peuvent ajouter des espèces au fil du temps.</w:t>
      </w:r>
    </w:p>
    <w:p w14:paraId="0CE32011" w14:textId="77777777" w:rsidR="006E2B9A" w:rsidRPr="00036694" w:rsidRDefault="006E2B9A" w:rsidP="006E2B9A">
      <w:pPr>
        <w:spacing w:after="0" w:line="240" w:lineRule="auto"/>
        <w:ind w:left="720"/>
        <w:jc w:val="both"/>
        <w:rPr>
          <w:rFonts w:ascii="Arial" w:eastAsia="Times New Roman" w:hAnsi="Arial" w:cs="Arial"/>
          <w:color w:val="000000" w:themeColor="text1"/>
          <w:sz w:val="22"/>
          <w:lang w:val="fr-FR"/>
        </w:rPr>
      </w:pPr>
    </w:p>
    <w:p w14:paraId="4F2DBF70" w14:textId="77777777" w:rsidR="000A51E0" w:rsidRPr="000A51E0" w:rsidRDefault="002A409C" w:rsidP="000A51E0">
      <w:pPr>
        <w:numPr>
          <w:ilvl w:val="0"/>
          <w:numId w:val="8"/>
        </w:numPr>
        <w:spacing w:after="0" w:line="240" w:lineRule="auto"/>
        <w:jc w:val="both"/>
        <w:rPr>
          <w:rFonts w:ascii="Arial" w:eastAsia="Times New Roman" w:hAnsi="Arial" w:cs="Arial"/>
          <w:color w:val="000000" w:themeColor="text1"/>
          <w:sz w:val="22"/>
          <w:lang w:val="fr-FR"/>
        </w:rPr>
      </w:pPr>
      <w:r w:rsidRPr="00036694">
        <w:rPr>
          <w:rFonts w:ascii="Arial" w:eastAsia="Times New Roman" w:hAnsi="Arial" w:cs="Arial"/>
          <w:i/>
          <w:color w:val="000000" w:themeColor="text1"/>
          <w:sz w:val="22"/>
          <w:lang w:val="fr-FR"/>
        </w:rPr>
        <w:t>Actions concertées (AC</w:t>
      </w:r>
      <w:r w:rsidRPr="00036694">
        <w:rPr>
          <w:rFonts w:ascii="Arial" w:eastAsia="Times New Roman" w:hAnsi="Arial" w:cs="Arial"/>
          <w:i/>
          <w:iCs/>
          <w:color w:val="000000" w:themeColor="text1"/>
          <w:sz w:val="22"/>
          <w:lang w:val="fr-FR"/>
        </w:rPr>
        <w:t>) :</w:t>
      </w:r>
    </w:p>
    <w:p w14:paraId="7423502B" w14:textId="0051E354" w:rsidR="009672C2" w:rsidRDefault="002A409C" w:rsidP="006E2B9A">
      <w:pPr>
        <w:spacing w:after="0" w:line="240" w:lineRule="auto"/>
        <w:ind w:left="720"/>
        <w:jc w:val="both"/>
        <w:rPr>
          <w:rFonts w:ascii="Arial" w:eastAsia="Times New Roman" w:hAnsi="Arial" w:cs="Arial"/>
          <w:color w:val="000000" w:themeColor="text1"/>
          <w:sz w:val="22"/>
          <w:lang w:val="fr-FR"/>
        </w:rPr>
      </w:pPr>
      <w:r w:rsidRPr="00036694">
        <w:rPr>
          <w:rFonts w:ascii="Arial" w:eastAsia="Times New Roman" w:hAnsi="Arial" w:cs="Arial"/>
          <w:color w:val="000000" w:themeColor="text1"/>
          <w:sz w:val="22"/>
          <w:lang w:val="fr-FR"/>
        </w:rPr>
        <w:t>une coopération ciblée et limitée dans le temps visant à obtenir des résultats concrets sur le terrain (par exemple, des projets pilotes de corridors d'atténuation, des fermetures harmonisées, une surveillance standardisée, des actions ciblées sur les zones de pollution). Les AC sont parfaitement adaptées en tant que premières étapes démontrables et peuvent servir de pont vers les plans d'action ou les mémorandums d'entente.</w:t>
      </w:r>
    </w:p>
    <w:p w14:paraId="444EB6A4" w14:textId="77777777" w:rsidR="006E2B9A" w:rsidRPr="00036694" w:rsidRDefault="006E2B9A" w:rsidP="006E2B9A">
      <w:pPr>
        <w:spacing w:after="0" w:line="240" w:lineRule="auto"/>
        <w:ind w:left="720"/>
        <w:jc w:val="both"/>
        <w:rPr>
          <w:rFonts w:ascii="Arial" w:eastAsia="Times New Roman" w:hAnsi="Arial" w:cs="Arial"/>
          <w:color w:val="000000" w:themeColor="text1"/>
          <w:sz w:val="22"/>
          <w:lang w:val="fr-FR"/>
        </w:rPr>
      </w:pPr>
    </w:p>
    <w:p w14:paraId="444AE008" w14:textId="77777777" w:rsidR="006E2B9A" w:rsidRPr="006E2B9A" w:rsidRDefault="002A409C" w:rsidP="000A51E0">
      <w:pPr>
        <w:numPr>
          <w:ilvl w:val="0"/>
          <w:numId w:val="8"/>
        </w:numPr>
        <w:spacing w:after="0" w:line="240" w:lineRule="auto"/>
        <w:jc w:val="both"/>
        <w:rPr>
          <w:rFonts w:ascii="Arial" w:eastAsia="Times New Roman" w:hAnsi="Arial" w:cs="Arial"/>
          <w:color w:val="000000" w:themeColor="text1"/>
          <w:sz w:val="22"/>
          <w:lang w:val="fr-FR"/>
        </w:rPr>
      </w:pPr>
      <w:r w:rsidRPr="00036694">
        <w:rPr>
          <w:rFonts w:ascii="Arial" w:eastAsia="Times New Roman" w:hAnsi="Arial" w:cs="Arial"/>
          <w:i/>
          <w:color w:val="000000" w:themeColor="text1"/>
          <w:sz w:val="22"/>
          <w:lang w:val="fr-FR"/>
        </w:rPr>
        <w:t>Intégration avec les thèmes transversaux de la CMS.</w:t>
      </w:r>
    </w:p>
    <w:p w14:paraId="09C77FA7" w14:textId="07817E0F" w:rsidR="009672C2" w:rsidRDefault="002A409C" w:rsidP="00646E59">
      <w:pPr>
        <w:spacing w:after="0" w:line="240" w:lineRule="auto"/>
        <w:ind w:left="709"/>
        <w:jc w:val="both"/>
        <w:rPr>
          <w:rFonts w:ascii="Arial" w:eastAsia="Times New Roman" w:hAnsi="Arial" w:cs="Arial"/>
          <w:color w:val="000000" w:themeColor="text1"/>
          <w:sz w:val="22"/>
          <w:lang w:val="fr-FR"/>
        </w:rPr>
      </w:pPr>
      <w:r w:rsidRPr="00036694">
        <w:rPr>
          <w:rFonts w:ascii="Arial" w:eastAsia="Times New Roman" w:hAnsi="Arial" w:cs="Arial"/>
          <w:color w:val="000000" w:themeColor="text1"/>
          <w:sz w:val="22"/>
          <w:lang w:val="fr-FR"/>
        </w:rPr>
        <w:t xml:space="preserve">Les initiatives relatives aux poissons d'eau douce devraient être intégrées dans les travaux de la CMS sur la connectivité migratoire, l'atténuation des prises accessoires et les infrastructures linéaires, y compris la fourniture de conseils techniques sur les </w:t>
      </w:r>
      <w:r w:rsidRPr="00036694">
        <w:rPr>
          <w:rFonts w:ascii="Arial" w:eastAsia="Times New Roman" w:hAnsi="Arial" w:cs="Arial"/>
          <w:color w:val="000000" w:themeColor="text1"/>
          <w:sz w:val="22"/>
          <w:lang w:val="fr-FR"/>
        </w:rPr>
        <w:lastRenderedPageBreak/>
        <w:t>passes à poissons et le criblage, les flux environnementaux liés à la migration et à la dérive des larves, et la gestion des pêcheries mixtes.</w:t>
      </w:r>
    </w:p>
    <w:p w14:paraId="6C36DC10" w14:textId="77777777" w:rsidR="00646E59" w:rsidRPr="00036694" w:rsidRDefault="00646E59" w:rsidP="00646E59">
      <w:pPr>
        <w:spacing w:after="0" w:line="240" w:lineRule="auto"/>
        <w:ind w:left="709"/>
        <w:jc w:val="both"/>
        <w:rPr>
          <w:rFonts w:ascii="Arial" w:eastAsia="Times New Roman" w:hAnsi="Arial" w:cs="Arial"/>
          <w:color w:val="000000" w:themeColor="text1"/>
          <w:sz w:val="22"/>
          <w:lang w:val="fr-FR"/>
        </w:rPr>
      </w:pPr>
    </w:p>
    <w:p w14:paraId="4578F139" w14:textId="18066E5B" w:rsidR="009672C2" w:rsidRPr="00646E59" w:rsidRDefault="002A409C" w:rsidP="00646E59">
      <w:pPr>
        <w:pStyle w:val="Heading2"/>
        <w:spacing w:before="0" w:line="240" w:lineRule="auto"/>
        <w:ind w:left="567" w:hanging="567"/>
        <w:jc w:val="both"/>
        <w:rPr>
          <w:rFonts w:ascii="Arial" w:hAnsi="Arial" w:cs="Arial"/>
          <w:b w:val="0"/>
          <w:bCs w:val="0"/>
          <w:sz w:val="22"/>
          <w:szCs w:val="22"/>
          <w:lang w:val="fr-FR"/>
        </w:rPr>
      </w:pPr>
      <w:bookmarkStart w:id="49" w:name="_Toc214450281"/>
      <w:r w:rsidRPr="00646E59">
        <w:rPr>
          <w:rFonts w:ascii="Arial" w:hAnsi="Arial" w:cs="Arial"/>
          <w:b w:val="0"/>
          <w:bCs w:val="0"/>
          <w:sz w:val="22"/>
          <w:szCs w:val="22"/>
          <w:lang w:val="fr-FR"/>
        </w:rPr>
        <w:t xml:space="preserve">7.3 </w:t>
      </w:r>
      <w:r w:rsidR="00646E59">
        <w:rPr>
          <w:rFonts w:ascii="Arial" w:hAnsi="Arial" w:cs="Arial"/>
          <w:b w:val="0"/>
          <w:bCs w:val="0"/>
          <w:sz w:val="22"/>
          <w:szCs w:val="22"/>
          <w:lang w:val="fr-FR"/>
        </w:rPr>
        <w:tab/>
      </w:r>
      <w:r w:rsidRPr="00646E59">
        <w:rPr>
          <w:rFonts w:ascii="Arial" w:hAnsi="Arial" w:cs="Arial"/>
          <w:b w:val="0"/>
          <w:bCs w:val="0"/>
          <w:sz w:val="22"/>
          <w:szCs w:val="22"/>
          <w:lang w:val="fr-FR"/>
        </w:rPr>
        <w:t>Collaboration avec la Convention sur la diversité biologique (CDB)</w:t>
      </w:r>
      <w:bookmarkEnd w:id="49"/>
    </w:p>
    <w:p w14:paraId="4BCB0374" w14:textId="77777777" w:rsidR="009672C2" w:rsidRPr="00036694" w:rsidRDefault="009672C2" w:rsidP="000A51E0">
      <w:pPr>
        <w:pStyle w:val="NoSpacing"/>
        <w:jc w:val="both"/>
        <w:rPr>
          <w:rFonts w:ascii="Arial" w:hAnsi="Arial" w:cs="Arial"/>
          <w:color w:val="000000" w:themeColor="text1"/>
          <w:sz w:val="22"/>
          <w:lang w:val="fr-FR"/>
        </w:rPr>
      </w:pPr>
    </w:p>
    <w:p w14:paraId="46505A9F" w14:textId="77777777" w:rsidR="009672C2" w:rsidRDefault="002A409C" w:rsidP="00130891">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La CDB constitue le cadre général pour la conservation de la biodiversité et reconnaît explicitement la responsabilité des États d'éviter les dommages transfrontaliers. Le Cadre mondial de la biodiversité pour l'après-2020, adopté le 19 décembre 2022, définit les objectifs et les cibles à atteindre pour parvenir à un monde vivant en harmonie avec la nature d'ici 2050. Les mesures prises par la CMS en faveur des poissons migrateurs peuvent contribuer à la mise en œuvre du Cadre mondial de la biodiversité pour l'après-2020, notamment en ce qui concerne la connectivité écologique, la restauration des écosystèmes, l'utilisation durable, la conservation par zone et la production et le partage des connaissances. Le travail conjoint peut inclure l'harmonisation des indicateurs, la conception conjointe de stratégies de connectivité dans les bassins fluviaux et l'utilisation des stratégies et plans d'action nationaux pour la biodiversité biologique (SPANB) de la CDB afin de soutenir les mesures de la CMS pour la conservation des poissons.</w:t>
      </w:r>
    </w:p>
    <w:p w14:paraId="6269B6C2" w14:textId="77777777" w:rsidR="00646E59" w:rsidRPr="00036694" w:rsidRDefault="00646E59" w:rsidP="00130891">
      <w:pPr>
        <w:pStyle w:val="NoSpacing"/>
        <w:jc w:val="both"/>
        <w:rPr>
          <w:rFonts w:ascii="Arial" w:hAnsi="Arial" w:cs="Arial"/>
          <w:color w:val="000000" w:themeColor="text1"/>
          <w:sz w:val="22"/>
          <w:lang w:val="fr-FR"/>
        </w:rPr>
      </w:pPr>
    </w:p>
    <w:p w14:paraId="13B16BAB" w14:textId="2CE00292" w:rsidR="009672C2" w:rsidRPr="00646E59" w:rsidRDefault="002A409C" w:rsidP="00646E59">
      <w:pPr>
        <w:pStyle w:val="Heading2"/>
        <w:spacing w:before="0" w:line="240" w:lineRule="auto"/>
        <w:ind w:left="567" w:hanging="567"/>
        <w:rPr>
          <w:rFonts w:ascii="Arial" w:hAnsi="Arial" w:cs="Arial"/>
          <w:b w:val="0"/>
          <w:bCs w:val="0"/>
          <w:sz w:val="22"/>
          <w:szCs w:val="22"/>
          <w:lang w:val="fr-FR"/>
        </w:rPr>
      </w:pPr>
      <w:bookmarkStart w:id="50" w:name="_Toc214450282"/>
      <w:r w:rsidRPr="00646E59">
        <w:rPr>
          <w:rFonts w:ascii="Arial" w:hAnsi="Arial" w:cs="Arial"/>
          <w:b w:val="0"/>
          <w:bCs w:val="0"/>
          <w:sz w:val="22"/>
          <w:szCs w:val="22"/>
          <w:lang w:val="fr-FR"/>
        </w:rPr>
        <w:t xml:space="preserve">7.4 </w:t>
      </w:r>
      <w:r w:rsidR="00646E59">
        <w:rPr>
          <w:rFonts w:ascii="Arial" w:hAnsi="Arial" w:cs="Arial"/>
          <w:b w:val="0"/>
          <w:bCs w:val="0"/>
          <w:sz w:val="22"/>
          <w:szCs w:val="22"/>
          <w:lang w:val="fr-FR"/>
        </w:rPr>
        <w:tab/>
      </w:r>
      <w:r w:rsidRPr="00646E59">
        <w:rPr>
          <w:rFonts w:ascii="Arial" w:hAnsi="Arial" w:cs="Arial"/>
          <w:b w:val="0"/>
          <w:bCs w:val="0"/>
          <w:sz w:val="22"/>
          <w:szCs w:val="22"/>
          <w:lang w:val="fr-FR"/>
        </w:rPr>
        <w:t>Collaboration avec la CITES</w:t>
      </w:r>
      <w:bookmarkEnd w:id="50"/>
    </w:p>
    <w:p w14:paraId="187C33CC" w14:textId="77777777" w:rsidR="009672C2" w:rsidRPr="00036694" w:rsidRDefault="009672C2" w:rsidP="00130891">
      <w:pPr>
        <w:pStyle w:val="NoSpacing"/>
        <w:jc w:val="both"/>
        <w:rPr>
          <w:rFonts w:ascii="Arial" w:hAnsi="Arial" w:cs="Arial"/>
          <w:color w:val="000000" w:themeColor="text1"/>
          <w:sz w:val="22"/>
          <w:lang w:val="fr-FR"/>
        </w:rPr>
      </w:pPr>
    </w:p>
    <w:p w14:paraId="6FDBE72F" w14:textId="77777777" w:rsidR="009672C2" w:rsidRPr="00036694" w:rsidRDefault="002A409C" w:rsidP="00130891">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La CITES réglemente le commerce international qui pourrait menacer les espèces. De nombreux poissons migrateurs d'eau douce présentant un intérêt pour la CMS (par exemple, les esturgeons, les anguilles) sont également concernés par les processus de la CITES. Les approches conjointes peuvent aligner la traçabilité, la documentation sur les captures et le commerce, les contrôles basés sur les risques de l'INN et la planification de la reconstitution des stocks. Les commissions régionales des pêches et les organismes bilatéraux (par exemple, dans les régions de l'Amour/Heilongjiang, de la mer Caspienne, d'Azov et du bas Danube/mer Noire) illustrent comment le commerce, le contrôle des captures et les mesures relatives à l'habitat peuvent être coordonnés pour les stocks partagés.</w:t>
      </w:r>
    </w:p>
    <w:p w14:paraId="3A2B28C1" w14:textId="77777777" w:rsidR="00646E59" w:rsidRDefault="00646E59" w:rsidP="00130891">
      <w:pPr>
        <w:pStyle w:val="Heading2"/>
        <w:spacing w:before="0" w:line="240" w:lineRule="auto"/>
        <w:rPr>
          <w:rFonts w:ascii="Arial" w:hAnsi="Arial" w:cs="Arial"/>
          <w:sz w:val="22"/>
          <w:szCs w:val="22"/>
          <w:lang w:val="fr-FR"/>
        </w:rPr>
      </w:pPr>
    </w:p>
    <w:p w14:paraId="6240DA40" w14:textId="744A735D" w:rsidR="009672C2" w:rsidRPr="00646E59" w:rsidRDefault="002A409C" w:rsidP="00646E59">
      <w:pPr>
        <w:pStyle w:val="Heading2"/>
        <w:spacing w:before="0" w:line="240" w:lineRule="auto"/>
        <w:ind w:left="567" w:hanging="567"/>
        <w:rPr>
          <w:rFonts w:ascii="Arial" w:hAnsi="Arial" w:cs="Arial"/>
          <w:b w:val="0"/>
          <w:bCs w:val="0"/>
          <w:sz w:val="22"/>
          <w:szCs w:val="22"/>
          <w:lang w:val="fr-FR"/>
        </w:rPr>
      </w:pPr>
      <w:bookmarkStart w:id="51" w:name="_Toc214450283"/>
      <w:r w:rsidRPr="00646E59">
        <w:rPr>
          <w:rFonts w:ascii="Arial" w:hAnsi="Arial" w:cs="Arial"/>
          <w:b w:val="0"/>
          <w:bCs w:val="0"/>
          <w:sz w:val="22"/>
          <w:szCs w:val="22"/>
          <w:lang w:val="fr-FR"/>
        </w:rPr>
        <w:t xml:space="preserve">7.5 </w:t>
      </w:r>
      <w:r w:rsidR="00646E59">
        <w:rPr>
          <w:rFonts w:ascii="Arial" w:hAnsi="Arial" w:cs="Arial"/>
          <w:b w:val="0"/>
          <w:bCs w:val="0"/>
          <w:sz w:val="22"/>
          <w:szCs w:val="22"/>
          <w:lang w:val="fr-FR"/>
        </w:rPr>
        <w:tab/>
      </w:r>
      <w:r w:rsidRPr="00646E59">
        <w:rPr>
          <w:rFonts w:ascii="Arial" w:hAnsi="Arial" w:cs="Arial"/>
          <w:b w:val="0"/>
          <w:bCs w:val="0"/>
          <w:sz w:val="22"/>
          <w:szCs w:val="22"/>
          <w:lang w:val="fr-FR"/>
        </w:rPr>
        <w:t>Organisations régionales de bassins fluviaux</w:t>
      </w:r>
      <w:bookmarkEnd w:id="51"/>
    </w:p>
    <w:p w14:paraId="6D01C3E8" w14:textId="77777777" w:rsidR="009672C2" w:rsidRPr="00036694" w:rsidRDefault="009672C2" w:rsidP="00130891">
      <w:pPr>
        <w:pStyle w:val="NoSpacing"/>
        <w:rPr>
          <w:rFonts w:ascii="Arial" w:hAnsi="Arial" w:cs="Arial"/>
          <w:color w:val="000000" w:themeColor="text1"/>
          <w:sz w:val="22"/>
          <w:lang w:val="fr-FR"/>
        </w:rPr>
      </w:pPr>
    </w:p>
    <w:p w14:paraId="77C58261" w14:textId="77777777" w:rsidR="009672C2" w:rsidRPr="00036694" w:rsidRDefault="002A409C" w:rsidP="00130891">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Des accords tels que l'Accord sur le Mékong et sa Commission du Mékong montrent comment les organisations de bassin peuvent rassembler les États pour coordonner la gestion de l'eau, les flux, la connectivité et la pêche. Les partenariats entre les instruments CMS et les organismes de bassin peuvent ajouter une dimension spécifique aux espèces à un coût modéré en intégrant des évaluations des migrations dans la planification hydroélectrique, en établissant des règles relatives aux flux environnementaux à l'échelle du bassin et en normalisant la surveillance transfrontalière.</w:t>
      </w:r>
    </w:p>
    <w:p w14:paraId="04CE254D" w14:textId="77777777" w:rsidR="00646E59" w:rsidRDefault="00646E59" w:rsidP="00130891">
      <w:pPr>
        <w:pStyle w:val="Heading2"/>
        <w:spacing w:before="0" w:line="240" w:lineRule="auto"/>
        <w:rPr>
          <w:rFonts w:ascii="Arial" w:hAnsi="Arial" w:cs="Arial"/>
          <w:sz w:val="22"/>
          <w:szCs w:val="22"/>
          <w:lang w:val="fr-FR"/>
        </w:rPr>
      </w:pPr>
    </w:p>
    <w:p w14:paraId="6F27C10A" w14:textId="6738B03E" w:rsidR="009672C2" w:rsidRPr="00646E59" w:rsidRDefault="002A409C" w:rsidP="00646E59">
      <w:pPr>
        <w:pStyle w:val="Heading2"/>
        <w:spacing w:before="0" w:line="240" w:lineRule="auto"/>
        <w:ind w:left="567" w:hanging="567"/>
        <w:rPr>
          <w:rFonts w:ascii="Arial" w:hAnsi="Arial" w:cs="Arial"/>
          <w:b w:val="0"/>
          <w:bCs w:val="0"/>
          <w:sz w:val="22"/>
          <w:szCs w:val="22"/>
          <w:lang w:val="fr-FR"/>
        </w:rPr>
      </w:pPr>
      <w:bookmarkStart w:id="52" w:name="_Toc214450284"/>
      <w:r w:rsidRPr="00646E59">
        <w:rPr>
          <w:rFonts w:ascii="Arial" w:hAnsi="Arial" w:cs="Arial"/>
          <w:b w:val="0"/>
          <w:bCs w:val="0"/>
          <w:sz w:val="22"/>
          <w:szCs w:val="22"/>
          <w:lang w:val="fr-FR"/>
        </w:rPr>
        <w:t>7.6 Le programme Liste rouge de l'UICN et les réseaux d'experts</w:t>
      </w:r>
      <w:bookmarkEnd w:id="52"/>
    </w:p>
    <w:p w14:paraId="63259BEF" w14:textId="77777777" w:rsidR="009672C2" w:rsidRPr="00036694" w:rsidRDefault="009672C2" w:rsidP="00130891">
      <w:pPr>
        <w:pStyle w:val="NoSpacing"/>
        <w:rPr>
          <w:rFonts w:ascii="Arial" w:hAnsi="Arial" w:cs="Arial"/>
          <w:color w:val="000000" w:themeColor="text1"/>
          <w:sz w:val="22"/>
          <w:lang w:val="fr-FR"/>
        </w:rPr>
      </w:pPr>
    </w:p>
    <w:p w14:paraId="34DC110B" w14:textId="77777777" w:rsidR="009672C2" w:rsidRDefault="002A409C" w:rsidP="00130891">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La Liste rouge de l'UICN fournit des évaluations faisant autorité et régulièrement mises à jour sur le risque d'extinction, ainsi qu'un accès à un réseau mondial d'experts. Les promoteurs de la CMS peuvent utiliser ces évaluations comme point de départ pour identifier les taxons dont le statut est défavorable, organiser des ateliers pour combler les lacunes concernant le comportement migratoire et la structure des populations, et élaborer des dossiers de preuves pour les inscriptions sur les listes et les plans d'action.</w:t>
      </w:r>
    </w:p>
    <w:p w14:paraId="3F833321" w14:textId="5E358C41" w:rsidR="00646E59" w:rsidRDefault="00646E59" w:rsidP="00130891">
      <w:pPr>
        <w:pStyle w:val="NoSpacing"/>
        <w:jc w:val="both"/>
        <w:rPr>
          <w:rFonts w:ascii="Arial" w:hAnsi="Arial" w:cs="Arial"/>
          <w:color w:val="000000" w:themeColor="text1"/>
          <w:sz w:val="22"/>
          <w:lang w:val="fr-FR"/>
        </w:rPr>
      </w:pPr>
      <w:r>
        <w:rPr>
          <w:rFonts w:ascii="Arial" w:hAnsi="Arial" w:cs="Arial"/>
          <w:color w:val="000000" w:themeColor="text1"/>
          <w:sz w:val="22"/>
          <w:lang w:val="fr-FR"/>
        </w:rPr>
        <w:br w:type="page"/>
      </w:r>
    </w:p>
    <w:p w14:paraId="79869814" w14:textId="467DD3C6" w:rsidR="009672C2" w:rsidRPr="00646E59" w:rsidRDefault="002A409C" w:rsidP="00646E59">
      <w:pPr>
        <w:pStyle w:val="Heading2"/>
        <w:spacing w:before="0" w:line="240" w:lineRule="auto"/>
        <w:ind w:left="567" w:hanging="567"/>
        <w:rPr>
          <w:rFonts w:ascii="Arial" w:hAnsi="Arial" w:cs="Arial"/>
          <w:b w:val="0"/>
          <w:bCs w:val="0"/>
          <w:sz w:val="22"/>
          <w:szCs w:val="22"/>
          <w:lang w:val="fr-FR"/>
        </w:rPr>
      </w:pPr>
      <w:bookmarkStart w:id="53" w:name="_Toc214450285"/>
      <w:r w:rsidRPr="00646E59">
        <w:rPr>
          <w:rFonts w:ascii="Arial" w:hAnsi="Arial" w:cs="Arial"/>
          <w:b w:val="0"/>
          <w:bCs w:val="0"/>
          <w:sz w:val="22"/>
          <w:szCs w:val="22"/>
          <w:lang w:val="fr-FR"/>
        </w:rPr>
        <w:lastRenderedPageBreak/>
        <w:t xml:space="preserve">7.7 </w:t>
      </w:r>
      <w:r w:rsidR="00646E59">
        <w:rPr>
          <w:rFonts w:ascii="Arial" w:hAnsi="Arial" w:cs="Arial"/>
          <w:b w:val="0"/>
          <w:bCs w:val="0"/>
          <w:sz w:val="22"/>
          <w:szCs w:val="22"/>
          <w:lang w:val="fr-FR"/>
        </w:rPr>
        <w:tab/>
      </w:r>
      <w:r w:rsidRPr="00646E59">
        <w:rPr>
          <w:rFonts w:ascii="Arial" w:hAnsi="Arial" w:cs="Arial"/>
          <w:b w:val="0"/>
          <w:bCs w:val="0"/>
          <w:sz w:val="22"/>
          <w:szCs w:val="22"/>
          <w:lang w:val="fr-FR"/>
        </w:rPr>
        <w:t>Le Code de conduite de la FAO pour une pêche responsable</w:t>
      </w:r>
      <w:bookmarkEnd w:id="53"/>
    </w:p>
    <w:p w14:paraId="30227649" w14:textId="77777777" w:rsidR="00646E59" w:rsidRDefault="00646E59" w:rsidP="00646E59">
      <w:pPr>
        <w:spacing w:after="0" w:line="240" w:lineRule="auto"/>
        <w:jc w:val="both"/>
        <w:rPr>
          <w:rFonts w:ascii="Arial" w:eastAsia="Times New Roman" w:hAnsi="Arial" w:cs="Arial"/>
          <w:color w:val="000000" w:themeColor="text1"/>
          <w:sz w:val="22"/>
          <w:lang w:val="fr-FR"/>
        </w:rPr>
      </w:pPr>
    </w:p>
    <w:p w14:paraId="3B85233D" w14:textId="3C7A0519" w:rsidR="009672C2" w:rsidRPr="00036694" w:rsidRDefault="002A409C" w:rsidP="00646E59">
      <w:pPr>
        <w:spacing w:after="80" w:line="240" w:lineRule="auto"/>
        <w:jc w:val="both"/>
        <w:rPr>
          <w:rFonts w:ascii="Arial" w:eastAsia="Times New Roman" w:hAnsi="Arial" w:cs="Arial"/>
          <w:color w:val="000000" w:themeColor="text1"/>
          <w:sz w:val="22"/>
          <w:lang w:val="fr-FR"/>
        </w:rPr>
      </w:pPr>
      <w:r w:rsidRPr="00036694">
        <w:rPr>
          <w:rFonts w:ascii="Arial" w:eastAsia="Times New Roman" w:hAnsi="Arial" w:cs="Arial"/>
          <w:color w:val="000000" w:themeColor="text1"/>
          <w:sz w:val="22"/>
          <w:lang w:val="fr-FR"/>
        </w:rPr>
        <w:t>Le code de l'Organisation des Nations Unies pour l'Alimentation et l'Agriculture propose des principes largement approuvés en matière de gestion transfrontalière. Les points suivants sont particulièrement pertinents :</w:t>
      </w:r>
    </w:p>
    <w:p w14:paraId="7DA5AB41" w14:textId="77777777" w:rsidR="009672C2" w:rsidRPr="00036694" w:rsidRDefault="002A409C" w:rsidP="00646E59">
      <w:pPr>
        <w:numPr>
          <w:ilvl w:val="0"/>
          <w:numId w:val="9"/>
        </w:numPr>
        <w:spacing w:after="80" w:line="240" w:lineRule="auto"/>
        <w:jc w:val="both"/>
        <w:rPr>
          <w:rFonts w:ascii="Arial" w:eastAsia="Times New Roman" w:hAnsi="Arial" w:cs="Arial"/>
          <w:color w:val="000000" w:themeColor="text1"/>
          <w:sz w:val="22"/>
          <w:lang w:val="fr-FR"/>
        </w:rPr>
      </w:pPr>
      <w:r w:rsidRPr="00036694">
        <w:rPr>
          <w:rFonts w:ascii="Arial" w:eastAsia="Times New Roman" w:hAnsi="Arial" w:cs="Arial"/>
          <w:color w:val="000000" w:themeColor="text1"/>
          <w:sz w:val="22"/>
          <w:lang w:val="fr-FR"/>
        </w:rPr>
        <w:t>L'article 6.12 appelle à une coopération aux niveaux sous-régional, régional et mondial afin de s'assurer de la conservation et de la mise en œuvre de mesures compatibles entre les différentes juridictions.</w:t>
      </w:r>
    </w:p>
    <w:p w14:paraId="57A7E37C" w14:textId="77777777" w:rsidR="009672C2" w:rsidRPr="00036694" w:rsidRDefault="002A409C" w:rsidP="00646E59">
      <w:pPr>
        <w:numPr>
          <w:ilvl w:val="0"/>
          <w:numId w:val="9"/>
        </w:numPr>
        <w:spacing w:after="0" w:line="240" w:lineRule="auto"/>
        <w:jc w:val="both"/>
        <w:rPr>
          <w:rFonts w:ascii="Arial" w:eastAsia="Times New Roman" w:hAnsi="Arial" w:cs="Arial"/>
          <w:color w:val="000000" w:themeColor="text1"/>
          <w:sz w:val="22"/>
          <w:lang w:val="fr-FR"/>
        </w:rPr>
      </w:pPr>
      <w:r w:rsidRPr="00036694">
        <w:rPr>
          <w:rFonts w:ascii="Arial" w:eastAsia="Times New Roman" w:hAnsi="Arial" w:cs="Arial"/>
          <w:color w:val="000000" w:themeColor="text1"/>
          <w:sz w:val="22"/>
          <w:lang w:val="fr-FR"/>
        </w:rPr>
        <w:t>L'article 7.1.3 appelle les États partageant des stocks transfrontaliers à coopérer – éventuellement par l'intermédiaire d'organisations bilatérales, sous-régionales ou régionales – afin d'assurer une conservation et une gestion efficaces.</w:t>
      </w:r>
    </w:p>
    <w:p w14:paraId="13868978" w14:textId="77777777" w:rsidR="00646E59" w:rsidRDefault="00646E59" w:rsidP="00646E59">
      <w:pPr>
        <w:spacing w:after="0" w:line="240" w:lineRule="auto"/>
        <w:jc w:val="both"/>
        <w:rPr>
          <w:rFonts w:ascii="Arial" w:eastAsia="Times New Roman" w:hAnsi="Arial" w:cs="Arial"/>
          <w:color w:val="000000" w:themeColor="text1"/>
          <w:sz w:val="22"/>
          <w:lang w:val="fr-FR"/>
        </w:rPr>
      </w:pPr>
    </w:p>
    <w:p w14:paraId="5ECEE416" w14:textId="75C7F81E" w:rsidR="009672C2" w:rsidRPr="00036694" w:rsidRDefault="002A409C" w:rsidP="00646E59">
      <w:pPr>
        <w:spacing w:after="0" w:line="240" w:lineRule="auto"/>
        <w:jc w:val="both"/>
        <w:rPr>
          <w:rFonts w:ascii="Arial" w:eastAsia="Times New Roman" w:hAnsi="Arial" w:cs="Arial"/>
          <w:color w:val="000000" w:themeColor="text1"/>
          <w:sz w:val="22"/>
          <w:lang w:val="fr-FR"/>
        </w:rPr>
      </w:pPr>
      <w:r w:rsidRPr="00036694">
        <w:rPr>
          <w:rFonts w:ascii="Arial" w:eastAsia="Times New Roman" w:hAnsi="Arial" w:cs="Arial"/>
          <w:color w:val="000000" w:themeColor="text1"/>
          <w:sz w:val="22"/>
          <w:lang w:val="fr-FR"/>
        </w:rPr>
        <w:t>Les instruments de pêche de la CMS peuvent citer le Code lors de l'élaboration de contrôles de capture, de mesures d'atténuation des prises accessoires et d'accords de gouvernance.</w:t>
      </w:r>
    </w:p>
    <w:p w14:paraId="7602FB2E" w14:textId="77777777" w:rsidR="00646E59" w:rsidRDefault="00646E59" w:rsidP="00130891">
      <w:pPr>
        <w:pStyle w:val="Heading2"/>
        <w:spacing w:before="0" w:line="240" w:lineRule="auto"/>
        <w:rPr>
          <w:rFonts w:ascii="Arial" w:hAnsi="Arial" w:cs="Arial"/>
          <w:sz w:val="22"/>
          <w:szCs w:val="22"/>
          <w:lang w:val="fr-FR"/>
        </w:rPr>
      </w:pPr>
    </w:p>
    <w:p w14:paraId="42110A3E" w14:textId="40727C23" w:rsidR="009672C2" w:rsidRPr="00646E59" w:rsidRDefault="002A409C" w:rsidP="00646E59">
      <w:pPr>
        <w:pStyle w:val="Heading2"/>
        <w:spacing w:before="0" w:line="240" w:lineRule="auto"/>
        <w:ind w:left="567" w:hanging="567"/>
        <w:rPr>
          <w:rFonts w:ascii="Arial" w:hAnsi="Arial" w:cs="Arial"/>
          <w:b w:val="0"/>
          <w:bCs w:val="0"/>
          <w:sz w:val="22"/>
          <w:szCs w:val="22"/>
          <w:lang w:val="fr-FR"/>
        </w:rPr>
      </w:pPr>
      <w:bookmarkStart w:id="54" w:name="_Toc214450286"/>
      <w:r w:rsidRPr="00646E59">
        <w:rPr>
          <w:rFonts w:ascii="Arial" w:hAnsi="Arial" w:cs="Arial"/>
          <w:b w:val="0"/>
          <w:bCs w:val="0"/>
          <w:sz w:val="22"/>
          <w:szCs w:val="22"/>
          <w:lang w:val="fr-FR"/>
        </w:rPr>
        <w:t xml:space="preserve">7.8 </w:t>
      </w:r>
      <w:r w:rsidR="00646E59">
        <w:rPr>
          <w:rFonts w:ascii="Arial" w:hAnsi="Arial" w:cs="Arial"/>
          <w:b w:val="0"/>
          <w:bCs w:val="0"/>
          <w:sz w:val="22"/>
          <w:szCs w:val="22"/>
          <w:lang w:val="fr-FR"/>
        </w:rPr>
        <w:tab/>
      </w:r>
      <w:r w:rsidRPr="00646E59">
        <w:rPr>
          <w:rFonts w:ascii="Arial" w:hAnsi="Arial" w:cs="Arial"/>
          <w:b w:val="0"/>
          <w:bCs w:val="0"/>
          <w:sz w:val="22"/>
          <w:szCs w:val="22"/>
          <w:lang w:val="fr-FR"/>
        </w:rPr>
        <w:t>Exemple d'application</w:t>
      </w:r>
      <w:bookmarkEnd w:id="54"/>
      <w:r w:rsidRPr="00646E59">
        <w:rPr>
          <w:rFonts w:ascii="Arial" w:hAnsi="Arial" w:cs="Arial"/>
          <w:b w:val="0"/>
          <w:bCs w:val="0"/>
          <w:sz w:val="22"/>
          <w:szCs w:val="22"/>
          <w:lang w:val="fr-FR"/>
        </w:rPr>
        <w:t xml:space="preserve"> </w:t>
      </w:r>
    </w:p>
    <w:p w14:paraId="4304D526" w14:textId="77777777" w:rsidR="00646E59" w:rsidRDefault="00646E59" w:rsidP="00130891">
      <w:pPr>
        <w:spacing w:after="0" w:line="240" w:lineRule="auto"/>
        <w:rPr>
          <w:rFonts w:ascii="Arial" w:eastAsia="Times New Roman" w:hAnsi="Arial" w:cs="Arial"/>
          <w:color w:val="000000" w:themeColor="text1"/>
          <w:sz w:val="22"/>
          <w:lang w:val="fr-FR"/>
        </w:rPr>
      </w:pPr>
    </w:p>
    <w:p w14:paraId="22C2B5BB" w14:textId="03111FFD" w:rsidR="009672C2" w:rsidRPr="00036694" w:rsidRDefault="002A409C" w:rsidP="00646E59">
      <w:pPr>
        <w:spacing w:after="80" w:line="240" w:lineRule="auto"/>
        <w:jc w:val="both"/>
        <w:rPr>
          <w:rFonts w:ascii="Arial" w:eastAsia="Times New Roman" w:hAnsi="Arial" w:cs="Arial"/>
          <w:color w:val="000000" w:themeColor="text1"/>
          <w:sz w:val="22"/>
          <w:lang w:val="fr-FR"/>
        </w:rPr>
      </w:pPr>
      <w:r w:rsidRPr="00036694">
        <w:rPr>
          <w:rFonts w:ascii="Arial" w:eastAsia="Times New Roman" w:hAnsi="Arial" w:cs="Arial"/>
          <w:color w:val="000000" w:themeColor="text1"/>
          <w:sz w:val="22"/>
          <w:lang w:val="fr-FR"/>
        </w:rPr>
        <w:t xml:space="preserve">Pour </w:t>
      </w:r>
      <w:r w:rsidRPr="00036694">
        <w:rPr>
          <w:rFonts w:ascii="Arial" w:eastAsia="Times New Roman" w:hAnsi="Arial" w:cs="Arial"/>
          <w:i/>
          <w:iCs/>
          <w:color w:val="000000" w:themeColor="text1"/>
          <w:sz w:val="22"/>
          <w:lang w:val="fr-FR"/>
        </w:rPr>
        <w:t>Brachyplatystoma rousseauxii</w:t>
      </w:r>
      <w:r w:rsidRPr="00036694">
        <w:rPr>
          <w:rFonts w:ascii="Arial" w:eastAsia="Times New Roman" w:hAnsi="Arial" w:cs="Arial"/>
          <w:color w:val="000000" w:themeColor="text1"/>
          <w:sz w:val="22"/>
          <w:lang w:val="fr-FR"/>
        </w:rPr>
        <w:t xml:space="preserve"> et </w:t>
      </w:r>
      <w:r w:rsidRPr="00036694">
        <w:rPr>
          <w:rFonts w:ascii="Arial" w:eastAsia="Times New Roman" w:hAnsi="Arial" w:cs="Arial"/>
          <w:i/>
          <w:iCs/>
          <w:color w:val="000000" w:themeColor="text1"/>
          <w:sz w:val="22"/>
          <w:lang w:val="fr-FR"/>
        </w:rPr>
        <w:t>B. vaillantii</w:t>
      </w:r>
      <w:r w:rsidRPr="00036694">
        <w:rPr>
          <w:rFonts w:ascii="Arial" w:eastAsia="Times New Roman" w:hAnsi="Arial" w:cs="Arial"/>
          <w:color w:val="000000" w:themeColor="text1"/>
          <w:sz w:val="22"/>
          <w:lang w:val="fr-FR"/>
        </w:rPr>
        <w:t xml:space="preserve"> (déjà inscrits à l'Annexe II) et d'autres poissons-chats d'Amazonie migrateurs sur de longues distances, les partenaires de la CMS peuvent choisir une ou plusieurs des options disponibles suivantes, en adaptant la portée et le rythme à l'état de préparation des États de l'aire de répartition :</w:t>
      </w:r>
    </w:p>
    <w:p w14:paraId="22C28C2B" w14:textId="77777777" w:rsidR="009672C2" w:rsidRPr="00036694" w:rsidRDefault="002A409C" w:rsidP="00646E59">
      <w:pPr>
        <w:numPr>
          <w:ilvl w:val="0"/>
          <w:numId w:val="10"/>
        </w:numPr>
        <w:spacing w:after="80" w:line="240" w:lineRule="auto"/>
        <w:jc w:val="both"/>
        <w:rPr>
          <w:rFonts w:ascii="Arial" w:eastAsia="Times New Roman" w:hAnsi="Arial" w:cs="Arial"/>
          <w:color w:val="000000" w:themeColor="text1"/>
          <w:sz w:val="22"/>
          <w:lang w:val="fr-FR"/>
        </w:rPr>
      </w:pPr>
      <w:r w:rsidRPr="00036694">
        <w:rPr>
          <w:rFonts w:ascii="Arial" w:eastAsia="Times New Roman" w:hAnsi="Arial" w:cs="Arial"/>
          <w:color w:val="000000" w:themeColor="text1"/>
          <w:sz w:val="22"/>
          <w:lang w:val="fr-FR"/>
        </w:rPr>
        <w:t>Plan d'action (multi-espèces ou mono-espèce) : définir les objectifs, cartographier et protéger les corridors prioritaires ainsi que les goulots d'étranglement, harmoniser les règles relatives aux saisons, aux tailles et aux équipements, réduire les prises accessoires, élaborer une documentation sur les captures et le commerce, traiter les zones critiques en matière de mercure et de sédiments, et mettre en œuvre un système standardisé de surveillance du bassin (télémétrie, génétique/otolithes, ADN environnemental, indices dépendant de la pêche) avec un partage ouvert des données.</w:t>
      </w:r>
    </w:p>
    <w:p w14:paraId="1C88212B" w14:textId="77777777" w:rsidR="009672C2" w:rsidRPr="00036694" w:rsidRDefault="002A409C" w:rsidP="00646E59">
      <w:pPr>
        <w:numPr>
          <w:ilvl w:val="0"/>
          <w:numId w:val="10"/>
        </w:numPr>
        <w:spacing w:after="80" w:line="240" w:lineRule="auto"/>
        <w:jc w:val="both"/>
        <w:rPr>
          <w:rFonts w:ascii="Arial" w:eastAsia="Times New Roman" w:hAnsi="Arial" w:cs="Arial"/>
          <w:color w:val="000000" w:themeColor="text1"/>
          <w:sz w:val="22"/>
          <w:lang w:val="fr-FR"/>
        </w:rPr>
      </w:pPr>
      <w:r w:rsidRPr="00036694">
        <w:rPr>
          <w:rFonts w:ascii="Arial" w:eastAsia="Times New Roman" w:hAnsi="Arial" w:cs="Arial"/>
          <w:color w:val="000000" w:themeColor="text1"/>
          <w:sz w:val="22"/>
          <w:lang w:val="fr-FR"/>
        </w:rPr>
        <w:t>Mémorandum d'entente (MdE) : permettre la participation de tous les États de l'aire de répartition (y compris les non-Parties), mettre en place des réunions de signataires et un groupe consultatif technique, adopter des plans de travail glissants sur 2 à 3 ans et créer un mécanisme de coordination pour la connectivité.</w:t>
      </w:r>
    </w:p>
    <w:p w14:paraId="2D6D3667" w14:textId="77777777" w:rsidR="009672C2" w:rsidRPr="00036694" w:rsidRDefault="002A409C" w:rsidP="00646E59">
      <w:pPr>
        <w:numPr>
          <w:ilvl w:val="0"/>
          <w:numId w:val="10"/>
        </w:numPr>
        <w:spacing w:after="0" w:line="240" w:lineRule="auto"/>
        <w:ind w:left="714" w:hanging="357"/>
        <w:jc w:val="both"/>
        <w:rPr>
          <w:rFonts w:ascii="Arial" w:eastAsia="Times New Roman" w:hAnsi="Arial" w:cs="Arial"/>
          <w:color w:val="000000" w:themeColor="text1"/>
          <w:sz w:val="22"/>
          <w:lang w:val="fr-FR"/>
        </w:rPr>
      </w:pPr>
      <w:r w:rsidRPr="00036694">
        <w:rPr>
          <w:rFonts w:ascii="Arial" w:eastAsia="Times New Roman" w:hAnsi="Arial" w:cs="Arial"/>
          <w:color w:val="000000" w:themeColor="text1"/>
          <w:sz w:val="22"/>
          <w:lang w:val="fr-FR"/>
        </w:rPr>
        <w:t>Action concertée : lancer des projets ciblés abordant des problématiques telles que l'atténuation des impacts des corridors sur les tronçons à fort enjeu, l'harmonisation des mesures de récolte et de commerce aux principaux points de débarquement, ainsi que les actions visant les zones critiques de pollution, accompagnées d'initiatives de communication et de renforcement des capacités ; utiliser les résultats obtenus pour contribuer à l'élaboration d'un MdE ou d'un plan d'action.</w:t>
      </w:r>
    </w:p>
    <w:p w14:paraId="2579D131" w14:textId="77777777" w:rsidR="00646E59" w:rsidRDefault="00646E59" w:rsidP="00646E59">
      <w:pPr>
        <w:spacing w:after="0" w:line="240" w:lineRule="auto"/>
        <w:rPr>
          <w:rFonts w:ascii="Arial" w:eastAsia="Times New Roman" w:hAnsi="Arial" w:cs="Arial"/>
          <w:color w:val="000000" w:themeColor="text1"/>
          <w:sz w:val="22"/>
          <w:lang w:val="fr-FR"/>
        </w:rPr>
      </w:pPr>
    </w:p>
    <w:p w14:paraId="51CCE7B5" w14:textId="2755E689" w:rsidR="009672C2" w:rsidRDefault="002A409C" w:rsidP="00646E59">
      <w:pPr>
        <w:spacing w:after="0" w:line="240" w:lineRule="auto"/>
        <w:rPr>
          <w:rFonts w:ascii="Arial" w:eastAsia="Times New Roman" w:hAnsi="Arial" w:cs="Arial"/>
          <w:color w:val="000000" w:themeColor="text1"/>
          <w:sz w:val="22"/>
          <w:lang w:val="fr-FR"/>
        </w:rPr>
      </w:pPr>
      <w:r w:rsidRPr="00036694">
        <w:rPr>
          <w:rFonts w:ascii="Arial" w:eastAsia="Times New Roman" w:hAnsi="Arial" w:cs="Arial"/>
          <w:color w:val="000000" w:themeColor="text1"/>
          <w:sz w:val="22"/>
          <w:lang w:val="fr-FR"/>
        </w:rPr>
        <w:t>Ces approches peuvent être poursuivies individuellement ou combinées ; elles devraient toutes s'aligner sur les initiatives régionales existantes (par exemple, les programmes de l'Organisation du traité de coopération amazonienne, de la FAO/Fonds pour l'environnement mondial) et sur les politiques nationales.</w:t>
      </w:r>
    </w:p>
    <w:p w14:paraId="4AE6CABD" w14:textId="77777777" w:rsidR="00646E59" w:rsidRPr="00036694" w:rsidRDefault="00646E59" w:rsidP="00646E59">
      <w:pPr>
        <w:spacing w:after="0" w:line="240" w:lineRule="auto"/>
        <w:rPr>
          <w:rFonts w:ascii="Arial" w:eastAsia="Times New Roman" w:hAnsi="Arial" w:cs="Arial"/>
          <w:color w:val="000000" w:themeColor="text1"/>
          <w:sz w:val="22"/>
          <w:lang w:val="fr-FR"/>
        </w:rPr>
      </w:pPr>
    </w:p>
    <w:p w14:paraId="3CE1DFDF" w14:textId="7C2BB349" w:rsidR="009672C2" w:rsidRDefault="002A409C" w:rsidP="00646E59">
      <w:pPr>
        <w:pStyle w:val="Heading2"/>
        <w:spacing w:before="0" w:line="240" w:lineRule="auto"/>
        <w:ind w:left="567" w:hanging="567"/>
        <w:rPr>
          <w:rFonts w:ascii="Arial" w:hAnsi="Arial" w:cs="Arial"/>
          <w:b w:val="0"/>
          <w:bCs w:val="0"/>
          <w:sz w:val="22"/>
          <w:szCs w:val="22"/>
          <w:lang w:val="fr-FR"/>
        </w:rPr>
      </w:pPr>
      <w:bookmarkStart w:id="55" w:name="_Toc214450287"/>
      <w:r w:rsidRPr="00646E59">
        <w:rPr>
          <w:rFonts w:ascii="Arial" w:hAnsi="Arial" w:cs="Arial"/>
          <w:b w:val="0"/>
          <w:bCs w:val="0"/>
          <w:sz w:val="22"/>
          <w:szCs w:val="22"/>
          <w:lang w:val="fr-FR"/>
        </w:rPr>
        <w:t xml:space="preserve">7.9 </w:t>
      </w:r>
      <w:r w:rsidR="00646E59">
        <w:rPr>
          <w:rFonts w:ascii="Arial" w:hAnsi="Arial" w:cs="Arial"/>
          <w:b w:val="0"/>
          <w:bCs w:val="0"/>
          <w:sz w:val="22"/>
          <w:szCs w:val="22"/>
          <w:lang w:val="fr-FR"/>
        </w:rPr>
        <w:tab/>
      </w:r>
      <w:r w:rsidRPr="00646E59">
        <w:rPr>
          <w:rFonts w:ascii="Arial" w:hAnsi="Arial" w:cs="Arial"/>
          <w:b w:val="0"/>
          <w:bCs w:val="0"/>
          <w:sz w:val="22"/>
          <w:szCs w:val="22"/>
          <w:lang w:val="fr-FR"/>
        </w:rPr>
        <w:t>Mesures fondamentales renforçant la gestion des poissons migrateurs</w:t>
      </w:r>
      <w:bookmarkEnd w:id="55"/>
    </w:p>
    <w:p w14:paraId="00ED53E8" w14:textId="77777777" w:rsidR="00646E59" w:rsidRPr="00646E59" w:rsidRDefault="00646E59" w:rsidP="00646E59">
      <w:pPr>
        <w:spacing w:after="0" w:line="240" w:lineRule="auto"/>
        <w:rPr>
          <w:lang w:val="fr-FR"/>
        </w:rPr>
      </w:pPr>
    </w:p>
    <w:p w14:paraId="4056550A" w14:textId="77777777" w:rsidR="009672C2" w:rsidRPr="00036694" w:rsidRDefault="002A409C" w:rsidP="00646E59">
      <w:pPr>
        <w:spacing w:after="0" w:line="240" w:lineRule="auto"/>
        <w:rPr>
          <w:rFonts w:ascii="Arial" w:eastAsia="Times New Roman" w:hAnsi="Arial" w:cs="Arial"/>
          <w:color w:val="000000" w:themeColor="text1"/>
          <w:sz w:val="22"/>
          <w:lang w:val="fr-FR"/>
        </w:rPr>
      </w:pPr>
      <w:r w:rsidRPr="00036694">
        <w:rPr>
          <w:rFonts w:ascii="Arial" w:eastAsia="Times New Roman" w:hAnsi="Arial" w:cs="Arial"/>
          <w:color w:val="000000" w:themeColor="text1"/>
          <w:sz w:val="22"/>
          <w:lang w:val="fr-FR"/>
        </w:rPr>
        <w:t>Indépendamment de l'instrument ou du bassin, les mesures suivantes sont toujours efficaces et devraient être intégrées dans les travaux de la CMS sur les poissons d'eau douce :</w:t>
      </w:r>
    </w:p>
    <w:p w14:paraId="4B09311B" w14:textId="77777777" w:rsidR="009672C2" w:rsidRPr="00036694" w:rsidRDefault="002A409C" w:rsidP="00A67BF0">
      <w:pPr>
        <w:numPr>
          <w:ilvl w:val="0"/>
          <w:numId w:val="11"/>
        </w:numPr>
        <w:spacing w:after="80" w:line="240" w:lineRule="auto"/>
        <w:ind w:left="714" w:hanging="357"/>
        <w:jc w:val="both"/>
        <w:rPr>
          <w:rFonts w:ascii="Arial" w:eastAsia="Times New Roman" w:hAnsi="Arial" w:cs="Arial"/>
          <w:color w:val="000000" w:themeColor="text1"/>
          <w:sz w:val="22"/>
          <w:lang w:val="fr-FR"/>
        </w:rPr>
      </w:pPr>
      <w:r w:rsidRPr="00036694">
        <w:rPr>
          <w:rFonts w:ascii="Arial" w:eastAsia="Times New Roman" w:hAnsi="Arial" w:cs="Arial"/>
          <w:i/>
          <w:iCs/>
          <w:color w:val="000000" w:themeColor="text1"/>
          <w:sz w:val="22"/>
          <w:lang w:val="fr-FR"/>
        </w:rPr>
        <w:lastRenderedPageBreak/>
        <w:t>Référentiels et objectifs.</w:t>
      </w:r>
      <w:r w:rsidRPr="00036694">
        <w:rPr>
          <w:rFonts w:ascii="Arial" w:eastAsia="Times New Roman" w:hAnsi="Arial" w:cs="Arial"/>
          <w:color w:val="000000" w:themeColor="text1"/>
          <w:sz w:val="22"/>
          <w:lang w:val="fr-FR"/>
        </w:rPr>
        <w:t xml:space="preserve"> Compiler les informations actuelles et historiques sur l'abondance ainsi que les indices de montaison et de recrutement pour étayer les listes, fixer des objectifs et évaluer les progrès.</w:t>
      </w:r>
    </w:p>
    <w:p w14:paraId="3AADB5CC" w14:textId="77777777" w:rsidR="009672C2" w:rsidRPr="00036694" w:rsidRDefault="002A409C" w:rsidP="00A67BF0">
      <w:pPr>
        <w:numPr>
          <w:ilvl w:val="0"/>
          <w:numId w:val="11"/>
        </w:numPr>
        <w:spacing w:after="80" w:line="240" w:lineRule="auto"/>
        <w:ind w:left="714" w:hanging="357"/>
        <w:jc w:val="both"/>
        <w:rPr>
          <w:rFonts w:ascii="Arial" w:eastAsia="Times New Roman" w:hAnsi="Arial" w:cs="Arial"/>
          <w:color w:val="000000" w:themeColor="text1"/>
          <w:sz w:val="22"/>
          <w:lang w:val="fr-FR"/>
        </w:rPr>
      </w:pPr>
      <w:r w:rsidRPr="00036694">
        <w:rPr>
          <w:rFonts w:ascii="Arial" w:eastAsia="Times New Roman" w:hAnsi="Arial" w:cs="Arial"/>
          <w:i/>
          <w:iCs/>
          <w:color w:val="000000" w:themeColor="text1"/>
          <w:sz w:val="22"/>
          <w:lang w:val="fr-FR"/>
        </w:rPr>
        <w:t>Écologie de la migration et structure des stocks.</w:t>
      </w:r>
      <w:r w:rsidRPr="00036694">
        <w:rPr>
          <w:rFonts w:ascii="Arial" w:eastAsia="Times New Roman" w:hAnsi="Arial" w:cs="Arial"/>
          <w:color w:val="000000" w:themeColor="text1"/>
          <w:sz w:val="22"/>
          <w:lang w:val="fr-FR"/>
        </w:rPr>
        <w:t xml:space="preserve"> Approfondir les connaissances sur les itinéraires, les périodes, les habitats aux différents stades de la vie et les stocks partagés afin d'anticiper les impacts des barrages, de la récolte et des changements d'habitat.</w:t>
      </w:r>
    </w:p>
    <w:p w14:paraId="3524168C" w14:textId="77777777" w:rsidR="009672C2" w:rsidRPr="00036694" w:rsidRDefault="002A409C" w:rsidP="00A67BF0">
      <w:pPr>
        <w:numPr>
          <w:ilvl w:val="0"/>
          <w:numId w:val="11"/>
        </w:numPr>
        <w:spacing w:after="80" w:line="240" w:lineRule="auto"/>
        <w:ind w:left="714" w:hanging="357"/>
        <w:jc w:val="both"/>
        <w:rPr>
          <w:rFonts w:ascii="Arial" w:eastAsia="Times New Roman" w:hAnsi="Arial" w:cs="Arial"/>
          <w:color w:val="000000" w:themeColor="text1"/>
          <w:sz w:val="22"/>
          <w:lang w:val="fr-FR"/>
        </w:rPr>
      </w:pPr>
      <w:r w:rsidRPr="00036694">
        <w:rPr>
          <w:rFonts w:ascii="Arial" w:eastAsia="Times New Roman" w:hAnsi="Arial" w:cs="Arial"/>
          <w:i/>
          <w:iCs/>
          <w:color w:val="000000" w:themeColor="text1"/>
          <w:sz w:val="22"/>
          <w:lang w:val="fr-FR"/>
        </w:rPr>
        <w:t>Connectivité et infrastructure.</w:t>
      </w:r>
      <w:r w:rsidRPr="00036694">
        <w:rPr>
          <w:rFonts w:ascii="Arial" w:eastAsia="Times New Roman" w:hAnsi="Arial" w:cs="Arial"/>
          <w:color w:val="000000" w:themeColor="text1"/>
          <w:sz w:val="22"/>
          <w:lang w:val="fr-FR"/>
        </w:rPr>
        <w:t xml:space="preserve"> Empêcher toute nouvelle fragmentation, évaluer les incidences sur la migration lors de la planification des projets, moderniser ou supprimer les barrières à fort impact, et établir des régimes de flux environnemental liés à la migration et à la dérive des larves.</w:t>
      </w:r>
    </w:p>
    <w:p w14:paraId="4481BE9E" w14:textId="77777777" w:rsidR="009672C2" w:rsidRPr="00036694" w:rsidRDefault="002A409C" w:rsidP="00A67BF0">
      <w:pPr>
        <w:numPr>
          <w:ilvl w:val="0"/>
          <w:numId w:val="11"/>
        </w:numPr>
        <w:spacing w:after="80" w:line="240" w:lineRule="auto"/>
        <w:ind w:left="714" w:hanging="357"/>
        <w:jc w:val="both"/>
        <w:rPr>
          <w:rFonts w:ascii="Arial" w:eastAsia="Times New Roman" w:hAnsi="Arial" w:cs="Arial"/>
          <w:color w:val="000000" w:themeColor="text1"/>
          <w:sz w:val="22"/>
          <w:lang w:val="fr-FR"/>
        </w:rPr>
      </w:pPr>
      <w:r w:rsidRPr="00036694">
        <w:rPr>
          <w:rFonts w:ascii="Arial" w:eastAsia="Times New Roman" w:hAnsi="Arial" w:cs="Arial"/>
          <w:i/>
          <w:iCs/>
          <w:color w:val="000000" w:themeColor="text1"/>
          <w:sz w:val="22"/>
          <w:lang w:val="fr-FR"/>
        </w:rPr>
        <w:t>Qualité de l'habitat et pollution.</w:t>
      </w:r>
      <w:r w:rsidRPr="00036694">
        <w:rPr>
          <w:rFonts w:ascii="Arial" w:eastAsia="Times New Roman" w:hAnsi="Arial" w:cs="Arial"/>
          <w:color w:val="000000" w:themeColor="text1"/>
          <w:sz w:val="22"/>
          <w:lang w:val="fr-FR"/>
        </w:rPr>
        <w:t xml:space="preserve"> Réduire la pollution d'origine terrestre (par exemple, mercure, sédiments), protéger et restaurer les plaines inondables et les estuaires, et prévenir la propagation des espèces envahissantes.</w:t>
      </w:r>
    </w:p>
    <w:p w14:paraId="407A915C" w14:textId="77777777" w:rsidR="009672C2" w:rsidRPr="00036694" w:rsidRDefault="002A409C" w:rsidP="00A67BF0">
      <w:pPr>
        <w:numPr>
          <w:ilvl w:val="0"/>
          <w:numId w:val="11"/>
        </w:numPr>
        <w:spacing w:after="80" w:line="240" w:lineRule="auto"/>
        <w:ind w:left="714" w:hanging="357"/>
        <w:jc w:val="both"/>
        <w:rPr>
          <w:rFonts w:ascii="Arial" w:eastAsia="Times New Roman" w:hAnsi="Arial" w:cs="Arial"/>
          <w:color w:val="000000" w:themeColor="text1"/>
          <w:sz w:val="22"/>
          <w:lang w:val="fr-FR"/>
        </w:rPr>
      </w:pPr>
      <w:r w:rsidRPr="00036694">
        <w:rPr>
          <w:rFonts w:ascii="Arial" w:eastAsia="Times New Roman" w:hAnsi="Arial" w:cs="Arial"/>
          <w:i/>
          <w:iCs/>
          <w:color w:val="000000" w:themeColor="text1"/>
          <w:sz w:val="22"/>
          <w:lang w:val="fr-FR"/>
        </w:rPr>
        <w:t>Surveillance coopérative et partage de données.</w:t>
      </w:r>
      <w:r w:rsidRPr="00036694">
        <w:rPr>
          <w:rFonts w:ascii="Arial" w:eastAsia="Times New Roman" w:hAnsi="Arial" w:cs="Arial"/>
          <w:color w:val="000000" w:themeColor="text1"/>
          <w:sz w:val="22"/>
          <w:lang w:val="fr-FR"/>
        </w:rPr>
        <w:t xml:space="preserve"> Mettre en place des réseaux de surveillance transfrontaliers, harmoniser les méthodes et les indicateurs, et partager les données au moyen de protocoles convenus afin de permettre une gestion adaptative.</w:t>
      </w:r>
    </w:p>
    <w:p w14:paraId="392747B8" w14:textId="77777777" w:rsidR="009672C2" w:rsidRDefault="002A409C" w:rsidP="00A67BF0">
      <w:pPr>
        <w:numPr>
          <w:ilvl w:val="0"/>
          <w:numId w:val="11"/>
        </w:numPr>
        <w:spacing w:after="0" w:line="240" w:lineRule="auto"/>
        <w:jc w:val="both"/>
        <w:rPr>
          <w:rFonts w:ascii="Arial" w:eastAsia="Times New Roman" w:hAnsi="Arial" w:cs="Arial"/>
          <w:color w:val="000000" w:themeColor="text1"/>
          <w:sz w:val="22"/>
          <w:lang w:val="fr-FR"/>
        </w:rPr>
      </w:pPr>
      <w:r w:rsidRPr="00036694">
        <w:rPr>
          <w:rFonts w:ascii="Arial" w:eastAsia="Times New Roman" w:hAnsi="Arial" w:cs="Arial"/>
          <w:i/>
          <w:iCs/>
          <w:color w:val="000000" w:themeColor="text1"/>
          <w:sz w:val="22"/>
          <w:lang w:val="fr-FR"/>
        </w:rPr>
        <w:t>Gouvernance inclusive.</w:t>
      </w:r>
      <w:r w:rsidRPr="00036694">
        <w:rPr>
          <w:rFonts w:ascii="Arial" w:eastAsia="Times New Roman" w:hAnsi="Arial" w:cs="Arial"/>
          <w:color w:val="000000" w:themeColor="text1"/>
          <w:sz w:val="22"/>
          <w:lang w:val="fr-FR"/>
        </w:rPr>
        <w:t xml:space="preserve"> Créer des plateformes intersectorielles (pêche, eau, énergie, transport, environnement), garantir la participation et le partage des bénéfices avec les peuples autochtones et les communautés locales, et renforcer les capacités en matière de mise en œuvre et de conformité.</w:t>
      </w:r>
    </w:p>
    <w:p w14:paraId="152B1053" w14:textId="77777777" w:rsidR="00A67BF0" w:rsidRPr="00080CF7" w:rsidRDefault="00A67BF0" w:rsidP="00080CF7">
      <w:pPr>
        <w:spacing w:after="0" w:line="240" w:lineRule="auto"/>
        <w:ind w:left="720"/>
        <w:jc w:val="both"/>
        <w:rPr>
          <w:rFonts w:ascii="Arial" w:eastAsia="Times New Roman" w:hAnsi="Arial" w:cs="Arial"/>
          <w:color w:val="000000" w:themeColor="text1"/>
          <w:sz w:val="22"/>
          <w:lang w:val="fr-FR"/>
        </w:rPr>
      </w:pPr>
    </w:p>
    <w:p w14:paraId="32F73AC2" w14:textId="2B93F844" w:rsidR="009672C2" w:rsidRPr="00080CF7" w:rsidRDefault="00A67BF0" w:rsidP="00080CF7">
      <w:pPr>
        <w:pStyle w:val="Heading1"/>
        <w:spacing w:before="0" w:line="240" w:lineRule="auto"/>
        <w:ind w:left="567" w:hanging="567"/>
        <w:jc w:val="both"/>
        <w:rPr>
          <w:rFonts w:ascii="Arial" w:hAnsi="Arial" w:cs="Arial"/>
          <w:sz w:val="22"/>
          <w:szCs w:val="22"/>
          <w:lang w:val="fr-FR"/>
        </w:rPr>
      </w:pPr>
      <w:bookmarkStart w:id="56" w:name="_Toc214450288"/>
      <w:r w:rsidRPr="00080CF7">
        <w:rPr>
          <w:rFonts w:ascii="Arial" w:hAnsi="Arial" w:cs="Arial"/>
          <w:sz w:val="22"/>
          <w:szCs w:val="22"/>
        </w:rPr>
        <w:t xml:space="preserve">8 </w:t>
      </w:r>
      <w:r w:rsidRPr="00080CF7">
        <w:rPr>
          <w:rFonts w:ascii="Arial" w:hAnsi="Arial" w:cs="Arial"/>
          <w:sz w:val="22"/>
          <w:szCs w:val="22"/>
        </w:rPr>
        <w:tab/>
      </w:r>
      <w:r w:rsidRPr="00080CF7">
        <w:rPr>
          <w:rFonts w:ascii="Arial" w:hAnsi="Arial" w:cs="Arial"/>
          <w:sz w:val="22"/>
          <w:szCs w:val="22"/>
          <w:lang w:val="fr-FR"/>
        </w:rPr>
        <w:t>RECOMMANDATIONS</w:t>
      </w:r>
      <w:bookmarkEnd w:id="56"/>
    </w:p>
    <w:p w14:paraId="279716B7" w14:textId="77777777" w:rsidR="00A67BF0" w:rsidRPr="00080CF7" w:rsidRDefault="00A67BF0" w:rsidP="00080CF7">
      <w:pPr>
        <w:spacing w:after="0" w:line="240" w:lineRule="auto"/>
        <w:jc w:val="both"/>
        <w:rPr>
          <w:rFonts w:ascii="Arial" w:hAnsi="Arial" w:cs="Arial"/>
          <w:sz w:val="22"/>
          <w:lang w:val="fr-FR"/>
        </w:rPr>
      </w:pPr>
    </w:p>
    <w:p w14:paraId="668E6E38" w14:textId="77777777" w:rsidR="00080CF7" w:rsidRPr="00080CF7" w:rsidRDefault="00080CF7" w:rsidP="005230A8">
      <w:pPr>
        <w:spacing w:after="80" w:line="240" w:lineRule="auto"/>
        <w:jc w:val="both"/>
        <w:outlineLvl w:val="1"/>
        <w:rPr>
          <w:rFonts w:ascii="Arial" w:eastAsia="Times New Roman" w:hAnsi="Arial" w:cs="Arial"/>
          <w:b/>
          <w:bCs/>
          <w:sz w:val="22"/>
          <w:lang w:val="fr-FR"/>
        </w:rPr>
      </w:pPr>
      <w:bookmarkStart w:id="57" w:name="_Toc214450289"/>
      <w:r w:rsidRPr="00080CF7">
        <w:rPr>
          <w:rFonts w:ascii="Arial" w:eastAsia="Times New Roman" w:hAnsi="Arial" w:cs="Arial"/>
          <w:b/>
          <w:bCs/>
          <w:sz w:val="22"/>
          <w:lang w:val="fr-FR"/>
        </w:rPr>
        <w:t>1. Listes et instruments de coopération</w:t>
      </w:r>
      <w:bookmarkEnd w:id="57"/>
    </w:p>
    <w:p w14:paraId="01274353" w14:textId="77777777" w:rsidR="00080CF7" w:rsidRPr="00080CF7" w:rsidRDefault="00080CF7" w:rsidP="005230A8">
      <w:pPr>
        <w:numPr>
          <w:ilvl w:val="0"/>
          <w:numId w:val="21"/>
        </w:numPr>
        <w:spacing w:after="80" w:line="240" w:lineRule="auto"/>
        <w:jc w:val="both"/>
        <w:rPr>
          <w:rFonts w:ascii="Arial" w:eastAsia="Times New Roman" w:hAnsi="Arial" w:cs="Arial"/>
          <w:sz w:val="22"/>
          <w:lang w:val="fr-FR"/>
        </w:rPr>
      </w:pPr>
      <w:r w:rsidRPr="00080CF7">
        <w:rPr>
          <w:rFonts w:ascii="Arial" w:eastAsia="Times New Roman" w:hAnsi="Arial" w:cs="Arial"/>
          <w:sz w:val="22"/>
          <w:lang w:val="fr-FR"/>
        </w:rPr>
        <w:t>Préparer des propositions de modification des Annexes pour les taxons présentant un état de préparation élevé (présents dans deux Parties ou plus et évalués CR/EN/VU/NT).</w:t>
      </w:r>
    </w:p>
    <w:p w14:paraId="5A4E669F" w14:textId="77777777" w:rsidR="00080CF7" w:rsidRDefault="00080CF7" w:rsidP="00080CF7">
      <w:pPr>
        <w:numPr>
          <w:ilvl w:val="0"/>
          <w:numId w:val="21"/>
        </w:numPr>
        <w:spacing w:after="0" w:line="240" w:lineRule="auto"/>
        <w:jc w:val="both"/>
        <w:rPr>
          <w:rFonts w:ascii="Arial" w:eastAsia="Times New Roman" w:hAnsi="Arial" w:cs="Arial"/>
          <w:sz w:val="22"/>
          <w:lang w:val="fr-FR"/>
        </w:rPr>
      </w:pPr>
      <w:r w:rsidRPr="00080CF7">
        <w:rPr>
          <w:rFonts w:ascii="Arial" w:eastAsia="Times New Roman" w:hAnsi="Arial" w:cs="Arial"/>
          <w:sz w:val="22"/>
          <w:lang w:val="fr-FR"/>
        </w:rPr>
        <w:t>Lancer des instruments de coopération pour les espèces inscrites : actions concertées, plans d’action pour une ou plusieurs espèces et MdE, avec des plans de travail clairs et des structures de conseil technique.</w:t>
      </w:r>
    </w:p>
    <w:p w14:paraId="445F0C64" w14:textId="77777777" w:rsidR="005230A8" w:rsidRPr="00080CF7" w:rsidRDefault="005230A8" w:rsidP="005230A8">
      <w:pPr>
        <w:spacing w:after="0" w:line="240" w:lineRule="auto"/>
        <w:ind w:left="720"/>
        <w:jc w:val="both"/>
        <w:rPr>
          <w:rFonts w:ascii="Arial" w:eastAsia="Times New Roman" w:hAnsi="Arial" w:cs="Arial"/>
          <w:sz w:val="22"/>
          <w:lang w:val="fr-FR"/>
        </w:rPr>
      </w:pPr>
    </w:p>
    <w:p w14:paraId="0CC3C6B2" w14:textId="77777777" w:rsidR="00080CF7" w:rsidRPr="00080CF7" w:rsidRDefault="00080CF7" w:rsidP="005230A8">
      <w:pPr>
        <w:spacing w:after="80" w:line="240" w:lineRule="auto"/>
        <w:jc w:val="both"/>
        <w:outlineLvl w:val="1"/>
        <w:rPr>
          <w:rFonts w:ascii="Arial" w:eastAsia="Times New Roman" w:hAnsi="Arial" w:cs="Arial"/>
          <w:b/>
          <w:bCs/>
          <w:sz w:val="22"/>
          <w:lang w:val="fr-FR"/>
        </w:rPr>
      </w:pPr>
      <w:bookmarkStart w:id="58" w:name="_Toc214450290"/>
      <w:r w:rsidRPr="00080CF7">
        <w:rPr>
          <w:rFonts w:ascii="Arial" w:eastAsia="Times New Roman" w:hAnsi="Arial" w:cs="Arial"/>
          <w:b/>
          <w:bCs/>
          <w:sz w:val="22"/>
          <w:lang w:val="fr-FR"/>
        </w:rPr>
        <w:t>2. Gouvernance technique et soutien d’experts</w:t>
      </w:r>
      <w:bookmarkEnd w:id="58"/>
    </w:p>
    <w:p w14:paraId="4DAA4CF1" w14:textId="77777777" w:rsidR="00080CF7" w:rsidRDefault="00080CF7" w:rsidP="00080CF7">
      <w:pPr>
        <w:numPr>
          <w:ilvl w:val="0"/>
          <w:numId w:val="22"/>
        </w:numPr>
        <w:tabs>
          <w:tab w:val="clear" w:pos="720"/>
        </w:tabs>
        <w:spacing w:after="0" w:line="240" w:lineRule="auto"/>
        <w:jc w:val="both"/>
        <w:rPr>
          <w:rFonts w:ascii="Arial" w:eastAsia="Times New Roman" w:hAnsi="Arial" w:cs="Arial"/>
          <w:sz w:val="22"/>
          <w:lang w:val="fr-FR"/>
        </w:rPr>
      </w:pPr>
      <w:r w:rsidRPr="00080CF7">
        <w:rPr>
          <w:rFonts w:ascii="Arial" w:eastAsia="Times New Roman" w:hAnsi="Arial" w:cs="Arial"/>
          <w:sz w:val="22"/>
          <w:lang w:val="fr-FR"/>
        </w:rPr>
        <w:t>Mettre en place un groupe de travail technique d’experts chargé de conseiller le Conseil scientifique sur les poissons d’eau douce migrateurs (évaluations de l’état, inscriptions, orientations sur la connectivité et normes de suivi).</w:t>
      </w:r>
    </w:p>
    <w:p w14:paraId="00B5A635" w14:textId="77777777" w:rsidR="005230A8" w:rsidRPr="00080CF7" w:rsidRDefault="005230A8" w:rsidP="005230A8">
      <w:pPr>
        <w:spacing w:after="0" w:line="240" w:lineRule="auto"/>
        <w:ind w:left="720"/>
        <w:jc w:val="both"/>
        <w:rPr>
          <w:rFonts w:ascii="Arial" w:eastAsia="Times New Roman" w:hAnsi="Arial" w:cs="Arial"/>
          <w:sz w:val="22"/>
          <w:lang w:val="fr-FR"/>
        </w:rPr>
      </w:pPr>
    </w:p>
    <w:p w14:paraId="19568ED2" w14:textId="77777777" w:rsidR="00080CF7" w:rsidRPr="00080CF7" w:rsidRDefault="00080CF7" w:rsidP="005230A8">
      <w:pPr>
        <w:spacing w:after="80" w:line="240" w:lineRule="auto"/>
        <w:jc w:val="both"/>
        <w:outlineLvl w:val="1"/>
        <w:rPr>
          <w:rFonts w:ascii="Arial" w:eastAsia="Times New Roman" w:hAnsi="Arial" w:cs="Arial"/>
          <w:b/>
          <w:bCs/>
          <w:sz w:val="22"/>
          <w:lang w:val="fr-FR"/>
        </w:rPr>
      </w:pPr>
      <w:bookmarkStart w:id="59" w:name="_Toc214450291"/>
      <w:r w:rsidRPr="00080CF7">
        <w:rPr>
          <w:rFonts w:ascii="Arial" w:eastAsia="Times New Roman" w:hAnsi="Arial" w:cs="Arial"/>
          <w:b/>
          <w:bCs/>
          <w:sz w:val="22"/>
          <w:lang w:val="fr-FR"/>
        </w:rPr>
        <w:t>3. Preuves et priorités d’évaluation</w:t>
      </w:r>
      <w:bookmarkEnd w:id="59"/>
    </w:p>
    <w:p w14:paraId="28B1DCE4" w14:textId="77777777" w:rsidR="00080CF7" w:rsidRPr="00080CF7" w:rsidRDefault="00080CF7" w:rsidP="005230A8">
      <w:pPr>
        <w:numPr>
          <w:ilvl w:val="0"/>
          <w:numId w:val="23"/>
        </w:numPr>
        <w:spacing w:after="80" w:line="240" w:lineRule="auto"/>
        <w:jc w:val="both"/>
        <w:rPr>
          <w:rFonts w:ascii="Arial" w:eastAsia="Times New Roman" w:hAnsi="Arial" w:cs="Arial"/>
          <w:sz w:val="22"/>
          <w:lang w:val="fr-FR"/>
        </w:rPr>
      </w:pPr>
      <w:r w:rsidRPr="00080CF7">
        <w:rPr>
          <w:rFonts w:ascii="Arial" w:eastAsia="Times New Roman" w:hAnsi="Arial" w:cs="Arial"/>
          <w:sz w:val="22"/>
          <w:lang w:val="fr-FR"/>
        </w:rPr>
        <w:t>Combler les lacunes d’évaluation en collaborant avec l’UICN et le groupe d’experts afin de rassembler des données sur les espèces NE, DD et LC (tendance à la baisse) identifiées comme susceptibles de répondre aux critères de la CMS.</w:t>
      </w:r>
    </w:p>
    <w:p w14:paraId="4A73DF0F" w14:textId="77777777" w:rsidR="00080CF7" w:rsidRPr="00080CF7" w:rsidRDefault="00080CF7" w:rsidP="005230A8">
      <w:pPr>
        <w:numPr>
          <w:ilvl w:val="0"/>
          <w:numId w:val="23"/>
        </w:numPr>
        <w:spacing w:after="80" w:line="240" w:lineRule="auto"/>
        <w:jc w:val="both"/>
        <w:rPr>
          <w:rFonts w:ascii="Arial" w:eastAsia="Times New Roman" w:hAnsi="Arial" w:cs="Arial"/>
          <w:sz w:val="22"/>
          <w:lang w:val="fr-FR"/>
        </w:rPr>
      </w:pPr>
      <w:r w:rsidRPr="00080CF7">
        <w:rPr>
          <w:rFonts w:ascii="Arial" w:eastAsia="Times New Roman" w:hAnsi="Arial" w:cs="Arial"/>
          <w:sz w:val="22"/>
          <w:lang w:val="fr-FR"/>
        </w:rPr>
        <w:t>Réaliser des évaluations de l’état écologique (Liste verte) pour les poissons d’eau douce inscrits à la CMS et pour les espèces candidates prioritaires identifiées dans le présent rapport.</w:t>
      </w:r>
    </w:p>
    <w:p w14:paraId="5A41202F" w14:textId="77777777" w:rsidR="00080CF7" w:rsidRPr="00080CF7" w:rsidRDefault="00080CF7" w:rsidP="00080CF7">
      <w:pPr>
        <w:numPr>
          <w:ilvl w:val="0"/>
          <w:numId w:val="23"/>
        </w:numPr>
        <w:spacing w:after="0" w:line="240" w:lineRule="auto"/>
        <w:jc w:val="both"/>
        <w:rPr>
          <w:rFonts w:ascii="Arial" w:eastAsia="Times New Roman" w:hAnsi="Arial" w:cs="Arial"/>
          <w:sz w:val="22"/>
          <w:lang w:val="fr-FR"/>
        </w:rPr>
      </w:pPr>
      <w:r w:rsidRPr="00080CF7">
        <w:rPr>
          <w:rFonts w:ascii="Arial" w:eastAsia="Times New Roman" w:hAnsi="Arial" w:cs="Arial"/>
          <w:sz w:val="22"/>
          <w:lang w:val="fr-FR"/>
        </w:rPr>
        <w:t>Élaborer un rapport sur l’état de conservation résumant la situation actuelle des poissons d’eau douce inscrits à l’Annexe I et les progrès dans leur gestion ;</w:t>
      </w:r>
    </w:p>
    <w:p w14:paraId="0F7C8DD5" w14:textId="77777777" w:rsidR="00080CF7" w:rsidRDefault="00080CF7" w:rsidP="00080CF7">
      <w:pPr>
        <w:numPr>
          <w:ilvl w:val="0"/>
          <w:numId w:val="23"/>
        </w:numPr>
        <w:spacing w:after="0" w:line="240" w:lineRule="auto"/>
        <w:jc w:val="both"/>
        <w:rPr>
          <w:rFonts w:ascii="Arial" w:eastAsia="Times New Roman" w:hAnsi="Arial" w:cs="Arial"/>
          <w:sz w:val="22"/>
          <w:lang w:val="fr-FR"/>
        </w:rPr>
      </w:pPr>
      <w:r w:rsidRPr="00080CF7">
        <w:rPr>
          <w:rFonts w:ascii="Arial" w:eastAsia="Times New Roman" w:hAnsi="Arial" w:cs="Arial"/>
          <w:sz w:val="22"/>
          <w:lang w:val="fr-FR"/>
        </w:rPr>
        <w:lastRenderedPageBreak/>
        <w:t>Commander une évaluation mondiale de l’état de conservation des poissons osseux marins migrateurs (téléostéens), suivant l’approche utilisée pour les poissons d’eau douce, afin d’éclairer d’éventuelles actions transrégimes.</w:t>
      </w:r>
    </w:p>
    <w:p w14:paraId="4EF7A69C" w14:textId="77777777" w:rsidR="00F00798" w:rsidRPr="00080CF7" w:rsidRDefault="00F00798" w:rsidP="00F00798">
      <w:pPr>
        <w:spacing w:after="0" w:line="240" w:lineRule="auto"/>
        <w:ind w:left="720"/>
        <w:jc w:val="both"/>
        <w:rPr>
          <w:rFonts w:ascii="Arial" w:eastAsia="Times New Roman" w:hAnsi="Arial" w:cs="Arial"/>
          <w:sz w:val="22"/>
          <w:lang w:val="fr-FR"/>
        </w:rPr>
      </w:pPr>
    </w:p>
    <w:p w14:paraId="3859E74A" w14:textId="77777777" w:rsidR="00080CF7" w:rsidRPr="00080CF7" w:rsidRDefault="00080CF7" w:rsidP="00F00798">
      <w:pPr>
        <w:spacing w:after="80" w:line="240" w:lineRule="auto"/>
        <w:jc w:val="both"/>
        <w:outlineLvl w:val="1"/>
        <w:rPr>
          <w:rFonts w:ascii="Arial" w:eastAsia="Times New Roman" w:hAnsi="Arial" w:cs="Arial"/>
          <w:b/>
          <w:bCs/>
          <w:sz w:val="22"/>
          <w:lang w:val="fr-FR"/>
        </w:rPr>
      </w:pPr>
      <w:bookmarkStart w:id="60" w:name="_Toc214450292"/>
      <w:r w:rsidRPr="00080CF7">
        <w:rPr>
          <w:rFonts w:ascii="Arial" w:eastAsia="Times New Roman" w:hAnsi="Arial" w:cs="Arial"/>
          <w:b/>
          <w:bCs/>
          <w:sz w:val="22"/>
          <w:lang w:val="fr-FR"/>
        </w:rPr>
        <w:t>4. Priorités régionales</w:t>
      </w:r>
      <w:bookmarkEnd w:id="60"/>
    </w:p>
    <w:p w14:paraId="6C0AE396" w14:textId="77777777" w:rsidR="00080CF7" w:rsidRPr="00080CF7" w:rsidRDefault="00080CF7" w:rsidP="00F00798">
      <w:pPr>
        <w:numPr>
          <w:ilvl w:val="0"/>
          <w:numId w:val="24"/>
        </w:numPr>
        <w:spacing w:after="80" w:line="240" w:lineRule="auto"/>
        <w:jc w:val="both"/>
        <w:rPr>
          <w:rFonts w:ascii="Arial" w:eastAsia="Times New Roman" w:hAnsi="Arial" w:cs="Arial"/>
          <w:sz w:val="22"/>
          <w:lang w:val="fr-FR"/>
        </w:rPr>
      </w:pPr>
      <w:r w:rsidRPr="00080CF7">
        <w:rPr>
          <w:rFonts w:ascii="Arial" w:eastAsia="Times New Roman" w:hAnsi="Arial" w:cs="Arial"/>
          <w:sz w:val="22"/>
          <w:lang w:val="fr-FR"/>
        </w:rPr>
        <w:t>Réaliser des évaluations régionales ciblées (avec consultation d’experts) dans les bassins et régions abritant de nombreuses espèces migratrices transfrontalières.</w:t>
      </w:r>
    </w:p>
    <w:p w14:paraId="78C9EC4C" w14:textId="77777777" w:rsidR="00080CF7" w:rsidRPr="00080CF7" w:rsidRDefault="00080CF7" w:rsidP="00F00798">
      <w:pPr>
        <w:numPr>
          <w:ilvl w:val="0"/>
          <w:numId w:val="24"/>
        </w:numPr>
        <w:spacing w:after="80" w:line="240" w:lineRule="auto"/>
        <w:jc w:val="both"/>
        <w:rPr>
          <w:rFonts w:ascii="Arial" w:eastAsia="Times New Roman" w:hAnsi="Arial" w:cs="Arial"/>
          <w:sz w:val="22"/>
          <w:lang w:val="fr-FR"/>
        </w:rPr>
      </w:pPr>
      <w:r w:rsidRPr="00080CF7">
        <w:rPr>
          <w:rFonts w:ascii="Arial" w:eastAsia="Times New Roman" w:hAnsi="Arial" w:cs="Arial"/>
          <w:sz w:val="22"/>
          <w:lang w:val="fr-FR"/>
        </w:rPr>
        <w:t>Impliquer les pays du Bas-Mékong afin d’explorer des voies pour une gestion coordonnée et une éventuelle adhésion ou participation aux instruments de la CMS.</w:t>
      </w:r>
    </w:p>
    <w:p w14:paraId="757B14B8" w14:textId="77777777" w:rsidR="00080CF7" w:rsidRDefault="00080CF7" w:rsidP="00080CF7">
      <w:pPr>
        <w:numPr>
          <w:ilvl w:val="0"/>
          <w:numId w:val="24"/>
        </w:numPr>
        <w:spacing w:after="0" w:line="240" w:lineRule="auto"/>
        <w:jc w:val="both"/>
        <w:rPr>
          <w:rFonts w:ascii="Arial" w:eastAsia="Times New Roman" w:hAnsi="Arial" w:cs="Arial"/>
          <w:sz w:val="22"/>
          <w:lang w:val="fr-FR"/>
        </w:rPr>
      </w:pPr>
      <w:r w:rsidRPr="00080CF7">
        <w:rPr>
          <w:rFonts w:ascii="Arial" w:eastAsia="Times New Roman" w:hAnsi="Arial" w:cs="Arial"/>
          <w:sz w:val="22"/>
          <w:lang w:val="fr-FR"/>
        </w:rPr>
        <w:t>Lancer une évaluation structurée pour l’Afrique, où les espèces migratrices transfrontalières sont sous-représentées dans les analyses actuelles et où des lacunes de données sont probables.</w:t>
      </w:r>
    </w:p>
    <w:p w14:paraId="7F461920" w14:textId="77777777" w:rsidR="00F00798" w:rsidRPr="00080CF7" w:rsidRDefault="00F00798" w:rsidP="00F00798">
      <w:pPr>
        <w:spacing w:after="0" w:line="240" w:lineRule="auto"/>
        <w:ind w:left="720"/>
        <w:jc w:val="both"/>
        <w:rPr>
          <w:rFonts w:ascii="Arial" w:eastAsia="Times New Roman" w:hAnsi="Arial" w:cs="Arial"/>
          <w:sz w:val="22"/>
          <w:lang w:val="fr-FR"/>
        </w:rPr>
      </w:pPr>
    </w:p>
    <w:p w14:paraId="0DD6D374" w14:textId="77777777" w:rsidR="00080CF7" w:rsidRPr="00080CF7" w:rsidRDefault="00080CF7" w:rsidP="00F00798">
      <w:pPr>
        <w:spacing w:after="80" w:line="240" w:lineRule="auto"/>
        <w:jc w:val="both"/>
        <w:outlineLvl w:val="1"/>
        <w:rPr>
          <w:rFonts w:ascii="Arial" w:eastAsia="Times New Roman" w:hAnsi="Arial" w:cs="Arial"/>
          <w:b/>
          <w:bCs/>
          <w:sz w:val="22"/>
          <w:lang w:val="fr-FR"/>
        </w:rPr>
      </w:pPr>
      <w:bookmarkStart w:id="61" w:name="_Toc214450293"/>
      <w:r w:rsidRPr="00080CF7">
        <w:rPr>
          <w:rFonts w:ascii="Arial" w:eastAsia="Times New Roman" w:hAnsi="Arial" w:cs="Arial"/>
          <w:b/>
          <w:bCs/>
          <w:sz w:val="22"/>
          <w:lang w:val="fr-FR"/>
        </w:rPr>
        <w:t>5. Intégration des poissons d’eau douce dans les thématiques de la CMS</w:t>
      </w:r>
      <w:bookmarkEnd w:id="61"/>
    </w:p>
    <w:p w14:paraId="057ABF51" w14:textId="77777777" w:rsidR="00080CF7" w:rsidRPr="00080CF7" w:rsidRDefault="00080CF7" w:rsidP="00F00798">
      <w:pPr>
        <w:numPr>
          <w:ilvl w:val="0"/>
          <w:numId w:val="25"/>
        </w:numPr>
        <w:spacing w:after="80" w:line="240" w:lineRule="auto"/>
        <w:jc w:val="both"/>
        <w:rPr>
          <w:rFonts w:ascii="Arial" w:eastAsia="Times New Roman" w:hAnsi="Arial" w:cs="Arial"/>
          <w:sz w:val="22"/>
          <w:lang w:val="fr-FR"/>
        </w:rPr>
      </w:pPr>
      <w:r w:rsidRPr="00080CF7">
        <w:rPr>
          <w:rFonts w:ascii="Arial" w:eastAsia="Times New Roman" w:hAnsi="Arial" w:cs="Arial"/>
          <w:sz w:val="22"/>
          <w:lang w:val="fr-FR"/>
        </w:rPr>
        <w:t>Intégrer les poissons d’eau douce dans les décisions, résolutions, groupes de travail et initiatives transversales de la CMS portant sur la connectivité écologique, les infrastructures linéaires et la réduction des prises accessoires.</w:t>
      </w:r>
    </w:p>
    <w:p w14:paraId="510A466A" w14:textId="77777777" w:rsidR="00080CF7" w:rsidRDefault="00080CF7" w:rsidP="00080CF7">
      <w:pPr>
        <w:numPr>
          <w:ilvl w:val="0"/>
          <w:numId w:val="25"/>
        </w:numPr>
        <w:spacing w:after="0" w:line="240" w:lineRule="auto"/>
        <w:jc w:val="both"/>
        <w:rPr>
          <w:rFonts w:ascii="Arial" w:eastAsia="Times New Roman" w:hAnsi="Arial" w:cs="Arial"/>
          <w:sz w:val="22"/>
          <w:lang w:val="fr-FR"/>
        </w:rPr>
      </w:pPr>
      <w:r w:rsidRPr="00080CF7">
        <w:rPr>
          <w:rFonts w:ascii="Arial" w:eastAsia="Times New Roman" w:hAnsi="Arial" w:cs="Arial"/>
          <w:sz w:val="22"/>
          <w:lang w:val="fr-FR"/>
        </w:rPr>
        <w:t>Contribuer par un module dédié aux poissons d’eau douce dans l’</w:t>
      </w:r>
      <w:r w:rsidRPr="00080CF7">
        <w:rPr>
          <w:rFonts w:ascii="Arial" w:eastAsia="Times New Roman" w:hAnsi="Arial" w:cs="Arial"/>
          <w:i/>
          <w:sz w:val="22"/>
          <w:lang w:val="fr-FR"/>
        </w:rPr>
        <w:t>Atlas sur la migration des animaux</w:t>
      </w:r>
      <w:r w:rsidRPr="00080CF7">
        <w:rPr>
          <w:rFonts w:ascii="Arial" w:eastAsia="Times New Roman" w:hAnsi="Arial" w:cs="Arial"/>
          <w:sz w:val="22"/>
          <w:lang w:val="fr-FR"/>
        </w:rPr>
        <w:t xml:space="preserve"> et intégrer les principaux résultats dans le </w:t>
      </w:r>
      <w:r w:rsidRPr="00080CF7">
        <w:rPr>
          <w:rFonts w:ascii="Arial" w:eastAsia="Times New Roman" w:hAnsi="Arial" w:cs="Arial"/>
          <w:i/>
          <w:iCs/>
          <w:sz w:val="22"/>
          <w:lang w:val="fr-FR"/>
        </w:rPr>
        <w:t>Statut</w:t>
      </w:r>
      <w:r w:rsidRPr="00080CF7">
        <w:rPr>
          <w:rFonts w:ascii="Arial" w:eastAsia="Times New Roman" w:hAnsi="Arial" w:cs="Arial"/>
          <w:i/>
          <w:sz w:val="22"/>
          <w:lang w:val="fr-FR"/>
        </w:rPr>
        <w:t xml:space="preserve"> des </w:t>
      </w:r>
      <w:r w:rsidRPr="00080CF7">
        <w:rPr>
          <w:rFonts w:ascii="Arial" w:eastAsia="Times New Roman" w:hAnsi="Arial" w:cs="Arial"/>
          <w:i/>
          <w:iCs/>
          <w:sz w:val="22"/>
          <w:lang w:val="fr-FR"/>
        </w:rPr>
        <w:t xml:space="preserve">espèces </w:t>
      </w:r>
      <w:r w:rsidRPr="00080CF7">
        <w:rPr>
          <w:rFonts w:ascii="Arial" w:eastAsia="Times New Roman" w:hAnsi="Arial" w:cs="Arial"/>
          <w:i/>
          <w:sz w:val="22"/>
          <w:lang w:val="fr-FR"/>
        </w:rPr>
        <w:t xml:space="preserve">migratrices </w:t>
      </w:r>
      <w:r w:rsidRPr="00080CF7">
        <w:rPr>
          <w:rFonts w:ascii="Arial" w:eastAsia="Times New Roman" w:hAnsi="Arial" w:cs="Arial"/>
          <w:i/>
          <w:iCs/>
          <w:sz w:val="22"/>
          <w:lang w:val="fr-FR"/>
        </w:rPr>
        <w:t>dans le monde</w:t>
      </w:r>
      <w:r w:rsidRPr="00080CF7">
        <w:rPr>
          <w:rFonts w:ascii="Arial" w:eastAsia="Times New Roman" w:hAnsi="Arial" w:cs="Arial"/>
          <w:sz w:val="22"/>
          <w:lang w:val="fr-FR"/>
        </w:rPr>
        <w:t xml:space="preserve"> ainsi que dans les produits de communication associés de la CMS.</w:t>
      </w:r>
    </w:p>
    <w:p w14:paraId="3240A22E" w14:textId="77777777" w:rsidR="00F00798" w:rsidRPr="00080CF7" w:rsidRDefault="00F00798" w:rsidP="00F00798">
      <w:pPr>
        <w:spacing w:after="0" w:line="240" w:lineRule="auto"/>
        <w:ind w:left="720"/>
        <w:jc w:val="both"/>
        <w:rPr>
          <w:rFonts w:ascii="Arial" w:eastAsia="Times New Roman" w:hAnsi="Arial" w:cs="Arial"/>
          <w:sz w:val="22"/>
          <w:lang w:val="fr-FR"/>
        </w:rPr>
      </w:pPr>
    </w:p>
    <w:p w14:paraId="123C2EFF" w14:textId="77777777" w:rsidR="00080CF7" w:rsidRPr="00080CF7" w:rsidRDefault="00080CF7" w:rsidP="00F00798">
      <w:pPr>
        <w:spacing w:after="80" w:line="240" w:lineRule="auto"/>
        <w:jc w:val="both"/>
        <w:outlineLvl w:val="1"/>
        <w:rPr>
          <w:rFonts w:ascii="Arial" w:eastAsia="Times New Roman" w:hAnsi="Arial" w:cs="Arial"/>
          <w:b/>
          <w:bCs/>
          <w:sz w:val="22"/>
          <w:lang w:val="fr-FR"/>
        </w:rPr>
      </w:pPr>
      <w:bookmarkStart w:id="62" w:name="_Toc214450294"/>
      <w:r w:rsidRPr="00080CF7">
        <w:rPr>
          <w:rFonts w:ascii="Arial" w:eastAsia="Times New Roman" w:hAnsi="Arial" w:cs="Arial"/>
          <w:b/>
          <w:bCs/>
          <w:sz w:val="22"/>
          <w:lang w:val="fr-FR"/>
        </w:rPr>
        <w:t>6. Coordination avec d’autres conventions et partenaires</w:t>
      </w:r>
      <w:bookmarkEnd w:id="62"/>
    </w:p>
    <w:p w14:paraId="29E3A1FD" w14:textId="77777777" w:rsidR="00080CF7" w:rsidRDefault="00080CF7" w:rsidP="00080CF7">
      <w:pPr>
        <w:numPr>
          <w:ilvl w:val="0"/>
          <w:numId w:val="25"/>
        </w:numPr>
        <w:spacing w:after="0" w:line="240" w:lineRule="auto"/>
        <w:jc w:val="both"/>
        <w:rPr>
          <w:rFonts w:ascii="Arial" w:eastAsia="Times New Roman" w:hAnsi="Arial" w:cs="Arial"/>
          <w:sz w:val="22"/>
          <w:lang w:val="fr-FR"/>
        </w:rPr>
      </w:pPr>
      <w:r w:rsidRPr="00080CF7">
        <w:rPr>
          <w:rFonts w:ascii="Arial" w:eastAsia="Times New Roman" w:hAnsi="Arial" w:cs="Arial"/>
          <w:sz w:val="22"/>
          <w:lang w:val="fr-FR"/>
        </w:rPr>
        <w:t>Réaliser une analyse des lacunes des activités menées par la CITES, la CDB, la FAO, l’UICN et les organisations de bassins fluviaux afin d’identifier les domaines où la CMS apporte le plus de valeur et d’harmoniser les actions concernant le suivi, la protection de la connectivité et la pêche/le commerce durables.</w:t>
      </w:r>
    </w:p>
    <w:p w14:paraId="3CB259AA" w14:textId="77777777" w:rsidR="00F00798" w:rsidRPr="00080CF7" w:rsidRDefault="00F00798" w:rsidP="00F00798">
      <w:pPr>
        <w:spacing w:after="0" w:line="240" w:lineRule="auto"/>
        <w:ind w:left="720"/>
        <w:jc w:val="both"/>
        <w:rPr>
          <w:rFonts w:ascii="Arial" w:eastAsia="Times New Roman" w:hAnsi="Arial" w:cs="Arial"/>
          <w:sz w:val="22"/>
          <w:lang w:val="fr-FR"/>
        </w:rPr>
      </w:pPr>
    </w:p>
    <w:p w14:paraId="22EB3C54" w14:textId="4D60F136" w:rsidR="009672C2" w:rsidRPr="00F00798" w:rsidRDefault="00F00798" w:rsidP="00F00798">
      <w:pPr>
        <w:pStyle w:val="Heading1"/>
        <w:spacing w:before="0" w:line="240" w:lineRule="auto"/>
        <w:ind w:left="567" w:hanging="567"/>
        <w:rPr>
          <w:sz w:val="22"/>
          <w:szCs w:val="22"/>
          <w:lang w:val="fr-FR"/>
        </w:rPr>
      </w:pPr>
      <w:bookmarkStart w:id="63" w:name="_Toc214450295"/>
      <w:r w:rsidRPr="00F00798">
        <w:rPr>
          <w:sz w:val="22"/>
          <w:szCs w:val="22"/>
          <w:lang w:val="fr-FR"/>
        </w:rPr>
        <w:t xml:space="preserve">9 </w:t>
      </w:r>
      <w:r>
        <w:rPr>
          <w:sz w:val="22"/>
          <w:szCs w:val="22"/>
          <w:lang w:val="fr-FR"/>
        </w:rPr>
        <w:tab/>
      </w:r>
      <w:r w:rsidRPr="00F00798">
        <w:rPr>
          <w:sz w:val="22"/>
          <w:szCs w:val="22"/>
          <w:lang w:val="fr-FR"/>
        </w:rPr>
        <w:t>CONCLUSIONS</w:t>
      </w:r>
      <w:bookmarkEnd w:id="63"/>
    </w:p>
    <w:p w14:paraId="357623A1" w14:textId="77777777" w:rsidR="009672C2" w:rsidRPr="00036694" w:rsidRDefault="009672C2" w:rsidP="00A67BF0">
      <w:pPr>
        <w:pStyle w:val="NoSpacing"/>
        <w:rPr>
          <w:rFonts w:ascii="Arial" w:hAnsi="Arial" w:cs="Arial"/>
          <w:color w:val="000000" w:themeColor="text1"/>
          <w:sz w:val="22"/>
          <w:lang w:val="fr-FR"/>
        </w:rPr>
      </w:pPr>
    </w:p>
    <w:p w14:paraId="1041AB69" w14:textId="77777777" w:rsidR="009672C2" w:rsidRPr="00036694" w:rsidRDefault="002A409C" w:rsidP="00A67BF0">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Cette évaluation confirme que de nombreux poissons migrateurs d'eau douce remplissent les critères d'inscription aux Annexes de la CMS : ils entreprennent des mouvements transfrontaliers ou forment des stocks partagés et sont confrontés à un état de conservation défavorable. À l'aide d'un ensemble de données mondiales, complétées par une littérature spécifique au bassin et des contributions d'experts pour l'Amazonie, nous identifions les espèces et les groupes d'espèces prioritaires, là où ils sont présents, et qui répondent aux critères de la CMS pour l'action coopérative. Les schémas de menaces sont constants d'une région à l'autre. La perte de connectivité écologique, la récolte et le commerce non durables, la dégradation de l'habitat et la pollution sont à l'origine des déclins, tandis que les possibilités de reconstitution coordonnée sont les plus fortes lorsque les espèces sont présentes dans plusieurs pays et bénéficieraient d'une gestion coopérative.</w:t>
      </w:r>
    </w:p>
    <w:p w14:paraId="42599F68" w14:textId="77777777" w:rsidR="009672C2" w:rsidRPr="00036694" w:rsidRDefault="009672C2" w:rsidP="00A67BF0">
      <w:pPr>
        <w:pStyle w:val="NoSpacing"/>
        <w:jc w:val="both"/>
        <w:rPr>
          <w:rFonts w:ascii="Arial" w:hAnsi="Arial" w:cs="Arial"/>
          <w:color w:val="000000" w:themeColor="text1"/>
          <w:sz w:val="22"/>
          <w:lang w:val="fr-FR"/>
        </w:rPr>
      </w:pPr>
    </w:p>
    <w:p w14:paraId="03451E78" w14:textId="77777777" w:rsidR="009672C2" w:rsidRPr="00036694" w:rsidRDefault="002A409C" w:rsidP="00A67BF0">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 xml:space="preserve">La CMS peut servir de mécanisme efficace pour la gestion et la conservation des poissons migrateurs d'eau douce. Elle le fait en établissant des niveaux de référence et des indicateurs communs, en améliorant la connaissance des itinéraires de migration et de la structure des stocks, en maintenant ou en rétablissant la connectivité et les flux environnementaux, en réduisant la dégradation et la pollution de l'habitat, et en mettant en place une gouvernance inclusive et intersectorielle avec le partage des données et la participation des peuples autochtones et des communautés locales. La collaboration avec la Convention sur la diversité biologique (CDB), la CITES, les organisations de bassins hydrographiques, les processus de </w:t>
      </w:r>
      <w:r w:rsidRPr="00036694">
        <w:rPr>
          <w:rFonts w:ascii="Arial" w:hAnsi="Arial" w:cs="Arial"/>
          <w:color w:val="000000" w:themeColor="text1"/>
          <w:sz w:val="22"/>
          <w:lang w:val="fr-FR"/>
        </w:rPr>
        <w:lastRenderedPageBreak/>
        <w:t>l'Organisation des Nations Unies pour l'alimentation et l'agriculture (FAO) et le réseau de la Liste rouge de l'UICN peut permettre de renforcer les capacités et d'harmoniser les mesures d'incitation.</w:t>
      </w:r>
    </w:p>
    <w:p w14:paraId="0DAE923A" w14:textId="77777777" w:rsidR="009672C2" w:rsidRPr="00036694" w:rsidRDefault="009672C2" w:rsidP="00A67BF0">
      <w:pPr>
        <w:pStyle w:val="NoSpacing"/>
        <w:jc w:val="both"/>
        <w:rPr>
          <w:rFonts w:ascii="Arial" w:hAnsi="Arial" w:cs="Arial"/>
          <w:color w:val="000000" w:themeColor="text1"/>
          <w:sz w:val="22"/>
          <w:lang w:val="fr-FR"/>
        </w:rPr>
      </w:pPr>
    </w:p>
    <w:p w14:paraId="7D2C6A20" w14:textId="77777777" w:rsidR="009672C2" w:rsidRPr="00036694" w:rsidRDefault="002A409C" w:rsidP="00A67BF0">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La CMS offre une boîte à outils pratique pour répondre à ces besoins. Les listes d'annexes peuvent attirer l'attention et favoriser une gestion coopérative ; les plans d'action et les protocoles d'accord offrent des programmes structurés qui harmonisent les mesures de pêche, les dispositifs de protection des corridors, la surveillance et les rapports ; et les actions concertées peuvent accélérer les initiatives à court terme. L'intégration des poissons d'eau douce dans les thèmes de la CMS sur la connectivité migratoire et l'infrastructure linéaire renforce la cohérence entre les taxons et les bassins.</w:t>
      </w:r>
    </w:p>
    <w:p w14:paraId="2BF0412A" w14:textId="77777777" w:rsidR="009672C2" w:rsidRPr="00036694" w:rsidRDefault="009672C2" w:rsidP="00A67BF0">
      <w:pPr>
        <w:pStyle w:val="NoSpacing"/>
        <w:jc w:val="both"/>
        <w:rPr>
          <w:rFonts w:ascii="Arial" w:hAnsi="Arial" w:cs="Arial"/>
          <w:color w:val="000000" w:themeColor="text1"/>
          <w:sz w:val="22"/>
          <w:lang w:val="fr-FR"/>
        </w:rPr>
      </w:pPr>
    </w:p>
    <w:p w14:paraId="3B00C5B2" w14:textId="4F7E3902" w:rsidR="00F00798" w:rsidRDefault="002A409C" w:rsidP="00A67BF0">
      <w:pPr>
        <w:pStyle w:val="NoSpacing"/>
        <w:jc w:val="both"/>
        <w:rPr>
          <w:rFonts w:ascii="Arial" w:hAnsi="Arial" w:cs="Arial"/>
          <w:color w:val="000000" w:themeColor="text1"/>
          <w:sz w:val="22"/>
          <w:lang w:val="fr-FR"/>
        </w:rPr>
      </w:pPr>
      <w:r w:rsidRPr="00036694">
        <w:rPr>
          <w:rFonts w:ascii="Arial" w:hAnsi="Arial" w:cs="Arial"/>
          <w:color w:val="000000" w:themeColor="text1"/>
          <w:sz w:val="22"/>
          <w:lang w:val="fr-FR"/>
        </w:rPr>
        <w:t>Les annexes du document UNEP/CMS/COP15/Doc.25.6.1 fournissent les listes d'espèces sous-jacentes, des textes modèles pour les instruments de coopération, et des orientations techniques pour soutenir les Parties et les partenaires. Ensemble, ces éléments offrent un cadre durable pour la CMS afin de contribuer à la protection des poissons migrateurs d'eau douce au cours de la prochaine décennie.</w:t>
      </w:r>
      <w:r w:rsidR="00F00798">
        <w:rPr>
          <w:rFonts w:ascii="Arial" w:hAnsi="Arial" w:cs="Arial"/>
          <w:color w:val="000000" w:themeColor="text1"/>
          <w:sz w:val="22"/>
          <w:lang w:val="fr-FR"/>
        </w:rPr>
        <w:br w:type="page"/>
      </w:r>
    </w:p>
    <w:p w14:paraId="33944241" w14:textId="31DFDCBC" w:rsidR="009672C2" w:rsidRDefault="00F00798" w:rsidP="00F00798">
      <w:pPr>
        <w:pStyle w:val="Heading1"/>
        <w:ind w:left="567" w:hanging="567"/>
        <w:rPr>
          <w:rFonts w:ascii="Arial" w:hAnsi="Arial" w:cs="Arial"/>
          <w:sz w:val="20"/>
          <w:szCs w:val="20"/>
          <w:lang w:val="en-GB"/>
        </w:rPr>
      </w:pPr>
      <w:bookmarkStart w:id="64" w:name="_Toc214450296"/>
      <w:r w:rsidRPr="00F00798">
        <w:rPr>
          <w:rFonts w:ascii="Arial" w:hAnsi="Arial" w:cs="Arial"/>
          <w:sz w:val="20"/>
          <w:szCs w:val="20"/>
          <w:lang w:val="en-GB"/>
        </w:rPr>
        <w:lastRenderedPageBreak/>
        <w:t>10 R</w:t>
      </w:r>
      <w:r>
        <w:rPr>
          <w:rFonts w:ascii="Arial" w:hAnsi="Arial" w:cs="Arial"/>
          <w:sz w:val="20"/>
          <w:szCs w:val="20"/>
          <w:lang w:val="en-GB"/>
        </w:rPr>
        <w:t>É</w:t>
      </w:r>
      <w:r w:rsidRPr="00F00798">
        <w:rPr>
          <w:rFonts w:ascii="Arial" w:hAnsi="Arial" w:cs="Arial"/>
          <w:sz w:val="20"/>
          <w:szCs w:val="20"/>
          <w:lang w:val="en-GB"/>
        </w:rPr>
        <w:t>F</w:t>
      </w:r>
      <w:r>
        <w:rPr>
          <w:rFonts w:ascii="Arial" w:hAnsi="Arial" w:cs="Arial"/>
          <w:sz w:val="20"/>
          <w:szCs w:val="20"/>
          <w:lang w:val="en-GB"/>
        </w:rPr>
        <w:t>É</w:t>
      </w:r>
      <w:r w:rsidRPr="00F00798">
        <w:rPr>
          <w:rFonts w:ascii="Arial" w:hAnsi="Arial" w:cs="Arial"/>
          <w:sz w:val="20"/>
          <w:szCs w:val="20"/>
          <w:lang w:val="en-GB"/>
        </w:rPr>
        <w:t>RENCES</w:t>
      </w:r>
      <w:bookmarkEnd w:id="64"/>
      <w:r w:rsidRPr="00F00798">
        <w:rPr>
          <w:rFonts w:ascii="Arial" w:hAnsi="Arial" w:cs="Arial"/>
          <w:sz w:val="20"/>
          <w:szCs w:val="20"/>
          <w:lang w:val="en-GB"/>
        </w:rPr>
        <w:t xml:space="preserve"> </w:t>
      </w:r>
    </w:p>
    <w:p w14:paraId="4654FF7E" w14:textId="77777777" w:rsidR="00F00798" w:rsidRPr="00F00798" w:rsidRDefault="00F00798" w:rsidP="00F00798">
      <w:pPr>
        <w:spacing w:after="0" w:line="240" w:lineRule="auto"/>
        <w:rPr>
          <w:lang w:val="en-GB"/>
        </w:rPr>
      </w:pPr>
    </w:p>
    <w:p w14:paraId="59BE97D2"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Abell, R., Allan, J. D., &amp; Lehner, B. (2007). Unlocking the potential of protected areas for freshwaters. </w:t>
      </w:r>
      <w:r w:rsidRPr="00F00798">
        <w:rPr>
          <w:rFonts w:ascii="Arial" w:hAnsi="Arial" w:cs="Arial"/>
          <w:i/>
          <w:iCs/>
          <w:sz w:val="20"/>
          <w:szCs w:val="20"/>
          <w:lang w:val="en-GB"/>
        </w:rPr>
        <w:t>Biological Conservation, 134</w:t>
      </w:r>
      <w:r w:rsidRPr="00F00798">
        <w:rPr>
          <w:rFonts w:ascii="Arial" w:hAnsi="Arial" w:cs="Arial"/>
          <w:sz w:val="20"/>
          <w:szCs w:val="20"/>
          <w:lang w:val="en-GB"/>
        </w:rPr>
        <w:t>, 48–63.</w:t>
      </w:r>
    </w:p>
    <w:p w14:paraId="7FD335D1" w14:textId="769B8883" w:rsidR="009672C2" w:rsidRPr="00F00798" w:rsidRDefault="002A409C" w:rsidP="00F00798">
      <w:pPr>
        <w:pStyle w:val="NoSpacing"/>
        <w:ind w:left="567" w:hanging="567"/>
        <w:rPr>
          <w:rFonts w:ascii="Arial" w:hAnsi="Arial" w:cs="Arial"/>
          <w:sz w:val="20"/>
          <w:szCs w:val="20"/>
          <w:lang w:val="pt-PT"/>
        </w:rPr>
      </w:pPr>
      <w:r w:rsidRPr="00F00798">
        <w:rPr>
          <w:rFonts w:ascii="Arial" w:hAnsi="Arial" w:cs="Arial"/>
          <w:sz w:val="20"/>
          <w:szCs w:val="20"/>
          <w:lang w:val="en-GB"/>
        </w:rPr>
        <w:t>Adams, W. F., Fowler, S. L., Charvet</w:t>
      </w:r>
      <w:r w:rsidRPr="00F00798">
        <w:rPr>
          <w:rFonts w:ascii="Cambria Math" w:hAnsi="Cambria Math" w:cs="Cambria Math"/>
          <w:sz w:val="20"/>
          <w:szCs w:val="20"/>
          <w:lang w:val="en-GB"/>
        </w:rPr>
        <w:t>‐</w:t>
      </w:r>
      <w:r w:rsidRPr="00F00798">
        <w:rPr>
          <w:rFonts w:ascii="Arial" w:hAnsi="Arial" w:cs="Arial"/>
          <w:sz w:val="20"/>
          <w:szCs w:val="20"/>
          <w:lang w:val="en-GB"/>
        </w:rPr>
        <w:t xml:space="preserve">Almeida, P., Faria, V., Soto, J., &amp; Furtado, M. (2006). </w:t>
      </w:r>
      <w:r w:rsidRPr="00F00798">
        <w:rPr>
          <w:rFonts w:ascii="Arial" w:hAnsi="Arial" w:cs="Arial"/>
          <w:i/>
          <w:iCs/>
          <w:sz w:val="20"/>
          <w:szCs w:val="20"/>
          <w:lang w:val="en-GB"/>
        </w:rPr>
        <w:t>Pristis pectinata</w:t>
      </w:r>
      <w:r w:rsidRPr="00F00798">
        <w:rPr>
          <w:rFonts w:ascii="Arial" w:hAnsi="Arial" w:cs="Arial"/>
          <w:sz w:val="20"/>
          <w:szCs w:val="20"/>
          <w:lang w:val="en-GB"/>
        </w:rPr>
        <w:t xml:space="preserve">. In </w:t>
      </w:r>
      <w:r w:rsidRPr="00F00798">
        <w:rPr>
          <w:rFonts w:ascii="Arial" w:hAnsi="Arial" w:cs="Arial"/>
          <w:i/>
          <w:iCs/>
          <w:sz w:val="20"/>
          <w:szCs w:val="20"/>
          <w:lang w:val="en-GB"/>
        </w:rPr>
        <w:t>The IUCN Red List of Threatened Species 2006</w:t>
      </w:r>
      <w:r w:rsidRPr="00F00798">
        <w:rPr>
          <w:rFonts w:ascii="Arial" w:hAnsi="Arial" w:cs="Arial"/>
          <w:sz w:val="20"/>
          <w:szCs w:val="20"/>
          <w:lang w:val="en-GB"/>
        </w:rPr>
        <w:t xml:space="preserve">. </w:t>
      </w:r>
      <w:hyperlink r:id="rId17" w:tgtFrame="_new" w:history="1">
        <w:r w:rsidRPr="00F00798">
          <w:rPr>
            <w:rFonts w:ascii="Arial" w:hAnsi="Arial" w:cs="Arial"/>
            <w:sz w:val="20"/>
            <w:szCs w:val="20"/>
            <w:u w:val="single"/>
            <w:lang w:val="pt-PT"/>
          </w:rPr>
          <w:t>http://www.iucnredlist.org</w:t>
        </w:r>
      </w:hyperlink>
      <w:r w:rsidRPr="00F00798">
        <w:rPr>
          <w:rFonts w:ascii="Arial" w:hAnsi="Arial" w:cs="Arial"/>
          <w:sz w:val="20"/>
          <w:szCs w:val="20"/>
          <w:lang w:val="pt-PT"/>
        </w:rPr>
        <w:t xml:space="preserve"> (accessed 10 October 2009)</w:t>
      </w:r>
    </w:p>
    <w:p w14:paraId="64C48DA8"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pt-PT"/>
        </w:rPr>
        <w:t xml:space="preserve">Agostinho, A. A., Gomes, L. C., Suzuki, H. I., &amp; Júlio Jr., H. F. (2003). </w:t>
      </w:r>
      <w:r w:rsidRPr="00F00798">
        <w:rPr>
          <w:rFonts w:ascii="Arial" w:hAnsi="Arial" w:cs="Arial"/>
          <w:sz w:val="20"/>
          <w:szCs w:val="20"/>
          <w:lang w:val="en-GB"/>
        </w:rPr>
        <w:t xml:space="preserve">Migratory fishes of the Upper Paraná River basin, Brazil. In J. Carolsfeld, B. Harvey, C. Ross, &amp; A. Baer (Eds.), </w:t>
      </w:r>
      <w:r w:rsidRPr="00F00798">
        <w:rPr>
          <w:rFonts w:ascii="Arial" w:hAnsi="Arial" w:cs="Arial"/>
          <w:i/>
          <w:iCs/>
          <w:sz w:val="20"/>
          <w:szCs w:val="20"/>
          <w:lang w:val="en-GB"/>
        </w:rPr>
        <w:t>Migratory fishes of South America: Biology, fisheries and conservation status</w:t>
      </w:r>
      <w:r w:rsidRPr="00F00798">
        <w:rPr>
          <w:rFonts w:ascii="Arial" w:hAnsi="Arial" w:cs="Arial"/>
          <w:sz w:val="20"/>
          <w:szCs w:val="20"/>
          <w:lang w:val="en-GB"/>
        </w:rPr>
        <w:t xml:space="preserve"> (pp. 19–98). </w:t>
      </w:r>
      <w:r w:rsidRPr="00F00798">
        <w:rPr>
          <w:rFonts w:ascii="Arial" w:hAnsi="Arial" w:cs="Arial"/>
          <w:sz w:val="20"/>
          <w:szCs w:val="20"/>
          <w:lang w:val="fr-FR"/>
        </w:rPr>
        <w:t>International Development Research Centre &amp; World Bank.</w:t>
      </w:r>
    </w:p>
    <w:p w14:paraId="637B5440"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pt-PT"/>
        </w:rPr>
        <w:t xml:space="preserve">Agostinho, A. A., Pelicice, F. M., Petry, A. C., Gomes, L. C., &amp; Júlio Jr., H. F. (2007). </w:t>
      </w:r>
      <w:r w:rsidRPr="00F00798">
        <w:rPr>
          <w:rFonts w:ascii="Arial" w:hAnsi="Arial" w:cs="Arial"/>
          <w:sz w:val="20"/>
          <w:szCs w:val="20"/>
          <w:lang w:val="en-GB"/>
        </w:rPr>
        <w:t xml:space="preserve">Fish diversity in the Upper Paraná River basin: Habitats, fisheries, management and conservation. </w:t>
      </w:r>
      <w:r w:rsidRPr="00F00798">
        <w:rPr>
          <w:rFonts w:ascii="Arial" w:hAnsi="Arial" w:cs="Arial"/>
          <w:i/>
          <w:iCs/>
          <w:sz w:val="20"/>
          <w:szCs w:val="20"/>
          <w:lang w:val="en-GB"/>
        </w:rPr>
        <w:t>Aquatic Ecosystem Health &amp; Management, 10</w:t>
      </w:r>
      <w:r w:rsidRPr="00F00798">
        <w:rPr>
          <w:rFonts w:ascii="Arial" w:hAnsi="Arial" w:cs="Arial"/>
          <w:sz w:val="20"/>
          <w:szCs w:val="20"/>
          <w:lang w:val="en-GB"/>
        </w:rPr>
        <w:t>, 174–186.</w:t>
      </w:r>
    </w:p>
    <w:p w14:paraId="0D5BFC83"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Allan, J. D., Abell, R., Hogan, Z., Revenga, C., Taylor, B. W., Welcomme, R. L., &amp; Winemiller, K. O. (2005). </w:t>
      </w:r>
      <w:r w:rsidRPr="00F00798">
        <w:rPr>
          <w:rFonts w:ascii="Arial" w:hAnsi="Arial" w:cs="Arial"/>
          <w:sz w:val="20"/>
          <w:szCs w:val="20"/>
          <w:lang w:val="fr-FR"/>
        </w:rPr>
        <w:t xml:space="preserve">Overfishing of inland waters. </w:t>
      </w:r>
      <w:r w:rsidRPr="00F00798">
        <w:rPr>
          <w:rFonts w:ascii="Arial" w:hAnsi="Arial" w:cs="Arial"/>
          <w:i/>
          <w:iCs/>
          <w:sz w:val="20"/>
          <w:szCs w:val="20"/>
          <w:lang w:val="fr-FR"/>
        </w:rPr>
        <w:t>BioScience, 55</w:t>
      </w:r>
      <w:r w:rsidRPr="00F00798">
        <w:rPr>
          <w:rFonts w:ascii="Arial" w:hAnsi="Arial" w:cs="Arial"/>
          <w:sz w:val="20"/>
          <w:szCs w:val="20"/>
          <w:lang w:val="fr-FR"/>
        </w:rPr>
        <w:t>, 1041–1051.</w:t>
      </w:r>
    </w:p>
    <w:p w14:paraId="1CF2D83A" w14:textId="3871AE14"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Arthington, A. H., Dulvy, N. K., Gladstone, W., &amp; Winfield, I. J. (2016). Fish conservation in freshwater and marine realms: Status, threats and management. </w:t>
      </w:r>
      <w:r w:rsidRPr="00F00798">
        <w:rPr>
          <w:rFonts w:ascii="Arial" w:hAnsi="Arial" w:cs="Arial"/>
          <w:i/>
          <w:iCs/>
          <w:sz w:val="20"/>
          <w:szCs w:val="20"/>
          <w:lang w:val="en-GB"/>
        </w:rPr>
        <w:t>Aquatic Conservation: Marine and Freshwater Ecosystems, 26</w:t>
      </w:r>
      <w:r w:rsidRPr="00F00798">
        <w:rPr>
          <w:rFonts w:ascii="Arial" w:hAnsi="Arial" w:cs="Arial"/>
          <w:sz w:val="20"/>
          <w:szCs w:val="20"/>
          <w:lang w:val="en-GB"/>
        </w:rPr>
        <w:t xml:space="preserve">(5), 838–857. </w:t>
      </w:r>
      <w:hyperlink r:id="rId18" w:tgtFrame="_new" w:history="1">
        <w:r w:rsidRPr="00F00798">
          <w:rPr>
            <w:rFonts w:ascii="Arial" w:hAnsi="Arial" w:cs="Arial"/>
            <w:sz w:val="20"/>
            <w:szCs w:val="20"/>
            <w:u w:val="single"/>
            <w:lang w:val="en-GB"/>
          </w:rPr>
          <w:t>https://doi.org/10.1002/aqc.2712</w:t>
        </w:r>
      </w:hyperlink>
    </w:p>
    <w:p w14:paraId="2B5DEA1C"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Baran, E., &amp; Myschowoda, C. (2009). Dams and fisheries in the Mekong Basin. </w:t>
      </w:r>
      <w:r w:rsidRPr="00F00798">
        <w:rPr>
          <w:rFonts w:ascii="Arial" w:hAnsi="Arial" w:cs="Arial"/>
          <w:i/>
          <w:iCs/>
          <w:sz w:val="20"/>
          <w:szCs w:val="20"/>
          <w:lang w:val="en-GB"/>
        </w:rPr>
        <w:t>Aquatic Ecosystem Health &amp; Management, 12</w:t>
      </w:r>
      <w:r w:rsidRPr="00F00798">
        <w:rPr>
          <w:rFonts w:ascii="Arial" w:hAnsi="Arial" w:cs="Arial"/>
          <w:sz w:val="20"/>
          <w:szCs w:val="20"/>
          <w:lang w:val="en-GB"/>
        </w:rPr>
        <w:t>, 227–234.</w:t>
      </w:r>
      <w:r w:rsidRPr="00F00798">
        <w:rPr>
          <w:rFonts w:ascii="Arial" w:hAnsi="Arial" w:cs="Arial"/>
          <w:sz w:val="20"/>
          <w:szCs w:val="20"/>
          <w:lang w:val="en-GB"/>
        </w:rPr>
        <w:br/>
        <w:t xml:space="preserve">Barston, R. (1995). United Nations conference on straddling and highly migratory fish stocks. </w:t>
      </w:r>
      <w:r w:rsidRPr="00F00798">
        <w:rPr>
          <w:rFonts w:ascii="Arial" w:hAnsi="Arial" w:cs="Arial"/>
          <w:i/>
          <w:iCs/>
          <w:sz w:val="20"/>
          <w:szCs w:val="20"/>
          <w:lang w:val="en-GB"/>
        </w:rPr>
        <w:t>Marine Policy, 19</w:t>
      </w:r>
      <w:r w:rsidRPr="00F00798">
        <w:rPr>
          <w:rFonts w:ascii="Arial" w:hAnsi="Arial" w:cs="Arial"/>
          <w:sz w:val="20"/>
          <w:szCs w:val="20"/>
          <w:lang w:val="en-GB"/>
        </w:rPr>
        <w:t>, 159–166.</w:t>
      </w:r>
    </w:p>
    <w:p w14:paraId="4CEB011F"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Barthem, R., &amp; de Brito Ribeiro, M. C. L. (1991). Life strategies of some long</w:t>
      </w:r>
      <w:r w:rsidRPr="00F00798">
        <w:rPr>
          <w:rFonts w:ascii="Cambria Math" w:hAnsi="Cambria Math" w:cs="Cambria Math"/>
          <w:sz w:val="20"/>
          <w:szCs w:val="20"/>
          <w:lang w:val="en-GB"/>
        </w:rPr>
        <w:t>‐</w:t>
      </w:r>
      <w:r w:rsidRPr="00F00798">
        <w:rPr>
          <w:rFonts w:ascii="Arial" w:hAnsi="Arial" w:cs="Arial"/>
          <w:sz w:val="20"/>
          <w:szCs w:val="20"/>
          <w:lang w:val="en-GB"/>
        </w:rPr>
        <w:t xml:space="preserve">distance migratory catfish in relation to hydroelectric dams in the Amazon Basin. </w:t>
      </w:r>
      <w:r w:rsidRPr="00F00798">
        <w:rPr>
          <w:rFonts w:ascii="Arial" w:hAnsi="Arial" w:cs="Arial"/>
          <w:i/>
          <w:iCs/>
          <w:sz w:val="20"/>
          <w:szCs w:val="20"/>
          <w:lang w:val="en-GB"/>
        </w:rPr>
        <w:t>Biological Conservation, 55</w:t>
      </w:r>
      <w:r w:rsidRPr="00F00798">
        <w:rPr>
          <w:rFonts w:ascii="Arial" w:hAnsi="Arial" w:cs="Arial"/>
          <w:sz w:val="20"/>
          <w:szCs w:val="20"/>
          <w:lang w:val="en-GB"/>
        </w:rPr>
        <w:t>, 339–345.</w:t>
      </w:r>
    </w:p>
    <w:p w14:paraId="6E96F101"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Barthem, R. B., &amp; Petrere, M., Jr. (1995). Fisheries and population dynamics of </w:t>
      </w:r>
      <w:r w:rsidRPr="00F00798">
        <w:rPr>
          <w:rFonts w:ascii="Arial" w:hAnsi="Arial" w:cs="Arial"/>
          <w:i/>
          <w:iCs/>
          <w:sz w:val="20"/>
          <w:szCs w:val="20"/>
          <w:lang w:val="en-GB"/>
        </w:rPr>
        <w:t>Brachyplatystoma vaillantii</w:t>
      </w:r>
      <w:r w:rsidRPr="00F00798">
        <w:rPr>
          <w:rFonts w:ascii="Arial" w:hAnsi="Arial" w:cs="Arial"/>
          <w:sz w:val="20"/>
          <w:szCs w:val="20"/>
          <w:lang w:val="en-GB"/>
        </w:rPr>
        <w:t xml:space="preserve"> in the Amazon estuary. In N. B. Armantrout (Ed.), </w:t>
      </w:r>
      <w:r w:rsidRPr="00F00798">
        <w:rPr>
          <w:rFonts w:ascii="Arial" w:hAnsi="Arial" w:cs="Arial"/>
          <w:i/>
          <w:iCs/>
          <w:sz w:val="20"/>
          <w:szCs w:val="20"/>
          <w:lang w:val="en-GB"/>
        </w:rPr>
        <w:t>Condition of the world’s aquatic habitats</w:t>
      </w:r>
      <w:r w:rsidRPr="00F00798">
        <w:rPr>
          <w:rFonts w:ascii="Arial" w:hAnsi="Arial" w:cs="Arial"/>
          <w:sz w:val="20"/>
          <w:szCs w:val="20"/>
          <w:lang w:val="en-GB"/>
        </w:rPr>
        <w:t xml:space="preserve"> (Theme 1, pp. 329–530). Oxford &amp; IBH.</w:t>
      </w:r>
    </w:p>
    <w:p w14:paraId="2FA89F09"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Barthem, R., &amp; Goulding, M. (1997). </w:t>
      </w:r>
      <w:r w:rsidRPr="00F00798">
        <w:rPr>
          <w:rFonts w:ascii="Arial" w:hAnsi="Arial" w:cs="Arial"/>
          <w:i/>
          <w:iCs/>
          <w:sz w:val="20"/>
          <w:szCs w:val="20"/>
          <w:lang w:val="en-GB"/>
        </w:rPr>
        <w:t>The catfish connection</w:t>
      </w:r>
      <w:r w:rsidRPr="00F00798">
        <w:rPr>
          <w:rFonts w:ascii="Arial" w:hAnsi="Arial" w:cs="Arial"/>
          <w:sz w:val="20"/>
          <w:szCs w:val="20"/>
          <w:lang w:val="en-GB"/>
        </w:rPr>
        <w:t>. Columbia University Press.</w:t>
      </w:r>
    </w:p>
    <w:p w14:paraId="72E9F6DB"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Barthem, R., &amp; Goulding, M. (2007). </w:t>
      </w:r>
      <w:r w:rsidRPr="00F00798">
        <w:rPr>
          <w:rFonts w:ascii="Arial" w:hAnsi="Arial" w:cs="Arial"/>
          <w:i/>
          <w:iCs/>
          <w:sz w:val="20"/>
          <w:szCs w:val="20"/>
          <w:lang w:val="en-GB"/>
        </w:rPr>
        <w:t>An unexpected ecosystem: The Amazon as revealed by fisheries</w:t>
      </w:r>
      <w:r w:rsidRPr="00F00798">
        <w:rPr>
          <w:rFonts w:ascii="Arial" w:hAnsi="Arial" w:cs="Arial"/>
          <w:sz w:val="20"/>
          <w:szCs w:val="20"/>
          <w:lang w:val="en-GB"/>
        </w:rPr>
        <w:t>. Missouri Botanical Garden Press.</w:t>
      </w:r>
    </w:p>
    <w:p w14:paraId="14B0208E"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Batista, J. S., &amp; Gomes, J. A. (2006). Phylogeography of </w:t>
      </w:r>
      <w:r w:rsidRPr="00F00798">
        <w:rPr>
          <w:rFonts w:ascii="Arial" w:hAnsi="Arial" w:cs="Arial"/>
          <w:i/>
          <w:iCs/>
          <w:sz w:val="20"/>
          <w:szCs w:val="20"/>
          <w:lang w:val="en-GB"/>
        </w:rPr>
        <w:t>Brachyplatystoma rousseauxii</w:t>
      </w:r>
      <w:r w:rsidRPr="00F00798">
        <w:rPr>
          <w:rFonts w:ascii="Arial" w:hAnsi="Arial" w:cs="Arial"/>
          <w:sz w:val="20"/>
          <w:szCs w:val="20"/>
          <w:lang w:val="en-GB"/>
        </w:rPr>
        <w:t xml:space="preserve">… First evidence of homing in an Amazonian migratory catfish. </w:t>
      </w:r>
      <w:r w:rsidRPr="00F00798">
        <w:rPr>
          <w:rFonts w:ascii="Arial" w:hAnsi="Arial" w:cs="Arial"/>
          <w:i/>
          <w:iCs/>
          <w:sz w:val="20"/>
          <w:szCs w:val="20"/>
          <w:lang w:val="en-GB"/>
        </w:rPr>
        <w:t>Genetics and Molecular Research, 5</w:t>
      </w:r>
      <w:r w:rsidRPr="00F00798">
        <w:rPr>
          <w:rFonts w:ascii="Arial" w:hAnsi="Arial" w:cs="Arial"/>
          <w:sz w:val="20"/>
          <w:szCs w:val="20"/>
          <w:lang w:val="en-GB"/>
        </w:rPr>
        <w:t>, 723–740.</w:t>
      </w:r>
    </w:p>
    <w:p w14:paraId="43DD97C4"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Bayley, P. B. (1973). Studies on the migratory characin </w:t>
      </w:r>
      <w:r w:rsidRPr="00F00798">
        <w:rPr>
          <w:rFonts w:ascii="Arial" w:hAnsi="Arial" w:cs="Arial"/>
          <w:i/>
          <w:iCs/>
          <w:sz w:val="20"/>
          <w:szCs w:val="20"/>
          <w:lang w:val="en-GB"/>
        </w:rPr>
        <w:t>Prochilodus platensis</w:t>
      </w:r>
      <w:r w:rsidRPr="00F00798">
        <w:rPr>
          <w:rFonts w:ascii="Arial" w:hAnsi="Arial" w:cs="Arial"/>
          <w:sz w:val="20"/>
          <w:szCs w:val="20"/>
          <w:lang w:val="en-GB"/>
        </w:rPr>
        <w:t xml:space="preserve"> in the River Pilcomayo. </w:t>
      </w:r>
      <w:r w:rsidRPr="00F00798">
        <w:rPr>
          <w:rFonts w:ascii="Arial" w:hAnsi="Arial" w:cs="Arial"/>
          <w:i/>
          <w:iCs/>
          <w:sz w:val="20"/>
          <w:szCs w:val="20"/>
          <w:lang w:val="en-GB"/>
        </w:rPr>
        <w:t>Journal of Fish Biology, 5</w:t>
      </w:r>
      <w:r w:rsidRPr="00F00798">
        <w:rPr>
          <w:rFonts w:ascii="Arial" w:hAnsi="Arial" w:cs="Arial"/>
          <w:sz w:val="20"/>
          <w:szCs w:val="20"/>
          <w:lang w:val="en-GB"/>
        </w:rPr>
        <w:t>, 25–40.</w:t>
      </w:r>
    </w:p>
    <w:p w14:paraId="27140C2D"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Beard, T. D., Allen, H., Anderson, E. P., &amp; Smith, K. L. (2008). Tradeoffs in managing freshwater ecosystem services under international conventions. In M. G. Schechter, N. J. Leonard, &amp; W. W. Taylor (Eds.), </w:t>
      </w:r>
      <w:r w:rsidRPr="00F00798">
        <w:rPr>
          <w:rFonts w:ascii="Arial" w:hAnsi="Arial" w:cs="Arial"/>
          <w:i/>
          <w:iCs/>
          <w:sz w:val="20"/>
          <w:szCs w:val="20"/>
          <w:lang w:val="en-GB"/>
        </w:rPr>
        <w:t>International governance of fisheries ecosystems</w:t>
      </w:r>
      <w:r w:rsidRPr="00F00798">
        <w:rPr>
          <w:rFonts w:ascii="Arial" w:hAnsi="Arial" w:cs="Arial"/>
          <w:sz w:val="20"/>
          <w:szCs w:val="20"/>
          <w:lang w:val="en-GB"/>
        </w:rPr>
        <w:t xml:space="preserve"> (pp. 37–52). American Fisheries Society.</w:t>
      </w:r>
    </w:p>
    <w:p w14:paraId="4723E93F"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Berra, T. M. (2001). </w:t>
      </w:r>
      <w:r w:rsidRPr="00F00798">
        <w:rPr>
          <w:rFonts w:ascii="Arial" w:hAnsi="Arial" w:cs="Arial"/>
          <w:i/>
          <w:iCs/>
          <w:sz w:val="20"/>
          <w:szCs w:val="20"/>
          <w:lang w:val="en-GB"/>
        </w:rPr>
        <w:t>Freshwater fish distribution</w:t>
      </w:r>
      <w:r w:rsidRPr="00F00798">
        <w:rPr>
          <w:rFonts w:ascii="Arial" w:hAnsi="Arial" w:cs="Arial"/>
          <w:sz w:val="20"/>
          <w:szCs w:val="20"/>
          <w:lang w:val="en-GB"/>
        </w:rPr>
        <w:t>. University of Chicago Press.</w:t>
      </w:r>
    </w:p>
    <w:p w14:paraId="47B7F9FE"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Boon, P. J., Davies, B., &amp; Petts, G. E. (Eds.). (2000). </w:t>
      </w:r>
      <w:r w:rsidRPr="00F00798">
        <w:rPr>
          <w:rFonts w:ascii="Arial" w:hAnsi="Arial" w:cs="Arial"/>
          <w:i/>
          <w:iCs/>
          <w:sz w:val="20"/>
          <w:szCs w:val="20"/>
          <w:lang w:val="en-GB"/>
        </w:rPr>
        <w:t>Global perspectives on river conservation: Science, policy and practice</w:t>
      </w:r>
      <w:r w:rsidRPr="00F00798">
        <w:rPr>
          <w:rFonts w:ascii="Arial" w:hAnsi="Arial" w:cs="Arial"/>
          <w:sz w:val="20"/>
          <w:szCs w:val="20"/>
          <w:lang w:val="en-GB"/>
        </w:rPr>
        <w:t>. John Wiley &amp; Sons.</w:t>
      </w:r>
    </w:p>
    <w:p w14:paraId="77FE5285"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Burkhead, N. M. (2012). Extinction rates in North American freshwater fishes, 1900–2010. </w:t>
      </w:r>
      <w:r w:rsidRPr="00F00798">
        <w:rPr>
          <w:rFonts w:ascii="Arial" w:hAnsi="Arial" w:cs="Arial"/>
          <w:i/>
          <w:iCs/>
          <w:sz w:val="20"/>
          <w:szCs w:val="20"/>
          <w:lang w:val="fr-FR"/>
        </w:rPr>
        <w:t>BioScience, 62</w:t>
      </w:r>
      <w:r w:rsidRPr="00F00798">
        <w:rPr>
          <w:rFonts w:ascii="Arial" w:hAnsi="Arial" w:cs="Arial"/>
          <w:sz w:val="20"/>
          <w:szCs w:val="20"/>
          <w:lang w:val="fr-FR"/>
        </w:rPr>
        <w:t>(9), 798–808.</w:t>
      </w:r>
    </w:p>
    <w:p w14:paraId="72B0C2EE"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Carolsfeld, J., Harvey, B., Ross, C., &amp; Baer, A. (Eds.). (2003). </w:t>
      </w:r>
      <w:r w:rsidRPr="00F00798">
        <w:rPr>
          <w:rFonts w:ascii="Arial" w:hAnsi="Arial" w:cs="Arial"/>
          <w:i/>
          <w:iCs/>
          <w:sz w:val="20"/>
          <w:szCs w:val="20"/>
          <w:lang w:val="en-GB"/>
        </w:rPr>
        <w:t>Migratory fishes of South America: Biology, fisheries and conservation status</w:t>
      </w:r>
      <w:r w:rsidRPr="00F00798">
        <w:rPr>
          <w:rFonts w:ascii="Arial" w:hAnsi="Arial" w:cs="Arial"/>
          <w:sz w:val="20"/>
          <w:szCs w:val="20"/>
          <w:lang w:val="en-GB"/>
        </w:rPr>
        <w:t xml:space="preserve">. </w:t>
      </w:r>
      <w:r w:rsidRPr="00F00798">
        <w:rPr>
          <w:rFonts w:ascii="Arial" w:hAnsi="Arial" w:cs="Arial"/>
          <w:sz w:val="20"/>
          <w:szCs w:val="20"/>
          <w:lang w:val="fr-FR"/>
        </w:rPr>
        <w:t>International Development Research Centre &amp; World Bank.</w:t>
      </w:r>
    </w:p>
    <w:p w14:paraId="0233262A"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fr-FR"/>
        </w:rPr>
        <w:t xml:space="preserve">Casselman, J. M., &amp; Cairns, D. K. (Eds.). </w:t>
      </w:r>
      <w:r w:rsidRPr="00F00798">
        <w:rPr>
          <w:rFonts w:ascii="Arial" w:hAnsi="Arial" w:cs="Arial"/>
          <w:sz w:val="20"/>
          <w:szCs w:val="20"/>
          <w:lang w:val="en-GB"/>
        </w:rPr>
        <w:t xml:space="preserve">(2009). </w:t>
      </w:r>
      <w:r w:rsidRPr="00F00798">
        <w:rPr>
          <w:rFonts w:ascii="Arial" w:hAnsi="Arial" w:cs="Arial"/>
          <w:i/>
          <w:iCs/>
          <w:sz w:val="20"/>
          <w:szCs w:val="20"/>
          <w:lang w:val="en-GB"/>
        </w:rPr>
        <w:t>Eels at the edge: Science, status, and conservation concerns</w:t>
      </w:r>
      <w:r w:rsidRPr="00F00798">
        <w:rPr>
          <w:rFonts w:ascii="Arial" w:hAnsi="Arial" w:cs="Arial"/>
          <w:sz w:val="20"/>
          <w:szCs w:val="20"/>
          <w:lang w:val="en-GB"/>
        </w:rPr>
        <w:t xml:space="preserve"> (AFS Symposium 58). American Fisheries Society.</w:t>
      </w:r>
    </w:p>
    <w:p w14:paraId="7F4BDCEA"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Chang, J., &amp; Cao, W. (1999). History and prospects for conserving Chinese sturgeon in the Yangtze River. </w:t>
      </w:r>
      <w:r w:rsidRPr="00F00798">
        <w:rPr>
          <w:rFonts w:ascii="Arial" w:hAnsi="Arial" w:cs="Arial"/>
          <w:i/>
          <w:sz w:val="20"/>
          <w:szCs w:val="20"/>
          <w:lang w:val="en-GB"/>
        </w:rPr>
        <w:t>Acta Hydrobiologica Sinica, 23</w:t>
      </w:r>
      <w:r w:rsidRPr="00F00798">
        <w:rPr>
          <w:rFonts w:ascii="Arial" w:hAnsi="Arial" w:cs="Arial"/>
          <w:sz w:val="20"/>
          <w:szCs w:val="20"/>
          <w:lang w:val="en-GB"/>
        </w:rPr>
        <w:t>, 712–720.</w:t>
      </w:r>
    </w:p>
    <w:p w14:paraId="1C66FE0A"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Coates, D., Poulsen, A. F., &amp; Viravong, S. (2000, December). Governance and transboundary migratory fish stocks in the Mekong River Basin. Paper presented at the MRC Third Fisheries Technical Symposium, Phnom Penh, Cambodia.</w:t>
      </w:r>
    </w:p>
    <w:p w14:paraId="362C87F2" w14:textId="5A3EF64D"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it-IT"/>
        </w:rPr>
        <w:lastRenderedPageBreak/>
        <w:t xml:space="preserve">Congiu, L., Boscari, E., Pagani, S., Gazzola, M., &amp; Bronzi, P. (2021). </w:t>
      </w:r>
      <w:r w:rsidRPr="00F00798">
        <w:rPr>
          <w:rFonts w:ascii="Arial" w:hAnsi="Arial" w:cs="Arial"/>
          <w:sz w:val="20"/>
          <w:szCs w:val="20"/>
          <w:lang w:val="en-GB"/>
        </w:rPr>
        <w:t xml:space="preserve">Resumption of natural reproduction of the Adriatic sturgeon in the River Po. </w:t>
      </w:r>
      <w:r w:rsidRPr="00F00798">
        <w:rPr>
          <w:rFonts w:ascii="Arial" w:hAnsi="Arial" w:cs="Arial"/>
          <w:i/>
          <w:sz w:val="20"/>
          <w:szCs w:val="20"/>
          <w:lang w:val="en-GB"/>
        </w:rPr>
        <w:t>Oryx, 55</w:t>
      </w:r>
      <w:r w:rsidRPr="00F00798">
        <w:rPr>
          <w:rFonts w:ascii="Arial" w:hAnsi="Arial" w:cs="Arial"/>
          <w:sz w:val="20"/>
          <w:szCs w:val="20"/>
          <w:lang w:val="en-GB"/>
        </w:rPr>
        <w:t xml:space="preserve">(6), 816. </w:t>
      </w:r>
      <w:hyperlink r:id="rId19" w:tgtFrame="_new" w:history="1">
        <w:r w:rsidRPr="00F00798">
          <w:rPr>
            <w:rFonts w:ascii="Arial" w:hAnsi="Arial" w:cs="Arial"/>
            <w:sz w:val="20"/>
            <w:szCs w:val="20"/>
            <w:u w:val="single"/>
            <w:lang w:val="en-GB"/>
          </w:rPr>
          <w:t>https://doi.org/10.1017/S0030605321001150</w:t>
        </w:r>
      </w:hyperlink>
    </w:p>
    <w:p w14:paraId="65681F3C" w14:textId="71C465DF"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Congiu, L., Gessner, J., &amp; Ludwig, A. (2023). IUCN Red List reassessment reveals further decline of sturgeons and paddlefishes. </w:t>
      </w:r>
      <w:r w:rsidRPr="00F00798">
        <w:rPr>
          <w:rFonts w:ascii="Arial" w:hAnsi="Arial" w:cs="Arial"/>
          <w:i/>
          <w:iCs/>
          <w:sz w:val="20"/>
          <w:szCs w:val="20"/>
          <w:lang w:val="en-GB"/>
        </w:rPr>
        <w:t>Oryx, 57</w:t>
      </w:r>
      <w:r w:rsidRPr="00F00798">
        <w:rPr>
          <w:rFonts w:ascii="Arial" w:hAnsi="Arial" w:cs="Arial"/>
          <w:sz w:val="20"/>
          <w:szCs w:val="20"/>
          <w:lang w:val="en-GB"/>
        </w:rPr>
        <w:t xml:space="preserve">(1), 9–10. </w:t>
      </w:r>
      <w:hyperlink r:id="rId20" w:tgtFrame="_new" w:history="1">
        <w:r w:rsidRPr="00F00798">
          <w:rPr>
            <w:rFonts w:ascii="Arial" w:hAnsi="Arial" w:cs="Arial"/>
            <w:sz w:val="20"/>
            <w:szCs w:val="20"/>
            <w:u w:val="single"/>
            <w:lang w:val="en-GB"/>
          </w:rPr>
          <w:t>https://doi.org/10.1017/S0030605322001260</w:t>
        </w:r>
      </w:hyperlink>
    </w:p>
    <w:p w14:paraId="66833635"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Coronel, J. S., Maes, G. E., Claus, S., Van Damme, P. A., &amp; Volckaert, F. A. M. (2004). Differential population history in two migratory catfishes from the Bolivian Amazon. </w:t>
      </w:r>
      <w:r w:rsidRPr="00F00798">
        <w:rPr>
          <w:rFonts w:ascii="Arial" w:hAnsi="Arial" w:cs="Arial"/>
          <w:i/>
          <w:iCs/>
          <w:sz w:val="20"/>
          <w:szCs w:val="20"/>
          <w:lang w:val="en-GB"/>
        </w:rPr>
        <w:t>Journal of Fish Biology, 65</w:t>
      </w:r>
      <w:r w:rsidRPr="00F00798">
        <w:rPr>
          <w:rFonts w:ascii="Arial" w:hAnsi="Arial" w:cs="Arial"/>
          <w:sz w:val="20"/>
          <w:szCs w:val="20"/>
          <w:lang w:val="en-GB"/>
        </w:rPr>
        <w:t>, 859–868.</w:t>
      </w:r>
    </w:p>
    <w:p w14:paraId="52C3814B"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Dekker, W. (2009). A conceptual management framework for restoring European eel. In J. M. Casselman &amp; D. K. Cairns (Eds.), </w:t>
      </w:r>
      <w:r w:rsidRPr="00F00798">
        <w:rPr>
          <w:rFonts w:ascii="Arial" w:hAnsi="Arial" w:cs="Arial"/>
          <w:i/>
          <w:iCs/>
          <w:sz w:val="20"/>
          <w:szCs w:val="20"/>
          <w:lang w:val="en-GB"/>
        </w:rPr>
        <w:t>Eels at the edge</w:t>
      </w:r>
      <w:r w:rsidRPr="00F00798">
        <w:rPr>
          <w:rFonts w:ascii="Arial" w:hAnsi="Arial" w:cs="Arial"/>
          <w:sz w:val="20"/>
          <w:szCs w:val="20"/>
          <w:lang w:val="en-GB"/>
        </w:rPr>
        <w:t xml:space="preserve"> (pp. 3–19). </w:t>
      </w:r>
      <w:r w:rsidRPr="00F00798">
        <w:rPr>
          <w:rFonts w:ascii="Arial" w:hAnsi="Arial" w:cs="Arial"/>
          <w:sz w:val="20"/>
          <w:szCs w:val="20"/>
          <w:lang w:val="fr-FR"/>
        </w:rPr>
        <w:t>American Fisheries Society.</w:t>
      </w:r>
    </w:p>
    <w:p w14:paraId="3144059F"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Dillon, T. C., &amp; Wikramanayake, E. (1997). Parks, peace, and progress: A forum for transboundary conservation in Indochina. </w:t>
      </w:r>
      <w:r w:rsidRPr="00F00798">
        <w:rPr>
          <w:rFonts w:ascii="Arial" w:hAnsi="Arial" w:cs="Arial"/>
          <w:i/>
          <w:iCs/>
          <w:sz w:val="20"/>
          <w:szCs w:val="20"/>
          <w:lang w:val="fr-FR"/>
        </w:rPr>
        <w:t>Parks, 7</w:t>
      </w:r>
      <w:r w:rsidRPr="00F00798">
        <w:rPr>
          <w:rFonts w:ascii="Arial" w:hAnsi="Arial" w:cs="Arial"/>
          <w:sz w:val="20"/>
          <w:szCs w:val="20"/>
          <w:lang w:val="fr-FR"/>
        </w:rPr>
        <w:t>, 36–51.</w:t>
      </w:r>
    </w:p>
    <w:p w14:paraId="19986368"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s-ES"/>
        </w:rPr>
        <w:t xml:space="preserve">Duda, A. M., &amp; La Roche, D. (1997). </w:t>
      </w:r>
      <w:r w:rsidRPr="00F00798">
        <w:rPr>
          <w:rFonts w:ascii="Arial" w:hAnsi="Arial" w:cs="Arial"/>
          <w:sz w:val="20"/>
          <w:szCs w:val="20"/>
          <w:lang w:val="en-GB"/>
        </w:rPr>
        <w:t xml:space="preserve">Joint institutional arrangements for transboundary water resources: Lessons for the GEF. </w:t>
      </w:r>
      <w:r w:rsidRPr="00F00798">
        <w:rPr>
          <w:rFonts w:ascii="Arial" w:hAnsi="Arial" w:cs="Arial"/>
          <w:i/>
          <w:iCs/>
          <w:sz w:val="20"/>
          <w:szCs w:val="20"/>
          <w:lang w:val="en-GB"/>
        </w:rPr>
        <w:t>Natural Resources Forum, 21</w:t>
      </w:r>
      <w:r w:rsidRPr="00F00798">
        <w:rPr>
          <w:rFonts w:ascii="Arial" w:hAnsi="Arial" w:cs="Arial"/>
          <w:sz w:val="20"/>
          <w:szCs w:val="20"/>
          <w:lang w:val="en-GB"/>
        </w:rPr>
        <w:t>(2), 127–137.</w:t>
      </w:r>
    </w:p>
    <w:p w14:paraId="062A3A91"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Dudgeon, D. (2000). The ecology of tropical Asian rivers and streams in relation to biodiversity conservation. </w:t>
      </w:r>
      <w:r w:rsidRPr="00F00798">
        <w:rPr>
          <w:rFonts w:ascii="Arial" w:hAnsi="Arial" w:cs="Arial"/>
          <w:i/>
          <w:iCs/>
          <w:sz w:val="20"/>
          <w:szCs w:val="20"/>
          <w:lang w:val="en-GB"/>
        </w:rPr>
        <w:t>Annual Review of Ecology and Systematics, 31</w:t>
      </w:r>
      <w:r w:rsidRPr="00F00798">
        <w:rPr>
          <w:rFonts w:ascii="Arial" w:hAnsi="Arial" w:cs="Arial"/>
          <w:sz w:val="20"/>
          <w:szCs w:val="20"/>
          <w:lang w:val="en-GB"/>
        </w:rPr>
        <w:t>, 239–263.</w:t>
      </w:r>
    </w:p>
    <w:p w14:paraId="1D157F7B"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Dudgeon, D. (2003). Scientific information and freshwater biodiversity conservation in tropical Asia. </w:t>
      </w:r>
      <w:r w:rsidRPr="00F00798">
        <w:rPr>
          <w:rFonts w:ascii="Arial" w:hAnsi="Arial" w:cs="Arial"/>
          <w:i/>
          <w:iCs/>
          <w:sz w:val="20"/>
          <w:szCs w:val="20"/>
          <w:lang w:val="fr-FR"/>
        </w:rPr>
        <w:t>Hydrobiologia, 500</w:t>
      </w:r>
      <w:r w:rsidRPr="00F00798">
        <w:rPr>
          <w:rFonts w:ascii="Arial" w:hAnsi="Arial" w:cs="Arial"/>
          <w:sz w:val="20"/>
          <w:szCs w:val="20"/>
          <w:lang w:val="fr-FR"/>
        </w:rPr>
        <w:t>, 295–314.</w:t>
      </w:r>
    </w:p>
    <w:p w14:paraId="5CC84B01"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fr-FR"/>
        </w:rPr>
        <w:t xml:space="preserve">Dudgeon, D., Arthington, A. H., Gessner, M. O., Kawabata, Z., Knowler, D. J., Lévêque, C., Naiman, R. J., Prieur-Richard, A., Soto, D., Stiassny, M., &amp; Sullivan, C. A. (2006). </w:t>
      </w:r>
      <w:r w:rsidRPr="00F00798">
        <w:rPr>
          <w:rFonts w:ascii="Arial" w:hAnsi="Arial" w:cs="Arial"/>
          <w:sz w:val="20"/>
          <w:szCs w:val="20"/>
          <w:lang w:val="en-GB"/>
        </w:rPr>
        <w:t xml:space="preserve">Freshwater biodiversity: Importance, threats, status and conservation challenges. </w:t>
      </w:r>
      <w:r w:rsidRPr="00F00798">
        <w:rPr>
          <w:rFonts w:ascii="Arial" w:hAnsi="Arial" w:cs="Arial"/>
          <w:i/>
          <w:iCs/>
          <w:sz w:val="20"/>
          <w:szCs w:val="20"/>
          <w:lang w:val="en-GB"/>
        </w:rPr>
        <w:t>Biological Reviews, 81</w:t>
      </w:r>
      <w:r w:rsidRPr="00F00798">
        <w:rPr>
          <w:rFonts w:ascii="Arial" w:hAnsi="Arial" w:cs="Arial"/>
          <w:sz w:val="20"/>
          <w:szCs w:val="20"/>
          <w:lang w:val="en-GB"/>
        </w:rPr>
        <w:t>, 163–182.</w:t>
      </w:r>
    </w:p>
    <w:p w14:paraId="0AF23D7C"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FAO. (1995). </w:t>
      </w:r>
      <w:r w:rsidRPr="00F00798">
        <w:rPr>
          <w:rFonts w:ascii="Arial" w:hAnsi="Arial" w:cs="Arial"/>
          <w:i/>
          <w:iCs/>
          <w:sz w:val="20"/>
          <w:szCs w:val="20"/>
          <w:lang w:val="en-GB"/>
        </w:rPr>
        <w:t>Code of conduct for responsible fisheries</w:t>
      </w:r>
      <w:r w:rsidRPr="00F00798">
        <w:rPr>
          <w:rFonts w:ascii="Arial" w:hAnsi="Arial" w:cs="Arial"/>
          <w:sz w:val="20"/>
          <w:szCs w:val="20"/>
          <w:lang w:val="en-GB"/>
        </w:rPr>
        <w:t xml:space="preserve">. </w:t>
      </w:r>
      <w:r w:rsidRPr="00F00798">
        <w:rPr>
          <w:rFonts w:ascii="Arial" w:hAnsi="Arial" w:cs="Arial"/>
          <w:sz w:val="20"/>
          <w:szCs w:val="20"/>
          <w:lang w:val="fr-FR"/>
        </w:rPr>
        <w:t>Food and Agriculture Organization.</w:t>
      </w:r>
    </w:p>
    <w:p w14:paraId="0A2D628A"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Ferguson, J., Healey, M., Dugan, P., &amp; Barlow, C. (2011). Potential effects of dams on migratory fish in the Mekong: Lessons from the Fraser and Columbia Rivers. </w:t>
      </w:r>
      <w:r w:rsidRPr="00F00798">
        <w:rPr>
          <w:rFonts w:ascii="Arial" w:hAnsi="Arial" w:cs="Arial"/>
          <w:i/>
          <w:iCs/>
          <w:sz w:val="20"/>
          <w:szCs w:val="20"/>
          <w:lang w:val="en-GB"/>
        </w:rPr>
        <w:t>Environmental Management, 47</w:t>
      </w:r>
      <w:r w:rsidRPr="00F00798">
        <w:rPr>
          <w:rFonts w:ascii="Arial" w:hAnsi="Arial" w:cs="Arial"/>
          <w:sz w:val="20"/>
          <w:szCs w:val="20"/>
          <w:lang w:val="en-GB"/>
        </w:rPr>
        <w:t>, 141–159.</w:t>
      </w:r>
    </w:p>
    <w:p w14:paraId="0A2A0D38" w14:textId="099E527E"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Freyhof, J., &amp; Kottelat, M. (2008). </w:t>
      </w:r>
      <w:r w:rsidRPr="00F00798">
        <w:rPr>
          <w:rFonts w:ascii="Arial" w:hAnsi="Arial" w:cs="Arial"/>
          <w:i/>
          <w:iCs/>
          <w:sz w:val="20"/>
          <w:szCs w:val="20"/>
          <w:lang w:val="en-GB"/>
        </w:rPr>
        <w:t>Anguilla anguilla</w:t>
      </w:r>
      <w:r w:rsidRPr="00F00798">
        <w:rPr>
          <w:rFonts w:ascii="Arial" w:hAnsi="Arial" w:cs="Arial"/>
          <w:sz w:val="20"/>
          <w:szCs w:val="20"/>
          <w:lang w:val="en-GB"/>
        </w:rPr>
        <w:t xml:space="preserve">. In </w:t>
      </w:r>
      <w:r w:rsidRPr="00F00798">
        <w:rPr>
          <w:rFonts w:ascii="Arial" w:hAnsi="Arial" w:cs="Arial"/>
          <w:i/>
          <w:iCs/>
          <w:sz w:val="20"/>
          <w:szCs w:val="20"/>
          <w:lang w:val="en-GB"/>
        </w:rPr>
        <w:t>The IUCN Red List of Threatened Species 2010</w:t>
      </w:r>
      <w:r w:rsidRPr="00F00798">
        <w:rPr>
          <w:rFonts w:ascii="Arial" w:hAnsi="Arial" w:cs="Arial"/>
          <w:sz w:val="20"/>
          <w:szCs w:val="20"/>
          <w:lang w:val="en-GB"/>
        </w:rPr>
        <w:t xml:space="preserve"> (Version 2010.3). </w:t>
      </w:r>
      <w:r w:rsidRPr="00F00798">
        <w:rPr>
          <w:rFonts w:ascii="Arial" w:hAnsi="Arial" w:cs="Arial"/>
          <w:sz w:val="20"/>
          <w:szCs w:val="20"/>
          <w:lang w:val="fr-FR"/>
        </w:rPr>
        <w:t xml:space="preserve">Retrieved 26 September 2010 from </w:t>
      </w:r>
      <w:hyperlink r:id="rId21" w:tgtFrame="_new" w:history="1">
        <w:r w:rsidRPr="00F00798">
          <w:rPr>
            <w:rFonts w:ascii="Arial" w:hAnsi="Arial" w:cs="Arial"/>
            <w:sz w:val="20"/>
            <w:szCs w:val="20"/>
            <w:u w:val="single"/>
            <w:lang w:val="fr-FR"/>
          </w:rPr>
          <w:t>http://www.iucnredlist.org</w:t>
        </w:r>
      </w:hyperlink>
    </w:p>
    <w:p w14:paraId="0A49E2F5" w14:textId="43F606E1"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Froese, R., &amp; Pauly, D. (Eds.). (2007). </w:t>
      </w:r>
      <w:r w:rsidRPr="00F00798">
        <w:rPr>
          <w:rFonts w:ascii="Arial" w:hAnsi="Arial" w:cs="Arial"/>
          <w:i/>
          <w:sz w:val="20"/>
          <w:szCs w:val="20"/>
          <w:lang w:val="en-GB"/>
        </w:rPr>
        <w:t>FishBase</w:t>
      </w:r>
      <w:r w:rsidRPr="00F00798">
        <w:rPr>
          <w:rFonts w:ascii="Arial" w:hAnsi="Arial" w:cs="Arial"/>
          <w:sz w:val="20"/>
          <w:szCs w:val="20"/>
          <w:lang w:val="en-GB"/>
        </w:rPr>
        <w:t xml:space="preserve"> [Database]. </w:t>
      </w:r>
      <w:hyperlink r:id="rId22" w:tgtFrame="_new" w:history="1">
        <w:r w:rsidRPr="00F00798">
          <w:rPr>
            <w:rFonts w:ascii="Arial" w:hAnsi="Arial" w:cs="Arial"/>
            <w:sz w:val="20"/>
            <w:szCs w:val="20"/>
            <w:u w:val="single"/>
            <w:lang w:val="en-GB"/>
          </w:rPr>
          <w:t>http://www.fishbase.org</w:t>
        </w:r>
      </w:hyperlink>
    </w:p>
    <w:p w14:paraId="4F947AAA"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Froese, R., &amp; Torres, A. (1999). Fishes under threat: An analysis of the fishes in the 1996 IUCN Red List. In R. S. V. Pullin, D. M. Bartley, &amp; J. Kooiman (Eds.), </w:t>
      </w:r>
      <w:r w:rsidRPr="00F00798">
        <w:rPr>
          <w:rFonts w:ascii="Arial" w:hAnsi="Arial" w:cs="Arial"/>
          <w:i/>
          <w:iCs/>
          <w:sz w:val="20"/>
          <w:szCs w:val="20"/>
          <w:lang w:val="en-GB"/>
        </w:rPr>
        <w:t>Towards policies for conservation and sustainable use of aquatic genetic resources</w:t>
      </w:r>
      <w:r w:rsidRPr="00F00798">
        <w:rPr>
          <w:rFonts w:ascii="Arial" w:hAnsi="Arial" w:cs="Arial"/>
          <w:sz w:val="20"/>
          <w:szCs w:val="20"/>
          <w:lang w:val="en-GB"/>
        </w:rPr>
        <w:t xml:space="preserve"> (pp. 131–144). ICLARM.</w:t>
      </w:r>
    </w:p>
    <w:p w14:paraId="0E32A54D"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Gilroy, D., Jensen, O., Allen, B., Chandra, S., Ganzorig, B., Hogan, Z., Maxted, J., &amp; Vander Zanden, M. J. (2010). Home range and seasonal movement of taimen (</w:t>
      </w:r>
      <w:r w:rsidRPr="00F00798">
        <w:rPr>
          <w:rFonts w:ascii="Arial" w:hAnsi="Arial" w:cs="Arial"/>
          <w:i/>
          <w:iCs/>
          <w:sz w:val="20"/>
          <w:szCs w:val="20"/>
          <w:lang w:val="en-GB"/>
        </w:rPr>
        <w:t>Hucho taimen</w:t>
      </w:r>
      <w:r w:rsidRPr="00F00798">
        <w:rPr>
          <w:rFonts w:ascii="Arial" w:hAnsi="Arial" w:cs="Arial"/>
          <w:sz w:val="20"/>
          <w:szCs w:val="20"/>
          <w:lang w:val="en-GB"/>
        </w:rPr>
        <w:t xml:space="preserve">) in Mongolia. </w:t>
      </w:r>
      <w:r w:rsidRPr="00F00798">
        <w:rPr>
          <w:rFonts w:ascii="Arial" w:hAnsi="Arial" w:cs="Arial"/>
          <w:i/>
          <w:iCs/>
          <w:sz w:val="20"/>
          <w:szCs w:val="20"/>
          <w:lang w:val="fr-FR"/>
        </w:rPr>
        <w:t>Ecology of Freshwater Fish, 19</w:t>
      </w:r>
      <w:r w:rsidRPr="00F00798">
        <w:rPr>
          <w:rFonts w:ascii="Arial" w:hAnsi="Arial" w:cs="Arial"/>
          <w:sz w:val="20"/>
          <w:szCs w:val="20"/>
          <w:lang w:val="fr-FR"/>
        </w:rPr>
        <w:t>, 545–554.</w:t>
      </w:r>
    </w:p>
    <w:p w14:paraId="47FC30C5"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Goudswaard, P. C., Witte, F., &amp; Katunzi, E. F. B. (2008). The invasion of Nile perch in Lake Victoria: Chronology and causes. </w:t>
      </w:r>
      <w:r w:rsidRPr="00F00798">
        <w:rPr>
          <w:rFonts w:ascii="Arial" w:hAnsi="Arial" w:cs="Arial"/>
          <w:i/>
          <w:iCs/>
          <w:sz w:val="20"/>
          <w:szCs w:val="20"/>
          <w:lang w:val="en-GB"/>
        </w:rPr>
        <w:t>Environmental Biology of Fishes, 81</w:t>
      </w:r>
      <w:r w:rsidRPr="00F00798">
        <w:rPr>
          <w:rFonts w:ascii="Arial" w:hAnsi="Arial" w:cs="Arial"/>
          <w:sz w:val="20"/>
          <w:szCs w:val="20"/>
          <w:lang w:val="en-GB"/>
        </w:rPr>
        <w:t>, 127–139.</w:t>
      </w:r>
    </w:p>
    <w:p w14:paraId="30E7DF71"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Grill, G., et al. (2019). Mapping the world’s free-flowing rivers. </w:t>
      </w:r>
      <w:r w:rsidRPr="00F00798">
        <w:rPr>
          <w:rFonts w:ascii="Arial" w:hAnsi="Arial" w:cs="Arial"/>
          <w:i/>
          <w:iCs/>
          <w:sz w:val="20"/>
          <w:szCs w:val="20"/>
          <w:lang w:val="en-GB"/>
        </w:rPr>
        <w:t>Science, 365</w:t>
      </w:r>
      <w:r w:rsidRPr="00F00798">
        <w:rPr>
          <w:rFonts w:ascii="Arial" w:hAnsi="Arial" w:cs="Arial"/>
          <w:sz w:val="20"/>
          <w:szCs w:val="20"/>
          <w:lang w:val="en-GB"/>
        </w:rPr>
        <w:t>, 857–861.</w:t>
      </w:r>
    </w:p>
    <w:p w14:paraId="4A73BEC7" w14:textId="5C044FC2"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Hager, C., Kahn, J., Watterson, C., Russo, J., &amp; Hartman, K. (2014). Evidence of Atlantic sturgeon spawning in the York River system. </w:t>
      </w:r>
      <w:r w:rsidRPr="00F00798">
        <w:rPr>
          <w:rFonts w:ascii="Arial" w:hAnsi="Arial" w:cs="Arial"/>
          <w:i/>
          <w:iCs/>
          <w:sz w:val="20"/>
          <w:szCs w:val="20"/>
          <w:lang w:val="fr-FR"/>
        </w:rPr>
        <w:t>Transactions of the American Fisheries Society, 143</w:t>
      </w:r>
      <w:r w:rsidRPr="00F00798">
        <w:rPr>
          <w:rFonts w:ascii="Arial" w:hAnsi="Arial" w:cs="Arial"/>
          <w:sz w:val="20"/>
          <w:szCs w:val="20"/>
          <w:lang w:val="fr-FR"/>
        </w:rPr>
        <w:t xml:space="preserve">(5), 1217–1219. </w:t>
      </w:r>
      <w:hyperlink r:id="rId23" w:tgtFrame="_new" w:history="1">
        <w:r w:rsidRPr="00F00798">
          <w:rPr>
            <w:rFonts w:ascii="Arial" w:hAnsi="Arial" w:cs="Arial"/>
            <w:sz w:val="20"/>
            <w:szCs w:val="20"/>
            <w:u w:val="single"/>
            <w:lang w:val="fr-FR"/>
          </w:rPr>
          <w:t>https://doi.org/10.1080/00028487.2014.925971</w:t>
        </w:r>
      </w:hyperlink>
    </w:p>
    <w:p w14:paraId="556AB222"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Hogan, Z. (2011). Ecology and conservation of large-bodied freshwater catfish: A global perspective. In P. H. Michaletz &amp; V. H. Travnichek (Eds.), </w:t>
      </w:r>
      <w:r w:rsidRPr="00F00798">
        <w:rPr>
          <w:rFonts w:ascii="Arial" w:hAnsi="Arial" w:cs="Arial"/>
          <w:i/>
          <w:iCs/>
          <w:sz w:val="20"/>
          <w:szCs w:val="20"/>
          <w:lang w:val="en-GB"/>
        </w:rPr>
        <w:t>Conservation, ecology, and management of catfish</w:t>
      </w:r>
      <w:r w:rsidRPr="00F00798">
        <w:rPr>
          <w:rFonts w:ascii="Arial" w:hAnsi="Arial" w:cs="Arial"/>
          <w:sz w:val="20"/>
          <w:szCs w:val="20"/>
          <w:lang w:val="en-GB"/>
        </w:rPr>
        <w:t xml:space="preserve"> (AFS Symposium 77, pp. 39–53). </w:t>
      </w:r>
      <w:r w:rsidRPr="00F00798">
        <w:rPr>
          <w:rFonts w:ascii="Arial" w:hAnsi="Arial" w:cs="Arial"/>
          <w:sz w:val="20"/>
          <w:szCs w:val="20"/>
          <w:lang w:val="fr-FR"/>
        </w:rPr>
        <w:t>American Fisheries Society.</w:t>
      </w:r>
    </w:p>
    <w:p w14:paraId="79409405"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s-ES"/>
        </w:rPr>
        <w:t xml:space="preserve">Hogan, Z., Baird, I. G., &amp; Phanara, T. (2008). </w:t>
      </w:r>
      <w:r w:rsidRPr="00F00798">
        <w:rPr>
          <w:rFonts w:ascii="Arial" w:hAnsi="Arial" w:cs="Arial"/>
          <w:sz w:val="20"/>
          <w:szCs w:val="20"/>
          <w:lang w:val="en-GB"/>
        </w:rPr>
        <w:t xml:space="preserve">Threatened fishes of the world: </w:t>
      </w:r>
      <w:r w:rsidRPr="00F00798">
        <w:rPr>
          <w:rFonts w:ascii="Arial" w:hAnsi="Arial" w:cs="Arial"/>
          <w:i/>
          <w:iCs/>
          <w:sz w:val="20"/>
          <w:szCs w:val="20"/>
          <w:lang w:val="en-GB"/>
        </w:rPr>
        <w:t>Probarbus jullieni</w:t>
      </w:r>
      <w:r w:rsidRPr="00F00798">
        <w:rPr>
          <w:rFonts w:ascii="Arial" w:hAnsi="Arial" w:cs="Arial"/>
          <w:sz w:val="20"/>
          <w:szCs w:val="20"/>
          <w:lang w:val="en-GB"/>
        </w:rPr>
        <w:t xml:space="preserve">. </w:t>
      </w:r>
      <w:r w:rsidRPr="00F00798">
        <w:rPr>
          <w:rFonts w:ascii="Arial" w:hAnsi="Arial" w:cs="Arial"/>
          <w:i/>
          <w:iCs/>
          <w:sz w:val="20"/>
          <w:szCs w:val="20"/>
          <w:lang w:val="en-GB"/>
        </w:rPr>
        <w:t>Environmental Biology of Fishes, 84</w:t>
      </w:r>
      <w:r w:rsidRPr="00F00798">
        <w:rPr>
          <w:rFonts w:ascii="Arial" w:hAnsi="Arial" w:cs="Arial"/>
          <w:sz w:val="20"/>
          <w:szCs w:val="20"/>
          <w:lang w:val="en-GB"/>
        </w:rPr>
        <w:t>, 291–292.</w:t>
      </w:r>
    </w:p>
    <w:p w14:paraId="3D7B8392"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Hogan, Z., Baird, I. G., Vander Zanden, J. M., &amp; Radtke, R. (2007). Long-distance migration and marine habitation in the Asian catfish </w:t>
      </w:r>
      <w:r w:rsidRPr="00F00798">
        <w:rPr>
          <w:rFonts w:ascii="Arial" w:hAnsi="Arial" w:cs="Arial"/>
          <w:i/>
          <w:iCs/>
          <w:sz w:val="20"/>
          <w:szCs w:val="20"/>
          <w:lang w:val="en-GB"/>
        </w:rPr>
        <w:t>Pangasius krempfi</w:t>
      </w:r>
      <w:r w:rsidRPr="00F00798">
        <w:rPr>
          <w:rFonts w:ascii="Arial" w:hAnsi="Arial" w:cs="Arial"/>
          <w:sz w:val="20"/>
          <w:szCs w:val="20"/>
          <w:lang w:val="en-GB"/>
        </w:rPr>
        <w:t xml:space="preserve">. </w:t>
      </w:r>
      <w:r w:rsidRPr="00F00798">
        <w:rPr>
          <w:rFonts w:ascii="Arial" w:hAnsi="Arial" w:cs="Arial"/>
          <w:i/>
          <w:iCs/>
          <w:sz w:val="20"/>
          <w:szCs w:val="20"/>
          <w:lang w:val="en-GB"/>
        </w:rPr>
        <w:t>Journal of Fish Biology, 71</w:t>
      </w:r>
      <w:r w:rsidRPr="00F00798">
        <w:rPr>
          <w:rFonts w:ascii="Arial" w:hAnsi="Arial" w:cs="Arial"/>
          <w:sz w:val="20"/>
          <w:szCs w:val="20"/>
          <w:lang w:val="en-GB"/>
        </w:rPr>
        <w:t>, 818–832.</w:t>
      </w:r>
    </w:p>
    <w:p w14:paraId="46734657"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Hogan, Z., Moyle, P., May, B., Vander Zanden, J., &amp; Baird, I. (2004). </w:t>
      </w:r>
      <w:r w:rsidRPr="00F00798">
        <w:rPr>
          <w:rFonts w:ascii="Arial" w:hAnsi="Arial" w:cs="Arial"/>
          <w:sz w:val="20"/>
          <w:szCs w:val="20"/>
          <w:lang w:val="fr-FR"/>
        </w:rPr>
        <w:t xml:space="preserve">The imperiled giants of the Mekong. </w:t>
      </w:r>
      <w:r w:rsidRPr="00F00798">
        <w:rPr>
          <w:rFonts w:ascii="Arial" w:hAnsi="Arial" w:cs="Arial"/>
          <w:i/>
          <w:iCs/>
          <w:sz w:val="20"/>
          <w:szCs w:val="20"/>
          <w:lang w:val="fr-FR"/>
        </w:rPr>
        <w:t>American Scientist, 92</w:t>
      </w:r>
      <w:r w:rsidRPr="00F00798">
        <w:rPr>
          <w:rFonts w:ascii="Arial" w:hAnsi="Arial" w:cs="Arial"/>
          <w:sz w:val="20"/>
          <w:szCs w:val="20"/>
          <w:lang w:val="fr-FR"/>
        </w:rPr>
        <w:t>, 228–237.</w:t>
      </w:r>
    </w:p>
    <w:p w14:paraId="4F5E4A53"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Hogan, Z., Na-Nakorn, U., &amp; Kong, H. (2009). Threatened fishes of the world: </w:t>
      </w:r>
      <w:r w:rsidRPr="00F00798">
        <w:rPr>
          <w:rFonts w:ascii="Arial" w:hAnsi="Arial" w:cs="Arial"/>
          <w:i/>
          <w:iCs/>
          <w:sz w:val="20"/>
          <w:szCs w:val="20"/>
          <w:lang w:val="en-GB"/>
        </w:rPr>
        <w:t>Pangasius sanitwongsei</w:t>
      </w:r>
      <w:r w:rsidRPr="00F00798">
        <w:rPr>
          <w:rFonts w:ascii="Arial" w:hAnsi="Arial" w:cs="Arial"/>
          <w:sz w:val="20"/>
          <w:szCs w:val="20"/>
          <w:lang w:val="en-GB"/>
        </w:rPr>
        <w:t xml:space="preserve">. </w:t>
      </w:r>
      <w:r w:rsidRPr="00F00798">
        <w:rPr>
          <w:rFonts w:ascii="Arial" w:hAnsi="Arial" w:cs="Arial"/>
          <w:i/>
          <w:iCs/>
          <w:sz w:val="20"/>
          <w:szCs w:val="20"/>
          <w:lang w:val="fr-FR"/>
        </w:rPr>
        <w:t>Environmental Biology of Fishes, 84</w:t>
      </w:r>
      <w:r w:rsidRPr="00F00798">
        <w:rPr>
          <w:rFonts w:ascii="Arial" w:hAnsi="Arial" w:cs="Arial"/>
          <w:sz w:val="20"/>
          <w:szCs w:val="20"/>
          <w:lang w:val="fr-FR"/>
        </w:rPr>
        <w:t>, 303–304.</w:t>
      </w:r>
    </w:p>
    <w:p w14:paraId="6F56405F"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Holčík, J. (1995). Threatened fishes of the world: </w:t>
      </w:r>
      <w:r w:rsidRPr="00F00798">
        <w:rPr>
          <w:rFonts w:ascii="Arial" w:hAnsi="Arial" w:cs="Arial"/>
          <w:i/>
          <w:iCs/>
          <w:sz w:val="20"/>
          <w:szCs w:val="20"/>
          <w:lang w:val="en-GB"/>
        </w:rPr>
        <w:t>Hucho hucho</w:t>
      </w:r>
      <w:r w:rsidRPr="00F00798">
        <w:rPr>
          <w:rFonts w:ascii="Arial" w:hAnsi="Arial" w:cs="Arial"/>
          <w:sz w:val="20"/>
          <w:szCs w:val="20"/>
          <w:lang w:val="en-GB"/>
        </w:rPr>
        <w:t xml:space="preserve">. </w:t>
      </w:r>
      <w:r w:rsidRPr="00F00798">
        <w:rPr>
          <w:rFonts w:ascii="Arial" w:hAnsi="Arial" w:cs="Arial"/>
          <w:i/>
          <w:iCs/>
          <w:sz w:val="20"/>
          <w:szCs w:val="20"/>
          <w:lang w:val="en-GB"/>
        </w:rPr>
        <w:t>Environmental Biology of Fishes, 43</w:t>
      </w:r>
      <w:r w:rsidRPr="00F00798">
        <w:rPr>
          <w:rFonts w:ascii="Arial" w:hAnsi="Arial" w:cs="Arial"/>
          <w:sz w:val="20"/>
          <w:szCs w:val="20"/>
          <w:lang w:val="en-GB"/>
        </w:rPr>
        <w:t>, 105–106.</w:t>
      </w:r>
    </w:p>
    <w:p w14:paraId="5AF05DC4"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Holčík, J., Hensel, K., Nieslanik, J., &amp; Skačel, L. (1988). </w:t>
      </w:r>
      <w:r w:rsidRPr="00F00798">
        <w:rPr>
          <w:rFonts w:ascii="Arial" w:hAnsi="Arial" w:cs="Arial"/>
          <w:i/>
          <w:iCs/>
          <w:sz w:val="20"/>
          <w:szCs w:val="20"/>
          <w:lang w:val="en-GB"/>
        </w:rPr>
        <w:t>The Eurasian huchen, Hucho hucho</w:t>
      </w:r>
      <w:r w:rsidRPr="00F00798">
        <w:rPr>
          <w:rFonts w:ascii="Arial" w:hAnsi="Arial" w:cs="Arial"/>
          <w:sz w:val="20"/>
          <w:szCs w:val="20"/>
          <w:lang w:val="en-GB"/>
        </w:rPr>
        <w:t>. Dr. W. Junk.</w:t>
      </w:r>
    </w:p>
    <w:p w14:paraId="524A1FB7"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Humphrey, S. R., &amp; Bain, J. R. (1990). </w:t>
      </w:r>
      <w:r w:rsidRPr="00F00798">
        <w:rPr>
          <w:rFonts w:ascii="Arial" w:hAnsi="Arial" w:cs="Arial"/>
          <w:i/>
          <w:iCs/>
          <w:sz w:val="20"/>
          <w:szCs w:val="20"/>
          <w:lang w:val="en-GB"/>
        </w:rPr>
        <w:t>Endangered animals of Thailand</w:t>
      </w:r>
      <w:r w:rsidRPr="00F00798">
        <w:rPr>
          <w:rFonts w:ascii="Arial" w:hAnsi="Arial" w:cs="Arial"/>
          <w:sz w:val="20"/>
          <w:szCs w:val="20"/>
          <w:lang w:val="en-GB"/>
        </w:rPr>
        <w:t>. Sandhill Crane Press.</w:t>
      </w:r>
    </w:p>
    <w:p w14:paraId="00AF7E76" w14:textId="115E549C"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lastRenderedPageBreak/>
        <w:t xml:space="preserve">ICES. (2023). </w:t>
      </w:r>
      <w:r w:rsidRPr="00F00798">
        <w:rPr>
          <w:rFonts w:ascii="Arial" w:hAnsi="Arial" w:cs="Arial"/>
          <w:i/>
          <w:iCs/>
          <w:sz w:val="20"/>
          <w:szCs w:val="20"/>
          <w:lang w:val="en-GB"/>
        </w:rPr>
        <w:t>European eel (Anguilla anguilla) throughout its natural range (ICES Advice 2023, ele.2737.nea).</w:t>
      </w:r>
      <w:r w:rsidRPr="00F00798">
        <w:rPr>
          <w:rFonts w:ascii="Arial" w:hAnsi="Arial" w:cs="Arial"/>
          <w:sz w:val="20"/>
          <w:szCs w:val="20"/>
          <w:lang w:val="en-GB"/>
        </w:rPr>
        <w:t xml:space="preserve"> International Council for the Exploration of the Sea. </w:t>
      </w:r>
      <w:hyperlink r:id="rId24" w:tgtFrame="_new" w:history="1">
        <w:r w:rsidRPr="00F00798">
          <w:rPr>
            <w:rFonts w:ascii="Arial" w:hAnsi="Arial" w:cs="Arial"/>
            <w:sz w:val="20"/>
            <w:szCs w:val="20"/>
            <w:u w:val="single"/>
            <w:lang w:val="en-GB"/>
          </w:rPr>
          <w:t>https://www.fishsec.org/app/uploads/2023/11/231101-ICES-Advice-on-fishing-opportunities-for-eel-2024.pdf</w:t>
        </w:r>
      </w:hyperlink>
    </w:p>
    <w:p w14:paraId="67931336"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fr-FR"/>
        </w:rPr>
        <w:t xml:space="preserve">Jarić, I., Lenhardt, M., Cvijanović, G., &amp; Ebenhard, T. (2009). </w:t>
      </w:r>
      <w:r w:rsidRPr="00F00798">
        <w:rPr>
          <w:rFonts w:ascii="Arial" w:hAnsi="Arial" w:cs="Arial"/>
          <w:i/>
          <w:iCs/>
          <w:sz w:val="20"/>
          <w:szCs w:val="20"/>
          <w:lang w:val="en-GB"/>
        </w:rPr>
        <w:t>Acipenser sturio</w:t>
      </w:r>
      <w:r w:rsidRPr="00F00798">
        <w:rPr>
          <w:rFonts w:ascii="Arial" w:hAnsi="Arial" w:cs="Arial"/>
          <w:sz w:val="20"/>
          <w:szCs w:val="20"/>
          <w:lang w:val="en-GB"/>
        </w:rPr>
        <w:t xml:space="preserve"> and </w:t>
      </w:r>
      <w:r w:rsidRPr="00F00798">
        <w:rPr>
          <w:rFonts w:ascii="Arial" w:hAnsi="Arial" w:cs="Arial"/>
          <w:i/>
          <w:iCs/>
          <w:sz w:val="20"/>
          <w:szCs w:val="20"/>
          <w:lang w:val="en-GB"/>
        </w:rPr>
        <w:t>A. nudiventris</w:t>
      </w:r>
      <w:r w:rsidRPr="00F00798">
        <w:rPr>
          <w:rFonts w:ascii="Arial" w:hAnsi="Arial" w:cs="Arial"/>
          <w:sz w:val="20"/>
          <w:szCs w:val="20"/>
          <w:lang w:val="en-GB"/>
        </w:rPr>
        <w:t xml:space="preserve"> in the Danube—Extant or extinct? </w:t>
      </w:r>
      <w:r w:rsidRPr="00F00798">
        <w:rPr>
          <w:rFonts w:ascii="Arial" w:hAnsi="Arial" w:cs="Arial"/>
          <w:i/>
          <w:iCs/>
          <w:sz w:val="20"/>
          <w:szCs w:val="20"/>
          <w:lang w:val="fr-FR"/>
        </w:rPr>
        <w:t>Journal of Applied Ichthyology, 25</w:t>
      </w:r>
      <w:r w:rsidRPr="00F00798">
        <w:rPr>
          <w:rFonts w:ascii="Arial" w:hAnsi="Arial" w:cs="Arial"/>
          <w:sz w:val="20"/>
          <w:szCs w:val="20"/>
          <w:lang w:val="fr-FR"/>
        </w:rPr>
        <w:t>, 137–141.</w:t>
      </w:r>
    </w:p>
    <w:p w14:paraId="1054EE1D"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Jayaram, K. C. (2005). </w:t>
      </w:r>
      <w:r w:rsidRPr="00F00798">
        <w:rPr>
          <w:rFonts w:ascii="Arial" w:hAnsi="Arial" w:cs="Arial"/>
          <w:i/>
          <w:iCs/>
          <w:sz w:val="20"/>
          <w:szCs w:val="20"/>
          <w:lang w:val="en-GB"/>
        </w:rPr>
        <w:t>The Deccan mahseer fishes: Their eco-status and threat percepts</w:t>
      </w:r>
      <w:r w:rsidRPr="00F00798">
        <w:rPr>
          <w:rFonts w:ascii="Arial" w:hAnsi="Arial" w:cs="Arial"/>
          <w:sz w:val="20"/>
          <w:szCs w:val="20"/>
          <w:lang w:val="en-GB"/>
        </w:rPr>
        <w:t>. Records of the Zoological Survey of India, Occasional Paper 238.</w:t>
      </w:r>
    </w:p>
    <w:p w14:paraId="253F9844"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Jelks, H. L., Walsh, S. J., Burkhead, N. M., &amp; Taylor, E. B. (2008). Conservation status of imperiled North American freshwater and diadromous fishes. </w:t>
      </w:r>
      <w:r w:rsidRPr="00F00798">
        <w:rPr>
          <w:rFonts w:ascii="Arial" w:hAnsi="Arial" w:cs="Arial"/>
          <w:i/>
          <w:iCs/>
          <w:sz w:val="20"/>
          <w:szCs w:val="20"/>
          <w:lang w:val="en-GB"/>
        </w:rPr>
        <w:t>Fisheries, 33</w:t>
      </w:r>
      <w:r w:rsidRPr="00F00798">
        <w:rPr>
          <w:rFonts w:ascii="Arial" w:hAnsi="Arial" w:cs="Arial"/>
          <w:sz w:val="20"/>
          <w:szCs w:val="20"/>
          <w:lang w:val="en-GB"/>
        </w:rPr>
        <w:t>(8), 372–407.</w:t>
      </w:r>
    </w:p>
    <w:p w14:paraId="13C1385B"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Kareiva, P., Marvier, M., &amp; McClure, M. (2000). Recovery and management options for Chinook salmon in the Columbia River basin. </w:t>
      </w:r>
      <w:r w:rsidRPr="00F00798">
        <w:rPr>
          <w:rFonts w:ascii="Arial" w:hAnsi="Arial" w:cs="Arial"/>
          <w:i/>
          <w:iCs/>
          <w:sz w:val="20"/>
          <w:szCs w:val="20"/>
          <w:lang w:val="en-GB"/>
        </w:rPr>
        <w:t>Science, 290</w:t>
      </w:r>
      <w:r w:rsidRPr="00F00798">
        <w:rPr>
          <w:rFonts w:ascii="Arial" w:hAnsi="Arial" w:cs="Arial"/>
          <w:sz w:val="20"/>
          <w:szCs w:val="20"/>
          <w:lang w:val="en-GB"/>
        </w:rPr>
        <w:t>, 977–979.</w:t>
      </w:r>
    </w:p>
    <w:p w14:paraId="769BB1C1"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Kawakami de Resende, E. (2003). Migratory fishes of the Paraguay–Paraná Basin (excluding the Upper Paraná). In J. Carolsfeld et al. (Eds.), </w:t>
      </w:r>
      <w:r w:rsidRPr="00F00798">
        <w:rPr>
          <w:rFonts w:ascii="Arial" w:hAnsi="Arial" w:cs="Arial"/>
          <w:i/>
          <w:iCs/>
          <w:sz w:val="20"/>
          <w:szCs w:val="20"/>
          <w:lang w:val="en-GB"/>
        </w:rPr>
        <w:t>Migratory fishes of South America</w:t>
      </w:r>
      <w:r w:rsidRPr="00F00798">
        <w:rPr>
          <w:rFonts w:ascii="Arial" w:hAnsi="Arial" w:cs="Arial"/>
          <w:sz w:val="20"/>
          <w:szCs w:val="20"/>
          <w:lang w:val="en-GB"/>
        </w:rPr>
        <w:t xml:space="preserve"> (pp. 99–156). </w:t>
      </w:r>
      <w:r w:rsidRPr="00F00798">
        <w:rPr>
          <w:rFonts w:ascii="Arial" w:hAnsi="Arial" w:cs="Arial"/>
          <w:sz w:val="20"/>
          <w:szCs w:val="20"/>
          <w:lang w:val="fr-FR"/>
        </w:rPr>
        <w:t>IDRC &amp; World Bank.</w:t>
      </w:r>
    </w:p>
    <w:p w14:paraId="4DFF29E1"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Kottelat, M. (1997). European freshwater fishes: A heuristic checklist. </w:t>
      </w:r>
      <w:r w:rsidRPr="00F00798">
        <w:rPr>
          <w:rFonts w:ascii="Arial" w:hAnsi="Arial" w:cs="Arial"/>
          <w:i/>
          <w:iCs/>
          <w:sz w:val="20"/>
          <w:szCs w:val="20"/>
          <w:lang w:val="en-GB"/>
        </w:rPr>
        <w:t>Biologia, Section Zoology, 52</w:t>
      </w:r>
      <w:r w:rsidRPr="00F00798">
        <w:rPr>
          <w:rFonts w:ascii="Arial" w:hAnsi="Arial" w:cs="Arial"/>
          <w:sz w:val="20"/>
          <w:szCs w:val="20"/>
          <w:lang w:val="en-GB"/>
        </w:rPr>
        <w:t>, 1–271.</w:t>
      </w:r>
    </w:p>
    <w:p w14:paraId="50F684D0"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Kottelat, M., &amp; Freyhof, J. (2007). </w:t>
      </w:r>
      <w:r w:rsidRPr="00F00798">
        <w:rPr>
          <w:rFonts w:ascii="Arial" w:hAnsi="Arial" w:cs="Arial"/>
          <w:i/>
          <w:iCs/>
          <w:sz w:val="20"/>
          <w:szCs w:val="20"/>
          <w:lang w:val="en-GB"/>
        </w:rPr>
        <w:t>Handbook of European freshwater fishes</w:t>
      </w:r>
      <w:r w:rsidRPr="00F00798">
        <w:rPr>
          <w:rFonts w:ascii="Arial" w:hAnsi="Arial" w:cs="Arial"/>
          <w:sz w:val="20"/>
          <w:szCs w:val="20"/>
          <w:lang w:val="en-GB"/>
        </w:rPr>
        <w:t>. Kottelat &amp; Freyhof.</w:t>
      </w:r>
    </w:p>
    <w:p w14:paraId="1C5204DE"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Leidy, R. A., &amp; Moyle, P. B. (1998). Conservation and status of the world’s fish fauna. In P. L. Fiedler &amp; P. M. Kareiva (Eds.), </w:t>
      </w:r>
      <w:r w:rsidRPr="00F00798">
        <w:rPr>
          <w:rFonts w:ascii="Arial" w:hAnsi="Arial" w:cs="Arial"/>
          <w:i/>
          <w:iCs/>
          <w:sz w:val="20"/>
          <w:szCs w:val="20"/>
          <w:lang w:val="en-GB"/>
        </w:rPr>
        <w:t>Conservation biology for the coming decade</w:t>
      </w:r>
      <w:r w:rsidRPr="00F00798">
        <w:rPr>
          <w:rFonts w:ascii="Arial" w:hAnsi="Arial" w:cs="Arial"/>
          <w:sz w:val="20"/>
          <w:szCs w:val="20"/>
          <w:lang w:val="en-GB"/>
        </w:rPr>
        <w:t xml:space="preserve"> (pp. 187–227). Chapman &amp; Hall.</w:t>
      </w:r>
    </w:p>
    <w:p w14:paraId="1191824E"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Lelek, A., &amp; Köhler, C. (1990). Restoration of fish communities of the Rhine River after a heavy pollution wave. </w:t>
      </w:r>
      <w:r w:rsidRPr="00F00798">
        <w:rPr>
          <w:rFonts w:ascii="Arial" w:hAnsi="Arial" w:cs="Arial"/>
          <w:i/>
          <w:iCs/>
          <w:sz w:val="20"/>
          <w:szCs w:val="20"/>
          <w:lang w:val="fr-FR"/>
        </w:rPr>
        <w:t>Regulated Rivers, 5</w:t>
      </w:r>
      <w:r w:rsidRPr="00F00798">
        <w:rPr>
          <w:rFonts w:ascii="Arial" w:hAnsi="Arial" w:cs="Arial"/>
          <w:sz w:val="20"/>
          <w:szCs w:val="20"/>
          <w:lang w:val="fr-FR"/>
        </w:rPr>
        <w:t>, 57–66.</w:t>
      </w:r>
    </w:p>
    <w:p w14:paraId="1640B305"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Lepage, M., &amp; Rochard, E. (1995). Threatened fishes of the world: </w:t>
      </w:r>
      <w:r w:rsidRPr="00F00798">
        <w:rPr>
          <w:rFonts w:ascii="Arial" w:hAnsi="Arial" w:cs="Arial"/>
          <w:i/>
          <w:iCs/>
          <w:sz w:val="20"/>
          <w:szCs w:val="20"/>
          <w:lang w:val="en-GB"/>
        </w:rPr>
        <w:t>Acipenser sturio</w:t>
      </w:r>
      <w:r w:rsidRPr="00F00798">
        <w:rPr>
          <w:rFonts w:ascii="Arial" w:hAnsi="Arial" w:cs="Arial"/>
          <w:sz w:val="20"/>
          <w:szCs w:val="20"/>
          <w:lang w:val="en-GB"/>
        </w:rPr>
        <w:t xml:space="preserve">. </w:t>
      </w:r>
      <w:r w:rsidRPr="00F00798">
        <w:rPr>
          <w:rFonts w:ascii="Arial" w:hAnsi="Arial" w:cs="Arial"/>
          <w:i/>
          <w:iCs/>
          <w:sz w:val="20"/>
          <w:szCs w:val="20"/>
          <w:lang w:val="en-GB"/>
        </w:rPr>
        <w:t>Environmental Biology of Fishes, 43</w:t>
      </w:r>
      <w:r w:rsidRPr="00F00798">
        <w:rPr>
          <w:rFonts w:ascii="Arial" w:hAnsi="Arial" w:cs="Arial"/>
          <w:sz w:val="20"/>
          <w:szCs w:val="20"/>
          <w:lang w:val="en-GB"/>
        </w:rPr>
        <w:t>, 28.</w:t>
      </w:r>
    </w:p>
    <w:p w14:paraId="4B2081A2"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Lévêque, C., Oberdorff, T., Paugy, D., Stiassny, M. L. J., &amp; Tedesco, P. A. (2008). Global diversity of fishes in freshwater. </w:t>
      </w:r>
      <w:r w:rsidRPr="00F00798">
        <w:rPr>
          <w:rFonts w:ascii="Arial" w:hAnsi="Arial" w:cs="Arial"/>
          <w:i/>
          <w:iCs/>
          <w:sz w:val="20"/>
          <w:szCs w:val="20"/>
          <w:lang w:val="en-GB"/>
        </w:rPr>
        <w:t>Hydrobiologia, 595</w:t>
      </w:r>
      <w:r w:rsidRPr="00F00798">
        <w:rPr>
          <w:rFonts w:ascii="Arial" w:hAnsi="Arial" w:cs="Arial"/>
          <w:sz w:val="20"/>
          <w:szCs w:val="20"/>
          <w:lang w:val="en-GB"/>
        </w:rPr>
        <w:t>, 545–567.</w:t>
      </w:r>
    </w:p>
    <w:p w14:paraId="391A143F"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Limburg, K. E., &amp; Waldman, J. R. (2009). Dramatic declines in North Atlantic diadromous fishes. </w:t>
      </w:r>
      <w:r w:rsidRPr="00F00798">
        <w:rPr>
          <w:rFonts w:ascii="Arial" w:hAnsi="Arial" w:cs="Arial"/>
          <w:i/>
          <w:iCs/>
          <w:sz w:val="20"/>
          <w:szCs w:val="20"/>
          <w:lang w:val="en-GB"/>
        </w:rPr>
        <w:t>BioScience, 59</w:t>
      </w:r>
      <w:r w:rsidRPr="00F00798">
        <w:rPr>
          <w:rFonts w:ascii="Arial" w:hAnsi="Arial" w:cs="Arial"/>
          <w:sz w:val="20"/>
          <w:szCs w:val="20"/>
          <w:lang w:val="en-GB"/>
        </w:rPr>
        <w:t>, 955–965.</w:t>
      </w:r>
    </w:p>
    <w:p w14:paraId="38877A0C"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Lorenz, C. M., Gilbert, A. J., &amp; Cofino, W. P. (2001). Indicators for transboundary river management. </w:t>
      </w:r>
      <w:r w:rsidRPr="00F00798">
        <w:rPr>
          <w:rFonts w:ascii="Arial" w:hAnsi="Arial" w:cs="Arial"/>
          <w:i/>
          <w:iCs/>
          <w:sz w:val="20"/>
          <w:szCs w:val="20"/>
          <w:lang w:val="en-GB"/>
        </w:rPr>
        <w:t>Environmental Management, 28</w:t>
      </w:r>
      <w:r w:rsidRPr="00F00798">
        <w:rPr>
          <w:rFonts w:ascii="Arial" w:hAnsi="Arial" w:cs="Arial"/>
          <w:sz w:val="20"/>
          <w:szCs w:val="20"/>
          <w:lang w:val="en-GB"/>
        </w:rPr>
        <w:t>, 115–129.</w:t>
      </w:r>
    </w:p>
    <w:p w14:paraId="4061EAF0"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Lopera-Borreo, N. M. (2009). Conservation of </w:t>
      </w:r>
      <w:r w:rsidRPr="00F00798">
        <w:rPr>
          <w:rFonts w:ascii="Arial" w:hAnsi="Arial" w:cs="Arial"/>
          <w:i/>
          <w:iCs/>
          <w:sz w:val="20"/>
          <w:szCs w:val="20"/>
          <w:lang w:val="en-GB"/>
        </w:rPr>
        <w:t>Brycon orbignyanus</w:t>
      </w:r>
      <w:r w:rsidRPr="00F00798">
        <w:rPr>
          <w:rFonts w:ascii="Arial" w:hAnsi="Arial" w:cs="Arial"/>
          <w:sz w:val="20"/>
          <w:szCs w:val="20"/>
          <w:lang w:val="en-GB"/>
        </w:rPr>
        <w:t xml:space="preserve">… A model for species threatened with extinction. </w:t>
      </w:r>
      <w:r w:rsidRPr="00F00798">
        <w:rPr>
          <w:rFonts w:ascii="Arial" w:hAnsi="Arial" w:cs="Arial"/>
          <w:i/>
          <w:iCs/>
          <w:sz w:val="20"/>
          <w:szCs w:val="20"/>
          <w:lang w:val="en-GB"/>
        </w:rPr>
        <w:t>Ciencia e Investigación Agraria, 36</w:t>
      </w:r>
      <w:r w:rsidRPr="00F00798">
        <w:rPr>
          <w:rFonts w:ascii="Arial" w:hAnsi="Arial" w:cs="Arial"/>
          <w:sz w:val="20"/>
          <w:szCs w:val="20"/>
          <w:lang w:val="en-GB"/>
        </w:rPr>
        <w:t>, 191–208.</w:t>
      </w:r>
    </w:p>
    <w:p w14:paraId="077EC518"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Lowe-McConnell, R. H. (1985). </w:t>
      </w:r>
      <w:r w:rsidRPr="00F00798">
        <w:rPr>
          <w:rFonts w:ascii="Arial" w:hAnsi="Arial" w:cs="Arial"/>
          <w:i/>
          <w:iCs/>
          <w:sz w:val="20"/>
          <w:szCs w:val="20"/>
          <w:lang w:val="en-GB"/>
        </w:rPr>
        <w:t>Ecological studies in tropical fish communities</w:t>
      </w:r>
      <w:r w:rsidRPr="00F00798">
        <w:rPr>
          <w:rFonts w:ascii="Arial" w:hAnsi="Arial" w:cs="Arial"/>
          <w:sz w:val="20"/>
          <w:szCs w:val="20"/>
          <w:lang w:val="en-GB"/>
        </w:rPr>
        <w:t>. Cambridge University Press.</w:t>
      </w:r>
    </w:p>
    <w:p w14:paraId="255BDD45"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Lucas, M. C., &amp; Baras, E. (2001). </w:t>
      </w:r>
      <w:r w:rsidRPr="00F00798">
        <w:rPr>
          <w:rFonts w:ascii="Arial" w:hAnsi="Arial" w:cs="Arial"/>
          <w:i/>
          <w:iCs/>
          <w:sz w:val="20"/>
          <w:szCs w:val="20"/>
          <w:lang w:val="en-GB"/>
        </w:rPr>
        <w:t>Migration of freshwater fishes</w:t>
      </w:r>
      <w:r w:rsidRPr="00F00798">
        <w:rPr>
          <w:rFonts w:ascii="Arial" w:hAnsi="Arial" w:cs="Arial"/>
          <w:sz w:val="20"/>
          <w:szCs w:val="20"/>
          <w:lang w:val="en-GB"/>
        </w:rPr>
        <w:t>. Blackwell Science.</w:t>
      </w:r>
    </w:p>
    <w:p w14:paraId="504478B5" w14:textId="45BB15A8"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Ludwig, A., Jahrl, J., Congiu, L., Gessner, J., Friedrich, T., Lieckfeldt, D., Peng, Z., &amp; Boner, M. (2023). Poaching and illegal trade of Danube sturgeons. </w:t>
      </w:r>
      <w:r w:rsidRPr="00F00798">
        <w:rPr>
          <w:rFonts w:ascii="Arial" w:hAnsi="Arial" w:cs="Arial"/>
          <w:i/>
          <w:iCs/>
          <w:sz w:val="20"/>
          <w:szCs w:val="20"/>
          <w:lang w:val="en-GB"/>
        </w:rPr>
        <w:t>Current Biology, 33</w:t>
      </w:r>
      <w:r w:rsidRPr="00F00798">
        <w:rPr>
          <w:rFonts w:ascii="Arial" w:hAnsi="Arial" w:cs="Arial"/>
          <w:sz w:val="20"/>
          <w:szCs w:val="20"/>
          <w:lang w:val="en-GB"/>
        </w:rPr>
        <w:t xml:space="preserve">(22), R1184–R1185. </w:t>
      </w:r>
      <w:hyperlink r:id="rId25" w:tgtFrame="_new" w:history="1">
        <w:r w:rsidRPr="00F00798">
          <w:rPr>
            <w:rFonts w:ascii="Arial" w:hAnsi="Arial" w:cs="Arial"/>
            <w:sz w:val="20"/>
            <w:szCs w:val="20"/>
            <w:u w:val="single"/>
            <w:lang w:val="en-GB"/>
          </w:rPr>
          <w:t>https://doi.org/10.1016/j.cub.2023.09.067</w:t>
        </w:r>
      </w:hyperlink>
    </w:p>
    <w:p w14:paraId="6DD78D05"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Lundberg, J. G., Kottelat, M., Smith, G. R., Stiassny, M. J., &amp; Gill, A. C. (2000). So many fishes, so little time. </w:t>
      </w:r>
      <w:r w:rsidRPr="00F00798">
        <w:rPr>
          <w:rFonts w:ascii="Arial" w:hAnsi="Arial" w:cs="Arial"/>
          <w:i/>
          <w:iCs/>
          <w:sz w:val="20"/>
          <w:szCs w:val="20"/>
          <w:lang w:val="en-GB"/>
        </w:rPr>
        <w:t>Annals of the Missouri Botanical Garden, 87</w:t>
      </w:r>
      <w:r w:rsidRPr="00F00798">
        <w:rPr>
          <w:rFonts w:ascii="Arial" w:hAnsi="Arial" w:cs="Arial"/>
          <w:sz w:val="20"/>
          <w:szCs w:val="20"/>
          <w:lang w:val="en-GB"/>
        </w:rPr>
        <w:t>, 26–62.</w:t>
      </w:r>
    </w:p>
    <w:p w14:paraId="0149EDC9"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MacDonald, A. J. (1948). </w:t>
      </w:r>
      <w:r w:rsidRPr="00F00798">
        <w:rPr>
          <w:rFonts w:ascii="Arial" w:hAnsi="Arial" w:cs="Arial"/>
          <w:i/>
          <w:iCs/>
          <w:sz w:val="20"/>
          <w:szCs w:val="20"/>
          <w:lang w:val="en-GB"/>
        </w:rPr>
        <w:t>Circumventing the mahseer and other sporting fish in India and Burma</w:t>
      </w:r>
      <w:r w:rsidRPr="00F00798">
        <w:rPr>
          <w:rFonts w:ascii="Arial" w:hAnsi="Arial" w:cs="Arial"/>
          <w:sz w:val="20"/>
          <w:szCs w:val="20"/>
          <w:lang w:val="en-GB"/>
        </w:rPr>
        <w:t>. Natraj Publishers.</w:t>
      </w:r>
    </w:p>
    <w:p w14:paraId="0C33D9F7"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Maitland, P. S. (2000). </w:t>
      </w:r>
      <w:r w:rsidRPr="00F00798">
        <w:rPr>
          <w:rFonts w:ascii="Arial" w:hAnsi="Arial" w:cs="Arial"/>
          <w:i/>
          <w:iCs/>
          <w:sz w:val="20"/>
          <w:szCs w:val="20"/>
          <w:lang w:val="en-GB"/>
        </w:rPr>
        <w:t>Guide to freshwater fish of Britain and Europe</w:t>
      </w:r>
      <w:r w:rsidRPr="00F00798">
        <w:rPr>
          <w:rFonts w:ascii="Arial" w:hAnsi="Arial" w:cs="Arial"/>
          <w:sz w:val="20"/>
          <w:szCs w:val="20"/>
          <w:lang w:val="en-GB"/>
        </w:rPr>
        <w:t xml:space="preserve">. </w:t>
      </w:r>
      <w:r w:rsidRPr="00F00798">
        <w:rPr>
          <w:rFonts w:ascii="Arial" w:hAnsi="Arial" w:cs="Arial"/>
          <w:sz w:val="20"/>
          <w:szCs w:val="20"/>
          <w:lang w:val="fr-FR"/>
        </w:rPr>
        <w:t>Octopus Publishing Group.</w:t>
      </w:r>
    </w:p>
    <w:p w14:paraId="3C3D9713"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it-IT"/>
        </w:rPr>
        <w:t xml:space="preserve">Malik, D. S., &amp; Negi, K. S. (2007). </w:t>
      </w:r>
      <w:r w:rsidRPr="00F00798">
        <w:rPr>
          <w:rFonts w:ascii="Arial" w:hAnsi="Arial" w:cs="Arial"/>
          <w:i/>
          <w:iCs/>
          <w:sz w:val="20"/>
          <w:szCs w:val="20"/>
          <w:lang w:val="en-GB"/>
        </w:rPr>
        <w:t>Mahseer fish bionomics and population: Barrage impact on fish biology</w:t>
      </w:r>
      <w:r w:rsidRPr="00F00798">
        <w:rPr>
          <w:rFonts w:ascii="Arial" w:hAnsi="Arial" w:cs="Arial"/>
          <w:sz w:val="20"/>
          <w:szCs w:val="20"/>
          <w:lang w:val="en-GB"/>
        </w:rPr>
        <w:t xml:space="preserve">. </w:t>
      </w:r>
      <w:r w:rsidRPr="00F00798">
        <w:rPr>
          <w:rFonts w:ascii="Arial" w:hAnsi="Arial" w:cs="Arial"/>
          <w:sz w:val="20"/>
          <w:szCs w:val="20"/>
          <w:lang w:val="fr-FR"/>
        </w:rPr>
        <w:t>Daya Publishing House.</w:t>
      </w:r>
    </w:p>
    <w:p w14:paraId="21D977AD"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Munro, J., Edwards, R. E., &amp; Kahnle, A. W. (2007). Anadromous sturgeons: Synthesis and summary. In J. Munro et al. (Eds.), </w:t>
      </w:r>
      <w:r w:rsidRPr="00F00798">
        <w:rPr>
          <w:rFonts w:ascii="Arial" w:hAnsi="Arial" w:cs="Arial"/>
          <w:i/>
          <w:iCs/>
          <w:sz w:val="20"/>
          <w:szCs w:val="20"/>
          <w:lang w:val="en-GB"/>
        </w:rPr>
        <w:t>Anadromous sturgeons: Habitats, threats, and management</w:t>
      </w:r>
      <w:r w:rsidRPr="00F00798">
        <w:rPr>
          <w:rFonts w:ascii="Arial" w:hAnsi="Arial" w:cs="Arial"/>
          <w:sz w:val="20"/>
          <w:szCs w:val="20"/>
          <w:lang w:val="en-GB"/>
        </w:rPr>
        <w:t xml:space="preserve"> (pp. 1–18). </w:t>
      </w:r>
      <w:r w:rsidRPr="00F00798">
        <w:rPr>
          <w:rFonts w:ascii="Arial" w:hAnsi="Arial" w:cs="Arial"/>
          <w:sz w:val="20"/>
          <w:szCs w:val="20"/>
          <w:lang w:val="fr-FR"/>
        </w:rPr>
        <w:t>American Fisheries Society.</w:t>
      </w:r>
    </w:p>
    <w:p w14:paraId="2ED0F9D2"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Munro, J., Hatin, D., Hightower, J., McKown, K., Sulak, J., Kahnle, A. W., &amp; Caron, F. (Eds.). (2007). </w:t>
      </w:r>
      <w:r w:rsidRPr="00F00798">
        <w:rPr>
          <w:rFonts w:ascii="Arial" w:hAnsi="Arial" w:cs="Arial"/>
          <w:i/>
          <w:iCs/>
          <w:sz w:val="20"/>
          <w:szCs w:val="20"/>
          <w:lang w:val="en-GB"/>
        </w:rPr>
        <w:t>Anadromous sturgeons: Habitats, threats, and management</w:t>
      </w:r>
      <w:r w:rsidRPr="00F00798">
        <w:rPr>
          <w:rFonts w:ascii="Arial" w:hAnsi="Arial" w:cs="Arial"/>
          <w:sz w:val="20"/>
          <w:szCs w:val="20"/>
          <w:lang w:val="en-GB"/>
        </w:rPr>
        <w:t xml:space="preserve"> (AFS Symposium 56). American Fisheries Society.</w:t>
      </w:r>
    </w:p>
    <w:p w14:paraId="220CBC31"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Nelson, J. S. (2006). </w:t>
      </w:r>
      <w:r w:rsidRPr="00F00798">
        <w:rPr>
          <w:rFonts w:ascii="Arial" w:hAnsi="Arial" w:cs="Arial"/>
          <w:i/>
          <w:iCs/>
          <w:sz w:val="20"/>
          <w:szCs w:val="20"/>
          <w:lang w:val="en-GB"/>
        </w:rPr>
        <w:t>Fishes of the world</w:t>
      </w:r>
      <w:r w:rsidRPr="00F00798">
        <w:rPr>
          <w:rFonts w:ascii="Arial" w:hAnsi="Arial" w:cs="Arial"/>
          <w:sz w:val="20"/>
          <w:szCs w:val="20"/>
          <w:lang w:val="en-GB"/>
        </w:rPr>
        <w:t xml:space="preserve"> (4th ed.). Wiley.</w:t>
      </w:r>
    </w:p>
    <w:p w14:paraId="5D9C618A"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Ngamsiri, T., Nakajima, M., Sukmanomon, S., Sukumasavin, N., Kamonrat, W., Na-Nakorn, U., &amp; Taniguchi, N. (2007). </w:t>
      </w:r>
      <w:r w:rsidRPr="00F00798">
        <w:rPr>
          <w:rFonts w:ascii="Arial" w:hAnsi="Arial" w:cs="Arial"/>
          <w:sz w:val="20"/>
          <w:szCs w:val="20"/>
          <w:lang w:val="fr-FR"/>
        </w:rPr>
        <w:t xml:space="preserve">Genetic diversity of wild Mekong giant catfish. </w:t>
      </w:r>
      <w:r w:rsidRPr="00F00798">
        <w:rPr>
          <w:rFonts w:ascii="Arial" w:hAnsi="Arial" w:cs="Arial"/>
          <w:i/>
          <w:iCs/>
          <w:sz w:val="20"/>
          <w:szCs w:val="20"/>
          <w:lang w:val="fr-FR"/>
        </w:rPr>
        <w:t>Fisheries Science, 73</w:t>
      </w:r>
      <w:r w:rsidRPr="00F00798">
        <w:rPr>
          <w:rFonts w:ascii="Arial" w:hAnsi="Arial" w:cs="Arial"/>
          <w:sz w:val="20"/>
          <w:szCs w:val="20"/>
          <w:lang w:val="fr-FR"/>
        </w:rPr>
        <w:t>, 792–799.</w:t>
      </w:r>
    </w:p>
    <w:p w14:paraId="5356DEBF"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lastRenderedPageBreak/>
        <w:t xml:space="preserve">Nijman, V. (2015). CITES listings, EU eel trade bans and the increase of export. </w:t>
      </w:r>
      <w:r w:rsidRPr="00F00798">
        <w:rPr>
          <w:rFonts w:ascii="Arial" w:hAnsi="Arial" w:cs="Arial"/>
          <w:i/>
          <w:iCs/>
          <w:sz w:val="20"/>
          <w:szCs w:val="20"/>
          <w:lang w:val="en-GB"/>
        </w:rPr>
        <w:t>Marine Policy, 58</w:t>
      </w:r>
      <w:r w:rsidRPr="00F00798">
        <w:rPr>
          <w:rFonts w:ascii="Arial" w:hAnsi="Arial" w:cs="Arial"/>
          <w:sz w:val="20"/>
          <w:szCs w:val="20"/>
          <w:lang w:val="en-GB"/>
        </w:rPr>
        <w:t>, 36–41.</w:t>
      </w:r>
    </w:p>
    <w:p w14:paraId="46AC29A4"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Nilsson, C., Reidy, C. A., Dynesius, M., &amp; Revenga, C. (2005). Fragmentation and flow regulation of the world’s large river systems. </w:t>
      </w:r>
      <w:r w:rsidRPr="00F00798">
        <w:rPr>
          <w:rFonts w:ascii="Arial" w:hAnsi="Arial" w:cs="Arial"/>
          <w:i/>
          <w:iCs/>
          <w:sz w:val="20"/>
          <w:szCs w:val="20"/>
          <w:lang w:val="en-GB"/>
        </w:rPr>
        <w:t>Science, 308</w:t>
      </w:r>
      <w:r w:rsidRPr="00F00798">
        <w:rPr>
          <w:rFonts w:ascii="Arial" w:hAnsi="Arial" w:cs="Arial"/>
          <w:sz w:val="20"/>
          <w:szCs w:val="20"/>
          <w:lang w:val="en-GB"/>
        </w:rPr>
        <w:t>, 405–408.</w:t>
      </w:r>
    </w:p>
    <w:p w14:paraId="55C653C4"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Ocock, J., Baasanjav, G., Baillie, J. E. M., Erbenebat, M., Kottelat, M., Mendsaikhan, B., &amp; Smith, K. (Eds.). (2006). </w:t>
      </w:r>
      <w:r w:rsidRPr="00F00798">
        <w:rPr>
          <w:rFonts w:ascii="Arial" w:hAnsi="Arial" w:cs="Arial"/>
          <w:i/>
          <w:iCs/>
          <w:sz w:val="20"/>
          <w:szCs w:val="20"/>
          <w:lang w:val="en-GB"/>
        </w:rPr>
        <w:t>Mongolian Red List of fishes</w:t>
      </w:r>
      <w:r w:rsidRPr="00F00798">
        <w:rPr>
          <w:rFonts w:ascii="Arial" w:hAnsi="Arial" w:cs="Arial"/>
          <w:sz w:val="20"/>
          <w:szCs w:val="20"/>
          <w:lang w:val="en-GB"/>
        </w:rPr>
        <w:t xml:space="preserve"> (Vol. 3). Zoological Society of London.</w:t>
      </w:r>
    </w:p>
    <w:p w14:paraId="34886237"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s-ES"/>
        </w:rPr>
        <w:t xml:space="preserve">Petrere Jr., M. (1985). </w:t>
      </w:r>
      <w:r w:rsidRPr="00F00798">
        <w:rPr>
          <w:rFonts w:ascii="Arial" w:hAnsi="Arial" w:cs="Arial"/>
          <w:i/>
          <w:sz w:val="20"/>
          <w:szCs w:val="20"/>
          <w:lang w:val="es-ES"/>
        </w:rPr>
        <w:t>Migraciones de peces de agua dulce en América Latina; algunos comentarios</w:t>
      </w:r>
      <w:r w:rsidRPr="00F00798">
        <w:rPr>
          <w:rFonts w:ascii="Arial" w:hAnsi="Arial" w:cs="Arial"/>
          <w:sz w:val="20"/>
          <w:szCs w:val="20"/>
          <w:lang w:val="es-ES"/>
        </w:rPr>
        <w:t xml:space="preserve">. </w:t>
      </w:r>
      <w:r w:rsidRPr="00F00798">
        <w:rPr>
          <w:rFonts w:ascii="Arial" w:hAnsi="Arial" w:cs="Arial"/>
          <w:sz w:val="20"/>
          <w:szCs w:val="20"/>
          <w:lang w:val="en-GB"/>
        </w:rPr>
        <w:t>COPESCAL.</w:t>
      </w:r>
    </w:p>
    <w:p w14:paraId="6F2CB3EA"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Petrere Jr., M., Barthem, R. B., Córdoba, E. A., &amp; Gómez, B. C. (2004). Review of large catfish fisheries in the upper Amazon and the stock depletion of </w:t>
      </w:r>
      <w:r w:rsidRPr="00F00798">
        <w:rPr>
          <w:rFonts w:ascii="Arial" w:hAnsi="Arial" w:cs="Arial"/>
          <w:i/>
          <w:iCs/>
          <w:sz w:val="20"/>
          <w:szCs w:val="20"/>
          <w:lang w:val="en-GB"/>
        </w:rPr>
        <w:t>Brachyplatystoma filamentosum</w:t>
      </w:r>
      <w:r w:rsidRPr="00F00798">
        <w:rPr>
          <w:rFonts w:ascii="Arial" w:hAnsi="Arial" w:cs="Arial"/>
          <w:sz w:val="20"/>
          <w:szCs w:val="20"/>
          <w:lang w:val="en-GB"/>
        </w:rPr>
        <w:t xml:space="preserve">. </w:t>
      </w:r>
      <w:r w:rsidRPr="00F00798">
        <w:rPr>
          <w:rFonts w:ascii="Arial" w:hAnsi="Arial" w:cs="Arial"/>
          <w:i/>
          <w:iCs/>
          <w:sz w:val="20"/>
          <w:szCs w:val="20"/>
          <w:lang w:val="fr-FR"/>
        </w:rPr>
        <w:t>Reviews in Fish Biology and Fisheries, 14</w:t>
      </w:r>
      <w:r w:rsidRPr="00F00798">
        <w:rPr>
          <w:rFonts w:ascii="Arial" w:hAnsi="Arial" w:cs="Arial"/>
          <w:sz w:val="20"/>
          <w:szCs w:val="20"/>
          <w:lang w:val="fr-FR"/>
        </w:rPr>
        <w:t>, 403–414.</w:t>
      </w:r>
    </w:p>
    <w:p w14:paraId="20FF1358"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Pike, C., Crook, V., &amp; Gollock, M. (2020). </w:t>
      </w:r>
      <w:r w:rsidRPr="00F00798">
        <w:rPr>
          <w:rFonts w:ascii="Arial" w:hAnsi="Arial" w:cs="Arial"/>
          <w:i/>
          <w:iCs/>
          <w:sz w:val="20"/>
          <w:szCs w:val="20"/>
          <w:lang w:val="en-GB"/>
        </w:rPr>
        <w:t>Anguilla anguilla</w:t>
      </w:r>
      <w:r w:rsidRPr="00F00798">
        <w:rPr>
          <w:rFonts w:ascii="Arial" w:hAnsi="Arial" w:cs="Arial"/>
          <w:sz w:val="20"/>
          <w:szCs w:val="20"/>
          <w:lang w:val="en-GB"/>
        </w:rPr>
        <w:t xml:space="preserve">. </w:t>
      </w:r>
      <w:r w:rsidRPr="00F00798">
        <w:rPr>
          <w:rFonts w:ascii="Arial" w:hAnsi="Arial" w:cs="Arial"/>
          <w:i/>
          <w:iCs/>
          <w:sz w:val="20"/>
          <w:szCs w:val="20"/>
          <w:lang w:val="en-GB"/>
        </w:rPr>
        <w:t>The IUCN Red List of Threatened Species 2020</w:t>
      </w:r>
      <w:r w:rsidRPr="00F00798">
        <w:rPr>
          <w:rFonts w:ascii="Arial" w:hAnsi="Arial" w:cs="Arial"/>
          <w:sz w:val="20"/>
          <w:szCs w:val="20"/>
          <w:lang w:val="en-GB"/>
        </w:rPr>
        <w:t>: e.T60344A152845178.</w:t>
      </w:r>
    </w:p>
    <w:p w14:paraId="7495C9D8" w14:textId="272CDD5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Pikitch, E. K., Doukakis, P., Lauck, L., Chakrabarty, P., &amp; Erickson, D. L. (2005). Status, trends and management of sturgeon and paddlefish fisheries. </w:t>
      </w:r>
      <w:r w:rsidRPr="00F00798">
        <w:rPr>
          <w:rFonts w:ascii="Arial" w:hAnsi="Arial" w:cs="Arial"/>
          <w:i/>
          <w:iCs/>
          <w:sz w:val="20"/>
          <w:szCs w:val="20"/>
          <w:lang w:val="en-GB"/>
        </w:rPr>
        <w:t>Fish and Fisheries, 6</w:t>
      </w:r>
      <w:r w:rsidRPr="00F00798">
        <w:rPr>
          <w:rFonts w:ascii="Arial" w:hAnsi="Arial" w:cs="Arial"/>
          <w:sz w:val="20"/>
          <w:szCs w:val="20"/>
          <w:lang w:val="en-GB"/>
        </w:rPr>
        <w:t xml:space="preserve">(3), 233–265. </w:t>
      </w:r>
      <w:hyperlink r:id="rId26" w:tgtFrame="_new" w:history="1">
        <w:r w:rsidRPr="00F00798">
          <w:rPr>
            <w:rFonts w:ascii="Arial" w:hAnsi="Arial" w:cs="Arial"/>
            <w:sz w:val="20"/>
            <w:szCs w:val="20"/>
            <w:u w:val="single"/>
            <w:lang w:val="fr-FR"/>
          </w:rPr>
          <w:t>https://doi.org/10.1111/j.1467-2979.2005.00190.x</w:t>
        </w:r>
      </w:hyperlink>
    </w:p>
    <w:p w14:paraId="316D4A1F"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fr-FR"/>
        </w:rPr>
        <w:t xml:space="preserve">Poff, N. L., Allan, J. D., Bain, M. B., et al. </w:t>
      </w:r>
      <w:r w:rsidRPr="00F00798">
        <w:rPr>
          <w:rFonts w:ascii="Arial" w:hAnsi="Arial" w:cs="Arial"/>
          <w:sz w:val="20"/>
          <w:szCs w:val="20"/>
          <w:lang w:val="en-GB"/>
        </w:rPr>
        <w:t xml:space="preserve">(1997). The natural flow regime. </w:t>
      </w:r>
      <w:r w:rsidRPr="00F00798">
        <w:rPr>
          <w:rFonts w:ascii="Arial" w:hAnsi="Arial" w:cs="Arial"/>
          <w:i/>
          <w:iCs/>
          <w:sz w:val="20"/>
          <w:szCs w:val="20"/>
          <w:lang w:val="en-GB"/>
        </w:rPr>
        <w:t>BioScience, 47</w:t>
      </w:r>
      <w:r w:rsidRPr="00F00798">
        <w:rPr>
          <w:rFonts w:ascii="Arial" w:hAnsi="Arial" w:cs="Arial"/>
          <w:sz w:val="20"/>
          <w:szCs w:val="20"/>
          <w:lang w:val="en-GB"/>
        </w:rPr>
        <w:t>, 769–784.</w:t>
      </w:r>
    </w:p>
    <w:p w14:paraId="48C15B68"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Poff, N. L., Olden, J. D., Merritt, D. M., &amp; Pepin, D. M. (2007). Homogenization of regional river dynamics by dams. </w:t>
      </w:r>
      <w:r w:rsidRPr="00F00798">
        <w:rPr>
          <w:rFonts w:ascii="Arial" w:hAnsi="Arial" w:cs="Arial"/>
          <w:i/>
          <w:iCs/>
          <w:sz w:val="20"/>
          <w:szCs w:val="20"/>
          <w:lang w:val="en-GB"/>
        </w:rPr>
        <w:t>Proceedings of the National Academy of Sciences, 104</w:t>
      </w:r>
      <w:r w:rsidRPr="00F00798">
        <w:rPr>
          <w:rFonts w:ascii="Arial" w:hAnsi="Arial" w:cs="Arial"/>
          <w:sz w:val="20"/>
          <w:szCs w:val="20"/>
          <w:lang w:val="en-GB"/>
        </w:rPr>
        <w:t>, 5732–5737.</w:t>
      </w:r>
    </w:p>
    <w:p w14:paraId="3CDC7DF2"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Postel, S., &amp; Richter, B. (2003). </w:t>
      </w:r>
      <w:r w:rsidRPr="00F00798">
        <w:rPr>
          <w:rFonts w:ascii="Arial" w:hAnsi="Arial" w:cs="Arial"/>
          <w:i/>
          <w:iCs/>
          <w:sz w:val="20"/>
          <w:szCs w:val="20"/>
          <w:lang w:val="en-GB"/>
        </w:rPr>
        <w:t>Rivers for life: Managing waters for people and nature</w:t>
      </w:r>
      <w:r w:rsidRPr="00F00798">
        <w:rPr>
          <w:rFonts w:ascii="Arial" w:hAnsi="Arial" w:cs="Arial"/>
          <w:sz w:val="20"/>
          <w:szCs w:val="20"/>
          <w:lang w:val="en-GB"/>
        </w:rPr>
        <w:t xml:space="preserve">. </w:t>
      </w:r>
      <w:r w:rsidRPr="00F00798">
        <w:rPr>
          <w:rFonts w:ascii="Arial" w:hAnsi="Arial" w:cs="Arial"/>
          <w:sz w:val="20"/>
          <w:szCs w:val="20"/>
          <w:lang w:val="fr-FR"/>
        </w:rPr>
        <w:t>Island Press.</w:t>
      </w:r>
    </w:p>
    <w:p w14:paraId="71D88C98"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Poulsen, A. F., &amp; Jørgensen, J. V. (2000). Fish migrations and spawning habits in the Mekong mainstream: A survey using local knowledge. </w:t>
      </w:r>
      <w:r w:rsidRPr="00F00798">
        <w:rPr>
          <w:rFonts w:ascii="Arial" w:hAnsi="Arial" w:cs="Arial"/>
          <w:sz w:val="20"/>
          <w:szCs w:val="20"/>
          <w:lang w:val="fr-FR"/>
        </w:rPr>
        <w:t>Mekong River Commission.</w:t>
      </w:r>
    </w:p>
    <w:p w14:paraId="1B96A1B3"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Quirós, R. (2003, February). The La Plata River basin: International basin development and riverine fisheries. Paper presented at </w:t>
      </w:r>
      <w:r w:rsidRPr="00F00798">
        <w:rPr>
          <w:rFonts w:ascii="Arial" w:hAnsi="Arial" w:cs="Arial"/>
          <w:i/>
          <w:iCs/>
          <w:sz w:val="20"/>
          <w:szCs w:val="20"/>
          <w:lang w:val="en-GB"/>
        </w:rPr>
        <w:t>The Management of Large Rivers for Fisheries</w:t>
      </w:r>
      <w:r w:rsidRPr="00F00798">
        <w:rPr>
          <w:rFonts w:ascii="Arial" w:hAnsi="Arial" w:cs="Arial"/>
          <w:sz w:val="20"/>
          <w:szCs w:val="20"/>
          <w:lang w:val="en-GB"/>
        </w:rPr>
        <w:t xml:space="preserve"> Symposium, Phnom Penh, Cambodia.</w:t>
      </w:r>
    </w:p>
    <w:p w14:paraId="7CC61AE1"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pt-PT"/>
        </w:rPr>
        <w:t xml:space="preserve">Quirós, R., &amp; Vidal, J. C. (2000). </w:t>
      </w:r>
      <w:r w:rsidRPr="00F00798">
        <w:rPr>
          <w:rFonts w:ascii="Arial" w:hAnsi="Arial" w:cs="Arial"/>
          <w:sz w:val="20"/>
          <w:szCs w:val="20"/>
          <w:lang w:val="en-GB"/>
        </w:rPr>
        <w:t xml:space="preserve">Cyclic behaviour of potamodromous fish in large rivers. In I. G. Cowx (Ed.), </w:t>
      </w:r>
      <w:r w:rsidRPr="00F00798">
        <w:rPr>
          <w:rFonts w:ascii="Arial" w:hAnsi="Arial" w:cs="Arial"/>
          <w:i/>
          <w:iCs/>
          <w:sz w:val="20"/>
          <w:szCs w:val="20"/>
          <w:lang w:val="en-GB"/>
        </w:rPr>
        <w:t>Management and ecology of river fisheries</w:t>
      </w:r>
      <w:r w:rsidRPr="00F00798">
        <w:rPr>
          <w:rFonts w:ascii="Arial" w:hAnsi="Arial" w:cs="Arial"/>
          <w:sz w:val="20"/>
          <w:szCs w:val="20"/>
          <w:lang w:val="en-GB"/>
        </w:rPr>
        <w:t xml:space="preserve"> (pp. 71–86). Blackwell Science.</w:t>
      </w:r>
    </w:p>
    <w:p w14:paraId="5702152F"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Rabinowitz, A. (1995). Asian nations meet in Thailand to discuss transboundary biodiversity conservation. </w:t>
      </w:r>
      <w:r w:rsidRPr="00F00798">
        <w:rPr>
          <w:rFonts w:ascii="Arial" w:hAnsi="Arial" w:cs="Arial"/>
          <w:i/>
          <w:iCs/>
          <w:sz w:val="20"/>
          <w:szCs w:val="20"/>
          <w:lang w:val="en-GB"/>
        </w:rPr>
        <w:t>Natural History Bulletin of the Siam Society, 43</w:t>
      </w:r>
      <w:r w:rsidRPr="00F00798">
        <w:rPr>
          <w:rFonts w:ascii="Arial" w:hAnsi="Arial" w:cs="Arial"/>
          <w:sz w:val="20"/>
          <w:szCs w:val="20"/>
          <w:lang w:val="en-GB"/>
        </w:rPr>
        <w:t>, 23–26.</w:t>
      </w:r>
    </w:p>
    <w:p w14:paraId="05F39833"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Rainboth, W. J. (1996). </w:t>
      </w:r>
      <w:r w:rsidRPr="00F00798">
        <w:rPr>
          <w:rFonts w:ascii="Arial" w:hAnsi="Arial" w:cs="Arial"/>
          <w:i/>
          <w:iCs/>
          <w:sz w:val="20"/>
          <w:szCs w:val="20"/>
          <w:lang w:val="en-GB"/>
        </w:rPr>
        <w:t>Fishes of the Cambodian Mekong</w:t>
      </w:r>
      <w:r w:rsidRPr="00F00798">
        <w:rPr>
          <w:rFonts w:ascii="Arial" w:hAnsi="Arial" w:cs="Arial"/>
          <w:sz w:val="20"/>
          <w:szCs w:val="20"/>
          <w:lang w:val="en-GB"/>
        </w:rPr>
        <w:t xml:space="preserve">. </w:t>
      </w:r>
      <w:r w:rsidRPr="00F00798">
        <w:rPr>
          <w:rFonts w:ascii="Arial" w:hAnsi="Arial" w:cs="Arial"/>
          <w:sz w:val="20"/>
          <w:szCs w:val="20"/>
          <w:lang w:val="fr-FR"/>
        </w:rPr>
        <w:t>FAO.</w:t>
      </w:r>
    </w:p>
    <w:p w14:paraId="6D22941F" w14:textId="0C1ECB2E"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Reid, A. J., Carlson, A. K., Creed, I. F., et al. </w:t>
      </w:r>
      <w:r w:rsidRPr="00F00798">
        <w:rPr>
          <w:rFonts w:ascii="Arial" w:hAnsi="Arial" w:cs="Arial"/>
          <w:sz w:val="20"/>
          <w:szCs w:val="20"/>
          <w:lang w:val="fr-FR"/>
        </w:rPr>
        <w:t xml:space="preserve">(2019). </w:t>
      </w:r>
      <w:r w:rsidRPr="00F00798">
        <w:rPr>
          <w:rFonts w:ascii="Arial" w:hAnsi="Arial" w:cs="Arial"/>
          <w:sz w:val="20"/>
          <w:szCs w:val="20"/>
          <w:lang w:val="en-GB"/>
        </w:rPr>
        <w:t xml:space="preserve">Emerging threats and persistent challenges for freshwater biodiversity. </w:t>
      </w:r>
      <w:r w:rsidRPr="00F00798">
        <w:rPr>
          <w:rFonts w:ascii="Arial" w:hAnsi="Arial" w:cs="Arial"/>
          <w:i/>
          <w:iCs/>
          <w:sz w:val="20"/>
          <w:szCs w:val="20"/>
          <w:lang w:val="en-GB"/>
        </w:rPr>
        <w:t>Biological Reviews, 94</w:t>
      </w:r>
      <w:r w:rsidRPr="00F00798">
        <w:rPr>
          <w:rFonts w:ascii="Arial" w:hAnsi="Arial" w:cs="Arial"/>
          <w:sz w:val="20"/>
          <w:szCs w:val="20"/>
          <w:lang w:val="en-GB"/>
        </w:rPr>
        <w:t xml:space="preserve">(3), 849–873. </w:t>
      </w:r>
      <w:hyperlink r:id="rId27" w:tgtFrame="_new" w:history="1">
        <w:r w:rsidRPr="00F00798">
          <w:rPr>
            <w:rFonts w:ascii="Arial" w:hAnsi="Arial" w:cs="Arial"/>
            <w:sz w:val="20"/>
            <w:szCs w:val="20"/>
            <w:u w:val="single"/>
            <w:lang w:val="en-GB"/>
          </w:rPr>
          <w:t>https://doi.org/10.1111/brv.12480</w:t>
        </w:r>
      </w:hyperlink>
    </w:p>
    <w:p w14:paraId="629960EC"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Roberts, T. R., &amp; Vidthayanon, C. (1991). Revision of the tropical Asian catfish family Pangasiidae. </w:t>
      </w:r>
      <w:r w:rsidRPr="00F00798">
        <w:rPr>
          <w:rFonts w:ascii="Arial" w:hAnsi="Arial" w:cs="Arial"/>
          <w:i/>
          <w:iCs/>
          <w:sz w:val="20"/>
          <w:szCs w:val="20"/>
          <w:lang w:val="en-GB"/>
        </w:rPr>
        <w:t>Proceedings of the Academy of Natural Sciences of Philadelphia, 143</w:t>
      </w:r>
      <w:r w:rsidRPr="00F00798">
        <w:rPr>
          <w:rFonts w:ascii="Arial" w:hAnsi="Arial" w:cs="Arial"/>
          <w:sz w:val="20"/>
          <w:szCs w:val="20"/>
          <w:lang w:val="en-GB"/>
        </w:rPr>
        <w:t>, 97–144.</w:t>
      </w:r>
    </w:p>
    <w:p w14:paraId="31281AB9" w14:textId="10780AF9"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Sayer, C. A., Fernando, E., Jimenez, R. R., et al. (2025). One-quarter of freshwater fauna threatened with extinction. </w:t>
      </w:r>
      <w:r w:rsidRPr="00F00798">
        <w:rPr>
          <w:rFonts w:ascii="Arial" w:hAnsi="Arial" w:cs="Arial"/>
          <w:i/>
          <w:iCs/>
          <w:sz w:val="20"/>
          <w:szCs w:val="20"/>
          <w:lang w:val="en-GB"/>
        </w:rPr>
        <w:t>Nature, 638</w:t>
      </w:r>
      <w:r w:rsidRPr="00F00798">
        <w:rPr>
          <w:rFonts w:ascii="Arial" w:hAnsi="Arial" w:cs="Arial"/>
          <w:sz w:val="20"/>
          <w:szCs w:val="20"/>
          <w:lang w:val="en-GB"/>
        </w:rPr>
        <w:t xml:space="preserve">, 138–145. </w:t>
      </w:r>
      <w:hyperlink r:id="rId28" w:history="1">
        <w:r w:rsidRPr="00F00798">
          <w:rPr>
            <w:rStyle w:val="Hyperlink"/>
            <w:rFonts w:ascii="Arial" w:hAnsi="Arial" w:cs="Arial"/>
            <w:sz w:val="20"/>
            <w:szCs w:val="20"/>
            <w:lang w:val="en-GB"/>
          </w:rPr>
          <w:t>https://doi.org/10.1038/s41586-024-08375-z</w:t>
        </w:r>
      </w:hyperlink>
    </w:p>
    <w:p w14:paraId="6A95EEA4"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Schechter, M. G., Leonard, N. J., &amp; Taylor, W. W. (Eds.). (2008). </w:t>
      </w:r>
      <w:r w:rsidRPr="00F00798">
        <w:rPr>
          <w:rFonts w:ascii="Arial" w:hAnsi="Arial" w:cs="Arial"/>
          <w:i/>
          <w:iCs/>
          <w:sz w:val="20"/>
          <w:szCs w:val="20"/>
          <w:lang w:val="en-GB"/>
        </w:rPr>
        <w:t>International governance of fisheries ecosystems</w:t>
      </w:r>
      <w:r w:rsidRPr="00F00798">
        <w:rPr>
          <w:rFonts w:ascii="Arial" w:hAnsi="Arial" w:cs="Arial"/>
          <w:sz w:val="20"/>
          <w:szCs w:val="20"/>
          <w:lang w:val="en-GB"/>
        </w:rPr>
        <w:t>. American Fisheries Society.</w:t>
      </w:r>
    </w:p>
    <w:p w14:paraId="14F0F5B4"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Sheikh, M. S., Kalita, J., &amp; Dutta, A. (1997). The status of </w:t>
      </w:r>
      <w:r w:rsidRPr="00F00798">
        <w:rPr>
          <w:rFonts w:ascii="Arial" w:hAnsi="Arial" w:cs="Arial"/>
          <w:i/>
          <w:iCs/>
          <w:sz w:val="20"/>
          <w:szCs w:val="20"/>
          <w:lang w:val="en-GB"/>
        </w:rPr>
        <w:t>Bagarius bagarius</w:t>
      </w:r>
      <w:r w:rsidRPr="00F00798">
        <w:rPr>
          <w:rFonts w:ascii="Arial" w:hAnsi="Arial" w:cs="Arial"/>
          <w:sz w:val="20"/>
          <w:szCs w:val="20"/>
          <w:lang w:val="en-GB"/>
        </w:rPr>
        <w:t xml:space="preserve"> in the Brahmaputra River. </w:t>
      </w:r>
      <w:r w:rsidRPr="00F00798">
        <w:rPr>
          <w:rFonts w:ascii="Arial" w:hAnsi="Arial" w:cs="Arial"/>
          <w:i/>
          <w:iCs/>
          <w:sz w:val="20"/>
          <w:szCs w:val="20"/>
          <w:lang w:val="en-GB"/>
        </w:rPr>
        <w:t>Tigerpaper, 24</w:t>
      </w:r>
      <w:r w:rsidRPr="00F00798">
        <w:rPr>
          <w:rFonts w:ascii="Arial" w:hAnsi="Arial" w:cs="Arial"/>
          <w:sz w:val="20"/>
          <w:szCs w:val="20"/>
          <w:lang w:val="en-GB"/>
        </w:rPr>
        <w:t>, 22–25.</w:t>
      </w:r>
    </w:p>
    <w:p w14:paraId="7B0EB1FC"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So, N., Maes, G. E., &amp; Volckaert, A. M. (2006). Intra-annual genetic variation in larval drift of </w:t>
      </w:r>
      <w:r w:rsidRPr="00F00798">
        <w:rPr>
          <w:rFonts w:ascii="Arial" w:hAnsi="Arial" w:cs="Arial"/>
          <w:i/>
          <w:iCs/>
          <w:sz w:val="20"/>
          <w:szCs w:val="20"/>
          <w:lang w:val="en-GB"/>
        </w:rPr>
        <w:t>Pangasianodon hypophthalmus</w:t>
      </w:r>
      <w:r w:rsidRPr="00F00798">
        <w:rPr>
          <w:rFonts w:ascii="Arial" w:hAnsi="Arial" w:cs="Arial"/>
          <w:sz w:val="20"/>
          <w:szCs w:val="20"/>
          <w:lang w:val="en-GB"/>
        </w:rPr>
        <w:t xml:space="preserve"> in the Mekong River. </w:t>
      </w:r>
      <w:r w:rsidRPr="00F00798">
        <w:rPr>
          <w:rFonts w:ascii="Arial" w:hAnsi="Arial" w:cs="Arial"/>
          <w:i/>
          <w:iCs/>
          <w:sz w:val="20"/>
          <w:szCs w:val="20"/>
          <w:lang w:val="en-GB"/>
        </w:rPr>
        <w:t>Biological Journal of the Linnean Society, 89</w:t>
      </w:r>
      <w:r w:rsidRPr="00F00798">
        <w:rPr>
          <w:rFonts w:ascii="Arial" w:hAnsi="Arial" w:cs="Arial"/>
          <w:sz w:val="20"/>
          <w:szCs w:val="20"/>
          <w:lang w:val="en-GB"/>
        </w:rPr>
        <w:t>, 719–728.</w:t>
      </w:r>
    </w:p>
    <w:p w14:paraId="7DCF0834"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Stone, R. (2007). The last of the leviathans. </w:t>
      </w:r>
      <w:r w:rsidRPr="00F00798">
        <w:rPr>
          <w:rFonts w:ascii="Arial" w:hAnsi="Arial" w:cs="Arial"/>
          <w:i/>
          <w:iCs/>
          <w:sz w:val="20"/>
          <w:szCs w:val="20"/>
          <w:lang w:val="fr-FR"/>
        </w:rPr>
        <w:t>Science, 316</w:t>
      </w:r>
      <w:r w:rsidRPr="00F00798">
        <w:rPr>
          <w:rFonts w:ascii="Arial" w:hAnsi="Arial" w:cs="Arial"/>
          <w:sz w:val="20"/>
          <w:szCs w:val="20"/>
          <w:lang w:val="fr-FR"/>
        </w:rPr>
        <w:t>, 1684–1688.</w:t>
      </w:r>
    </w:p>
    <w:p w14:paraId="0A7AB63E" w14:textId="6CF3CD8B" w:rsidR="009672C2" w:rsidRPr="00F00798" w:rsidRDefault="002A409C" w:rsidP="00F00798">
      <w:pPr>
        <w:pStyle w:val="NoSpacing"/>
        <w:ind w:left="567" w:hanging="567"/>
        <w:rPr>
          <w:rFonts w:ascii="Arial" w:hAnsi="Arial" w:cs="Arial"/>
          <w:sz w:val="20"/>
          <w:szCs w:val="20"/>
          <w:lang w:val="it-IT"/>
        </w:rPr>
      </w:pPr>
      <w:r w:rsidRPr="00F00798">
        <w:rPr>
          <w:rFonts w:ascii="Arial" w:hAnsi="Arial" w:cs="Arial"/>
          <w:sz w:val="20"/>
          <w:szCs w:val="20"/>
          <w:lang w:val="en-GB"/>
        </w:rPr>
        <w:t xml:space="preserve">Strat, D., &amp; Gheorghe, I. F. (2023). Conservation status and policy effectiveness for Danube–Black Sea sturgeons. </w:t>
      </w:r>
      <w:r w:rsidRPr="00F00798">
        <w:rPr>
          <w:rFonts w:ascii="Arial" w:hAnsi="Arial" w:cs="Arial"/>
          <w:i/>
          <w:sz w:val="20"/>
          <w:szCs w:val="20"/>
          <w:lang w:val="it-IT"/>
        </w:rPr>
        <w:t>Diversity, 15</w:t>
      </w:r>
      <w:r w:rsidRPr="00F00798">
        <w:rPr>
          <w:rFonts w:ascii="Arial" w:hAnsi="Arial" w:cs="Arial"/>
          <w:sz w:val="20"/>
          <w:szCs w:val="20"/>
          <w:lang w:val="it-IT"/>
        </w:rPr>
        <w:t xml:space="preserve">(4), 568. </w:t>
      </w:r>
      <w:hyperlink r:id="rId29" w:tgtFrame="_new" w:history="1">
        <w:r w:rsidRPr="00F00798">
          <w:rPr>
            <w:rFonts w:ascii="Arial" w:hAnsi="Arial" w:cs="Arial"/>
            <w:sz w:val="20"/>
            <w:szCs w:val="20"/>
            <w:u w:val="single"/>
            <w:lang w:val="it-IT"/>
          </w:rPr>
          <w:t>https://doi.org/10.3390/d15040568</w:t>
        </w:r>
      </w:hyperlink>
    </w:p>
    <w:p w14:paraId="20AE2C09" w14:textId="77777777" w:rsidR="009672C2" w:rsidRPr="00F00798" w:rsidRDefault="002A409C" w:rsidP="00F00798">
      <w:pPr>
        <w:pStyle w:val="NoSpacing"/>
        <w:ind w:left="567" w:hanging="567"/>
        <w:rPr>
          <w:rFonts w:ascii="Arial" w:hAnsi="Arial" w:cs="Arial"/>
          <w:sz w:val="20"/>
          <w:szCs w:val="20"/>
          <w:lang w:val="es-ES"/>
        </w:rPr>
      </w:pPr>
      <w:r w:rsidRPr="00F00798">
        <w:rPr>
          <w:rFonts w:ascii="Arial" w:hAnsi="Arial" w:cs="Arial"/>
          <w:sz w:val="20"/>
          <w:szCs w:val="20"/>
          <w:lang w:val="it-IT"/>
        </w:rPr>
        <w:t xml:space="preserve">Sverlij, S. B., &amp; Espinach-Ros, A. (1986). </w:t>
      </w:r>
      <w:r w:rsidRPr="00F00798">
        <w:rPr>
          <w:rFonts w:ascii="Arial" w:hAnsi="Arial" w:cs="Arial"/>
          <w:i/>
          <w:sz w:val="20"/>
          <w:szCs w:val="20"/>
          <w:lang w:val="es-ES"/>
        </w:rPr>
        <w:t>El dorado, Salminus maxillosus</w:t>
      </w:r>
      <w:r w:rsidRPr="00F00798">
        <w:rPr>
          <w:rFonts w:ascii="Arial" w:hAnsi="Arial" w:cs="Arial"/>
          <w:sz w:val="20"/>
          <w:szCs w:val="20"/>
          <w:lang w:val="es-ES"/>
        </w:rPr>
        <w:t xml:space="preserve">, en el Río de la Plata y Río Uruguay inferior. </w:t>
      </w:r>
      <w:r w:rsidRPr="00F00798">
        <w:rPr>
          <w:rFonts w:ascii="Arial" w:hAnsi="Arial" w:cs="Arial"/>
          <w:i/>
          <w:sz w:val="20"/>
          <w:szCs w:val="20"/>
          <w:lang w:val="es-ES"/>
        </w:rPr>
        <w:t>Revista de Investigación y Desarrollo Pesquero, 6</w:t>
      </w:r>
      <w:r w:rsidRPr="00F00798">
        <w:rPr>
          <w:rFonts w:ascii="Arial" w:hAnsi="Arial" w:cs="Arial"/>
          <w:sz w:val="20"/>
          <w:szCs w:val="20"/>
          <w:lang w:val="es-ES"/>
        </w:rPr>
        <w:t>, 57–75.</w:t>
      </w:r>
    </w:p>
    <w:p w14:paraId="54DC21FF"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s-ES"/>
        </w:rPr>
        <w:t xml:space="preserve">Thieme, M. L., Lehner, B., Abell, R., &amp; Matthews, J. (2010). </w:t>
      </w:r>
      <w:r w:rsidRPr="00F00798">
        <w:rPr>
          <w:rFonts w:ascii="Arial" w:hAnsi="Arial" w:cs="Arial"/>
          <w:sz w:val="20"/>
          <w:szCs w:val="20"/>
          <w:lang w:val="en-GB"/>
        </w:rPr>
        <w:t xml:space="preserve">Exposure of Africa’s freshwater biodiversity to climate change. </w:t>
      </w:r>
      <w:r w:rsidRPr="00F00798">
        <w:rPr>
          <w:rFonts w:ascii="Arial" w:hAnsi="Arial" w:cs="Arial"/>
          <w:i/>
          <w:iCs/>
          <w:sz w:val="20"/>
          <w:szCs w:val="20"/>
          <w:lang w:val="fr-FR"/>
        </w:rPr>
        <w:t>Conservation Letters, 3</w:t>
      </w:r>
      <w:r w:rsidRPr="00F00798">
        <w:rPr>
          <w:rFonts w:ascii="Arial" w:hAnsi="Arial" w:cs="Arial"/>
          <w:sz w:val="20"/>
          <w:szCs w:val="20"/>
          <w:lang w:val="fr-FR"/>
        </w:rPr>
        <w:t>, 324–331.</w:t>
      </w:r>
    </w:p>
    <w:p w14:paraId="1C110D7A"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Tickner, D., et al. (2020). Bending the curve of global freshwater biodiversity loss: An emergency recovery plan. </w:t>
      </w:r>
      <w:r w:rsidRPr="00F00798">
        <w:rPr>
          <w:rFonts w:ascii="Arial" w:hAnsi="Arial" w:cs="Arial"/>
          <w:i/>
          <w:iCs/>
          <w:sz w:val="20"/>
          <w:szCs w:val="20"/>
          <w:lang w:val="en-GB"/>
        </w:rPr>
        <w:t>BioScience, 70</w:t>
      </w:r>
      <w:r w:rsidRPr="00F00798">
        <w:rPr>
          <w:rFonts w:ascii="Arial" w:hAnsi="Arial" w:cs="Arial"/>
          <w:sz w:val="20"/>
          <w:szCs w:val="20"/>
          <w:lang w:val="en-GB"/>
        </w:rPr>
        <w:t>, 330–342.</w:t>
      </w:r>
    </w:p>
    <w:p w14:paraId="553ED2FE"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Tockner, K., Uehlinger, U., &amp; Robinson, C. T. (2009). </w:t>
      </w:r>
      <w:r w:rsidRPr="00F00798">
        <w:rPr>
          <w:rFonts w:ascii="Arial" w:hAnsi="Arial" w:cs="Arial"/>
          <w:i/>
          <w:iCs/>
          <w:sz w:val="20"/>
          <w:szCs w:val="20"/>
          <w:lang w:val="en-GB"/>
        </w:rPr>
        <w:t>Rivers of Europe</w:t>
      </w:r>
      <w:r w:rsidRPr="00F00798">
        <w:rPr>
          <w:rFonts w:ascii="Arial" w:hAnsi="Arial" w:cs="Arial"/>
          <w:sz w:val="20"/>
          <w:szCs w:val="20"/>
          <w:lang w:val="en-GB"/>
        </w:rPr>
        <w:t>. Academic Press.</w:t>
      </w:r>
    </w:p>
    <w:p w14:paraId="663133A9" w14:textId="78F39AAB"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Tripp, S. J., Phelps, Q. E., Hupfeld, R. N., Herzog, D. P., Ostendorf, D. E., Moore, T. L., Brooks, R. C., &amp; Garvey, J. E. (2019). Sturgeon and paddlefish migration and the need for interjurisdictional management. </w:t>
      </w:r>
      <w:r w:rsidRPr="00F00798">
        <w:rPr>
          <w:rFonts w:ascii="Arial" w:hAnsi="Arial" w:cs="Arial"/>
          <w:i/>
          <w:iCs/>
          <w:sz w:val="20"/>
          <w:szCs w:val="20"/>
          <w:lang w:val="en-GB"/>
        </w:rPr>
        <w:t>Fisheries, 44</w:t>
      </w:r>
      <w:r w:rsidRPr="00F00798">
        <w:rPr>
          <w:rFonts w:ascii="Arial" w:hAnsi="Arial" w:cs="Arial"/>
          <w:sz w:val="20"/>
          <w:szCs w:val="20"/>
          <w:lang w:val="en-GB"/>
        </w:rPr>
        <w:t xml:space="preserve">(4), 183–193. </w:t>
      </w:r>
      <w:hyperlink r:id="rId30" w:tgtFrame="_new" w:history="1">
        <w:r w:rsidRPr="00F00798">
          <w:rPr>
            <w:rFonts w:ascii="Arial" w:hAnsi="Arial" w:cs="Arial"/>
            <w:sz w:val="20"/>
            <w:szCs w:val="20"/>
            <w:u w:val="single"/>
            <w:lang w:val="en-GB"/>
          </w:rPr>
          <w:t>https://doi.org/10.1002/fsh.10215</w:t>
        </w:r>
      </w:hyperlink>
    </w:p>
    <w:p w14:paraId="0897CEFD" w14:textId="677E8700"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lastRenderedPageBreak/>
        <w:t xml:space="preserve">UNEP/CMS COP14. (2024, March 21). </w:t>
      </w:r>
      <w:r w:rsidRPr="00F00798">
        <w:rPr>
          <w:rFonts w:ascii="Arial" w:hAnsi="Arial" w:cs="Arial"/>
          <w:i/>
          <w:iCs/>
          <w:sz w:val="20"/>
          <w:szCs w:val="20"/>
          <w:lang w:val="en-GB"/>
        </w:rPr>
        <w:t>Decisions adopted at COP14—European eel action plan request to Range States, Scientific Council and Secretariat (ST 7780/2024 REV 1).</w:t>
      </w:r>
      <w:r w:rsidRPr="00F00798">
        <w:rPr>
          <w:rFonts w:ascii="Arial" w:hAnsi="Arial" w:cs="Arial"/>
          <w:sz w:val="20"/>
          <w:szCs w:val="20"/>
          <w:lang w:val="en-GB"/>
        </w:rPr>
        <w:t xml:space="preserve"> Council of the European Union. </w:t>
      </w:r>
      <w:hyperlink r:id="rId31" w:tgtFrame="_new" w:history="1">
        <w:r w:rsidRPr="00F00798">
          <w:rPr>
            <w:rFonts w:ascii="Arial" w:hAnsi="Arial" w:cs="Arial"/>
            <w:sz w:val="20"/>
            <w:szCs w:val="20"/>
            <w:u w:val="single"/>
            <w:lang w:val="en-GB"/>
          </w:rPr>
          <w:t>https://data.consilium.europa.eu/doc/document/ST-7780-2024-REV-1/en/pdf</w:t>
        </w:r>
      </w:hyperlink>
    </w:p>
    <w:p w14:paraId="42EC654D" w14:textId="40AE48A0" w:rsidR="009672C2" w:rsidRPr="00F00798" w:rsidRDefault="002A409C" w:rsidP="00F00798">
      <w:pPr>
        <w:pStyle w:val="NoSpacing"/>
        <w:ind w:left="567" w:hanging="567"/>
        <w:rPr>
          <w:rFonts w:ascii="Arial" w:hAnsi="Arial" w:cs="Arial"/>
          <w:sz w:val="20"/>
          <w:szCs w:val="20"/>
        </w:rPr>
      </w:pPr>
      <w:r w:rsidRPr="00F00798">
        <w:rPr>
          <w:rFonts w:ascii="Arial" w:hAnsi="Arial" w:cs="Arial"/>
          <w:sz w:val="20"/>
          <w:szCs w:val="20"/>
          <w:lang w:val="en-GB"/>
        </w:rPr>
        <w:t xml:space="preserve">UNEP/CMS Secretariat. (2023, October 28). </w:t>
      </w:r>
      <w:r w:rsidRPr="00F00798">
        <w:rPr>
          <w:rFonts w:ascii="Arial" w:hAnsi="Arial" w:cs="Arial"/>
          <w:i/>
          <w:iCs/>
          <w:sz w:val="20"/>
          <w:szCs w:val="20"/>
          <w:lang w:val="en-GB"/>
        </w:rPr>
        <w:t>Progress to implement Decisions 13.76–13.79: European eel and freshwater fishes (CMS/ScC-SC6/CRP.9.7.2/Rev.1).</w:t>
      </w:r>
      <w:r w:rsidRPr="00F00798">
        <w:rPr>
          <w:rFonts w:ascii="Arial" w:hAnsi="Arial" w:cs="Arial"/>
          <w:sz w:val="20"/>
          <w:szCs w:val="20"/>
          <w:lang w:val="en-GB"/>
        </w:rPr>
        <w:t xml:space="preserve"> </w:t>
      </w:r>
      <w:hyperlink r:id="rId32" w:tgtFrame="_new" w:history="1">
        <w:r w:rsidRPr="00F00798">
          <w:rPr>
            <w:rFonts w:ascii="Arial" w:hAnsi="Arial" w:cs="Arial"/>
            <w:sz w:val="20"/>
            <w:szCs w:val="20"/>
            <w:u w:val="single"/>
          </w:rPr>
          <w:t>https://www.cms.int/sites/default/files/document/cms_scc-sc6_crp.9.7.2_rev1_freshwater-fish_e.pdf</w:t>
        </w:r>
      </w:hyperlink>
    </w:p>
    <w:p w14:paraId="01F706F4" w14:textId="77777777" w:rsidR="009672C2" w:rsidRPr="00F00798" w:rsidRDefault="002A409C" w:rsidP="00F00798">
      <w:pPr>
        <w:pStyle w:val="NoSpacing"/>
        <w:ind w:left="567" w:hanging="567"/>
        <w:rPr>
          <w:rFonts w:ascii="Arial" w:hAnsi="Arial" w:cs="Arial"/>
          <w:sz w:val="20"/>
          <w:szCs w:val="20"/>
          <w:lang w:val="nl-BE"/>
        </w:rPr>
      </w:pPr>
      <w:r w:rsidRPr="00F00798">
        <w:rPr>
          <w:rFonts w:ascii="Arial" w:hAnsi="Arial" w:cs="Arial"/>
          <w:sz w:val="20"/>
          <w:szCs w:val="20"/>
          <w:lang w:val="nl-BE"/>
        </w:rPr>
        <w:t xml:space="preserve">Valbo-Jørgensen, J., Marmulla, G., &amp; Welcomme, R. L. (2008). </w:t>
      </w:r>
      <w:r w:rsidRPr="00F00798">
        <w:rPr>
          <w:rFonts w:ascii="Arial" w:hAnsi="Arial" w:cs="Arial"/>
          <w:sz w:val="20"/>
          <w:szCs w:val="20"/>
          <w:lang w:val="en-GB"/>
        </w:rPr>
        <w:t xml:space="preserve">Migratory fish stocks in transboundary basins. In V. Lagutov (Ed.), </w:t>
      </w:r>
      <w:r w:rsidRPr="00F00798">
        <w:rPr>
          <w:rFonts w:ascii="Arial" w:hAnsi="Arial" w:cs="Arial"/>
          <w:i/>
          <w:iCs/>
          <w:sz w:val="20"/>
          <w:szCs w:val="20"/>
          <w:lang w:val="en-GB"/>
        </w:rPr>
        <w:t>Rescue of sturgeon species in the Ural River basin</w:t>
      </w:r>
      <w:r w:rsidRPr="00F00798">
        <w:rPr>
          <w:rFonts w:ascii="Arial" w:hAnsi="Arial" w:cs="Arial"/>
          <w:sz w:val="20"/>
          <w:szCs w:val="20"/>
          <w:lang w:val="en-GB"/>
        </w:rPr>
        <w:t xml:space="preserve"> (pp. 61–86). </w:t>
      </w:r>
      <w:r w:rsidRPr="00F00798">
        <w:rPr>
          <w:rFonts w:ascii="Arial" w:hAnsi="Arial" w:cs="Arial"/>
          <w:sz w:val="20"/>
          <w:szCs w:val="20"/>
          <w:lang w:val="nl-BE"/>
        </w:rPr>
        <w:t>Springer.</w:t>
      </w:r>
    </w:p>
    <w:p w14:paraId="7CD27928"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nl-BE"/>
        </w:rPr>
        <w:t xml:space="preserve">Van Zalinge, N., Sopha, L., Ngoe, P. D., Kong, H., &amp; Valbo-Jørgensen, J. (2002). </w:t>
      </w:r>
      <w:r w:rsidRPr="00F00798">
        <w:rPr>
          <w:rFonts w:ascii="Arial" w:hAnsi="Arial" w:cs="Arial"/>
          <w:i/>
          <w:iCs/>
          <w:sz w:val="20"/>
          <w:szCs w:val="20"/>
          <w:lang w:val="en-GB"/>
        </w:rPr>
        <w:t>Status of the Mekong Pangasianodon hypophthalmus resources, with special reference to the stock shared between Cambodia and Viet Nam</w:t>
      </w:r>
      <w:r w:rsidRPr="00F00798">
        <w:rPr>
          <w:rFonts w:ascii="Arial" w:hAnsi="Arial" w:cs="Arial"/>
          <w:sz w:val="20"/>
          <w:szCs w:val="20"/>
          <w:lang w:val="en-GB"/>
        </w:rPr>
        <w:t>. Mekong River Commission.</w:t>
      </w:r>
    </w:p>
    <w:p w14:paraId="317EEE6B"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Varis, O., Tortajada, C., &amp; Biswas, A. K. (2008). </w:t>
      </w:r>
      <w:r w:rsidRPr="00F00798">
        <w:rPr>
          <w:rFonts w:ascii="Arial" w:hAnsi="Arial" w:cs="Arial"/>
          <w:i/>
          <w:iCs/>
          <w:sz w:val="20"/>
          <w:szCs w:val="20"/>
          <w:lang w:val="en-GB"/>
        </w:rPr>
        <w:t>Management of transboundary rivers and lakes</w:t>
      </w:r>
      <w:r w:rsidRPr="00F00798">
        <w:rPr>
          <w:rFonts w:ascii="Arial" w:hAnsi="Arial" w:cs="Arial"/>
          <w:sz w:val="20"/>
          <w:szCs w:val="20"/>
          <w:lang w:val="en-GB"/>
        </w:rPr>
        <w:t>. Springer.</w:t>
      </w:r>
    </w:p>
    <w:p w14:paraId="6D8D453A"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Vásquez, G. A., Alonso, J. C., Carvajal, F., Moreau, J., Nuñez, J., Renno, J.-F., Tello, S., Montreuil, V., &amp; Duponchelle, F. (2009). Life-history of </w:t>
      </w:r>
      <w:r w:rsidRPr="00F00798">
        <w:rPr>
          <w:rFonts w:ascii="Arial" w:hAnsi="Arial" w:cs="Arial"/>
          <w:i/>
          <w:iCs/>
          <w:sz w:val="20"/>
          <w:szCs w:val="20"/>
          <w:lang w:val="en-GB"/>
        </w:rPr>
        <w:t>Brachyplatystoma rousseauxii</w:t>
      </w:r>
      <w:r w:rsidRPr="00F00798">
        <w:rPr>
          <w:rFonts w:ascii="Arial" w:hAnsi="Arial" w:cs="Arial"/>
          <w:sz w:val="20"/>
          <w:szCs w:val="20"/>
          <w:lang w:val="en-GB"/>
        </w:rPr>
        <w:t xml:space="preserve"> in the Iquitos region, Peru. </w:t>
      </w:r>
      <w:r w:rsidRPr="00F00798">
        <w:rPr>
          <w:rFonts w:ascii="Arial" w:hAnsi="Arial" w:cs="Arial"/>
          <w:i/>
          <w:iCs/>
          <w:sz w:val="20"/>
          <w:szCs w:val="20"/>
          <w:lang w:val="fr-FR"/>
        </w:rPr>
        <w:t>Journal of Fish Biology, 75</w:t>
      </w:r>
      <w:r w:rsidRPr="00F00798">
        <w:rPr>
          <w:rFonts w:ascii="Arial" w:hAnsi="Arial" w:cs="Arial"/>
          <w:sz w:val="20"/>
          <w:szCs w:val="20"/>
          <w:lang w:val="fr-FR"/>
        </w:rPr>
        <w:t>, 2527–2551.</w:t>
      </w:r>
    </w:p>
    <w:p w14:paraId="5FA5B16A"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Waldman, J. R., &amp; Quinn, T. P. (2022). North American diadromous fishes: Drivers of decline and potential for recovery. </w:t>
      </w:r>
      <w:r w:rsidRPr="00F00798">
        <w:rPr>
          <w:rFonts w:ascii="Arial" w:hAnsi="Arial" w:cs="Arial"/>
          <w:i/>
          <w:iCs/>
          <w:sz w:val="20"/>
          <w:szCs w:val="20"/>
          <w:lang w:val="en-GB"/>
        </w:rPr>
        <w:t>Science Advances, 8</w:t>
      </w:r>
      <w:r w:rsidRPr="00F00798">
        <w:rPr>
          <w:rFonts w:ascii="Arial" w:hAnsi="Arial" w:cs="Arial"/>
          <w:sz w:val="20"/>
          <w:szCs w:val="20"/>
          <w:lang w:val="en-GB"/>
        </w:rPr>
        <w:t>(4), eabl5486.</w:t>
      </w:r>
    </w:p>
    <w:p w14:paraId="72940659" w14:textId="19F74F02"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Wirgin, I., Fox, A. G., Maceda, L., &amp; Waldman, J. (2023). Two distinct life-history strategies of Atlantic sturgeon in the Ogeechee River, Georgia. </w:t>
      </w:r>
      <w:r w:rsidRPr="00F00798">
        <w:rPr>
          <w:rFonts w:ascii="Arial" w:hAnsi="Arial" w:cs="Arial"/>
          <w:i/>
          <w:iCs/>
          <w:sz w:val="20"/>
          <w:szCs w:val="20"/>
          <w:lang w:val="en-GB"/>
        </w:rPr>
        <w:t>Diversity, 15</w:t>
      </w:r>
      <w:r w:rsidRPr="00F00798">
        <w:rPr>
          <w:rFonts w:ascii="Arial" w:hAnsi="Arial" w:cs="Arial"/>
          <w:sz w:val="20"/>
          <w:szCs w:val="20"/>
          <w:lang w:val="en-GB"/>
        </w:rPr>
        <w:t xml:space="preserve">(3), 325. </w:t>
      </w:r>
      <w:hyperlink r:id="rId33" w:tgtFrame="_new" w:history="1">
        <w:r w:rsidRPr="00F00798">
          <w:rPr>
            <w:rFonts w:ascii="Arial" w:hAnsi="Arial" w:cs="Arial"/>
            <w:sz w:val="20"/>
            <w:szCs w:val="20"/>
            <w:u w:val="single"/>
            <w:lang w:val="en-GB"/>
          </w:rPr>
          <w:t>https://doi.org/10.3390/d15030325</w:t>
        </w:r>
      </w:hyperlink>
    </w:p>
    <w:p w14:paraId="33C4722E" w14:textId="77777777"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en-GB"/>
        </w:rPr>
        <w:t xml:space="preserve">Wolf, A. T., Natharius, J. A., Danielson, J. J., Ward, B. S., &amp; Bender, J. K. (1999). International river basins of the world. </w:t>
      </w:r>
      <w:r w:rsidRPr="00F00798">
        <w:rPr>
          <w:rFonts w:ascii="Arial" w:hAnsi="Arial" w:cs="Arial"/>
          <w:i/>
          <w:iCs/>
          <w:sz w:val="20"/>
          <w:szCs w:val="20"/>
          <w:lang w:val="en-GB"/>
        </w:rPr>
        <w:t>Water Resources Development, 15</w:t>
      </w:r>
      <w:r w:rsidRPr="00F00798">
        <w:rPr>
          <w:rFonts w:ascii="Arial" w:hAnsi="Arial" w:cs="Arial"/>
          <w:sz w:val="20"/>
          <w:szCs w:val="20"/>
          <w:lang w:val="en-GB"/>
        </w:rPr>
        <w:t>, 387–427.</w:t>
      </w:r>
    </w:p>
    <w:p w14:paraId="125D0D47"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Xenopoulos, M. A., Lodge, D. M., Alcamo, J., et al. (2005). Scenarios of freshwater fish extinctions from climate change and water withdrawal. </w:t>
      </w:r>
      <w:r w:rsidRPr="00F00798">
        <w:rPr>
          <w:rFonts w:ascii="Arial" w:hAnsi="Arial" w:cs="Arial"/>
          <w:i/>
          <w:iCs/>
          <w:sz w:val="20"/>
          <w:szCs w:val="20"/>
          <w:lang w:val="fr-FR"/>
        </w:rPr>
        <w:t>Global Change Biology, 11</w:t>
      </w:r>
      <w:r w:rsidRPr="00F00798">
        <w:rPr>
          <w:rFonts w:ascii="Arial" w:hAnsi="Arial" w:cs="Arial"/>
          <w:sz w:val="20"/>
          <w:szCs w:val="20"/>
          <w:lang w:val="fr-FR"/>
        </w:rPr>
        <w:t>, 1557–1564.</w:t>
      </w:r>
    </w:p>
    <w:p w14:paraId="16D329F9" w14:textId="77777777" w:rsidR="009672C2" w:rsidRPr="00F00798" w:rsidRDefault="002A409C" w:rsidP="00F00798">
      <w:pPr>
        <w:pStyle w:val="NoSpacing"/>
        <w:ind w:left="567" w:hanging="567"/>
        <w:rPr>
          <w:rFonts w:ascii="Arial" w:hAnsi="Arial" w:cs="Arial"/>
          <w:sz w:val="20"/>
          <w:szCs w:val="20"/>
          <w:lang w:val="fr-FR"/>
        </w:rPr>
      </w:pPr>
      <w:r w:rsidRPr="00F00798">
        <w:rPr>
          <w:rFonts w:ascii="Arial" w:hAnsi="Arial" w:cs="Arial"/>
          <w:sz w:val="20"/>
          <w:szCs w:val="20"/>
          <w:lang w:val="en-GB"/>
        </w:rPr>
        <w:t xml:space="preserve">Xie, P. (2003). Three-Gorges Dam: Risk to ancient fish. </w:t>
      </w:r>
      <w:r w:rsidRPr="00F00798">
        <w:rPr>
          <w:rFonts w:ascii="Arial" w:hAnsi="Arial" w:cs="Arial"/>
          <w:i/>
          <w:sz w:val="20"/>
          <w:szCs w:val="20"/>
          <w:lang w:val="fr-FR"/>
        </w:rPr>
        <w:t>Science, 302</w:t>
      </w:r>
      <w:r w:rsidRPr="00F00798">
        <w:rPr>
          <w:rFonts w:ascii="Arial" w:hAnsi="Arial" w:cs="Arial"/>
          <w:sz w:val="20"/>
          <w:szCs w:val="20"/>
          <w:lang w:val="fr-FR"/>
        </w:rPr>
        <w:t>, 114.</w:t>
      </w:r>
    </w:p>
    <w:p w14:paraId="3DFDEC61" w14:textId="4AE26ECC" w:rsidR="009672C2" w:rsidRPr="00F00798" w:rsidRDefault="002A409C" w:rsidP="00F00798">
      <w:pPr>
        <w:pStyle w:val="NoSpacing"/>
        <w:ind w:left="567" w:hanging="567"/>
        <w:rPr>
          <w:rFonts w:ascii="Arial" w:hAnsi="Arial" w:cs="Arial"/>
          <w:sz w:val="20"/>
          <w:szCs w:val="20"/>
          <w:lang w:val="en-GB"/>
        </w:rPr>
      </w:pPr>
      <w:r w:rsidRPr="00F00798">
        <w:rPr>
          <w:rFonts w:ascii="Arial" w:hAnsi="Arial" w:cs="Arial"/>
          <w:sz w:val="20"/>
          <w:szCs w:val="20"/>
          <w:lang w:val="fr-FR"/>
        </w:rPr>
        <w:t xml:space="preserve">Zhang, H., Du, H., Zhou, C., Gui, J., Zhang, C., Zhou, Z., … </w:t>
      </w:r>
      <w:r w:rsidRPr="00F00798">
        <w:rPr>
          <w:rFonts w:ascii="Arial" w:hAnsi="Arial" w:cs="Arial"/>
          <w:sz w:val="20"/>
          <w:szCs w:val="20"/>
          <w:lang w:val="en-GB"/>
        </w:rPr>
        <w:t xml:space="preserve">Wei, Q. (2020). Extinction of the Chinese paddlefish </w:t>
      </w:r>
      <w:r w:rsidRPr="00F00798">
        <w:rPr>
          <w:rFonts w:ascii="Arial" w:hAnsi="Arial" w:cs="Arial"/>
          <w:i/>
          <w:iCs/>
          <w:sz w:val="20"/>
          <w:szCs w:val="20"/>
          <w:lang w:val="en-GB"/>
        </w:rPr>
        <w:t>Psephurus gladius</w:t>
      </w:r>
      <w:r w:rsidRPr="00F00798">
        <w:rPr>
          <w:rFonts w:ascii="Arial" w:hAnsi="Arial" w:cs="Arial"/>
          <w:sz w:val="20"/>
          <w:szCs w:val="20"/>
          <w:lang w:val="en-GB"/>
        </w:rPr>
        <w:t xml:space="preserve">. </w:t>
      </w:r>
      <w:r w:rsidRPr="00F00798">
        <w:rPr>
          <w:rFonts w:ascii="Arial" w:hAnsi="Arial" w:cs="Arial"/>
          <w:i/>
          <w:iCs/>
          <w:sz w:val="20"/>
          <w:szCs w:val="20"/>
          <w:lang w:val="en-GB"/>
        </w:rPr>
        <w:t>Science of the Total Environment, 710</w:t>
      </w:r>
      <w:r w:rsidRPr="00F00798">
        <w:rPr>
          <w:rFonts w:ascii="Arial" w:hAnsi="Arial" w:cs="Arial"/>
          <w:sz w:val="20"/>
          <w:szCs w:val="20"/>
          <w:lang w:val="en-GB"/>
        </w:rPr>
        <w:t xml:space="preserve">, 136242. </w:t>
      </w:r>
      <w:hyperlink r:id="rId34" w:tgtFrame="_new" w:history="1">
        <w:r w:rsidRPr="00F00798">
          <w:rPr>
            <w:rFonts w:ascii="Arial" w:hAnsi="Arial" w:cs="Arial"/>
            <w:sz w:val="20"/>
            <w:szCs w:val="20"/>
            <w:u w:val="single"/>
            <w:lang w:val="en-GB"/>
          </w:rPr>
          <w:t>https://doi.org/10.1016/j.scitotenv.2019.136242</w:t>
        </w:r>
      </w:hyperlink>
    </w:p>
    <w:p w14:paraId="5162248C" w14:textId="77777777" w:rsidR="009672C2" w:rsidRPr="00F00798" w:rsidRDefault="009672C2">
      <w:pPr>
        <w:rPr>
          <w:rFonts w:ascii="Arial" w:hAnsi="Arial" w:cs="Arial"/>
          <w:color w:val="000000" w:themeColor="text1"/>
          <w:sz w:val="20"/>
          <w:szCs w:val="20"/>
          <w:lang w:val="en-GB"/>
        </w:rPr>
      </w:pPr>
    </w:p>
    <w:p w14:paraId="3D20EA7F" w14:textId="77777777" w:rsidR="009672C2" w:rsidRPr="002F17EA" w:rsidRDefault="009672C2">
      <w:pPr>
        <w:rPr>
          <w:rFonts w:ascii="Arial" w:hAnsi="Arial" w:cs="Arial"/>
          <w:color w:val="000000" w:themeColor="text1"/>
          <w:szCs w:val="24"/>
          <w:lang w:val="en-GB"/>
        </w:rPr>
      </w:pPr>
    </w:p>
    <w:p w14:paraId="32D0E999" w14:textId="77777777" w:rsidR="009672C2" w:rsidRPr="002F17EA" w:rsidRDefault="009672C2">
      <w:pPr>
        <w:pStyle w:val="Heading1"/>
        <w:rPr>
          <w:lang w:val="en-GB"/>
        </w:rPr>
        <w:sectPr w:rsidR="009672C2" w:rsidRPr="002F17EA">
          <w:headerReference w:type="even" r:id="rId35"/>
          <w:headerReference w:type="default" r:id="rId36"/>
          <w:footerReference w:type="even" r:id="rId37"/>
          <w:footerReference w:type="default" r:id="rId38"/>
          <w:headerReference w:type="first" r:id="rId39"/>
          <w:pgSz w:w="12240" w:h="15840"/>
          <w:pgMar w:top="1440" w:right="1440" w:bottom="1440" w:left="1440" w:header="720" w:footer="720" w:gutter="0"/>
          <w:cols w:space="720"/>
          <w:titlePg/>
          <w:docGrid w:linePitch="360"/>
        </w:sectPr>
      </w:pPr>
    </w:p>
    <w:p w14:paraId="608367BD" w14:textId="702C6A2B" w:rsidR="005969CE" w:rsidRPr="00E976DD" w:rsidRDefault="002A409C" w:rsidP="00E976DD">
      <w:pPr>
        <w:pStyle w:val="Heading1"/>
        <w:spacing w:before="0" w:line="240" w:lineRule="auto"/>
        <w:rPr>
          <w:rFonts w:ascii="Arial" w:hAnsi="Arial" w:cs="Arial"/>
          <w:sz w:val="22"/>
          <w:szCs w:val="22"/>
          <w:lang w:val="fr-FR"/>
        </w:rPr>
      </w:pPr>
      <w:bookmarkStart w:id="65" w:name="_Toc214450297"/>
      <w:r w:rsidRPr="00E976DD">
        <w:rPr>
          <w:rFonts w:ascii="Arial" w:hAnsi="Arial" w:cs="Arial"/>
          <w:sz w:val="22"/>
          <w:szCs w:val="22"/>
          <w:lang w:val="fr-FR"/>
        </w:rPr>
        <w:lastRenderedPageBreak/>
        <w:t>A</w:t>
      </w:r>
      <w:r w:rsidR="00E976DD" w:rsidRPr="00E976DD">
        <w:rPr>
          <w:rFonts w:ascii="Arial" w:hAnsi="Arial" w:cs="Arial"/>
          <w:sz w:val="22"/>
          <w:szCs w:val="22"/>
          <w:lang w:val="fr-FR"/>
        </w:rPr>
        <w:t xml:space="preserve">NNEXE </w:t>
      </w:r>
      <w:r w:rsidRPr="00E976DD">
        <w:rPr>
          <w:rFonts w:ascii="Arial" w:hAnsi="Arial" w:cs="Arial"/>
          <w:sz w:val="22"/>
          <w:szCs w:val="22"/>
          <w:lang w:val="fr-FR"/>
        </w:rPr>
        <w:t xml:space="preserve">A. </w:t>
      </w:r>
      <w:r w:rsidR="005969CE" w:rsidRPr="00E976DD">
        <w:rPr>
          <w:rFonts w:ascii="Arial" w:eastAsia="Times New Roman" w:hAnsi="Arial" w:cs="Arial"/>
          <w:iCs/>
          <w:sz w:val="22"/>
          <w:szCs w:val="22"/>
          <w:lang w:val="fr-FR"/>
        </w:rPr>
        <w:t>POISSONS D'EAU DOUCE MIGRATEURS</w:t>
      </w:r>
      <w:r w:rsidR="00E976DD" w:rsidRPr="00E976DD">
        <w:rPr>
          <w:rFonts w:ascii="Arial" w:eastAsia="Times New Roman" w:hAnsi="Arial" w:cs="Arial"/>
          <w:iCs/>
          <w:sz w:val="22"/>
          <w:szCs w:val="22"/>
          <w:lang w:val="fr-FR"/>
        </w:rPr>
        <w:t xml:space="preserve"> </w:t>
      </w:r>
      <w:r w:rsidR="005969CE" w:rsidRPr="00E976DD">
        <w:rPr>
          <w:rFonts w:ascii="Arial" w:eastAsia="Times New Roman" w:hAnsi="Arial" w:cs="Arial"/>
          <w:iCs/>
          <w:sz w:val="22"/>
          <w:szCs w:val="22"/>
          <w:lang w:val="fr-FR"/>
        </w:rPr>
        <w:t>REMPLISSANT LES CRITÈRES D'INSCRIPTION À LA CMS</w:t>
      </w:r>
      <w:bookmarkEnd w:id="65"/>
    </w:p>
    <w:p w14:paraId="2C2F96C0" w14:textId="77777777" w:rsidR="005969CE" w:rsidRPr="009B3247" w:rsidRDefault="005969CE" w:rsidP="005969CE">
      <w:pPr>
        <w:pStyle w:val="Secondnumbering"/>
        <w:numPr>
          <w:ilvl w:val="0"/>
          <w:numId w:val="0"/>
        </w:numPr>
        <w:jc w:val="center"/>
        <w:rPr>
          <w:rFonts w:cs="Arial"/>
          <w:b/>
          <w:caps/>
          <w:lang w:val="fr-FR"/>
        </w:rPr>
      </w:pPr>
    </w:p>
    <w:p w14:paraId="38B71C77" w14:textId="77777777" w:rsidR="005969CE" w:rsidRPr="00FD736D" w:rsidRDefault="005969CE" w:rsidP="005969CE">
      <w:pPr>
        <w:spacing w:line="240" w:lineRule="auto"/>
        <w:rPr>
          <w:rFonts w:ascii="Arial" w:hAnsi="Arial" w:cs="Arial"/>
          <w:i/>
          <w:color w:val="000000" w:themeColor="text1"/>
          <w:sz w:val="20"/>
          <w:szCs w:val="20"/>
          <w:lang w:val="fr-FR"/>
        </w:rPr>
      </w:pPr>
      <w:r w:rsidRPr="00FD736D">
        <w:rPr>
          <w:rFonts w:ascii="Arial" w:hAnsi="Arial" w:cs="Arial"/>
          <w:color w:val="000000" w:themeColor="text1"/>
          <w:sz w:val="20"/>
          <w:szCs w:val="20"/>
          <w:lang w:val="fr-FR"/>
        </w:rPr>
        <w:t xml:space="preserve">Le tableau complet est disponible </w:t>
      </w:r>
      <w:hyperlink r:id="rId40" w:history="1">
        <w:r w:rsidRPr="00FD736D">
          <w:rPr>
            <w:rStyle w:val="Hyperlink"/>
            <w:rFonts w:ascii="Arial" w:hAnsi="Arial" w:cs="Arial"/>
            <w:sz w:val="20"/>
            <w:szCs w:val="20"/>
            <w:lang w:val="fr-FR"/>
          </w:rPr>
          <w:t>ici</w:t>
        </w:r>
      </w:hyperlink>
      <w:r w:rsidRPr="00FD736D">
        <w:rPr>
          <w:rFonts w:ascii="Arial" w:hAnsi="Arial" w:cs="Arial"/>
          <w:color w:val="000000" w:themeColor="text1"/>
          <w:sz w:val="20"/>
          <w:szCs w:val="20"/>
          <w:lang w:val="fr-FR"/>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1861"/>
        <w:gridCol w:w="1839"/>
        <w:gridCol w:w="1305"/>
        <w:gridCol w:w="4074"/>
        <w:gridCol w:w="3941"/>
      </w:tblGrid>
      <w:tr w:rsidR="005969CE" w:rsidRPr="00FD736D" w14:paraId="7AFB59AC" w14:textId="77777777" w:rsidTr="007F4E66">
        <w:trPr>
          <w:trHeight w:val="20"/>
          <w:tblHeader/>
        </w:trPr>
        <w:tc>
          <w:tcPr>
            <w:tcW w:w="616" w:type="pct"/>
            <w:shd w:val="clear" w:color="auto" w:fill="EEECE1" w:themeFill="background2"/>
          </w:tcPr>
          <w:p w14:paraId="63CBDD77" w14:textId="77777777" w:rsidR="005969CE" w:rsidRPr="00FD736D" w:rsidRDefault="005969CE" w:rsidP="008A6534">
            <w:pPr>
              <w:spacing w:after="0" w:line="240" w:lineRule="auto"/>
              <w:rPr>
                <w:rFonts w:ascii="Arial" w:hAnsi="Arial" w:cs="Arial"/>
                <w:b/>
                <w:bCs/>
                <w:iCs/>
                <w:color w:val="000000" w:themeColor="text1"/>
                <w:sz w:val="20"/>
                <w:szCs w:val="20"/>
              </w:rPr>
            </w:pPr>
            <w:r w:rsidRPr="00FD736D">
              <w:rPr>
                <w:rFonts w:ascii="Arial" w:hAnsi="Arial" w:cs="Arial"/>
                <w:b/>
                <w:bCs/>
                <w:iCs/>
                <w:color w:val="000000" w:themeColor="text1"/>
                <w:sz w:val="20"/>
                <w:szCs w:val="20"/>
              </w:rPr>
              <w:t>Espèce</w:t>
            </w:r>
          </w:p>
        </w:tc>
        <w:tc>
          <w:tcPr>
            <w:tcW w:w="632" w:type="pct"/>
            <w:shd w:val="clear" w:color="auto" w:fill="EEECE1" w:themeFill="background2"/>
          </w:tcPr>
          <w:p w14:paraId="1EFC0F13" w14:textId="77777777" w:rsidR="005969CE" w:rsidRPr="00FD736D" w:rsidRDefault="005969CE" w:rsidP="008A6534">
            <w:pPr>
              <w:spacing w:after="0" w:line="240" w:lineRule="auto"/>
              <w:rPr>
                <w:rFonts w:ascii="Arial" w:hAnsi="Arial" w:cs="Arial"/>
                <w:b/>
                <w:bCs/>
                <w:iCs/>
                <w:color w:val="000000" w:themeColor="text1"/>
                <w:sz w:val="20"/>
                <w:szCs w:val="20"/>
              </w:rPr>
            </w:pPr>
            <w:r w:rsidRPr="00FD736D">
              <w:rPr>
                <w:rFonts w:ascii="Arial" w:hAnsi="Arial" w:cs="Arial"/>
                <w:b/>
                <w:bCs/>
                <w:iCs/>
                <w:color w:val="000000" w:themeColor="text1"/>
                <w:sz w:val="20"/>
                <w:szCs w:val="20"/>
              </w:rPr>
              <w:t>Famille/ Ordre</w:t>
            </w:r>
          </w:p>
        </w:tc>
        <w:tc>
          <w:tcPr>
            <w:tcW w:w="459" w:type="pct"/>
            <w:shd w:val="clear" w:color="auto" w:fill="EEECE1" w:themeFill="background2"/>
          </w:tcPr>
          <w:p w14:paraId="46DB1482" w14:textId="77777777" w:rsidR="005969CE" w:rsidRPr="00FD736D" w:rsidRDefault="005969CE" w:rsidP="008A6534">
            <w:pPr>
              <w:spacing w:after="0" w:line="240" w:lineRule="auto"/>
              <w:rPr>
                <w:rFonts w:ascii="Arial" w:hAnsi="Arial" w:cs="Arial"/>
                <w:b/>
                <w:bCs/>
                <w:iCs/>
                <w:color w:val="000000" w:themeColor="text1"/>
                <w:sz w:val="20"/>
                <w:szCs w:val="20"/>
              </w:rPr>
            </w:pPr>
            <w:r w:rsidRPr="00FD736D">
              <w:rPr>
                <w:rFonts w:ascii="Arial" w:hAnsi="Arial" w:cs="Arial"/>
                <w:b/>
                <w:bCs/>
                <w:iCs/>
                <w:color w:val="000000" w:themeColor="text1"/>
                <w:sz w:val="20"/>
                <w:szCs w:val="20"/>
              </w:rPr>
              <w:t>Statut de conservation UICN</w:t>
            </w:r>
          </w:p>
        </w:tc>
        <w:tc>
          <w:tcPr>
            <w:tcW w:w="1672" w:type="pct"/>
            <w:shd w:val="clear" w:color="auto" w:fill="EEECE1" w:themeFill="background2"/>
          </w:tcPr>
          <w:p w14:paraId="5DAE9970" w14:textId="77777777" w:rsidR="005969CE" w:rsidRPr="00FD736D" w:rsidRDefault="005969CE" w:rsidP="008A6534">
            <w:pPr>
              <w:spacing w:after="0" w:line="240" w:lineRule="auto"/>
              <w:rPr>
                <w:rFonts w:ascii="Arial" w:hAnsi="Arial" w:cs="Arial"/>
                <w:b/>
                <w:bCs/>
                <w:iCs/>
                <w:color w:val="000000" w:themeColor="text1"/>
                <w:sz w:val="20"/>
                <w:szCs w:val="20"/>
              </w:rPr>
            </w:pPr>
            <w:r w:rsidRPr="00FD736D">
              <w:rPr>
                <w:rFonts w:ascii="Arial" w:hAnsi="Arial" w:cs="Arial"/>
                <w:b/>
                <w:bCs/>
                <w:iCs/>
                <w:color w:val="000000" w:themeColor="text1"/>
                <w:sz w:val="20"/>
                <w:szCs w:val="20"/>
              </w:rPr>
              <w:t>Bassins transfrontaliers</w:t>
            </w:r>
          </w:p>
        </w:tc>
        <w:tc>
          <w:tcPr>
            <w:tcW w:w="1621" w:type="pct"/>
            <w:shd w:val="clear" w:color="auto" w:fill="EEECE1" w:themeFill="background2"/>
          </w:tcPr>
          <w:p w14:paraId="0E415234" w14:textId="77777777" w:rsidR="005969CE" w:rsidRPr="00FD736D" w:rsidRDefault="005969CE" w:rsidP="008A6534">
            <w:pPr>
              <w:spacing w:after="0" w:line="240" w:lineRule="auto"/>
              <w:rPr>
                <w:rFonts w:ascii="Arial" w:hAnsi="Arial" w:cs="Arial"/>
                <w:b/>
                <w:bCs/>
                <w:iCs/>
                <w:color w:val="000000" w:themeColor="text1"/>
                <w:sz w:val="20"/>
                <w:szCs w:val="20"/>
              </w:rPr>
            </w:pPr>
            <w:r w:rsidRPr="00FD736D">
              <w:rPr>
                <w:rFonts w:ascii="Arial" w:hAnsi="Arial" w:cs="Arial"/>
                <w:b/>
                <w:bCs/>
                <w:iCs/>
                <w:color w:val="000000" w:themeColor="text1"/>
                <w:sz w:val="20"/>
                <w:szCs w:val="20"/>
              </w:rPr>
              <w:t>Pays</w:t>
            </w:r>
          </w:p>
        </w:tc>
      </w:tr>
      <w:tr w:rsidR="005969CE" w:rsidRPr="00FD736D" w14:paraId="7059B479" w14:textId="77777777" w:rsidTr="007F4E66">
        <w:trPr>
          <w:trHeight w:val="20"/>
        </w:trPr>
        <w:tc>
          <w:tcPr>
            <w:tcW w:w="616" w:type="pct"/>
          </w:tcPr>
          <w:p w14:paraId="17AC11F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Aaptosyax grypus</w:t>
            </w:r>
          </w:p>
        </w:tc>
        <w:tc>
          <w:tcPr>
            <w:tcW w:w="632" w:type="pct"/>
          </w:tcPr>
          <w:p w14:paraId="3F39517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14F8542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CR</w:t>
            </w:r>
          </w:p>
        </w:tc>
        <w:tc>
          <w:tcPr>
            <w:tcW w:w="1672" w:type="pct"/>
          </w:tcPr>
          <w:p w14:paraId="15C0F59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2699AB9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w:t>
            </w:r>
          </w:p>
        </w:tc>
      </w:tr>
      <w:tr w:rsidR="005969CE" w:rsidRPr="00FD736D" w14:paraId="4EBD718D" w14:textId="77777777" w:rsidTr="007F4E66">
        <w:trPr>
          <w:trHeight w:val="20"/>
        </w:trPr>
        <w:tc>
          <w:tcPr>
            <w:tcW w:w="616" w:type="pct"/>
          </w:tcPr>
          <w:p w14:paraId="3C6D6B4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Acipenser oxyrinchus</w:t>
            </w:r>
          </w:p>
        </w:tc>
        <w:tc>
          <w:tcPr>
            <w:tcW w:w="632" w:type="pct"/>
          </w:tcPr>
          <w:p w14:paraId="4CB8B2F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Acipenseridae / Acipenseriformes</w:t>
            </w:r>
          </w:p>
        </w:tc>
        <w:tc>
          <w:tcPr>
            <w:tcW w:w="459" w:type="pct"/>
          </w:tcPr>
          <w:p w14:paraId="64B7A95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74E7699B"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Narva; Neman; Neva; Oder; Pregolya; Saint John (Amérique du Nord)</w:t>
            </w:r>
          </w:p>
        </w:tc>
        <w:tc>
          <w:tcPr>
            <w:tcW w:w="1621" w:type="pct"/>
          </w:tcPr>
          <w:p w14:paraId="6CCB4FB3"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Canada; Estonie; Finlande; Allemagne; Lituanie; Pologne; Russie; Russie (Kaliningrad); États-Unis d’Amérique</w:t>
            </w:r>
          </w:p>
        </w:tc>
      </w:tr>
      <w:tr w:rsidR="005969CE" w:rsidRPr="00FD736D" w14:paraId="1E59962D" w14:textId="77777777" w:rsidTr="007F4E66">
        <w:trPr>
          <w:trHeight w:val="20"/>
        </w:trPr>
        <w:tc>
          <w:tcPr>
            <w:tcW w:w="616" w:type="pct"/>
          </w:tcPr>
          <w:p w14:paraId="54B9FAE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Acipenser transmontanus</w:t>
            </w:r>
          </w:p>
        </w:tc>
        <w:tc>
          <w:tcPr>
            <w:tcW w:w="632" w:type="pct"/>
          </w:tcPr>
          <w:p w14:paraId="7DDA363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Acipenseridae / Acipenseriformes</w:t>
            </w:r>
          </w:p>
        </w:tc>
        <w:tc>
          <w:tcPr>
            <w:tcW w:w="459" w:type="pct"/>
          </w:tcPr>
          <w:p w14:paraId="375FE4A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74D4C04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Columbia; Skagit</w:t>
            </w:r>
          </w:p>
        </w:tc>
        <w:tc>
          <w:tcPr>
            <w:tcW w:w="1621" w:type="pct"/>
          </w:tcPr>
          <w:p w14:paraId="20E222B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Canada; États-Unis d’Amérique</w:t>
            </w:r>
          </w:p>
        </w:tc>
      </w:tr>
      <w:tr w:rsidR="005969CE" w:rsidRPr="00FD736D" w14:paraId="2AEB7BD3" w14:textId="77777777" w:rsidTr="007F4E66">
        <w:trPr>
          <w:trHeight w:val="20"/>
        </w:trPr>
        <w:tc>
          <w:tcPr>
            <w:tcW w:w="616" w:type="pct"/>
          </w:tcPr>
          <w:p w14:paraId="6DE306D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Ageneiosus pardalis</w:t>
            </w:r>
          </w:p>
        </w:tc>
        <w:tc>
          <w:tcPr>
            <w:tcW w:w="632" w:type="pct"/>
          </w:tcPr>
          <w:p w14:paraId="3989BB9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Auchenipteridae / Siluriformes</w:t>
            </w:r>
          </w:p>
        </w:tc>
        <w:tc>
          <w:tcPr>
            <w:tcW w:w="459" w:type="pct"/>
          </w:tcPr>
          <w:p w14:paraId="73EF9D0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4A68D0D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Catatumbo</w:t>
            </w:r>
          </w:p>
        </w:tc>
        <w:tc>
          <w:tcPr>
            <w:tcW w:w="1621" w:type="pct"/>
          </w:tcPr>
          <w:p w14:paraId="3220AF2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Colombie; Venezuela</w:t>
            </w:r>
          </w:p>
        </w:tc>
      </w:tr>
      <w:tr w:rsidR="005969CE" w:rsidRPr="00FD736D" w14:paraId="5E5E06B9" w14:textId="77777777" w:rsidTr="007F4E66">
        <w:trPr>
          <w:trHeight w:val="20"/>
        </w:trPr>
        <w:tc>
          <w:tcPr>
            <w:tcW w:w="616" w:type="pct"/>
          </w:tcPr>
          <w:p w14:paraId="26FA2AA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Albula vulpes</w:t>
            </w:r>
          </w:p>
        </w:tc>
        <w:tc>
          <w:tcPr>
            <w:tcW w:w="632" w:type="pct"/>
          </w:tcPr>
          <w:p w14:paraId="6642990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Albulidae / Albuliformes</w:t>
            </w:r>
          </w:p>
        </w:tc>
        <w:tc>
          <w:tcPr>
            <w:tcW w:w="459" w:type="pct"/>
          </w:tcPr>
          <w:p w14:paraId="23F4F43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0749999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Artibonite; Belize; Candelaria; Coco; Grijalva; Hondo; Motagua; San Juan; Sarstoon; Sixaola</w:t>
            </w:r>
          </w:p>
        </w:tc>
        <w:tc>
          <w:tcPr>
            <w:tcW w:w="1621" w:type="pct"/>
          </w:tcPr>
          <w:p w14:paraId="2D959410"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Belize; Costa Rica; République dominicaine; Guatemala; Haïti; Honduras; Mexique; Nicaragua; Panama</w:t>
            </w:r>
          </w:p>
        </w:tc>
      </w:tr>
      <w:tr w:rsidR="005969CE" w:rsidRPr="00FD736D" w14:paraId="645823B9" w14:textId="77777777" w:rsidTr="007F4E66">
        <w:trPr>
          <w:trHeight w:val="20"/>
        </w:trPr>
        <w:tc>
          <w:tcPr>
            <w:tcW w:w="616" w:type="pct"/>
          </w:tcPr>
          <w:p w14:paraId="5834CA0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Alburnus sarmaticus</w:t>
            </w:r>
          </w:p>
        </w:tc>
        <w:tc>
          <w:tcPr>
            <w:tcW w:w="632" w:type="pct"/>
          </w:tcPr>
          <w:p w14:paraId="7C37AB8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Leuciscidae / Cypriniformes</w:t>
            </w:r>
          </w:p>
        </w:tc>
        <w:tc>
          <w:tcPr>
            <w:tcW w:w="459" w:type="pct"/>
          </w:tcPr>
          <w:p w14:paraId="7EBB9E2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7EAFF93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Danube</w:t>
            </w:r>
          </w:p>
        </w:tc>
        <w:tc>
          <w:tcPr>
            <w:tcW w:w="1621" w:type="pct"/>
          </w:tcPr>
          <w:p w14:paraId="3FF991B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Bulgarie; Moldavie; Roumanie; Ukraine</w:t>
            </w:r>
          </w:p>
        </w:tc>
      </w:tr>
      <w:tr w:rsidR="005969CE" w:rsidRPr="00FD736D" w14:paraId="22A022F7" w14:textId="77777777" w:rsidTr="007F4E66">
        <w:trPr>
          <w:trHeight w:val="20"/>
        </w:trPr>
        <w:tc>
          <w:tcPr>
            <w:tcW w:w="616" w:type="pct"/>
          </w:tcPr>
          <w:p w14:paraId="245F4EE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Alburnus scoranza</w:t>
            </w:r>
          </w:p>
        </w:tc>
        <w:tc>
          <w:tcPr>
            <w:tcW w:w="632" w:type="pct"/>
          </w:tcPr>
          <w:p w14:paraId="7763579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Leuciscidae / Cypriniformes</w:t>
            </w:r>
          </w:p>
        </w:tc>
        <w:tc>
          <w:tcPr>
            <w:tcW w:w="459" w:type="pct"/>
          </w:tcPr>
          <w:p w14:paraId="39256F3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6C276B2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Buna; Vjosa</w:t>
            </w:r>
          </w:p>
        </w:tc>
        <w:tc>
          <w:tcPr>
            <w:tcW w:w="1621" w:type="pct"/>
          </w:tcPr>
          <w:p w14:paraId="3F470539"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Kosovo</w:t>
            </w:r>
            <w:r w:rsidRPr="00FD736D">
              <w:rPr>
                <w:rStyle w:val="FootnoteReference"/>
                <w:rFonts w:ascii="Arial" w:hAnsi="Arial" w:cs="Arial"/>
                <w:iCs/>
                <w:color w:val="000000" w:themeColor="text1"/>
                <w:sz w:val="20"/>
                <w:szCs w:val="20"/>
              </w:rPr>
              <w:footnoteReference w:id="1"/>
            </w:r>
            <w:r w:rsidRPr="00FD736D">
              <w:rPr>
                <w:rFonts w:ascii="Arial" w:hAnsi="Arial" w:cs="Arial"/>
                <w:iCs/>
                <w:color w:val="000000" w:themeColor="text1"/>
                <w:sz w:val="20"/>
                <w:szCs w:val="20"/>
                <w:lang w:val="fr-FR"/>
              </w:rPr>
              <w:t>; Monténégro; Macédoine du Nord</w:t>
            </w:r>
          </w:p>
        </w:tc>
      </w:tr>
      <w:tr w:rsidR="005969CE" w:rsidRPr="00FD736D" w14:paraId="61E82CD0" w14:textId="77777777" w:rsidTr="007F4E66">
        <w:trPr>
          <w:trHeight w:val="20"/>
        </w:trPr>
        <w:tc>
          <w:tcPr>
            <w:tcW w:w="616" w:type="pct"/>
          </w:tcPr>
          <w:p w14:paraId="746A2D9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Alosa aestivalis</w:t>
            </w:r>
          </w:p>
        </w:tc>
        <w:tc>
          <w:tcPr>
            <w:tcW w:w="632" w:type="pct"/>
          </w:tcPr>
          <w:p w14:paraId="28645EE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Alosidae / Clupeiformes</w:t>
            </w:r>
          </w:p>
        </w:tc>
        <w:tc>
          <w:tcPr>
            <w:tcW w:w="459" w:type="pct"/>
          </w:tcPr>
          <w:p w14:paraId="2D99F52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065D965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Saint Croix</w:t>
            </w:r>
          </w:p>
        </w:tc>
        <w:tc>
          <w:tcPr>
            <w:tcW w:w="1621" w:type="pct"/>
          </w:tcPr>
          <w:p w14:paraId="4F5DF0B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Canada; États-Unis d’Amérique</w:t>
            </w:r>
          </w:p>
        </w:tc>
      </w:tr>
      <w:tr w:rsidR="005969CE" w:rsidRPr="00FD736D" w14:paraId="45BEDEBB" w14:textId="77777777" w:rsidTr="007F4E66">
        <w:trPr>
          <w:trHeight w:val="20"/>
        </w:trPr>
        <w:tc>
          <w:tcPr>
            <w:tcW w:w="616" w:type="pct"/>
          </w:tcPr>
          <w:p w14:paraId="230C185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Alosa alosa</w:t>
            </w:r>
          </w:p>
        </w:tc>
        <w:tc>
          <w:tcPr>
            <w:tcW w:w="632" w:type="pct"/>
          </w:tcPr>
          <w:p w14:paraId="220E368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Alosidae / Clupeiformes</w:t>
            </w:r>
          </w:p>
        </w:tc>
        <w:tc>
          <w:tcPr>
            <w:tcW w:w="459" w:type="pct"/>
          </w:tcPr>
          <w:p w14:paraId="164E444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CR</w:t>
            </w:r>
          </w:p>
        </w:tc>
        <w:tc>
          <w:tcPr>
            <w:tcW w:w="1672" w:type="pct"/>
          </w:tcPr>
          <w:p w14:paraId="539E98A8" w14:textId="77777777" w:rsidR="005969CE" w:rsidRPr="00FD736D" w:rsidRDefault="005969CE" w:rsidP="008A6534">
            <w:pPr>
              <w:spacing w:after="0" w:line="240" w:lineRule="auto"/>
              <w:rPr>
                <w:rFonts w:ascii="Arial" w:hAnsi="Arial" w:cs="Arial"/>
                <w:iCs/>
                <w:color w:val="000000" w:themeColor="text1"/>
                <w:sz w:val="20"/>
                <w:szCs w:val="20"/>
                <w:lang w:val="pt-PT"/>
              </w:rPr>
            </w:pPr>
            <w:r w:rsidRPr="00FD736D">
              <w:rPr>
                <w:rFonts w:ascii="Arial" w:hAnsi="Arial" w:cs="Arial"/>
                <w:iCs/>
                <w:color w:val="000000" w:themeColor="text1"/>
                <w:sz w:val="20"/>
                <w:szCs w:val="20"/>
                <w:lang w:val="pt-PT"/>
              </w:rPr>
              <w:t>Douro; Foyle; Guadiana; Lima; Minho; Newry; Rhine; Vida</w:t>
            </w:r>
          </w:p>
        </w:tc>
        <w:tc>
          <w:tcPr>
            <w:tcW w:w="1621" w:type="pct"/>
          </w:tcPr>
          <w:p w14:paraId="065353B4"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Danemark; France; Allemagne; Irlande; Pays-Bas; Portugal; Espagne; Royaume-Uni</w:t>
            </w:r>
          </w:p>
        </w:tc>
      </w:tr>
      <w:tr w:rsidR="005969CE" w:rsidRPr="00FD736D" w14:paraId="38B0EF53" w14:textId="77777777" w:rsidTr="007F4E66">
        <w:trPr>
          <w:trHeight w:val="20"/>
        </w:trPr>
        <w:tc>
          <w:tcPr>
            <w:tcW w:w="616" w:type="pct"/>
          </w:tcPr>
          <w:p w14:paraId="46738A9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Alosa caspia</w:t>
            </w:r>
          </w:p>
        </w:tc>
        <w:tc>
          <w:tcPr>
            <w:tcW w:w="632" w:type="pct"/>
          </w:tcPr>
          <w:p w14:paraId="5997C65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Alosidae / Clupeiformes</w:t>
            </w:r>
          </w:p>
        </w:tc>
        <w:tc>
          <w:tcPr>
            <w:tcW w:w="459" w:type="pct"/>
          </w:tcPr>
          <w:p w14:paraId="2EA03C5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5437957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Volga</w:t>
            </w:r>
          </w:p>
        </w:tc>
        <w:tc>
          <w:tcPr>
            <w:tcW w:w="1621" w:type="pct"/>
          </w:tcPr>
          <w:p w14:paraId="736D06F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Kazakhstan; Russie</w:t>
            </w:r>
          </w:p>
        </w:tc>
      </w:tr>
      <w:tr w:rsidR="005969CE" w:rsidRPr="00FD736D" w14:paraId="3F33F57E" w14:textId="77777777" w:rsidTr="007F4E66">
        <w:trPr>
          <w:trHeight w:val="20"/>
        </w:trPr>
        <w:tc>
          <w:tcPr>
            <w:tcW w:w="616" w:type="pct"/>
          </w:tcPr>
          <w:p w14:paraId="76DA029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Alosa immaculata</w:t>
            </w:r>
          </w:p>
        </w:tc>
        <w:tc>
          <w:tcPr>
            <w:tcW w:w="632" w:type="pct"/>
          </w:tcPr>
          <w:p w14:paraId="24A33B7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Alosidae / Clupeiformes</w:t>
            </w:r>
          </w:p>
        </w:tc>
        <w:tc>
          <w:tcPr>
            <w:tcW w:w="459" w:type="pct"/>
          </w:tcPr>
          <w:p w14:paraId="252D3CF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5387B4E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Danube; Dniestr</w:t>
            </w:r>
          </w:p>
        </w:tc>
        <w:tc>
          <w:tcPr>
            <w:tcW w:w="1621" w:type="pct"/>
          </w:tcPr>
          <w:p w14:paraId="1834DDF6" w14:textId="77777777" w:rsidR="005969CE" w:rsidRPr="00FD736D" w:rsidRDefault="005969CE" w:rsidP="008A6534">
            <w:pPr>
              <w:spacing w:after="0" w:line="240" w:lineRule="auto"/>
              <w:rPr>
                <w:rFonts w:ascii="Arial" w:hAnsi="Arial" w:cs="Arial"/>
                <w:iCs/>
                <w:color w:val="000000" w:themeColor="text1"/>
                <w:sz w:val="20"/>
                <w:szCs w:val="20"/>
                <w:lang w:val="de-DE"/>
              </w:rPr>
            </w:pPr>
            <w:r w:rsidRPr="00FD736D">
              <w:rPr>
                <w:rFonts w:ascii="Arial" w:hAnsi="Arial" w:cs="Arial"/>
                <w:iCs/>
                <w:color w:val="000000" w:themeColor="text1"/>
                <w:sz w:val="20"/>
                <w:szCs w:val="20"/>
                <w:lang w:val="de-DE"/>
              </w:rPr>
              <w:t>Bulgarie; Moldavie; Roumanie; Serbie; Ukraine</w:t>
            </w:r>
          </w:p>
        </w:tc>
      </w:tr>
      <w:tr w:rsidR="005969CE" w:rsidRPr="00FD736D" w14:paraId="1D4A4838" w14:textId="77777777" w:rsidTr="007F4E66">
        <w:trPr>
          <w:trHeight w:val="20"/>
        </w:trPr>
        <w:tc>
          <w:tcPr>
            <w:tcW w:w="616" w:type="pct"/>
          </w:tcPr>
          <w:p w14:paraId="475DB56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Alosa tanaica</w:t>
            </w:r>
          </w:p>
        </w:tc>
        <w:tc>
          <w:tcPr>
            <w:tcW w:w="632" w:type="pct"/>
          </w:tcPr>
          <w:p w14:paraId="7105B11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Alosidae / Clupeiformes</w:t>
            </w:r>
          </w:p>
        </w:tc>
        <w:tc>
          <w:tcPr>
            <w:tcW w:w="459" w:type="pct"/>
          </w:tcPr>
          <w:p w14:paraId="0268D7A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0B257F4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Coruh; Danube</w:t>
            </w:r>
          </w:p>
        </w:tc>
        <w:tc>
          <w:tcPr>
            <w:tcW w:w="1621" w:type="pct"/>
          </w:tcPr>
          <w:p w14:paraId="38909253" w14:textId="77777777" w:rsidR="005969CE" w:rsidRPr="00FD736D" w:rsidRDefault="005969CE" w:rsidP="008A6534">
            <w:pPr>
              <w:spacing w:after="0" w:line="240" w:lineRule="auto"/>
              <w:rPr>
                <w:rFonts w:ascii="Arial" w:hAnsi="Arial" w:cs="Arial"/>
                <w:iCs/>
                <w:color w:val="000000" w:themeColor="text1"/>
                <w:sz w:val="20"/>
                <w:szCs w:val="20"/>
                <w:lang w:val="de-DE"/>
              </w:rPr>
            </w:pPr>
            <w:r w:rsidRPr="00FD736D">
              <w:rPr>
                <w:rFonts w:ascii="Arial" w:hAnsi="Arial" w:cs="Arial"/>
                <w:iCs/>
                <w:color w:val="000000" w:themeColor="text1"/>
                <w:sz w:val="20"/>
                <w:szCs w:val="20"/>
                <w:lang w:val="de-DE"/>
              </w:rPr>
              <w:t>Bulgarie; Géorgie; Moldavie; Roumanie; Turquie; Ukraine</w:t>
            </w:r>
          </w:p>
        </w:tc>
      </w:tr>
      <w:tr w:rsidR="005969CE" w:rsidRPr="00FD736D" w14:paraId="3106D2B1" w14:textId="77777777" w:rsidTr="007F4E66">
        <w:trPr>
          <w:trHeight w:val="20"/>
        </w:trPr>
        <w:tc>
          <w:tcPr>
            <w:tcW w:w="616" w:type="pct"/>
          </w:tcPr>
          <w:p w14:paraId="45C1613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Altigena elegans</w:t>
            </w:r>
          </w:p>
        </w:tc>
        <w:tc>
          <w:tcPr>
            <w:tcW w:w="632" w:type="pct"/>
          </w:tcPr>
          <w:p w14:paraId="3CDB7BAF" w14:textId="77777777" w:rsidR="005969CE"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p w14:paraId="26BC3349" w14:textId="77777777" w:rsidR="00444EB9" w:rsidRPr="00FD736D" w:rsidRDefault="00444EB9" w:rsidP="008A6534">
            <w:pPr>
              <w:spacing w:after="0" w:line="240" w:lineRule="auto"/>
              <w:rPr>
                <w:rFonts w:ascii="Arial" w:hAnsi="Arial" w:cs="Arial"/>
                <w:iCs/>
                <w:color w:val="000000" w:themeColor="text1"/>
                <w:sz w:val="20"/>
                <w:szCs w:val="20"/>
              </w:rPr>
            </w:pPr>
          </w:p>
        </w:tc>
        <w:tc>
          <w:tcPr>
            <w:tcW w:w="459" w:type="pct"/>
          </w:tcPr>
          <w:p w14:paraId="1D082DF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5DD9452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733E1DB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Laos; Thaïlande</w:t>
            </w:r>
          </w:p>
        </w:tc>
      </w:tr>
      <w:tr w:rsidR="005969CE" w:rsidRPr="00FD736D" w14:paraId="34C84E9C" w14:textId="77777777" w:rsidTr="007F4E66">
        <w:trPr>
          <w:trHeight w:val="20"/>
        </w:trPr>
        <w:tc>
          <w:tcPr>
            <w:tcW w:w="616" w:type="pct"/>
          </w:tcPr>
          <w:p w14:paraId="6DCDA8A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Altigena yunnanensis</w:t>
            </w:r>
          </w:p>
        </w:tc>
        <w:tc>
          <w:tcPr>
            <w:tcW w:w="632" w:type="pct"/>
          </w:tcPr>
          <w:p w14:paraId="05CB7B5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6A47717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51D929F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 Salween</w:t>
            </w:r>
          </w:p>
        </w:tc>
        <w:tc>
          <w:tcPr>
            <w:tcW w:w="1621" w:type="pct"/>
          </w:tcPr>
          <w:p w14:paraId="132CB27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Chine; Laos; Myanmar; Thaïlande; Vietnam</w:t>
            </w:r>
          </w:p>
        </w:tc>
      </w:tr>
      <w:tr w:rsidR="005969CE" w:rsidRPr="00FD736D" w14:paraId="72A31528" w14:textId="77777777" w:rsidTr="007F4E66">
        <w:trPr>
          <w:trHeight w:val="20"/>
        </w:trPr>
        <w:tc>
          <w:tcPr>
            <w:tcW w:w="616" w:type="pct"/>
          </w:tcPr>
          <w:p w14:paraId="037C916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Ambastaia nigrolineata</w:t>
            </w:r>
          </w:p>
        </w:tc>
        <w:tc>
          <w:tcPr>
            <w:tcW w:w="632" w:type="pct"/>
          </w:tcPr>
          <w:p w14:paraId="5CE341B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Botiidae / Cypriniformes</w:t>
            </w:r>
          </w:p>
        </w:tc>
        <w:tc>
          <w:tcPr>
            <w:tcW w:w="459" w:type="pct"/>
          </w:tcPr>
          <w:p w14:paraId="155CB16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200F289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0095171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Chine; Laos; Thaïlande; Vietnam</w:t>
            </w:r>
          </w:p>
        </w:tc>
      </w:tr>
      <w:tr w:rsidR="005969CE" w:rsidRPr="00FD736D" w14:paraId="045A853C" w14:textId="77777777" w:rsidTr="007F4E66">
        <w:trPr>
          <w:trHeight w:val="20"/>
        </w:trPr>
        <w:tc>
          <w:tcPr>
            <w:tcW w:w="616" w:type="pct"/>
          </w:tcPr>
          <w:p w14:paraId="756F96E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Anaecypris hispanica</w:t>
            </w:r>
          </w:p>
        </w:tc>
        <w:tc>
          <w:tcPr>
            <w:tcW w:w="632" w:type="pct"/>
          </w:tcPr>
          <w:p w14:paraId="54FC9BD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Leuciscidae / Cypriniformes</w:t>
            </w:r>
          </w:p>
        </w:tc>
        <w:tc>
          <w:tcPr>
            <w:tcW w:w="459" w:type="pct"/>
          </w:tcPr>
          <w:p w14:paraId="79F3806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0D923F4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Guadiana</w:t>
            </w:r>
          </w:p>
        </w:tc>
        <w:tc>
          <w:tcPr>
            <w:tcW w:w="1621" w:type="pct"/>
          </w:tcPr>
          <w:p w14:paraId="3E920F1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Portugal; Espagne</w:t>
            </w:r>
          </w:p>
        </w:tc>
      </w:tr>
      <w:tr w:rsidR="005969CE" w:rsidRPr="00FD736D" w14:paraId="68252C5B" w14:textId="77777777" w:rsidTr="007F4E66">
        <w:trPr>
          <w:trHeight w:val="20"/>
        </w:trPr>
        <w:tc>
          <w:tcPr>
            <w:tcW w:w="616" w:type="pct"/>
          </w:tcPr>
          <w:p w14:paraId="1FB5FD0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Anguilla bengalensis</w:t>
            </w:r>
          </w:p>
        </w:tc>
        <w:tc>
          <w:tcPr>
            <w:tcW w:w="632" w:type="pct"/>
          </w:tcPr>
          <w:p w14:paraId="23B8D22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Anguillidae / Anguilliformes</w:t>
            </w:r>
          </w:p>
        </w:tc>
        <w:tc>
          <w:tcPr>
            <w:tcW w:w="459" w:type="pct"/>
          </w:tcPr>
          <w:p w14:paraId="04630F7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675608C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Abbe-Awash; Amu Darya; Buzi; Congo; Dakatia; Dasht; Feni; Ganges-Brahmaputra-Meghna; Helmand; Incomati; Indus; Irrawaddy; Jubba; Kaladan; Karnaphuli; Lake Chilwa; Lake Rukwa; Limpopo; Maputo; Matamuhuri; Mekong; Naf; Natron; Nile; Okavango; Orange; Pakchan; Pangani; Rann of Kutch; Ruvuma; Salween; Save; Tarim; Turkana; Umba; Umbeluzi; Zambezi</w:t>
            </w:r>
          </w:p>
        </w:tc>
        <w:tc>
          <w:tcPr>
            <w:tcW w:w="1621" w:type="pct"/>
          </w:tcPr>
          <w:p w14:paraId="6A9B700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Afghanistan; Bangladesh; Bhoutan; Botswana; Burundi; Chine; République démocratique du Congo; Djibouti; Érythrée; Eswatini; Éthiopie; Inde; Iran; Kenya; Laos; Lesotho; Malawi; Mozambique; Myanmar; Namibie; Népal; Pakistan; Rwanda; SoMalie; Afrique du Sud; Soudan du Sud; Soudan; Tadjikistan; Tanzanie; Thaïlande; Ouganda; Zambie; Zimbabwe</w:t>
            </w:r>
          </w:p>
        </w:tc>
      </w:tr>
      <w:tr w:rsidR="005969CE" w:rsidRPr="00FD736D" w14:paraId="3FC5478E" w14:textId="77777777" w:rsidTr="007F4E66">
        <w:trPr>
          <w:trHeight w:val="20"/>
        </w:trPr>
        <w:tc>
          <w:tcPr>
            <w:tcW w:w="616" w:type="pct"/>
          </w:tcPr>
          <w:p w14:paraId="7523964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Anguilla bicolor</w:t>
            </w:r>
          </w:p>
        </w:tc>
        <w:tc>
          <w:tcPr>
            <w:tcW w:w="632" w:type="pct"/>
          </w:tcPr>
          <w:p w14:paraId="7148AE8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Anguillidae / Anguilliformes</w:t>
            </w:r>
          </w:p>
        </w:tc>
        <w:tc>
          <w:tcPr>
            <w:tcW w:w="459" w:type="pct"/>
          </w:tcPr>
          <w:p w14:paraId="0C5C6CC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50C4D76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Abbe-Awash; Beilun; Buzi; Ca/Lam/Song-Koi; Congo; Dakatia; Digul; Feni; Fly; Ganges-Brahmaputra-Meghna; Giang Thanh; Golok; Han; Incomati; Irrawaddy; Jubba; Kaladan; Karnaphuli; Lake Chilwa; Lake Rukwa; Limpopo; Ma; Mamberano; Maputo; Matamuhuri; Mekong; Merauke; Naf; Natron; Nile; Orange; Pakchan; Pangani; Pearl; Rann of Kutch; Red/Song Hong; Ruvuma; Saigon/Song Nha Be; Salween; Sambas; Save; Sembakung; Sepik; Song Vam Co Dong; Turkana; Umba; Umbeluzi; Yalu; Zambezi</w:t>
            </w:r>
          </w:p>
        </w:tc>
        <w:tc>
          <w:tcPr>
            <w:tcW w:w="1621" w:type="pct"/>
          </w:tcPr>
          <w:p w14:paraId="2A8808C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Bhoutan; Burundi; Cambodge; Chine; République démocratique du Congo; Djibouti; Eswatini; Éthiopie; Inde; Indonésie; Kenya; Laos; Lesotho; Malawi; Malaisie; Mozambique; Myanmar; Népal; Corée du Nord; Pakistan; Papouasie-Nouvelle-Guinée; Rwanda; SoMalie; Afrique du Sud; Corée du Sud; Soudan du Sud; Tanzanie; Thaïlande; Ouganda; Vietnam; Zambie; Zimbabwe</w:t>
            </w:r>
          </w:p>
        </w:tc>
      </w:tr>
      <w:tr w:rsidR="005969CE" w:rsidRPr="00FD736D" w14:paraId="1F4FE1A9" w14:textId="77777777" w:rsidTr="007F4E66">
        <w:trPr>
          <w:trHeight w:val="20"/>
        </w:trPr>
        <w:tc>
          <w:tcPr>
            <w:tcW w:w="616" w:type="pct"/>
          </w:tcPr>
          <w:p w14:paraId="0E56F23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Anguilla borneensis</w:t>
            </w:r>
          </w:p>
        </w:tc>
        <w:tc>
          <w:tcPr>
            <w:tcW w:w="632" w:type="pct"/>
          </w:tcPr>
          <w:p w14:paraId="3896395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Anguillidae / Anguilliformes</w:t>
            </w:r>
          </w:p>
        </w:tc>
        <w:tc>
          <w:tcPr>
            <w:tcW w:w="459" w:type="pct"/>
          </w:tcPr>
          <w:p w14:paraId="7621810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7E60215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Sembakung</w:t>
            </w:r>
          </w:p>
        </w:tc>
        <w:tc>
          <w:tcPr>
            <w:tcW w:w="1621" w:type="pct"/>
          </w:tcPr>
          <w:p w14:paraId="48EBF62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Indonésie; Malaisie</w:t>
            </w:r>
          </w:p>
        </w:tc>
      </w:tr>
      <w:tr w:rsidR="005969CE" w:rsidRPr="00FD736D" w14:paraId="1D63689D" w14:textId="77777777" w:rsidTr="007F4E66">
        <w:trPr>
          <w:trHeight w:val="20"/>
        </w:trPr>
        <w:tc>
          <w:tcPr>
            <w:tcW w:w="616" w:type="pct"/>
          </w:tcPr>
          <w:p w14:paraId="5690C48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Anguilla celebesensis</w:t>
            </w:r>
          </w:p>
        </w:tc>
        <w:tc>
          <w:tcPr>
            <w:tcW w:w="632" w:type="pct"/>
          </w:tcPr>
          <w:p w14:paraId="0AD0F28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Anguillidae / Anguilliformes</w:t>
            </w:r>
          </w:p>
        </w:tc>
        <w:tc>
          <w:tcPr>
            <w:tcW w:w="459" w:type="pct"/>
          </w:tcPr>
          <w:p w14:paraId="0CF4B2F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228318C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Sembakung</w:t>
            </w:r>
          </w:p>
        </w:tc>
        <w:tc>
          <w:tcPr>
            <w:tcW w:w="1621" w:type="pct"/>
          </w:tcPr>
          <w:p w14:paraId="1A5A831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Indonésie; Malaisie</w:t>
            </w:r>
          </w:p>
        </w:tc>
      </w:tr>
      <w:tr w:rsidR="005969CE" w:rsidRPr="00FD736D" w14:paraId="038DBB50" w14:textId="77777777" w:rsidTr="007F4E66">
        <w:trPr>
          <w:trHeight w:val="20"/>
        </w:trPr>
        <w:tc>
          <w:tcPr>
            <w:tcW w:w="616" w:type="pct"/>
          </w:tcPr>
          <w:p w14:paraId="09B11A6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Anguilla interioris</w:t>
            </w:r>
          </w:p>
        </w:tc>
        <w:tc>
          <w:tcPr>
            <w:tcW w:w="632" w:type="pct"/>
          </w:tcPr>
          <w:p w14:paraId="6A4F240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Anguillidae / Anguilliformes</w:t>
            </w:r>
          </w:p>
        </w:tc>
        <w:tc>
          <w:tcPr>
            <w:tcW w:w="459" w:type="pct"/>
          </w:tcPr>
          <w:p w14:paraId="79252FD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22A990D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Mamberano; Sepik</w:t>
            </w:r>
          </w:p>
        </w:tc>
        <w:tc>
          <w:tcPr>
            <w:tcW w:w="1621" w:type="pct"/>
          </w:tcPr>
          <w:p w14:paraId="5E266F6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Indonésie; Papouasie-Nouvelle-Guinée</w:t>
            </w:r>
          </w:p>
        </w:tc>
      </w:tr>
      <w:tr w:rsidR="005969CE" w:rsidRPr="00FD736D" w14:paraId="6D5B3A28" w14:textId="77777777" w:rsidTr="007F4E66">
        <w:trPr>
          <w:trHeight w:val="20"/>
        </w:trPr>
        <w:tc>
          <w:tcPr>
            <w:tcW w:w="616" w:type="pct"/>
          </w:tcPr>
          <w:p w14:paraId="6F57923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Anguilla japonica</w:t>
            </w:r>
          </w:p>
        </w:tc>
        <w:tc>
          <w:tcPr>
            <w:tcW w:w="632" w:type="pct"/>
          </w:tcPr>
          <w:p w14:paraId="0D9099D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Anguillidae / Anguilliformes</w:t>
            </w:r>
          </w:p>
        </w:tc>
        <w:tc>
          <w:tcPr>
            <w:tcW w:w="459" w:type="pct"/>
          </w:tcPr>
          <w:p w14:paraId="7F6A11A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2335653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Beilun; Han; Pearl; Red/Song Hong</w:t>
            </w:r>
          </w:p>
        </w:tc>
        <w:tc>
          <w:tcPr>
            <w:tcW w:w="1621" w:type="pct"/>
          </w:tcPr>
          <w:p w14:paraId="508573A5" w14:textId="77777777" w:rsidR="005969CE"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Chine; Corée du Nord; Corée du Sud; Vietnam</w:t>
            </w:r>
          </w:p>
          <w:p w14:paraId="527854D4" w14:textId="77777777" w:rsidR="00300FCD" w:rsidRPr="00FD736D" w:rsidRDefault="00300FCD" w:rsidP="008A6534">
            <w:pPr>
              <w:spacing w:after="0" w:line="240" w:lineRule="auto"/>
              <w:rPr>
                <w:rFonts w:ascii="Arial" w:hAnsi="Arial" w:cs="Arial"/>
                <w:iCs/>
                <w:color w:val="000000" w:themeColor="text1"/>
                <w:sz w:val="20"/>
                <w:szCs w:val="20"/>
                <w:lang w:val="fr-FR"/>
              </w:rPr>
            </w:pPr>
          </w:p>
        </w:tc>
      </w:tr>
      <w:tr w:rsidR="005969CE" w:rsidRPr="00FD736D" w14:paraId="12A8A70A" w14:textId="77777777" w:rsidTr="007F4E66">
        <w:trPr>
          <w:trHeight w:val="20"/>
        </w:trPr>
        <w:tc>
          <w:tcPr>
            <w:tcW w:w="616" w:type="pct"/>
          </w:tcPr>
          <w:p w14:paraId="5FD2F50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Anguilla megastoma</w:t>
            </w:r>
          </w:p>
        </w:tc>
        <w:tc>
          <w:tcPr>
            <w:tcW w:w="632" w:type="pct"/>
          </w:tcPr>
          <w:p w14:paraId="3B0E3DE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Anguillidae / Anguilliformes</w:t>
            </w:r>
          </w:p>
        </w:tc>
        <w:tc>
          <w:tcPr>
            <w:tcW w:w="459" w:type="pct"/>
          </w:tcPr>
          <w:p w14:paraId="2C6950C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5F4DEE2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Digul; Fly; Mamberano; Merauke; Sepik</w:t>
            </w:r>
          </w:p>
        </w:tc>
        <w:tc>
          <w:tcPr>
            <w:tcW w:w="1621" w:type="pct"/>
          </w:tcPr>
          <w:p w14:paraId="4BB5A5D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Indonésie; Papouasie-Nouvelle-Guinée</w:t>
            </w:r>
          </w:p>
        </w:tc>
      </w:tr>
      <w:tr w:rsidR="005969CE" w:rsidRPr="00FD736D" w14:paraId="4F2FD415" w14:textId="77777777" w:rsidTr="007F4E66">
        <w:trPr>
          <w:trHeight w:val="20"/>
        </w:trPr>
        <w:tc>
          <w:tcPr>
            <w:tcW w:w="616" w:type="pct"/>
          </w:tcPr>
          <w:p w14:paraId="6B1CF45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Anguilla mossambica</w:t>
            </w:r>
          </w:p>
        </w:tc>
        <w:tc>
          <w:tcPr>
            <w:tcW w:w="632" w:type="pct"/>
          </w:tcPr>
          <w:p w14:paraId="50D7636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Anguillidae / Anguilliformes</w:t>
            </w:r>
          </w:p>
        </w:tc>
        <w:tc>
          <w:tcPr>
            <w:tcW w:w="459" w:type="pct"/>
          </w:tcPr>
          <w:p w14:paraId="720E767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2FE35E3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Buzi; Congo; Incomati; Jubba; Lake Chilwa; Lake Rukwa; Limpopo; Maputo; Natron; Nile; Orange; Pangani; Ruvuma; Save; Turkana; Umba; Umbeluzi; Zambezi</w:t>
            </w:r>
          </w:p>
        </w:tc>
        <w:tc>
          <w:tcPr>
            <w:tcW w:w="1621" w:type="pct"/>
          </w:tcPr>
          <w:p w14:paraId="40A32E31"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Burundi; République démocratique du Congo; Eswatini; Éthiopie; Kenya; Lesotho; Malawi; Mozambique; Rwanda; SoMalie; Afrique du Sud; Soudan du Sud; Tanzanie; Ouganda; Zambie; Zimbabwe</w:t>
            </w:r>
          </w:p>
        </w:tc>
      </w:tr>
      <w:tr w:rsidR="005969CE" w:rsidRPr="00FD736D" w14:paraId="4E0868FD" w14:textId="77777777" w:rsidTr="007F4E66">
        <w:trPr>
          <w:trHeight w:val="20"/>
        </w:trPr>
        <w:tc>
          <w:tcPr>
            <w:tcW w:w="616" w:type="pct"/>
          </w:tcPr>
          <w:p w14:paraId="78E8120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Anguilla obscura</w:t>
            </w:r>
          </w:p>
        </w:tc>
        <w:tc>
          <w:tcPr>
            <w:tcW w:w="632" w:type="pct"/>
          </w:tcPr>
          <w:p w14:paraId="7A078B2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Anguillidae / Anguilliformes</w:t>
            </w:r>
          </w:p>
        </w:tc>
        <w:tc>
          <w:tcPr>
            <w:tcW w:w="459" w:type="pct"/>
          </w:tcPr>
          <w:p w14:paraId="0E731CE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7127D45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Digul; Fly; Mamberano; Merauke; Sepik</w:t>
            </w:r>
          </w:p>
        </w:tc>
        <w:tc>
          <w:tcPr>
            <w:tcW w:w="1621" w:type="pct"/>
          </w:tcPr>
          <w:p w14:paraId="200A812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Indonésie; Papouasie-Nouvelle-Guinée</w:t>
            </w:r>
          </w:p>
        </w:tc>
      </w:tr>
      <w:tr w:rsidR="005969CE" w:rsidRPr="00FD736D" w14:paraId="58EC415A" w14:textId="77777777" w:rsidTr="007F4E66">
        <w:trPr>
          <w:trHeight w:val="20"/>
        </w:trPr>
        <w:tc>
          <w:tcPr>
            <w:tcW w:w="616" w:type="pct"/>
          </w:tcPr>
          <w:p w14:paraId="33B08CE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Anguilla rostrata</w:t>
            </w:r>
          </w:p>
        </w:tc>
        <w:tc>
          <w:tcPr>
            <w:tcW w:w="632" w:type="pct"/>
          </w:tcPr>
          <w:p w14:paraId="1719347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Anguillidae / Anguilliformes</w:t>
            </w:r>
          </w:p>
        </w:tc>
        <w:tc>
          <w:tcPr>
            <w:tcW w:w="459" w:type="pct"/>
          </w:tcPr>
          <w:p w14:paraId="3CFF3AF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2686A96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Artibonite; Barima; Candelaria; Catatumbo; Changuinola; Coco; Hondo; Motagua; Orinoco; Rio Grande (Amérique du Nord); Saint Croix; Saint John (Amérique du Nord); Saint Lawrence; San Juan; Sarstoon; Sixaola</w:t>
            </w:r>
          </w:p>
        </w:tc>
        <w:tc>
          <w:tcPr>
            <w:tcW w:w="1621" w:type="pct"/>
          </w:tcPr>
          <w:p w14:paraId="171D44FC"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Belize; Canada; Colombie; Costa Rica; République dominicaine; Guatemala; Guyana; Haïti; Honduras; Mexique; Nicaragua; Panama; États-Unis d’Amérique; Venezuela</w:t>
            </w:r>
          </w:p>
        </w:tc>
      </w:tr>
      <w:tr w:rsidR="005969CE" w:rsidRPr="00FD736D" w14:paraId="296A1A10" w14:textId="77777777" w:rsidTr="007F4E66">
        <w:trPr>
          <w:trHeight w:val="20"/>
        </w:trPr>
        <w:tc>
          <w:tcPr>
            <w:tcW w:w="616" w:type="pct"/>
          </w:tcPr>
          <w:p w14:paraId="7A93F04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Aplochiton taeniatus</w:t>
            </w:r>
          </w:p>
        </w:tc>
        <w:tc>
          <w:tcPr>
            <w:tcW w:w="632" w:type="pct"/>
          </w:tcPr>
          <w:p w14:paraId="1877060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Galaxiidae / Galaxiiformes</w:t>
            </w:r>
          </w:p>
        </w:tc>
        <w:tc>
          <w:tcPr>
            <w:tcW w:w="459" w:type="pct"/>
          </w:tcPr>
          <w:p w14:paraId="292E1F3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69706C6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Puelo; Valdivia</w:t>
            </w:r>
          </w:p>
        </w:tc>
        <w:tc>
          <w:tcPr>
            <w:tcW w:w="1621" w:type="pct"/>
          </w:tcPr>
          <w:p w14:paraId="18FC7D9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Argentine; Chili</w:t>
            </w:r>
          </w:p>
        </w:tc>
      </w:tr>
      <w:tr w:rsidR="005969CE" w:rsidRPr="00FD736D" w14:paraId="56E74EBF" w14:textId="77777777" w:rsidTr="007F4E66">
        <w:trPr>
          <w:trHeight w:val="20"/>
        </w:trPr>
        <w:tc>
          <w:tcPr>
            <w:tcW w:w="616" w:type="pct"/>
          </w:tcPr>
          <w:p w14:paraId="6676B15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Arabibarbus grypus</w:t>
            </w:r>
          </w:p>
        </w:tc>
        <w:tc>
          <w:tcPr>
            <w:tcW w:w="632" w:type="pct"/>
          </w:tcPr>
          <w:p w14:paraId="727EA5D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7FADAC6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44BCEB2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Tigris-Euphrates/Shatt al Arab</w:t>
            </w:r>
          </w:p>
        </w:tc>
        <w:tc>
          <w:tcPr>
            <w:tcW w:w="1621" w:type="pct"/>
          </w:tcPr>
          <w:p w14:paraId="1E950B8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Iran; Irak; Syrie</w:t>
            </w:r>
          </w:p>
        </w:tc>
      </w:tr>
      <w:tr w:rsidR="005969CE" w:rsidRPr="00FD736D" w14:paraId="713F9F51" w14:textId="77777777" w:rsidTr="007F4E66">
        <w:trPr>
          <w:trHeight w:val="20"/>
        </w:trPr>
        <w:tc>
          <w:tcPr>
            <w:tcW w:w="616" w:type="pct"/>
          </w:tcPr>
          <w:p w14:paraId="02C4CB0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Arapaima gigas</w:t>
            </w:r>
          </w:p>
        </w:tc>
        <w:tc>
          <w:tcPr>
            <w:tcW w:w="632" w:type="pct"/>
          </w:tcPr>
          <w:p w14:paraId="52ADBCF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Arapaimidae / Osteoglossiformes</w:t>
            </w:r>
          </w:p>
        </w:tc>
        <w:tc>
          <w:tcPr>
            <w:tcW w:w="459" w:type="pct"/>
          </w:tcPr>
          <w:p w14:paraId="6E37E98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7207236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Amazon; La Plata</w:t>
            </w:r>
          </w:p>
        </w:tc>
        <w:tc>
          <w:tcPr>
            <w:tcW w:w="1621" w:type="pct"/>
          </w:tcPr>
          <w:p w14:paraId="16E52EC3"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Bolivie; Brésil; Colombie; Équateur; Guyana; Pérou</w:t>
            </w:r>
          </w:p>
        </w:tc>
      </w:tr>
      <w:tr w:rsidR="005969CE" w:rsidRPr="00FD736D" w14:paraId="21045AB8" w14:textId="77777777" w:rsidTr="007F4E66">
        <w:trPr>
          <w:trHeight w:val="20"/>
        </w:trPr>
        <w:tc>
          <w:tcPr>
            <w:tcW w:w="616" w:type="pct"/>
          </w:tcPr>
          <w:p w14:paraId="30CFD44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Arius maculatus</w:t>
            </w:r>
          </w:p>
        </w:tc>
        <w:tc>
          <w:tcPr>
            <w:tcW w:w="632" w:type="pct"/>
          </w:tcPr>
          <w:p w14:paraId="300F3FF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Ariidae / Siluriformes</w:t>
            </w:r>
          </w:p>
        </w:tc>
        <w:tc>
          <w:tcPr>
            <w:tcW w:w="459" w:type="pct"/>
          </w:tcPr>
          <w:p w14:paraId="5416E6D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0DA196D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0B24E22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Vietnam</w:t>
            </w:r>
          </w:p>
        </w:tc>
      </w:tr>
      <w:tr w:rsidR="005969CE" w:rsidRPr="00FD736D" w14:paraId="6D8A8AC5" w14:textId="77777777" w:rsidTr="007F4E66">
        <w:trPr>
          <w:trHeight w:val="20"/>
        </w:trPr>
        <w:tc>
          <w:tcPr>
            <w:tcW w:w="616" w:type="pct"/>
          </w:tcPr>
          <w:p w14:paraId="3F18FDF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Aspiolucius esocinus</w:t>
            </w:r>
          </w:p>
        </w:tc>
        <w:tc>
          <w:tcPr>
            <w:tcW w:w="632" w:type="pct"/>
          </w:tcPr>
          <w:p w14:paraId="3CD2C9C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7D93150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0E9BA46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Amu Darya; Syr Darya</w:t>
            </w:r>
          </w:p>
        </w:tc>
        <w:tc>
          <w:tcPr>
            <w:tcW w:w="1621" w:type="pct"/>
          </w:tcPr>
          <w:p w14:paraId="03FF206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Afghanistan; Kirghizistan; Tadjikistan; Turkménistan; Ouzbékistan</w:t>
            </w:r>
          </w:p>
        </w:tc>
      </w:tr>
      <w:tr w:rsidR="005969CE" w:rsidRPr="00FD736D" w14:paraId="47EA147E" w14:textId="77777777" w:rsidTr="007F4E66">
        <w:trPr>
          <w:trHeight w:val="20"/>
        </w:trPr>
        <w:tc>
          <w:tcPr>
            <w:tcW w:w="616" w:type="pct"/>
          </w:tcPr>
          <w:p w14:paraId="76FA9DB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Astyanax symmetricus</w:t>
            </w:r>
          </w:p>
        </w:tc>
        <w:tc>
          <w:tcPr>
            <w:tcW w:w="632" w:type="pct"/>
          </w:tcPr>
          <w:p w14:paraId="0781D3A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Acestrorhynchidae / Characiformes</w:t>
            </w:r>
          </w:p>
        </w:tc>
        <w:tc>
          <w:tcPr>
            <w:tcW w:w="459" w:type="pct"/>
          </w:tcPr>
          <w:p w14:paraId="1AA12A2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33DAB90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Amazon</w:t>
            </w:r>
          </w:p>
        </w:tc>
        <w:tc>
          <w:tcPr>
            <w:tcW w:w="1621" w:type="pct"/>
          </w:tcPr>
          <w:p w14:paraId="68F9882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Brésil; Colombie; Pérou</w:t>
            </w:r>
          </w:p>
        </w:tc>
      </w:tr>
      <w:tr w:rsidR="005969CE" w:rsidRPr="00FD736D" w14:paraId="75C13688" w14:textId="77777777" w:rsidTr="007F4E66">
        <w:trPr>
          <w:trHeight w:val="20"/>
        </w:trPr>
        <w:tc>
          <w:tcPr>
            <w:tcW w:w="616" w:type="pct"/>
          </w:tcPr>
          <w:p w14:paraId="7A21000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Atherina boyeri</w:t>
            </w:r>
          </w:p>
        </w:tc>
        <w:tc>
          <w:tcPr>
            <w:tcW w:w="632" w:type="pct"/>
          </w:tcPr>
          <w:p w14:paraId="5F0C3AE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Atherinidae / Atheriniformes</w:t>
            </w:r>
          </w:p>
        </w:tc>
        <w:tc>
          <w:tcPr>
            <w:tcW w:w="459" w:type="pct"/>
          </w:tcPr>
          <w:p w14:paraId="733DA37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1EB5C2E3" w14:textId="77777777" w:rsidR="005969CE" w:rsidRPr="00FD736D" w:rsidRDefault="005969CE" w:rsidP="008A6534">
            <w:pPr>
              <w:spacing w:after="0" w:line="240" w:lineRule="auto"/>
              <w:rPr>
                <w:rFonts w:ascii="Arial" w:hAnsi="Arial" w:cs="Arial"/>
                <w:iCs/>
                <w:color w:val="000000" w:themeColor="text1"/>
                <w:sz w:val="20"/>
                <w:szCs w:val="20"/>
                <w:lang w:val="pt-PT"/>
              </w:rPr>
            </w:pPr>
            <w:r w:rsidRPr="00FD736D">
              <w:rPr>
                <w:rFonts w:ascii="Arial" w:hAnsi="Arial" w:cs="Arial"/>
                <w:iCs/>
                <w:color w:val="000000" w:themeColor="text1"/>
                <w:sz w:val="20"/>
                <w:szCs w:val="20"/>
                <w:lang w:val="pt-PT"/>
              </w:rPr>
              <w:t>Bidasoa; Buna; Guadiana; Minho; Neretva</w:t>
            </w:r>
          </w:p>
        </w:tc>
        <w:tc>
          <w:tcPr>
            <w:tcW w:w="1621" w:type="pct"/>
          </w:tcPr>
          <w:p w14:paraId="3E02353D"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Albanie; Bosnie-Herzégovine; Croatie; France; Monténégro; Portugal; Espagne</w:t>
            </w:r>
          </w:p>
        </w:tc>
      </w:tr>
      <w:tr w:rsidR="005969CE" w:rsidRPr="00FD736D" w14:paraId="1C5A352A" w14:textId="77777777" w:rsidTr="007F4E66">
        <w:trPr>
          <w:trHeight w:val="20"/>
        </w:trPr>
        <w:tc>
          <w:tcPr>
            <w:tcW w:w="616" w:type="pct"/>
          </w:tcPr>
          <w:p w14:paraId="1055E34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Auchenipterus nuchalis</w:t>
            </w:r>
          </w:p>
        </w:tc>
        <w:tc>
          <w:tcPr>
            <w:tcW w:w="632" w:type="pct"/>
          </w:tcPr>
          <w:p w14:paraId="49FD464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Auchenipteridae / Siluriformes</w:t>
            </w:r>
          </w:p>
        </w:tc>
        <w:tc>
          <w:tcPr>
            <w:tcW w:w="459" w:type="pct"/>
          </w:tcPr>
          <w:p w14:paraId="147EEF9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64B916E4" w14:textId="77777777" w:rsidR="005969CE" w:rsidRPr="00FD736D" w:rsidRDefault="005969CE" w:rsidP="008A6534">
            <w:pPr>
              <w:spacing w:after="0" w:line="240" w:lineRule="auto"/>
              <w:rPr>
                <w:rFonts w:ascii="Arial" w:hAnsi="Arial" w:cs="Arial"/>
                <w:iCs/>
                <w:color w:val="000000" w:themeColor="text1"/>
                <w:sz w:val="20"/>
                <w:szCs w:val="20"/>
                <w:lang w:val="it-IT"/>
              </w:rPr>
            </w:pPr>
            <w:r w:rsidRPr="00FD736D">
              <w:rPr>
                <w:rFonts w:ascii="Arial" w:hAnsi="Arial" w:cs="Arial"/>
                <w:iCs/>
                <w:color w:val="000000" w:themeColor="text1"/>
                <w:sz w:val="20"/>
                <w:szCs w:val="20"/>
                <w:lang w:val="it-IT"/>
              </w:rPr>
              <w:t>Amazon; Courantyne; Essequibo; Maroni; Orinoco; Oyapock</w:t>
            </w:r>
          </w:p>
        </w:tc>
        <w:tc>
          <w:tcPr>
            <w:tcW w:w="1621" w:type="pct"/>
          </w:tcPr>
          <w:p w14:paraId="2BB00FC8"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Bolivie; Brésil; Colombie; Équateur; Guyane française; Guyana; Pérou; Suriname; Venezuela</w:t>
            </w:r>
          </w:p>
        </w:tc>
      </w:tr>
      <w:tr w:rsidR="005969CE" w:rsidRPr="00FD736D" w14:paraId="486A5FFA" w14:textId="77777777" w:rsidTr="007F4E66">
        <w:trPr>
          <w:trHeight w:val="20"/>
        </w:trPr>
        <w:tc>
          <w:tcPr>
            <w:tcW w:w="616" w:type="pct"/>
          </w:tcPr>
          <w:p w14:paraId="4BB6470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Bagarius bagarius</w:t>
            </w:r>
          </w:p>
        </w:tc>
        <w:tc>
          <w:tcPr>
            <w:tcW w:w="632" w:type="pct"/>
          </w:tcPr>
          <w:p w14:paraId="2ACEB46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Sisoridae / Siluriformes</w:t>
            </w:r>
          </w:p>
        </w:tc>
        <w:tc>
          <w:tcPr>
            <w:tcW w:w="459" w:type="pct"/>
          </w:tcPr>
          <w:p w14:paraId="56EC82E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4A65BDF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Ganges-Brahmaputra-Meghna; Indus; Rann of Kutch</w:t>
            </w:r>
          </w:p>
        </w:tc>
        <w:tc>
          <w:tcPr>
            <w:tcW w:w="1621" w:type="pct"/>
          </w:tcPr>
          <w:p w14:paraId="3C3495F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Afghanistan; Bangladesh; Bhoutan; Chine; Inde; Myanmar; Népal; Pakistan</w:t>
            </w:r>
          </w:p>
        </w:tc>
      </w:tr>
      <w:tr w:rsidR="005969CE" w:rsidRPr="00FD736D" w14:paraId="7C402D2A" w14:textId="77777777" w:rsidTr="007F4E66">
        <w:trPr>
          <w:trHeight w:val="20"/>
        </w:trPr>
        <w:tc>
          <w:tcPr>
            <w:tcW w:w="616" w:type="pct"/>
          </w:tcPr>
          <w:p w14:paraId="33F0D09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Bagarius rutilus</w:t>
            </w:r>
          </w:p>
        </w:tc>
        <w:tc>
          <w:tcPr>
            <w:tcW w:w="632" w:type="pct"/>
          </w:tcPr>
          <w:p w14:paraId="387EF15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Sisoridae / Siluriformes</w:t>
            </w:r>
          </w:p>
        </w:tc>
        <w:tc>
          <w:tcPr>
            <w:tcW w:w="459" w:type="pct"/>
          </w:tcPr>
          <w:p w14:paraId="78FE8C0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19934256" w14:textId="77777777" w:rsidR="005969CE"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Ca/Lam/Song-Koi; Ma; Pearl; Red/Song Hong</w:t>
            </w:r>
          </w:p>
          <w:p w14:paraId="584F8D96" w14:textId="77777777" w:rsidR="00300FCD" w:rsidRPr="00FD736D" w:rsidRDefault="00300FCD" w:rsidP="008A6534">
            <w:pPr>
              <w:spacing w:after="0" w:line="240" w:lineRule="auto"/>
              <w:rPr>
                <w:rFonts w:ascii="Arial" w:hAnsi="Arial" w:cs="Arial"/>
                <w:iCs/>
                <w:color w:val="000000" w:themeColor="text1"/>
                <w:sz w:val="20"/>
                <w:szCs w:val="20"/>
              </w:rPr>
            </w:pPr>
          </w:p>
        </w:tc>
        <w:tc>
          <w:tcPr>
            <w:tcW w:w="1621" w:type="pct"/>
          </w:tcPr>
          <w:p w14:paraId="7EF79C9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Laos; Vietnam</w:t>
            </w:r>
          </w:p>
        </w:tc>
      </w:tr>
      <w:tr w:rsidR="005969CE" w:rsidRPr="00FD736D" w14:paraId="584729DF" w14:textId="77777777" w:rsidTr="007F4E66">
        <w:trPr>
          <w:trHeight w:val="20"/>
        </w:trPr>
        <w:tc>
          <w:tcPr>
            <w:tcW w:w="616" w:type="pct"/>
          </w:tcPr>
          <w:p w14:paraId="4511A77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Bagarius suchus</w:t>
            </w:r>
          </w:p>
        </w:tc>
        <w:tc>
          <w:tcPr>
            <w:tcW w:w="632" w:type="pct"/>
          </w:tcPr>
          <w:p w14:paraId="51520F7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Sisoridae / Siluriformes</w:t>
            </w:r>
          </w:p>
        </w:tc>
        <w:tc>
          <w:tcPr>
            <w:tcW w:w="459" w:type="pct"/>
          </w:tcPr>
          <w:p w14:paraId="5427370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7F7693E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0315040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Myanmar; Thaïlande; Vietnam</w:t>
            </w:r>
          </w:p>
        </w:tc>
      </w:tr>
      <w:tr w:rsidR="005969CE" w:rsidRPr="00FD736D" w14:paraId="2AB54E63" w14:textId="77777777" w:rsidTr="007F4E66">
        <w:trPr>
          <w:trHeight w:val="20"/>
        </w:trPr>
        <w:tc>
          <w:tcPr>
            <w:tcW w:w="616" w:type="pct"/>
          </w:tcPr>
          <w:p w14:paraId="3D1E40D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Bagarius yarrelli</w:t>
            </w:r>
          </w:p>
        </w:tc>
        <w:tc>
          <w:tcPr>
            <w:tcW w:w="632" w:type="pct"/>
          </w:tcPr>
          <w:p w14:paraId="4CAAF12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Sisoridae / Siluriformes</w:t>
            </w:r>
          </w:p>
        </w:tc>
        <w:tc>
          <w:tcPr>
            <w:tcW w:w="459" w:type="pct"/>
          </w:tcPr>
          <w:p w14:paraId="54F2CFC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0219878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Ganges-Brahmaputra-Meghna; Mekong</w:t>
            </w:r>
          </w:p>
        </w:tc>
        <w:tc>
          <w:tcPr>
            <w:tcW w:w="1621" w:type="pct"/>
          </w:tcPr>
          <w:p w14:paraId="2871A43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Cambodge; Inde; Laos; Myanmar; Népal; Thaïlande; Vietnam</w:t>
            </w:r>
          </w:p>
        </w:tc>
      </w:tr>
      <w:tr w:rsidR="005969CE" w:rsidRPr="00FD736D" w14:paraId="57D3AB6C" w14:textId="77777777" w:rsidTr="007F4E66">
        <w:trPr>
          <w:trHeight w:val="20"/>
        </w:trPr>
        <w:tc>
          <w:tcPr>
            <w:tcW w:w="616" w:type="pct"/>
          </w:tcPr>
          <w:p w14:paraId="088D013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Bagrichthys majusculus</w:t>
            </w:r>
          </w:p>
        </w:tc>
        <w:tc>
          <w:tcPr>
            <w:tcW w:w="632" w:type="pct"/>
          </w:tcPr>
          <w:p w14:paraId="2475296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Bagridae / Siluriformes</w:t>
            </w:r>
          </w:p>
        </w:tc>
        <w:tc>
          <w:tcPr>
            <w:tcW w:w="459" w:type="pct"/>
          </w:tcPr>
          <w:p w14:paraId="3DC1F64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55122C4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35389C5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Laos; Thaïlande</w:t>
            </w:r>
          </w:p>
        </w:tc>
      </w:tr>
      <w:tr w:rsidR="005969CE" w:rsidRPr="00FD736D" w14:paraId="62B083B7" w14:textId="77777777" w:rsidTr="007F4E66">
        <w:trPr>
          <w:trHeight w:val="20"/>
        </w:trPr>
        <w:tc>
          <w:tcPr>
            <w:tcW w:w="616" w:type="pct"/>
          </w:tcPr>
          <w:p w14:paraId="6E642FF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Barbus plebejus</w:t>
            </w:r>
          </w:p>
        </w:tc>
        <w:tc>
          <w:tcPr>
            <w:tcW w:w="632" w:type="pct"/>
          </w:tcPr>
          <w:p w14:paraId="149004F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741C796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0369A12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Po; Soca</w:t>
            </w:r>
          </w:p>
        </w:tc>
        <w:tc>
          <w:tcPr>
            <w:tcW w:w="1621" w:type="pct"/>
          </w:tcPr>
          <w:p w14:paraId="06576B0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Italie; Slovénie; Suisse</w:t>
            </w:r>
          </w:p>
        </w:tc>
      </w:tr>
      <w:tr w:rsidR="005969CE" w:rsidRPr="00FD736D" w14:paraId="4EC5019F" w14:textId="77777777" w:rsidTr="007F4E66">
        <w:trPr>
          <w:trHeight w:val="20"/>
        </w:trPr>
        <w:tc>
          <w:tcPr>
            <w:tcW w:w="616" w:type="pct"/>
          </w:tcPr>
          <w:p w14:paraId="28B9DD7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Barbus prespensis</w:t>
            </w:r>
          </w:p>
        </w:tc>
        <w:tc>
          <w:tcPr>
            <w:tcW w:w="632" w:type="pct"/>
          </w:tcPr>
          <w:p w14:paraId="7D72243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1EE3B00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1FE53EA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Vjosa</w:t>
            </w:r>
          </w:p>
        </w:tc>
        <w:tc>
          <w:tcPr>
            <w:tcW w:w="1621" w:type="pct"/>
          </w:tcPr>
          <w:p w14:paraId="38A28B4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Albanie; Grèce</w:t>
            </w:r>
          </w:p>
        </w:tc>
      </w:tr>
      <w:tr w:rsidR="005969CE" w:rsidRPr="00FD736D" w14:paraId="629E88E0" w14:textId="77777777" w:rsidTr="007F4E66">
        <w:trPr>
          <w:trHeight w:val="20"/>
        </w:trPr>
        <w:tc>
          <w:tcPr>
            <w:tcW w:w="616" w:type="pct"/>
          </w:tcPr>
          <w:p w14:paraId="76DC15C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Brachymystax lenok</w:t>
            </w:r>
          </w:p>
        </w:tc>
        <w:tc>
          <w:tcPr>
            <w:tcW w:w="632" w:type="pct"/>
          </w:tcPr>
          <w:p w14:paraId="743BD45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Salmonidae / Salmoniformes</w:t>
            </w:r>
          </w:p>
        </w:tc>
        <w:tc>
          <w:tcPr>
            <w:tcW w:w="459" w:type="pct"/>
          </w:tcPr>
          <w:p w14:paraId="364E339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711D4EC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Amur; Burla; Han; Karasuk-Studenoye; Malinovoye; Ob; Sujfun; Torey Lakes; Tumen; Ul Kensor; Uureg; Uvs/Ubsa-Nur; Yalu; Yenisey</w:t>
            </w:r>
          </w:p>
        </w:tc>
        <w:tc>
          <w:tcPr>
            <w:tcW w:w="1621" w:type="pct"/>
          </w:tcPr>
          <w:p w14:paraId="0C63902B"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Chine; Kazakhstan; Mongolie; Corée du Nord; Russie; Corée du Sud</w:t>
            </w:r>
          </w:p>
        </w:tc>
      </w:tr>
      <w:tr w:rsidR="005969CE" w:rsidRPr="00FD736D" w14:paraId="3F2040AB" w14:textId="77777777" w:rsidTr="007F4E66">
        <w:trPr>
          <w:trHeight w:val="20"/>
        </w:trPr>
        <w:tc>
          <w:tcPr>
            <w:tcW w:w="616" w:type="pct"/>
          </w:tcPr>
          <w:p w14:paraId="76F5EF9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Brachyplatystoma capapretum</w:t>
            </w:r>
          </w:p>
        </w:tc>
        <w:tc>
          <w:tcPr>
            <w:tcW w:w="632" w:type="pct"/>
          </w:tcPr>
          <w:p w14:paraId="53F625A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Pimelodidae / Siluriformes</w:t>
            </w:r>
          </w:p>
        </w:tc>
        <w:tc>
          <w:tcPr>
            <w:tcW w:w="459" w:type="pct"/>
          </w:tcPr>
          <w:p w14:paraId="250EC2B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424FF06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Amazon</w:t>
            </w:r>
          </w:p>
        </w:tc>
        <w:tc>
          <w:tcPr>
            <w:tcW w:w="1621" w:type="pct"/>
          </w:tcPr>
          <w:p w14:paraId="0FC6225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Brésil; Colombie; Pérou</w:t>
            </w:r>
          </w:p>
        </w:tc>
      </w:tr>
      <w:tr w:rsidR="005969CE" w:rsidRPr="00FD736D" w14:paraId="789BEF04" w14:textId="77777777" w:rsidTr="007F4E66">
        <w:trPr>
          <w:trHeight w:val="20"/>
        </w:trPr>
        <w:tc>
          <w:tcPr>
            <w:tcW w:w="616" w:type="pct"/>
          </w:tcPr>
          <w:p w14:paraId="535DAA8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Brachyplatystoma filamentosum</w:t>
            </w:r>
          </w:p>
        </w:tc>
        <w:tc>
          <w:tcPr>
            <w:tcW w:w="632" w:type="pct"/>
          </w:tcPr>
          <w:p w14:paraId="4B63BEA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Pimelodidae / Siluriformes</w:t>
            </w:r>
          </w:p>
        </w:tc>
        <w:tc>
          <w:tcPr>
            <w:tcW w:w="459" w:type="pct"/>
          </w:tcPr>
          <w:p w14:paraId="4C96F78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56A383A2" w14:textId="77777777" w:rsidR="005969CE" w:rsidRPr="00FD736D" w:rsidRDefault="005969CE" w:rsidP="008A6534">
            <w:pPr>
              <w:spacing w:after="0" w:line="240" w:lineRule="auto"/>
              <w:rPr>
                <w:rFonts w:ascii="Arial" w:hAnsi="Arial" w:cs="Arial"/>
                <w:iCs/>
                <w:color w:val="000000" w:themeColor="text1"/>
                <w:sz w:val="20"/>
                <w:szCs w:val="20"/>
                <w:lang w:val="it-IT"/>
              </w:rPr>
            </w:pPr>
            <w:r w:rsidRPr="00FD736D">
              <w:rPr>
                <w:rFonts w:ascii="Arial" w:hAnsi="Arial" w:cs="Arial"/>
                <w:iCs/>
                <w:color w:val="000000" w:themeColor="text1"/>
                <w:sz w:val="20"/>
                <w:szCs w:val="20"/>
                <w:lang w:val="it-IT"/>
              </w:rPr>
              <w:t>Amazon; Courantyne; Essequibo; Maroni; Orinoco; Oyapock</w:t>
            </w:r>
          </w:p>
        </w:tc>
        <w:tc>
          <w:tcPr>
            <w:tcW w:w="1621" w:type="pct"/>
          </w:tcPr>
          <w:p w14:paraId="59FDCC85"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Bolivie; Brésil; Colombie; Équateur; Guyane française; Guyana; Pérou; Suriname; Venezuela</w:t>
            </w:r>
          </w:p>
        </w:tc>
      </w:tr>
      <w:tr w:rsidR="005969CE" w:rsidRPr="00FD736D" w14:paraId="42967DEB" w14:textId="77777777" w:rsidTr="007F4E66">
        <w:trPr>
          <w:trHeight w:val="20"/>
        </w:trPr>
        <w:tc>
          <w:tcPr>
            <w:tcW w:w="616" w:type="pct"/>
          </w:tcPr>
          <w:p w14:paraId="112D717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Brycinus leuciscus</w:t>
            </w:r>
          </w:p>
        </w:tc>
        <w:tc>
          <w:tcPr>
            <w:tcW w:w="632" w:type="pct"/>
          </w:tcPr>
          <w:p w14:paraId="1766328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Alestidae / Characiformes</w:t>
            </w:r>
          </w:p>
        </w:tc>
        <w:tc>
          <w:tcPr>
            <w:tcW w:w="459" w:type="pct"/>
          </w:tcPr>
          <w:p w14:paraId="46AC3DA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58C611B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Aby Lagoon-Bia-Tano; Tchad; Corubal; Gambie; Geba; Komoe; Mono; Niger; Sénégal; Volta</w:t>
            </w:r>
          </w:p>
        </w:tc>
        <w:tc>
          <w:tcPr>
            <w:tcW w:w="1621" w:type="pct"/>
          </w:tcPr>
          <w:p w14:paraId="41A3C3A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Bénin; Burkina Faso; Cameroun; Tchad; Côte d’Ivoire; Gambie; Ghana; Guinée; Guinée-Bissau; Mali; Mauritanie; Niger; Nigeria; Sénégal; Togo</w:t>
            </w:r>
          </w:p>
        </w:tc>
      </w:tr>
      <w:tr w:rsidR="005969CE" w:rsidRPr="00FD736D" w14:paraId="5EB92CF1" w14:textId="77777777" w:rsidTr="007F4E66">
        <w:trPr>
          <w:trHeight w:val="20"/>
        </w:trPr>
        <w:tc>
          <w:tcPr>
            <w:tcW w:w="616" w:type="pct"/>
          </w:tcPr>
          <w:p w14:paraId="2269717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Brycon atrocaudatus</w:t>
            </w:r>
          </w:p>
        </w:tc>
        <w:tc>
          <w:tcPr>
            <w:tcW w:w="632" w:type="pct"/>
          </w:tcPr>
          <w:p w14:paraId="4231EA6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Bryconidae / Characiformes</w:t>
            </w:r>
          </w:p>
        </w:tc>
        <w:tc>
          <w:tcPr>
            <w:tcW w:w="459" w:type="pct"/>
          </w:tcPr>
          <w:p w14:paraId="0FFAFA1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2A5826E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Amazon; Chira; Tumbes; Zarumilla</w:t>
            </w:r>
          </w:p>
        </w:tc>
        <w:tc>
          <w:tcPr>
            <w:tcW w:w="1621" w:type="pct"/>
          </w:tcPr>
          <w:p w14:paraId="12DA609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Équateur; Pérou</w:t>
            </w:r>
          </w:p>
        </w:tc>
      </w:tr>
      <w:tr w:rsidR="005969CE" w:rsidRPr="00FD736D" w14:paraId="60AD830E" w14:textId="77777777" w:rsidTr="007F4E66">
        <w:trPr>
          <w:trHeight w:val="20"/>
        </w:trPr>
        <w:tc>
          <w:tcPr>
            <w:tcW w:w="616" w:type="pct"/>
          </w:tcPr>
          <w:p w14:paraId="00FE057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Brycon orbignyanus</w:t>
            </w:r>
          </w:p>
        </w:tc>
        <w:tc>
          <w:tcPr>
            <w:tcW w:w="632" w:type="pct"/>
          </w:tcPr>
          <w:p w14:paraId="2C23D5D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Bryconidae / Characiformes</w:t>
            </w:r>
          </w:p>
        </w:tc>
        <w:tc>
          <w:tcPr>
            <w:tcW w:w="459" w:type="pct"/>
          </w:tcPr>
          <w:p w14:paraId="75CF2A0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278CA8E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 Plata</w:t>
            </w:r>
          </w:p>
        </w:tc>
        <w:tc>
          <w:tcPr>
            <w:tcW w:w="1621" w:type="pct"/>
          </w:tcPr>
          <w:p w14:paraId="5A393B8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Argentine; Brésil; Paraguay; Uruguay</w:t>
            </w:r>
          </w:p>
        </w:tc>
      </w:tr>
      <w:tr w:rsidR="005969CE" w:rsidRPr="00FD736D" w14:paraId="5F5431C8" w14:textId="77777777" w:rsidTr="007F4E66">
        <w:trPr>
          <w:trHeight w:val="20"/>
        </w:trPr>
        <w:tc>
          <w:tcPr>
            <w:tcW w:w="616" w:type="pct"/>
          </w:tcPr>
          <w:p w14:paraId="7B89A83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Brycon whitei</w:t>
            </w:r>
          </w:p>
        </w:tc>
        <w:tc>
          <w:tcPr>
            <w:tcW w:w="632" w:type="pct"/>
          </w:tcPr>
          <w:p w14:paraId="6B06668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Bryconidae / Characiformes</w:t>
            </w:r>
          </w:p>
        </w:tc>
        <w:tc>
          <w:tcPr>
            <w:tcW w:w="459" w:type="pct"/>
          </w:tcPr>
          <w:p w14:paraId="6F97ECE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326966F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Orinoco</w:t>
            </w:r>
          </w:p>
        </w:tc>
        <w:tc>
          <w:tcPr>
            <w:tcW w:w="1621" w:type="pct"/>
          </w:tcPr>
          <w:p w14:paraId="109FD8F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Colombie; Venezuela</w:t>
            </w:r>
          </w:p>
        </w:tc>
      </w:tr>
      <w:tr w:rsidR="005969CE" w:rsidRPr="00FD736D" w14:paraId="04910975" w14:textId="77777777" w:rsidTr="007F4E66">
        <w:trPr>
          <w:trHeight w:val="20"/>
        </w:trPr>
        <w:tc>
          <w:tcPr>
            <w:tcW w:w="616" w:type="pct"/>
          </w:tcPr>
          <w:p w14:paraId="3C06B79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Capoeta barroisi</w:t>
            </w:r>
          </w:p>
        </w:tc>
        <w:tc>
          <w:tcPr>
            <w:tcW w:w="632" w:type="pct"/>
          </w:tcPr>
          <w:p w14:paraId="68BF332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0A1ABB6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3E93725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Orontes</w:t>
            </w:r>
          </w:p>
        </w:tc>
        <w:tc>
          <w:tcPr>
            <w:tcW w:w="1621" w:type="pct"/>
          </w:tcPr>
          <w:p w14:paraId="3997833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Syrie; Turquie</w:t>
            </w:r>
          </w:p>
        </w:tc>
      </w:tr>
      <w:tr w:rsidR="005969CE" w:rsidRPr="00FD736D" w14:paraId="0F4D25DF" w14:textId="77777777" w:rsidTr="007F4E66">
        <w:trPr>
          <w:trHeight w:val="20"/>
        </w:trPr>
        <w:tc>
          <w:tcPr>
            <w:tcW w:w="616" w:type="pct"/>
          </w:tcPr>
          <w:p w14:paraId="4B247D6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Catlocarpio siamensis</w:t>
            </w:r>
          </w:p>
        </w:tc>
        <w:tc>
          <w:tcPr>
            <w:tcW w:w="632" w:type="pct"/>
          </w:tcPr>
          <w:p w14:paraId="51EAF51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3DC8463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CR</w:t>
            </w:r>
          </w:p>
        </w:tc>
        <w:tc>
          <w:tcPr>
            <w:tcW w:w="1672" w:type="pct"/>
          </w:tcPr>
          <w:p w14:paraId="4739CEC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 Saigon/Song Nha Be; Song Vam Co Dong</w:t>
            </w:r>
          </w:p>
        </w:tc>
        <w:tc>
          <w:tcPr>
            <w:tcW w:w="1621" w:type="pct"/>
          </w:tcPr>
          <w:p w14:paraId="0FBE36E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103F297A" w14:textId="77777777" w:rsidTr="007F4E66">
        <w:trPr>
          <w:trHeight w:val="20"/>
        </w:trPr>
        <w:tc>
          <w:tcPr>
            <w:tcW w:w="616" w:type="pct"/>
          </w:tcPr>
          <w:p w14:paraId="4C583A43" w14:textId="77777777" w:rsidR="005969CE"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Catostomus platyrhynchus</w:t>
            </w:r>
          </w:p>
          <w:p w14:paraId="1DB28959" w14:textId="77777777" w:rsidR="00300FCD" w:rsidRPr="00FD736D" w:rsidRDefault="00300FCD" w:rsidP="008A6534">
            <w:pPr>
              <w:spacing w:after="0" w:line="240" w:lineRule="auto"/>
              <w:rPr>
                <w:rFonts w:ascii="Arial" w:hAnsi="Arial" w:cs="Arial"/>
                <w:iCs/>
                <w:color w:val="000000" w:themeColor="text1"/>
                <w:sz w:val="20"/>
                <w:szCs w:val="20"/>
              </w:rPr>
            </w:pPr>
          </w:p>
        </w:tc>
        <w:tc>
          <w:tcPr>
            <w:tcW w:w="632" w:type="pct"/>
          </w:tcPr>
          <w:p w14:paraId="654BCAA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Catostomidae / Cypriniformes</w:t>
            </w:r>
          </w:p>
        </w:tc>
        <w:tc>
          <w:tcPr>
            <w:tcW w:w="459" w:type="pct"/>
          </w:tcPr>
          <w:p w14:paraId="27AB93F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7C59006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Columbia; Mississippi; Skagit</w:t>
            </w:r>
          </w:p>
        </w:tc>
        <w:tc>
          <w:tcPr>
            <w:tcW w:w="1621" w:type="pct"/>
          </w:tcPr>
          <w:p w14:paraId="7D71C27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Canada; États-Unis d’Amérique</w:t>
            </w:r>
          </w:p>
        </w:tc>
      </w:tr>
      <w:tr w:rsidR="005969CE" w:rsidRPr="00FD736D" w14:paraId="796A3E33" w14:textId="77777777" w:rsidTr="007F4E66">
        <w:trPr>
          <w:trHeight w:val="20"/>
        </w:trPr>
        <w:tc>
          <w:tcPr>
            <w:tcW w:w="616" w:type="pct"/>
          </w:tcPr>
          <w:p w14:paraId="6226EEB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Chanda nama</w:t>
            </w:r>
          </w:p>
        </w:tc>
        <w:tc>
          <w:tcPr>
            <w:tcW w:w="632" w:type="pct"/>
          </w:tcPr>
          <w:p w14:paraId="0AA16BB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Ambassidae / Perciformes</w:t>
            </w:r>
          </w:p>
        </w:tc>
        <w:tc>
          <w:tcPr>
            <w:tcW w:w="459" w:type="pct"/>
          </w:tcPr>
          <w:p w14:paraId="6DAE98B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5E25454C" w14:textId="77777777" w:rsidR="005969CE" w:rsidRPr="00FD736D" w:rsidRDefault="005969CE" w:rsidP="008A6534">
            <w:pPr>
              <w:spacing w:after="0" w:line="240" w:lineRule="auto"/>
              <w:rPr>
                <w:rFonts w:ascii="Arial" w:hAnsi="Arial" w:cs="Arial"/>
                <w:iCs/>
                <w:color w:val="000000" w:themeColor="text1"/>
                <w:sz w:val="20"/>
                <w:szCs w:val="20"/>
                <w:lang w:val="de-DE"/>
              </w:rPr>
            </w:pPr>
            <w:r w:rsidRPr="00FD736D">
              <w:rPr>
                <w:rFonts w:ascii="Arial" w:hAnsi="Arial" w:cs="Arial"/>
                <w:iCs/>
                <w:color w:val="000000" w:themeColor="text1"/>
                <w:sz w:val="20"/>
                <w:szCs w:val="20"/>
                <w:lang w:val="de-DE"/>
              </w:rPr>
              <w:t>Dakatia; Ganges-Brahmaputra-Meghna; Indus; Karnaphuli</w:t>
            </w:r>
          </w:p>
        </w:tc>
        <w:tc>
          <w:tcPr>
            <w:tcW w:w="1621" w:type="pct"/>
          </w:tcPr>
          <w:p w14:paraId="56E0640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Inde; Népal; Pakistan</w:t>
            </w:r>
          </w:p>
        </w:tc>
      </w:tr>
      <w:tr w:rsidR="005969CE" w:rsidRPr="00FD736D" w14:paraId="529BCB57" w14:textId="77777777" w:rsidTr="007F4E66">
        <w:trPr>
          <w:trHeight w:val="20"/>
        </w:trPr>
        <w:tc>
          <w:tcPr>
            <w:tcW w:w="616" w:type="pct"/>
          </w:tcPr>
          <w:p w14:paraId="7BE12CA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Channa argus</w:t>
            </w:r>
          </w:p>
        </w:tc>
        <w:tc>
          <w:tcPr>
            <w:tcW w:w="632" w:type="pct"/>
          </w:tcPr>
          <w:p w14:paraId="087BD65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Channidae / Anabantiformes</w:t>
            </w:r>
          </w:p>
        </w:tc>
        <w:tc>
          <w:tcPr>
            <w:tcW w:w="459" w:type="pct"/>
          </w:tcPr>
          <w:p w14:paraId="11D9C9C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6B1F984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Amur</w:t>
            </w:r>
          </w:p>
        </w:tc>
        <w:tc>
          <w:tcPr>
            <w:tcW w:w="1621" w:type="pct"/>
          </w:tcPr>
          <w:p w14:paraId="3622080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Russie</w:t>
            </w:r>
          </w:p>
        </w:tc>
      </w:tr>
      <w:tr w:rsidR="005969CE" w:rsidRPr="00FD736D" w14:paraId="7730D969" w14:textId="77777777" w:rsidTr="007F4E66">
        <w:trPr>
          <w:trHeight w:val="20"/>
        </w:trPr>
        <w:tc>
          <w:tcPr>
            <w:tcW w:w="616" w:type="pct"/>
          </w:tcPr>
          <w:p w14:paraId="3DD4A2A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Channa barca</w:t>
            </w:r>
          </w:p>
        </w:tc>
        <w:tc>
          <w:tcPr>
            <w:tcW w:w="632" w:type="pct"/>
          </w:tcPr>
          <w:p w14:paraId="217160B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Channidae / Anabantiformes</w:t>
            </w:r>
          </w:p>
        </w:tc>
        <w:tc>
          <w:tcPr>
            <w:tcW w:w="459" w:type="pct"/>
          </w:tcPr>
          <w:p w14:paraId="1597800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7018686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Ganges-Brahmaputra-Meghna</w:t>
            </w:r>
          </w:p>
        </w:tc>
        <w:tc>
          <w:tcPr>
            <w:tcW w:w="1621" w:type="pct"/>
          </w:tcPr>
          <w:p w14:paraId="736B51D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Inde</w:t>
            </w:r>
          </w:p>
        </w:tc>
      </w:tr>
      <w:tr w:rsidR="005969CE" w:rsidRPr="00FD736D" w14:paraId="282AF25D" w14:textId="77777777" w:rsidTr="007F4E66">
        <w:trPr>
          <w:trHeight w:val="20"/>
        </w:trPr>
        <w:tc>
          <w:tcPr>
            <w:tcW w:w="616" w:type="pct"/>
          </w:tcPr>
          <w:p w14:paraId="281185A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Chelon auratus</w:t>
            </w:r>
          </w:p>
        </w:tc>
        <w:tc>
          <w:tcPr>
            <w:tcW w:w="632" w:type="pct"/>
          </w:tcPr>
          <w:p w14:paraId="4341694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Mugilidae / Mugiliformes</w:t>
            </w:r>
          </w:p>
        </w:tc>
        <w:tc>
          <w:tcPr>
            <w:tcW w:w="459" w:type="pct"/>
          </w:tcPr>
          <w:p w14:paraId="3F6FB9A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3C33249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 Nahr Al Kabir; Besor; Bidasoa; Buna; Coruh; Danube; Erne; Foyle; Guadiana; Iddefjord; Lima; Maritsa; Minho; Neretva; Newry; Sénégal; Vida</w:t>
            </w:r>
          </w:p>
        </w:tc>
        <w:tc>
          <w:tcPr>
            <w:tcW w:w="1621" w:type="pct"/>
          </w:tcPr>
          <w:p w14:paraId="110FDA00"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Albanie; Bosnie-Herzégovine; Croatie; Danemark; France; Géorgie; Allemagne; Grèce; Irlande; Israël; Liban; Mauritanie; Monténégro; Norvège; Portugal; Roumanie; Sénégal; Espagne; État de Palestine; Suède; Syrie; Turquie; Ukraine; Royaume-Uni</w:t>
            </w:r>
          </w:p>
        </w:tc>
      </w:tr>
      <w:tr w:rsidR="005969CE" w:rsidRPr="00FD736D" w14:paraId="14C9ABE1" w14:textId="77777777" w:rsidTr="007F4E66">
        <w:trPr>
          <w:trHeight w:val="20"/>
        </w:trPr>
        <w:tc>
          <w:tcPr>
            <w:tcW w:w="616" w:type="pct"/>
          </w:tcPr>
          <w:p w14:paraId="12A0B4C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Chelon dumerili</w:t>
            </w:r>
          </w:p>
        </w:tc>
        <w:tc>
          <w:tcPr>
            <w:tcW w:w="632" w:type="pct"/>
          </w:tcPr>
          <w:p w14:paraId="3A42F0D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Mugilidae / Mugiliformes</w:t>
            </w:r>
          </w:p>
        </w:tc>
        <w:tc>
          <w:tcPr>
            <w:tcW w:w="459" w:type="pct"/>
          </w:tcPr>
          <w:p w14:paraId="351EE9D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7DFE70C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Kunene; Mono; Oueme; Sénégal</w:t>
            </w:r>
          </w:p>
        </w:tc>
        <w:tc>
          <w:tcPr>
            <w:tcW w:w="1621" w:type="pct"/>
          </w:tcPr>
          <w:p w14:paraId="2538F2DC"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Angola; Bénin; Mauritanie; Namibie; Nigeria; Sénégal; Togo</w:t>
            </w:r>
          </w:p>
        </w:tc>
      </w:tr>
      <w:tr w:rsidR="005969CE" w:rsidRPr="00FD736D" w14:paraId="1F34C48D" w14:textId="77777777" w:rsidTr="007F4E66">
        <w:trPr>
          <w:trHeight w:val="20"/>
        </w:trPr>
        <w:tc>
          <w:tcPr>
            <w:tcW w:w="616" w:type="pct"/>
          </w:tcPr>
          <w:p w14:paraId="17D394E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Chelon labrosus</w:t>
            </w:r>
          </w:p>
        </w:tc>
        <w:tc>
          <w:tcPr>
            <w:tcW w:w="632" w:type="pct"/>
          </w:tcPr>
          <w:p w14:paraId="2B053F2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Mugilidae / Mugiliformes</w:t>
            </w:r>
          </w:p>
        </w:tc>
        <w:tc>
          <w:tcPr>
            <w:tcW w:w="459" w:type="pct"/>
          </w:tcPr>
          <w:p w14:paraId="0354D36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683FB3A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 Nahr Al Kabir; Besor; Bidasoa; Buna; Coruh; Danube; Erne; Foyle; Gambie; Guadiana; Iddefjord; Lima; Maritsa; Minho; Neretva; Newry; Sénégal; Vida</w:t>
            </w:r>
          </w:p>
        </w:tc>
        <w:tc>
          <w:tcPr>
            <w:tcW w:w="1621" w:type="pct"/>
          </w:tcPr>
          <w:p w14:paraId="6EDC945E"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Albanie; Bosnie-Herzégovine; Croatie; Danemark; France; Gambie; Géorgie; Allemagne; Grèce; Irlande; Israël; Liban; Mauritanie; Monténégro; Norvège; Portugal; Roumanie; Sénégal; Espagne; État de Palestine; Suède; Syrie; Turquie; Ukraine; Royaume-Uni</w:t>
            </w:r>
          </w:p>
        </w:tc>
      </w:tr>
      <w:tr w:rsidR="005969CE" w:rsidRPr="00FD736D" w14:paraId="69910E16" w14:textId="77777777" w:rsidTr="007F4E66">
        <w:trPr>
          <w:trHeight w:val="20"/>
        </w:trPr>
        <w:tc>
          <w:tcPr>
            <w:tcW w:w="616" w:type="pct"/>
          </w:tcPr>
          <w:p w14:paraId="4665060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Chelon ramada</w:t>
            </w:r>
          </w:p>
        </w:tc>
        <w:tc>
          <w:tcPr>
            <w:tcW w:w="632" w:type="pct"/>
          </w:tcPr>
          <w:p w14:paraId="2CA4115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Mugilidae / Mugiliformes</w:t>
            </w:r>
          </w:p>
        </w:tc>
        <w:tc>
          <w:tcPr>
            <w:tcW w:w="459" w:type="pct"/>
          </w:tcPr>
          <w:p w14:paraId="2D3AA45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3DBFF7C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 Nahr Al Kabir; Besor; Bidasoa; Buna; Coruh; Danube; Erne; Foyle; Guadiana; Iddefjord; Lima; Maritsa; Minho; Neretva; Newry; Sénégal; Vida</w:t>
            </w:r>
          </w:p>
        </w:tc>
        <w:tc>
          <w:tcPr>
            <w:tcW w:w="1621" w:type="pct"/>
          </w:tcPr>
          <w:p w14:paraId="0892248E"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Albanie; Bosnie-Herzégovine; Croatie; Danemark; France; Géorgie; Allemagne; Grèce; Irlande; Israël; Liban; Mauritanie; Monténégro; Norvège; Roumanie; Sénégal; Espagne; État de Palestine; Portugal; Suède; Syrie; Turquie; Ukraine; Royaume-Uni</w:t>
            </w:r>
          </w:p>
        </w:tc>
      </w:tr>
      <w:tr w:rsidR="005969CE" w:rsidRPr="00FD736D" w14:paraId="2A7CBECD" w14:textId="77777777" w:rsidTr="007F4E66">
        <w:trPr>
          <w:trHeight w:val="20"/>
        </w:trPr>
        <w:tc>
          <w:tcPr>
            <w:tcW w:w="616" w:type="pct"/>
          </w:tcPr>
          <w:p w14:paraId="7CD64C2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Chelon richardsonii</w:t>
            </w:r>
          </w:p>
        </w:tc>
        <w:tc>
          <w:tcPr>
            <w:tcW w:w="632" w:type="pct"/>
          </w:tcPr>
          <w:p w14:paraId="4434CFD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Mugilidae / Mugiliformes</w:t>
            </w:r>
          </w:p>
        </w:tc>
        <w:tc>
          <w:tcPr>
            <w:tcW w:w="459" w:type="pct"/>
          </w:tcPr>
          <w:p w14:paraId="3916F44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40A61AF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Kunene; Okavango; Orange</w:t>
            </w:r>
          </w:p>
        </w:tc>
        <w:tc>
          <w:tcPr>
            <w:tcW w:w="1621" w:type="pct"/>
          </w:tcPr>
          <w:p w14:paraId="3F654109"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Angola; Namibie; Afrique du Sud</w:t>
            </w:r>
          </w:p>
        </w:tc>
      </w:tr>
      <w:tr w:rsidR="005969CE" w:rsidRPr="00FD736D" w14:paraId="19ECB74E" w14:textId="77777777" w:rsidTr="007F4E66">
        <w:trPr>
          <w:trHeight w:val="20"/>
        </w:trPr>
        <w:tc>
          <w:tcPr>
            <w:tcW w:w="616" w:type="pct"/>
          </w:tcPr>
          <w:p w14:paraId="0EB091B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Chelon saliens</w:t>
            </w:r>
          </w:p>
        </w:tc>
        <w:tc>
          <w:tcPr>
            <w:tcW w:w="632" w:type="pct"/>
          </w:tcPr>
          <w:p w14:paraId="26D3121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Mugilidae / Mugiliformes</w:t>
            </w:r>
          </w:p>
        </w:tc>
        <w:tc>
          <w:tcPr>
            <w:tcW w:w="459" w:type="pct"/>
          </w:tcPr>
          <w:p w14:paraId="0A6ACD5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3E53235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Aby Lagoon-Bia-Tano; Akwayafe; An Nahr Al Kabir; Besor; Bidasoa; Buna; Cavally; Congo; Coruh; Danube; Great Scarcies; Guadiana; Mano; Maritsa; Mono; Neretva; Ntem; Oueme; Sénégal</w:t>
            </w:r>
          </w:p>
        </w:tc>
        <w:tc>
          <w:tcPr>
            <w:tcW w:w="1621" w:type="pct"/>
          </w:tcPr>
          <w:p w14:paraId="167ECF8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 xml:space="preserve">Albanie; Angola; Bénin; Bosnie-Herzégovine; Cameroun; Côte d’Ivoire; Croatie; République démocratique du Congo; Guinée équatoriale; France; Géorgie; Ghana; Grèce; Guinée; Israël; Liban; Libéria; Mauritanie; Monténégro; </w:t>
            </w:r>
            <w:r w:rsidRPr="00FD736D">
              <w:rPr>
                <w:rFonts w:ascii="Arial" w:hAnsi="Arial" w:cs="Arial"/>
                <w:iCs/>
                <w:color w:val="000000" w:themeColor="text1"/>
                <w:sz w:val="20"/>
                <w:szCs w:val="20"/>
              </w:rPr>
              <w:lastRenderedPageBreak/>
              <w:t>Nigeria; État de Palestine; Portugal; Roumanie; Sénégal; Sierra Leone; Espagne; Syrie; Togo; Turquie; Ukraine</w:t>
            </w:r>
          </w:p>
        </w:tc>
      </w:tr>
      <w:tr w:rsidR="005969CE" w:rsidRPr="00FD736D" w14:paraId="0C4592D0" w14:textId="77777777" w:rsidTr="007F4E66">
        <w:trPr>
          <w:trHeight w:val="20"/>
        </w:trPr>
        <w:tc>
          <w:tcPr>
            <w:tcW w:w="616" w:type="pct"/>
          </w:tcPr>
          <w:p w14:paraId="2940DA7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Chelon tricuspidens</w:t>
            </w:r>
          </w:p>
        </w:tc>
        <w:tc>
          <w:tcPr>
            <w:tcW w:w="632" w:type="pct"/>
          </w:tcPr>
          <w:p w14:paraId="3809EAB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Mugilidae / Mugiliformes</w:t>
            </w:r>
          </w:p>
        </w:tc>
        <w:tc>
          <w:tcPr>
            <w:tcW w:w="459" w:type="pct"/>
          </w:tcPr>
          <w:p w14:paraId="6F7F108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78A9E9E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Kunene</w:t>
            </w:r>
          </w:p>
        </w:tc>
        <w:tc>
          <w:tcPr>
            <w:tcW w:w="1621" w:type="pct"/>
          </w:tcPr>
          <w:p w14:paraId="297F1B4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Angola; Namibie</w:t>
            </w:r>
          </w:p>
        </w:tc>
      </w:tr>
      <w:tr w:rsidR="005969CE" w:rsidRPr="00FD736D" w14:paraId="0C18A504" w14:textId="77777777" w:rsidTr="007F4E66">
        <w:trPr>
          <w:trHeight w:val="20"/>
        </w:trPr>
        <w:tc>
          <w:tcPr>
            <w:tcW w:w="616" w:type="pct"/>
          </w:tcPr>
          <w:p w14:paraId="641DF54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Chilobrycon deuterodon</w:t>
            </w:r>
          </w:p>
        </w:tc>
        <w:tc>
          <w:tcPr>
            <w:tcW w:w="632" w:type="pct"/>
          </w:tcPr>
          <w:p w14:paraId="6C56813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Characidae / Characiformes</w:t>
            </w:r>
          </w:p>
        </w:tc>
        <w:tc>
          <w:tcPr>
            <w:tcW w:w="459" w:type="pct"/>
          </w:tcPr>
          <w:p w14:paraId="4DA853E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4DA7A9D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Tumbes</w:t>
            </w:r>
          </w:p>
        </w:tc>
        <w:tc>
          <w:tcPr>
            <w:tcW w:w="1621" w:type="pct"/>
          </w:tcPr>
          <w:p w14:paraId="342BB70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Équateur; Pérou</w:t>
            </w:r>
          </w:p>
        </w:tc>
      </w:tr>
      <w:tr w:rsidR="005969CE" w:rsidRPr="00FD736D" w14:paraId="77902682" w14:textId="77777777" w:rsidTr="007F4E66">
        <w:trPr>
          <w:trHeight w:val="20"/>
        </w:trPr>
        <w:tc>
          <w:tcPr>
            <w:tcW w:w="616" w:type="pct"/>
          </w:tcPr>
          <w:p w14:paraId="287F436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Chiloglanis bifurcus</w:t>
            </w:r>
          </w:p>
        </w:tc>
        <w:tc>
          <w:tcPr>
            <w:tcW w:w="632" w:type="pct"/>
          </w:tcPr>
          <w:p w14:paraId="35497BB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Mochokidae / Siluriformes</w:t>
            </w:r>
          </w:p>
        </w:tc>
        <w:tc>
          <w:tcPr>
            <w:tcW w:w="459" w:type="pct"/>
          </w:tcPr>
          <w:p w14:paraId="5F1B14C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CR</w:t>
            </w:r>
          </w:p>
        </w:tc>
        <w:tc>
          <w:tcPr>
            <w:tcW w:w="1672" w:type="pct"/>
          </w:tcPr>
          <w:p w14:paraId="2CF8400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Incomati</w:t>
            </w:r>
          </w:p>
        </w:tc>
        <w:tc>
          <w:tcPr>
            <w:tcW w:w="1621" w:type="pct"/>
          </w:tcPr>
          <w:p w14:paraId="4ABE09F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Eswatini; Afrique du Sud</w:t>
            </w:r>
          </w:p>
        </w:tc>
      </w:tr>
      <w:tr w:rsidR="005969CE" w:rsidRPr="00FD736D" w14:paraId="351769BE" w14:textId="77777777" w:rsidTr="007F4E66">
        <w:trPr>
          <w:trHeight w:val="20"/>
        </w:trPr>
        <w:tc>
          <w:tcPr>
            <w:tcW w:w="616" w:type="pct"/>
          </w:tcPr>
          <w:p w14:paraId="70223FC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Chiloglanis emarginatus</w:t>
            </w:r>
          </w:p>
        </w:tc>
        <w:tc>
          <w:tcPr>
            <w:tcW w:w="632" w:type="pct"/>
          </w:tcPr>
          <w:p w14:paraId="6CF5037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Mochokidae / Siluriformes</w:t>
            </w:r>
          </w:p>
        </w:tc>
        <w:tc>
          <w:tcPr>
            <w:tcW w:w="459" w:type="pct"/>
          </w:tcPr>
          <w:p w14:paraId="0E92CE2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30FBE45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Incomati; Maputo; Umbeluzi</w:t>
            </w:r>
          </w:p>
        </w:tc>
        <w:tc>
          <w:tcPr>
            <w:tcW w:w="1621" w:type="pct"/>
          </w:tcPr>
          <w:p w14:paraId="4A72E712"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Eswatini; Mozambique; Afrique du Sud</w:t>
            </w:r>
          </w:p>
        </w:tc>
      </w:tr>
      <w:tr w:rsidR="005969CE" w:rsidRPr="00FD736D" w14:paraId="3CC0E49C" w14:textId="77777777" w:rsidTr="007F4E66">
        <w:trPr>
          <w:trHeight w:val="20"/>
        </w:trPr>
        <w:tc>
          <w:tcPr>
            <w:tcW w:w="616" w:type="pct"/>
          </w:tcPr>
          <w:p w14:paraId="5E406D7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Chitala blanci</w:t>
            </w:r>
          </w:p>
        </w:tc>
        <w:tc>
          <w:tcPr>
            <w:tcW w:w="632" w:type="pct"/>
          </w:tcPr>
          <w:p w14:paraId="68B39CE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Notopteridae / Osteoglossiformes</w:t>
            </w:r>
          </w:p>
        </w:tc>
        <w:tc>
          <w:tcPr>
            <w:tcW w:w="459" w:type="pct"/>
          </w:tcPr>
          <w:p w14:paraId="4D98539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67CBAEB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0BFB24D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598FD631" w14:textId="77777777" w:rsidTr="007F4E66">
        <w:trPr>
          <w:trHeight w:val="20"/>
        </w:trPr>
        <w:tc>
          <w:tcPr>
            <w:tcW w:w="616" w:type="pct"/>
          </w:tcPr>
          <w:p w14:paraId="4F0EF75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Chondrostoma kinzelbachi</w:t>
            </w:r>
          </w:p>
        </w:tc>
        <w:tc>
          <w:tcPr>
            <w:tcW w:w="632" w:type="pct"/>
          </w:tcPr>
          <w:p w14:paraId="0C34513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Leuciscidae / Cypriniformes</w:t>
            </w:r>
          </w:p>
        </w:tc>
        <w:tc>
          <w:tcPr>
            <w:tcW w:w="459" w:type="pct"/>
          </w:tcPr>
          <w:p w14:paraId="4E1CD88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43AB0D8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 Nahr Al Kabir; Orontes; Tigris-Euphrates/Shatt al Arab</w:t>
            </w:r>
          </w:p>
        </w:tc>
        <w:tc>
          <w:tcPr>
            <w:tcW w:w="1621" w:type="pct"/>
          </w:tcPr>
          <w:p w14:paraId="1431E7A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Liban; Syrie; Turquie</w:t>
            </w:r>
          </w:p>
        </w:tc>
      </w:tr>
      <w:tr w:rsidR="005969CE" w:rsidRPr="00FD736D" w14:paraId="4EC55E73" w14:textId="77777777" w:rsidTr="007F4E66">
        <w:trPr>
          <w:trHeight w:val="20"/>
        </w:trPr>
        <w:tc>
          <w:tcPr>
            <w:tcW w:w="616" w:type="pct"/>
          </w:tcPr>
          <w:p w14:paraId="7E18F34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Chondrostoma nasus</w:t>
            </w:r>
          </w:p>
        </w:tc>
        <w:tc>
          <w:tcPr>
            <w:tcW w:w="632" w:type="pct"/>
          </w:tcPr>
          <w:p w14:paraId="1E3B11E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Leuciscidae / Cypriniformes</w:t>
            </w:r>
          </w:p>
        </w:tc>
        <w:tc>
          <w:tcPr>
            <w:tcW w:w="459" w:type="pct"/>
          </w:tcPr>
          <w:p w14:paraId="5B2B0D5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1DAC439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Danube; Dnieper; Dniestr; Elbe; IJsselmeer; Meuse; Neman; Oder; Pregolya; Rhine; Vistula</w:t>
            </w:r>
          </w:p>
        </w:tc>
        <w:tc>
          <w:tcPr>
            <w:tcW w:w="1621" w:type="pct"/>
          </w:tcPr>
          <w:p w14:paraId="74AA928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Kosovo; Liechtenstein; Lituanie; Luxembourg; Moldavie; Monténégro; Pays-Bas; Pologne; Roumanie; Russie; Russie (Kaliningrad); Serbie; Slovaquie; Slovénie; Suisse; Ukraine</w:t>
            </w:r>
          </w:p>
        </w:tc>
      </w:tr>
      <w:tr w:rsidR="005969CE" w:rsidRPr="00FD736D" w14:paraId="6630FF13" w14:textId="77777777" w:rsidTr="007F4E66">
        <w:trPr>
          <w:trHeight w:val="20"/>
        </w:trPr>
        <w:tc>
          <w:tcPr>
            <w:tcW w:w="616" w:type="pct"/>
          </w:tcPr>
          <w:p w14:paraId="04C54E3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Chondrostoma soetta</w:t>
            </w:r>
          </w:p>
        </w:tc>
        <w:tc>
          <w:tcPr>
            <w:tcW w:w="632" w:type="pct"/>
          </w:tcPr>
          <w:p w14:paraId="2055CE0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Leuciscidae / Cypriniformes</w:t>
            </w:r>
          </w:p>
        </w:tc>
        <w:tc>
          <w:tcPr>
            <w:tcW w:w="459" w:type="pct"/>
          </w:tcPr>
          <w:p w14:paraId="16CC96D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CR</w:t>
            </w:r>
          </w:p>
        </w:tc>
        <w:tc>
          <w:tcPr>
            <w:tcW w:w="1672" w:type="pct"/>
          </w:tcPr>
          <w:p w14:paraId="41C287F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Po</w:t>
            </w:r>
          </w:p>
        </w:tc>
        <w:tc>
          <w:tcPr>
            <w:tcW w:w="1621" w:type="pct"/>
          </w:tcPr>
          <w:p w14:paraId="5EE7303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Italie; Suisse</w:t>
            </w:r>
          </w:p>
        </w:tc>
      </w:tr>
      <w:tr w:rsidR="005969CE" w:rsidRPr="00FD736D" w14:paraId="22D22EED" w14:textId="77777777" w:rsidTr="007F4E66">
        <w:trPr>
          <w:trHeight w:val="20"/>
        </w:trPr>
        <w:tc>
          <w:tcPr>
            <w:tcW w:w="616" w:type="pct"/>
          </w:tcPr>
          <w:p w14:paraId="00B660F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Chromobotia macracanthus</w:t>
            </w:r>
          </w:p>
        </w:tc>
        <w:tc>
          <w:tcPr>
            <w:tcW w:w="632" w:type="pct"/>
          </w:tcPr>
          <w:p w14:paraId="6FB3584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Botiidae / Cypriniformes</w:t>
            </w:r>
          </w:p>
        </w:tc>
        <w:tc>
          <w:tcPr>
            <w:tcW w:w="459" w:type="pct"/>
          </w:tcPr>
          <w:p w14:paraId="4E4F30A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4F0A625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Sambas; Sembakung</w:t>
            </w:r>
          </w:p>
        </w:tc>
        <w:tc>
          <w:tcPr>
            <w:tcW w:w="1621" w:type="pct"/>
          </w:tcPr>
          <w:p w14:paraId="5C6B7E1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Indonésie; Malaisie</w:t>
            </w:r>
          </w:p>
        </w:tc>
      </w:tr>
      <w:tr w:rsidR="005969CE" w:rsidRPr="00FD736D" w14:paraId="2A977429" w14:textId="77777777" w:rsidTr="007F4E66">
        <w:trPr>
          <w:trHeight w:val="20"/>
        </w:trPr>
        <w:tc>
          <w:tcPr>
            <w:tcW w:w="616" w:type="pct"/>
          </w:tcPr>
          <w:p w14:paraId="745EEE6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Cirrhinus jullieni</w:t>
            </w:r>
          </w:p>
        </w:tc>
        <w:tc>
          <w:tcPr>
            <w:tcW w:w="632" w:type="pct"/>
          </w:tcPr>
          <w:p w14:paraId="78EC90A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2676292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1E1609A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4E7CF38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69F2B33A" w14:textId="77777777" w:rsidTr="007F4E66">
        <w:trPr>
          <w:trHeight w:val="20"/>
        </w:trPr>
        <w:tc>
          <w:tcPr>
            <w:tcW w:w="616" w:type="pct"/>
          </w:tcPr>
          <w:p w14:paraId="0F5014E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Cirrhinus microlepis</w:t>
            </w:r>
          </w:p>
        </w:tc>
        <w:tc>
          <w:tcPr>
            <w:tcW w:w="632" w:type="pct"/>
          </w:tcPr>
          <w:p w14:paraId="0E3D8FE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6AC618B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4CAED3C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69FEAAF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Chine; Laos; Myanmar; Thaïlande; Vietnam</w:t>
            </w:r>
          </w:p>
        </w:tc>
      </w:tr>
      <w:tr w:rsidR="005969CE" w:rsidRPr="00FD736D" w14:paraId="6427757E" w14:textId="77777777" w:rsidTr="007F4E66">
        <w:trPr>
          <w:trHeight w:val="20"/>
        </w:trPr>
        <w:tc>
          <w:tcPr>
            <w:tcW w:w="616" w:type="pct"/>
          </w:tcPr>
          <w:p w14:paraId="1ED2B9E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Cirrhinus molitorella</w:t>
            </w:r>
          </w:p>
        </w:tc>
        <w:tc>
          <w:tcPr>
            <w:tcW w:w="632" w:type="pct"/>
          </w:tcPr>
          <w:p w14:paraId="1533644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6F9A036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0282696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 Pearl; Red/Song Hong; Saigon/Song Nha Be; Song Vam Co Dong</w:t>
            </w:r>
          </w:p>
        </w:tc>
        <w:tc>
          <w:tcPr>
            <w:tcW w:w="1621" w:type="pct"/>
          </w:tcPr>
          <w:p w14:paraId="60136C1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Chine; Laos; Thaïlande; Vietnam</w:t>
            </w:r>
          </w:p>
        </w:tc>
      </w:tr>
      <w:tr w:rsidR="005969CE" w:rsidRPr="00FD736D" w14:paraId="54905A92" w14:textId="77777777" w:rsidTr="007F4E66">
        <w:trPr>
          <w:trHeight w:val="20"/>
        </w:trPr>
        <w:tc>
          <w:tcPr>
            <w:tcW w:w="616" w:type="pct"/>
          </w:tcPr>
          <w:p w14:paraId="58D3554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Citharinus eburneensis</w:t>
            </w:r>
          </w:p>
        </w:tc>
        <w:tc>
          <w:tcPr>
            <w:tcW w:w="632" w:type="pct"/>
          </w:tcPr>
          <w:p w14:paraId="3E7ADA2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Citharinidae / Characiformes</w:t>
            </w:r>
          </w:p>
        </w:tc>
        <w:tc>
          <w:tcPr>
            <w:tcW w:w="459" w:type="pct"/>
          </w:tcPr>
          <w:p w14:paraId="0A10232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28222561" w14:textId="77777777" w:rsidR="005969CE" w:rsidRPr="00FD736D" w:rsidRDefault="005969CE" w:rsidP="008A6534">
            <w:pPr>
              <w:spacing w:after="0" w:line="240" w:lineRule="auto"/>
              <w:rPr>
                <w:rFonts w:ascii="Arial" w:hAnsi="Arial" w:cs="Arial"/>
                <w:iCs/>
                <w:color w:val="000000" w:themeColor="text1"/>
                <w:sz w:val="20"/>
                <w:szCs w:val="20"/>
                <w:lang w:val="it-IT"/>
              </w:rPr>
            </w:pPr>
            <w:r w:rsidRPr="00FD736D">
              <w:rPr>
                <w:rFonts w:ascii="Arial" w:hAnsi="Arial" w:cs="Arial"/>
                <w:iCs/>
                <w:color w:val="000000" w:themeColor="text1"/>
                <w:sz w:val="20"/>
                <w:szCs w:val="20"/>
                <w:lang w:val="it-IT"/>
              </w:rPr>
              <w:t>Aby Lagoon-Bia-Tano; Komoe</w:t>
            </w:r>
          </w:p>
        </w:tc>
        <w:tc>
          <w:tcPr>
            <w:tcW w:w="1621" w:type="pct"/>
          </w:tcPr>
          <w:p w14:paraId="4100BE46" w14:textId="77777777" w:rsidR="005969CE" w:rsidRPr="00FD736D" w:rsidRDefault="005969CE" w:rsidP="008A6534">
            <w:pPr>
              <w:spacing w:after="0" w:line="240" w:lineRule="auto"/>
              <w:rPr>
                <w:rFonts w:ascii="Arial" w:hAnsi="Arial" w:cs="Arial"/>
                <w:iCs/>
                <w:color w:val="000000" w:themeColor="text1"/>
                <w:sz w:val="20"/>
                <w:szCs w:val="20"/>
                <w:lang w:val="it-IT"/>
              </w:rPr>
            </w:pPr>
            <w:r w:rsidRPr="00FD736D">
              <w:rPr>
                <w:rFonts w:ascii="Arial" w:hAnsi="Arial" w:cs="Arial"/>
                <w:iCs/>
                <w:color w:val="000000" w:themeColor="text1"/>
                <w:sz w:val="20"/>
                <w:szCs w:val="20"/>
                <w:lang w:val="it-IT"/>
              </w:rPr>
              <w:t>Burkina Faso; Côte d’Ivoire; Ghana</w:t>
            </w:r>
          </w:p>
        </w:tc>
      </w:tr>
      <w:tr w:rsidR="005969CE" w:rsidRPr="00FD736D" w14:paraId="5BA50E4B" w14:textId="77777777" w:rsidTr="007F4E66">
        <w:trPr>
          <w:trHeight w:val="20"/>
        </w:trPr>
        <w:tc>
          <w:tcPr>
            <w:tcW w:w="616" w:type="pct"/>
          </w:tcPr>
          <w:p w14:paraId="40EF766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Clarias macrocephalus</w:t>
            </w:r>
          </w:p>
        </w:tc>
        <w:tc>
          <w:tcPr>
            <w:tcW w:w="632" w:type="pct"/>
          </w:tcPr>
          <w:p w14:paraId="3D9DD4F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Clariidae / Siluriformes</w:t>
            </w:r>
          </w:p>
        </w:tc>
        <w:tc>
          <w:tcPr>
            <w:tcW w:w="459" w:type="pct"/>
          </w:tcPr>
          <w:p w14:paraId="6B00AEA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1438EDC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Golok; Mekong; Pakchan; Song Vam Co Dong</w:t>
            </w:r>
          </w:p>
        </w:tc>
        <w:tc>
          <w:tcPr>
            <w:tcW w:w="1621" w:type="pct"/>
          </w:tcPr>
          <w:p w14:paraId="6705915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Malaisie; Myanmar; Thaïlande; Vietnam</w:t>
            </w:r>
          </w:p>
        </w:tc>
      </w:tr>
      <w:tr w:rsidR="005969CE" w:rsidRPr="00FD736D" w14:paraId="67CEB6D3" w14:textId="77777777" w:rsidTr="007F4E66">
        <w:trPr>
          <w:trHeight w:val="20"/>
        </w:trPr>
        <w:tc>
          <w:tcPr>
            <w:tcW w:w="616" w:type="pct"/>
          </w:tcPr>
          <w:p w14:paraId="662237B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Clarias magur</w:t>
            </w:r>
          </w:p>
        </w:tc>
        <w:tc>
          <w:tcPr>
            <w:tcW w:w="632" w:type="pct"/>
          </w:tcPr>
          <w:p w14:paraId="49C0A44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Clariidae / Siluriformes</w:t>
            </w:r>
          </w:p>
        </w:tc>
        <w:tc>
          <w:tcPr>
            <w:tcW w:w="459" w:type="pct"/>
          </w:tcPr>
          <w:p w14:paraId="7E6BED9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0D87C9D3" w14:textId="77777777" w:rsidR="005969CE" w:rsidRPr="00FD736D" w:rsidRDefault="005969CE" w:rsidP="008A6534">
            <w:pPr>
              <w:spacing w:after="0" w:line="240" w:lineRule="auto"/>
              <w:rPr>
                <w:rFonts w:ascii="Arial" w:hAnsi="Arial" w:cs="Arial"/>
                <w:iCs/>
                <w:color w:val="000000" w:themeColor="text1"/>
                <w:sz w:val="20"/>
                <w:szCs w:val="20"/>
                <w:lang w:val="de-DE"/>
              </w:rPr>
            </w:pPr>
            <w:r w:rsidRPr="00FD736D">
              <w:rPr>
                <w:rFonts w:ascii="Arial" w:hAnsi="Arial" w:cs="Arial"/>
                <w:iCs/>
                <w:color w:val="000000" w:themeColor="text1"/>
                <w:sz w:val="20"/>
                <w:szCs w:val="20"/>
                <w:lang w:val="de-DE"/>
              </w:rPr>
              <w:t>Dakatia; Feni; Ganges-Brahmaputra-Meghna</w:t>
            </w:r>
          </w:p>
        </w:tc>
        <w:tc>
          <w:tcPr>
            <w:tcW w:w="1621" w:type="pct"/>
          </w:tcPr>
          <w:p w14:paraId="2D566E3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Inde</w:t>
            </w:r>
          </w:p>
        </w:tc>
      </w:tr>
      <w:tr w:rsidR="005969CE" w:rsidRPr="00FD736D" w14:paraId="011FD3D1" w14:textId="77777777" w:rsidTr="007F4E66">
        <w:trPr>
          <w:trHeight w:val="20"/>
        </w:trPr>
        <w:tc>
          <w:tcPr>
            <w:tcW w:w="616" w:type="pct"/>
          </w:tcPr>
          <w:p w14:paraId="0048B91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Clarias meladerma</w:t>
            </w:r>
          </w:p>
        </w:tc>
        <w:tc>
          <w:tcPr>
            <w:tcW w:w="632" w:type="pct"/>
          </w:tcPr>
          <w:p w14:paraId="00F235B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Clariidae / Siluriformes</w:t>
            </w:r>
          </w:p>
        </w:tc>
        <w:tc>
          <w:tcPr>
            <w:tcW w:w="459" w:type="pct"/>
          </w:tcPr>
          <w:p w14:paraId="6702D54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72BD681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Golok; Sambas</w:t>
            </w:r>
          </w:p>
        </w:tc>
        <w:tc>
          <w:tcPr>
            <w:tcW w:w="1621" w:type="pct"/>
          </w:tcPr>
          <w:p w14:paraId="674FF2B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Indonésie; Malaisie; Thaïlande</w:t>
            </w:r>
          </w:p>
        </w:tc>
      </w:tr>
      <w:tr w:rsidR="005969CE" w:rsidRPr="00FD736D" w14:paraId="1D352BEB" w14:textId="77777777" w:rsidTr="007F4E66">
        <w:trPr>
          <w:trHeight w:val="20"/>
        </w:trPr>
        <w:tc>
          <w:tcPr>
            <w:tcW w:w="616" w:type="pct"/>
          </w:tcPr>
          <w:p w14:paraId="3D0DB14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Clupisoma naziri</w:t>
            </w:r>
          </w:p>
        </w:tc>
        <w:tc>
          <w:tcPr>
            <w:tcW w:w="632" w:type="pct"/>
          </w:tcPr>
          <w:p w14:paraId="515694A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Ailiidae / Siluriformes</w:t>
            </w:r>
          </w:p>
        </w:tc>
        <w:tc>
          <w:tcPr>
            <w:tcW w:w="459" w:type="pct"/>
          </w:tcPr>
          <w:p w14:paraId="0192E31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7B1F3B0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Indus</w:t>
            </w:r>
          </w:p>
        </w:tc>
        <w:tc>
          <w:tcPr>
            <w:tcW w:w="1621" w:type="pct"/>
          </w:tcPr>
          <w:p w14:paraId="7827780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Afghanistan; Inde; Pakistan</w:t>
            </w:r>
          </w:p>
        </w:tc>
      </w:tr>
      <w:tr w:rsidR="005969CE" w:rsidRPr="00FD736D" w14:paraId="35ADA872" w14:textId="77777777" w:rsidTr="007F4E66">
        <w:trPr>
          <w:trHeight w:val="20"/>
        </w:trPr>
        <w:tc>
          <w:tcPr>
            <w:tcW w:w="616" w:type="pct"/>
          </w:tcPr>
          <w:p w14:paraId="1BE29BD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Coilia mystus</w:t>
            </w:r>
          </w:p>
        </w:tc>
        <w:tc>
          <w:tcPr>
            <w:tcW w:w="632" w:type="pct"/>
          </w:tcPr>
          <w:p w14:paraId="5F80FC7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Engraulidae / Clupeiformes</w:t>
            </w:r>
          </w:p>
        </w:tc>
        <w:tc>
          <w:tcPr>
            <w:tcW w:w="459" w:type="pct"/>
          </w:tcPr>
          <w:p w14:paraId="7262430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3EB1A58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Han</w:t>
            </w:r>
          </w:p>
        </w:tc>
        <w:tc>
          <w:tcPr>
            <w:tcW w:w="1621" w:type="pct"/>
          </w:tcPr>
          <w:p w14:paraId="4027106B"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Corée du Nord; Corée du Sud</w:t>
            </w:r>
          </w:p>
        </w:tc>
      </w:tr>
      <w:tr w:rsidR="005969CE" w:rsidRPr="00FD736D" w14:paraId="0D7086DD" w14:textId="77777777" w:rsidTr="007F4E66">
        <w:trPr>
          <w:trHeight w:val="20"/>
        </w:trPr>
        <w:tc>
          <w:tcPr>
            <w:tcW w:w="616" w:type="pct"/>
          </w:tcPr>
          <w:p w14:paraId="6223F38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Coilia nasus</w:t>
            </w:r>
          </w:p>
        </w:tc>
        <w:tc>
          <w:tcPr>
            <w:tcW w:w="632" w:type="pct"/>
          </w:tcPr>
          <w:p w14:paraId="184190C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Engraulidae / Clupeiformes</w:t>
            </w:r>
          </w:p>
        </w:tc>
        <w:tc>
          <w:tcPr>
            <w:tcW w:w="459" w:type="pct"/>
          </w:tcPr>
          <w:p w14:paraId="265AFD6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0BB72DB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Han; Tumen; Yalu</w:t>
            </w:r>
          </w:p>
        </w:tc>
        <w:tc>
          <w:tcPr>
            <w:tcW w:w="1621" w:type="pct"/>
          </w:tcPr>
          <w:p w14:paraId="0D624151"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Chine; Corée du Nord; Russie; Corée du Sud</w:t>
            </w:r>
          </w:p>
        </w:tc>
      </w:tr>
      <w:tr w:rsidR="005969CE" w:rsidRPr="00FD736D" w14:paraId="487EF0F5" w14:textId="77777777" w:rsidTr="007F4E66">
        <w:trPr>
          <w:trHeight w:val="20"/>
        </w:trPr>
        <w:tc>
          <w:tcPr>
            <w:tcW w:w="616" w:type="pct"/>
          </w:tcPr>
          <w:p w14:paraId="30F275D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Coilia ramcarati</w:t>
            </w:r>
          </w:p>
        </w:tc>
        <w:tc>
          <w:tcPr>
            <w:tcW w:w="632" w:type="pct"/>
          </w:tcPr>
          <w:p w14:paraId="60A0BE9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Engraulidae / Clupeiformes</w:t>
            </w:r>
          </w:p>
        </w:tc>
        <w:tc>
          <w:tcPr>
            <w:tcW w:w="459" w:type="pct"/>
          </w:tcPr>
          <w:p w14:paraId="11BC3A6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7D19B7A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Naf</w:t>
            </w:r>
          </w:p>
        </w:tc>
        <w:tc>
          <w:tcPr>
            <w:tcW w:w="1621" w:type="pct"/>
          </w:tcPr>
          <w:p w14:paraId="5EA7053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Myanmar</w:t>
            </w:r>
          </w:p>
        </w:tc>
      </w:tr>
      <w:tr w:rsidR="005969CE" w:rsidRPr="00FD736D" w14:paraId="0A7265D0" w14:textId="77777777" w:rsidTr="007F4E66">
        <w:trPr>
          <w:trHeight w:val="20"/>
        </w:trPr>
        <w:tc>
          <w:tcPr>
            <w:tcW w:w="616" w:type="pct"/>
          </w:tcPr>
          <w:p w14:paraId="48EEBDC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Colossoma macropomum</w:t>
            </w:r>
          </w:p>
        </w:tc>
        <w:tc>
          <w:tcPr>
            <w:tcW w:w="632" w:type="pct"/>
          </w:tcPr>
          <w:p w14:paraId="09F3157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Serrasalmidae / Characiformes</w:t>
            </w:r>
          </w:p>
        </w:tc>
        <w:tc>
          <w:tcPr>
            <w:tcW w:w="459" w:type="pct"/>
          </w:tcPr>
          <w:p w14:paraId="4D8A78F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544EE781" w14:textId="77777777" w:rsidR="005969CE" w:rsidRPr="00FD736D" w:rsidRDefault="005969CE" w:rsidP="008A6534">
            <w:pPr>
              <w:spacing w:after="0" w:line="240" w:lineRule="auto"/>
              <w:rPr>
                <w:rFonts w:ascii="Arial" w:hAnsi="Arial" w:cs="Arial"/>
                <w:iCs/>
                <w:color w:val="000000" w:themeColor="text1"/>
                <w:sz w:val="20"/>
                <w:szCs w:val="20"/>
                <w:lang w:val="it-IT"/>
              </w:rPr>
            </w:pPr>
            <w:r w:rsidRPr="00FD736D">
              <w:rPr>
                <w:rFonts w:ascii="Arial" w:hAnsi="Arial" w:cs="Arial"/>
                <w:iCs/>
                <w:color w:val="000000" w:themeColor="text1"/>
                <w:sz w:val="20"/>
                <w:szCs w:val="20"/>
                <w:lang w:val="it-IT"/>
              </w:rPr>
              <w:t>Amazon; Catatumbo; Essequibo; La Plata; Orinoco</w:t>
            </w:r>
          </w:p>
        </w:tc>
        <w:tc>
          <w:tcPr>
            <w:tcW w:w="1621" w:type="pct"/>
          </w:tcPr>
          <w:p w14:paraId="721428E9" w14:textId="77777777" w:rsidR="005969CE" w:rsidRPr="00FD736D" w:rsidRDefault="005969CE" w:rsidP="008A6534">
            <w:pPr>
              <w:spacing w:after="0" w:line="240" w:lineRule="auto"/>
              <w:rPr>
                <w:rFonts w:ascii="Arial" w:hAnsi="Arial" w:cs="Arial"/>
                <w:iCs/>
                <w:color w:val="000000" w:themeColor="text1"/>
                <w:sz w:val="20"/>
                <w:szCs w:val="20"/>
                <w:lang w:val="es-ES"/>
              </w:rPr>
            </w:pPr>
            <w:r w:rsidRPr="00FD736D">
              <w:rPr>
                <w:rFonts w:ascii="Arial" w:hAnsi="Arial" w:cs="Arial"/>
                <w:iCs/>
                <w:color w:val="000000" w:themeColor="text1"/>
                <w:sz w:val="20"/>
                <w:szCs w:val="20"/>
                <w:lang w:val="es-ES"/>
              </w:rPr>
              <w:t>Bolivie; Brésil; Colombie; Guyana; Pérou; Venezuela</w:t>
            </w:r>
          </w:p>
        </w:tc>
      </w:tr>
      <w:tr w:rsidR="005969CE" w:rsidRPr="00FD736D" w14:paraId="6713E38D" w14:textId="77777777" w:rsidTr="007F4E66">
        <w:trPr>
          <w:trHeight w:val="20"/>
        </w:trPr>
        <w:tc>
          <w:tcPr>
            <w:tcW w:w="616" w:type="pct"/>
          </w:tcPr>
          <w:p w14:paraId="61B8971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Coregonus albula</w:t>
            </w:r>
          </w:p>
        </w:tc>
        <w:tc>
          <w:tcPr>
            <w:tcW w:w="632" w:type="pct"/>
          </w:tcPr>
          <w:p w14:paraId="0188D52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Salmonidae / Salmoniformes</w:t>
            </w:r>
          </w:p>
        </w:tc>
        <w:tc>
          <w:tcPr>
            <w:tcW w:w="459" w:type="pct"/>
          </w:tcPr>
          <w:p w14:paraId="7965E87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55934ED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Angerman; Barta; Daugava; Firth; Gauja; Gota alv; Iddefjord; Indalsalven; Kem; Kemi; Lielupe; Narva; Neman; Neva; Oder; Paatsjoki; Peschanaya; Pregolya; Torne; Ume; Venta; Vistula; Yukon</w:t>
            </w:r>
          </w:p>
        </w:tc>
        <w:tc>
          <w:tcPr>
            <w:tcW w:w="1621" w:type="pct"/>
          </w:tcPr>
          <w:p w14:paraId="0F450D17"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Biélorussie; Canada; Estonie; Finlande; Allemagne; Russie (Kaliningrad); Lettonie; Lituanie; Norvège; Pologne; Russie; Suède; États-Unis d’Amérique (Alaska)</w:t>
            </w:r>
          </w:p>
        </w:tc>
      </w:tr>
      <w:tr w:rsidR="005969CE" w:rsidRPr="00FD736D" w14:paraId="713741D4" w14:textId="77777777" w:rsidTr="007F4E66">
        <w:trPr>
          <w:trHeight w:val="20"/>
        </w:trPr>
        <w:tc>
          <w:tcPr>
            <w:tcW w:w="616" w:type="pct"/>
          </w:tcPr>
          <w:p w14:paraId="010D7AE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Coregonus nelsonii</w:t>
            </w:r>
          </w:p>
        </w:tc>
        <w:tc>
          <w:tcPr>
            <w:tcW w:w="632" w:type="pct"/>
          </w:tcPr>
          <w:p w14:paraId="7D30D23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Salmonidae / Salmoniformes</w:t>
            </w:r>
          </w:p>
        </w:tc>
        <w:tc>
          <w:tcPr>
            <w:tcW w:w="459" w:type="pct"/>
          </w:tcPr>
          <w:p w14:paraId="54FDBA8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24E9F97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Yukon</w:t>
            </w:r>
          </w:p>
        </w:tc>
        <w:tc>
          <w:tcPr>
            <w:tcW w:w="1621" w:type="pct"/>
          </w:tcPr>
          <w:p w14:paraId="3F13AF42"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Canada; États-Unis d’Amérique (Alaska)</w:t>
            </w:r>
          </w:p>
        </w:tc>
      </w:tr>
      <w:tr w:rsidR="005969CE" w:rsidRPr="00FD736D" w14:paraId="1CD09CB5" w14:textId="77777777" w:rsidTr="007F4E66">
        <w:trPr>
          <w:trHeight w:val="20"/>
        </w:trPr>
        <w:tc>
          <w:tcPr>
            <w:tcW w:w="616" w:type="pct"/>
          </w:tcPr>
          <w:p w14:paraId="6FE54D7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Coregonus pidschian</w:t>
            </w:r>
          </w:p>
        </w:tc>
        <w:tc>
          <w:tcPr>
            <w:tcW w:w="632" w:type="pct"/>
          </w:tcPr>
          <w:p w14:paraId="4AD993F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Salmonidae / Salmoniformes</w:t>
            </w:r>
          </w:p>
        </w:tc>
        <w:tc>
          <w:tcPr>
            <w:tcW w:w="459" w:type="pct"/>
          </w:tcPr>
          <w:p w14:paraId="180F2EF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1988D22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Burla; Copper; Ebeyty; Firth; Karasuk-Studenoye; Kem; Malinovoye; Naatamo; Ob; Paatsjoki; Tuloma; Ul Kensor; Yenisey; Yukon</w:t>
            </w:r>
          </w:p>
        </w:tc>
        <w:tc>
          <w:tcPr>
            <w:tcW w:w="1621" w:type="pct"/>
          </w:tcPr>
          <w:p w14:paraId="30F40781"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Canada; Chine; Finlande; Kazakhstan; Mongolie; Norvège; Russie; États-Unis d’Amérique (Alaska)</w:t>
            </w:r>
          </w:p>
        </w:tc>
      </w:tr>
      <w:tr w:rsidR="005969CE" w:rsidRPr="00FD736D" w14:paraId="5B8638CF" w14:textId="77777777" w:rsidTr="007F4E66">
        <w:trPr>
          <w:trHeight w:val="20"/>
        </w:trPr>
        <w:tc>
          <w:tcPr>
            <w:tcW w:w="616" w:type="pct"/>
          </w:tcPr>
          <w:p w14:paraId="0A18921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Coregonus tugun</w:t>
            </w:r>
          </w:p>
        </w:tc>
        <w:tc>
          <w:tcPr>
            <w:tcW w:w="632" w:type="pct"/>
          </w:tcPr>
          <w:p w14:paraId="6BAA2B8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Salmonidae / Salmoniformes</w:t>
            </w:r>
          </w:p>
        </w:tc>
        <w:tc>
          <w:tcPr>
            <w:tcW w:w="459" w:type="pct"/>
          </w:tcPr>
          <w:p w14:paraId="7A543DA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0CCDC2E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Burla; Ebeyty; Karasuk-Studenoye; Ob; Ul Kensor; Yenisey</w:t>
            </w:r>
          </w:p>
        </w:tc>
        <w:tc>
          <w:tcPr>
            <w:tcW w:w="1621" w:type="pct"/>
          </w:tcPr>
          <w:p w14:paraId="4CBBCBC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Kazakhstan; Mongolie; Russie</w:t>
            </w:r>
          </w:p>
        </w:tc>
      </w:tr>
      <w:tr w:rsidR="005969CE" w:rsidRPr="00FD736D" w14:paraId="0510868E" w14:textId="77777777" w:rsidTr="007F4E66">
        <w:trPr>
          <w:trHeight w:val="20"/>
        </w:trPr>
        <w:tc>
          <w:tcPr>
            <w:tcW w:w="616" w:type="pct"/>
          </w:tcPr>
          <w:p w14:paraId="473E460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Cosmochilus harmandi</w:t>
            </w:r>
          </w:p>
        </w:tc>
        <w:tc>
          <w:tcPr>
            <w:tcW w:w="632" w:type="pct"/>
          </w:tcPr>
          <w:p w14:paraId="3B11327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1DC8DFD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3E40C75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562C85A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Myanmar; Thaïlande; Vietnam</w:t>
            </w:r>
          </w:p>
        </w:tc>
      </w:tr>
      <w:tr w:rsidR="005969CE" w:rsidRPr="00FD736D" w14:paraId="542B6D40" w14:textId="77777777" w:rsidTr="007F4E66">
        <w:trPr>
          <w:trHeight w:val="20"/>
        </w:trPr>
        <w:tc>
          <w:tcPr>
            <w:tcW w:w="616" w:type="pct"/>
          </w:tcPr>
          <w:p w14:paraId="6606A71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Cycleptus elongatus</w:t>
            </w:r>
          </w:p>
        </w:tc>
        <w:tc>
          <w:tcPr>
            <w:tcW w:w="632" w:type="pct"/>
          </w:tcPr>
          <w:p w14:paraId="2845DFD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Catostomidae / Cypriniformes</w:t>
            </w:r>
          </w:p>
        </w:tc>
        <w:tc>
          <w:tcPr>
            <w:tcW w:w="459" w:type="pct"/>
          </w:tcPr>
          <w:p w14:paraId="1BA9594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4AD2E3A4"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Rio Grande (Amérique du Nord)</w:t>
            </w:r>
          </w:p>
        </w:tc>
        <w:tc>
          <w:tcPr>
            <w:tcW w:w="1621" w:type="pct"/>
          </w:tcPr>
          <w:p w14:paraId="1773E52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Mexique; États-Unis d’Amérique</w:t>
            </w:r>
          </w:p>
        </w:tc>
      </w:tr>
      <w:tr w:rsidR="005969CE" w:rsidRPr="00FD736D" w14:paraId="510BB07D" w14:textId="77777777" w:rsidTr="007F4E66">
        <w:trPr>
          <w:trHeight w:val="20"/>
        </w:trPr>
        <w:tc>
          <w:tcPr>
            <w:tcW w:w="616" w:type="pct"/>
          </w:tcPr>
          <w:p w14:paraId="210B06C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Cyclocheilichthys enoplos</w:t>
            </w:r>
          </w:p>
        </w:tc>
        <w:tc>
          <w:tcPr>
            <w:tcW w:w="632" w:type="pct"/>
          </w:tcPr>
          <w:p w14:paraId="3F106BB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740140B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6F1D9D2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5E21C83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1A2F53DF" w14:textId="77777777" w:rsidTr="007F4E66">
        <w:trPr>
          <w:trHeight w:val="20"/>
        </w:trPr>
        <w:tc>
          <w:tcPr>
            <w:tcW w:w="616" w:type="pct"/>
          </w:tcPr>
          <w:p w14:paraId="487E8D9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Cynoglossus gracilis</w:t>
            </w:r>
          </w:p>
        </w:tc>
        <w:tc>
          <w:tcPr>
            <w:tcW w:w="632" w:type="pct"/>
          </w:tcPr>
          <w:p w14:paraId="3A09CB9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Cynoglossidae / Pleuronectiformes</w:t>
            </w:r>
          </w:p>
        </w:tc>
        <w:tc>
          <w:tcPr>
            <w:tcW w:w="459" w:type="pct"/>
          </w:tcPr>
          <w:p w14:paraId="24D355F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5A969C5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Han</w:t>
            </w:r>
          </w:p>
        </w:tc>
        <w:tc>
          <w:tcPr>
            <w:tcW w:w="1621" w:type="pct"/>
          </w:tcPr>
          <w:p w14:paraId="5EF939E8"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Corée du Nord; Corée du Sud</w:t>
            </w:r>
          </w:p>
        </w:tc>
      </w:tr>
      <w:tr w:rsidR="005969CE" w:rsidRPr="00FD736D" w14:paraId="5FE5D7D1" w14:textId="77777777" w:rsidTr="007F4E66">
        <w:trPr>
          <w:trHeight w:val="20"/>
        </w:trPr>
        <w:tc>
          <w:tcPr>
            <w:tcW w:w="616" w:type="pct"/>
          </w:tcPr>
          <w:p w14:paraId="24B15CA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Cyphocharax magdalenae</w:t>
            </w:r>
          </w:p>
        </w:tc>
        <w:tc>
          <w:tcPr>
            <w:tcW w:w="632" w:type="pct"/>
          </w:tcPr>
          <w:p w14:paraId="335F685B" w14:textId="77777777" w:rsidR="005969CE"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Curimatidae / Characiformes</w:t>
            </w:r>
          </w:p>
          <w:p w14:paraId="433BD61F" w14:textId="77777777" w:rsidR="00300FCD" w:rsidRPr="00FD736D" w:rsidRDefault="00300FCD" w:rsidP="008A6534">
            <w:pPr>
              <w:spacing w:after="0" w:line="240" w:lineRule="auto"/>
              <w:rPr>
                <w:rFonts w:ascii="Arial" w:hAnsi="Arial" w:cs="Arial"/>
                <w:iCs/>
                <w:color w:val="000000" w:themeColor="text1"/>
                <w:sz w:val="20"/>
                <w:szCs w:val="20"/>
              </w:rPr>
            </w:pPr>
          </w:p>
        </w:tc>
        <w:tc>
          <w:tcPr>
            <w:tcW w:w="459" w:type="pct"/>
          </w:tcPr>
          <w:p w14:paraId="6992353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29110DB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Catatumbo; Chiriqui Viejo</w:t>
            </w:r>
          </w:p>
        </w:tc>
        <w:tc>
          <w:tcPr>
            <w:tcW w:w="1621" w:type="pct"/>
          </w:tcPr>
          <w:p w14:paraId="0E4749C6"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Colombie; Costa Rica; Panama; Venezuela</w:t>
            </w:r>
          </w:p>
        </w:tc>
      </w:tr>
      <w:tr w:rsidR="005969CE" w:rsidRPr="00FD736D" w14:paraId="1744BC75" w14:textId="77777777" w:rsidTr="007F4E66">
        <w:trPr>
          <w:trHeight w:val="20"/>
        </w:trPr>
        <w:tc>
          <w:tcPr>
            <w:tcW w:w="616" w:type="pct"/>
          </w:tcPr>
          <w:p w14:paraId="0F95512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Cyprinion macrostomum</w:t>
            </w:r>
          </w:p>
        </w:tc>
        <w:tc>
          <w:tcPr>
            <w:tcW w:w="632" w:type="pct"/>
          </w:tcPr>
          <w:p w14:paraId="6E582CE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47BF4F9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115C499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Orontes; Tigris-Euphrates/Shatt al Arab</w:t>
            </w:r>
          </w:p>
        </w:tc>
        <w:tc>
          <w:tcPr>
            <w:tcW w:w="1621" w:type="pct"/>
          </w:tcPr>
          <w:p w14:paraId="1C80E10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Iran; Irak; Syrie; Turquie</w:t>
            </w:r>
          </w:p>
        </w:tc>
      </w:tr>
      <w:tr w:rsidR="005969CE" w:rsidRPr="00FD736D" w14:paraId="387840C8" w14:textId="77777777" w:rsidTr="007F4E66">
        <w:trPr>
          <w:trHeight w:val="20"/>
        </w:trPr>
        <w:tc>
          <w:tcPr>
            <w:tcW w:w="616" w:type="pct"/>
          </w:tcPr>
          <w:p w14:paraId="42FE86D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Cyprinus carpio</w:t>
            </w:r>
          </w:p>
        </w:tc>
        <w:tc>
          <w:tcPr>
            <w:tcW w:w="632" w:type="pct"/>
          </w:tcPr>
          <w:p w14:paraId="39885BC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3F366B9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25CA487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Amu Darya; Atrek; Botkul-Solyonaya; Coruh; Danube; Dnieper; Dniestr; Don; Kura; Mius; Samur; Syr Darya; Terek; Ural; Volga</w:t>
            </w:r>
          </w:p>
        </w:tc>
        <w:tc>
          <w:tcPr>
            <w:tcW w:w="1621" w:type="pct"/>
          </w:tcPr>
          <w:p w14:paraId="5C4AB11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Kosovo; Kirghizistan; Moldavie; Monténégro; Roumanie; Russie; Serbie; Slovaquie; Slovénie; Suisse; Tadjikistan; Turquie; Turkménistan; Ukraine; Ouzbékistan</w:t>
            </w:r>
          </w:p>
        </w:tc>
      </w:tr>
      <w:tr w:rsidR="005969CE" w:rsidRPr="00FD736D" w14:paraId="4AB33812" w14:textId="77777777" w:rsidTr="007F4E66">
        <w:trPr>
          <w:trHeight w:val="20"/>
        </w:trPr>
        <w:tc>
          <w:tcPr>
            <w:tcW w:w="616" w:type="pct"/>
          </w:tcPr>
          <w:p w14:paraId="7859FD7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Datnioides pulcher</w:t>
            </w:r>
          </w:p>
        </w:tc>
        <w:tc>
          <w:tcPr>
            <w:tcW w:w="632" w:type="pct"/>
          </w:tcPr>
          <w:p w14:paraId="2F5CA82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Datnioididae / Lobotiformes</w:t>
            </w:r>
          </w:p>
        </w:tc>
        <w:tc>
          <w:tcPr>
            <w:tcW w:w="459" w:type="pct"/>
          </w:tcPr>
          <w:p w14:paraId="10AB9A6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CR</w:t>
            </w:r>
          </w:p>
        </w:tc>
        <w:tc>
          <w:tcPr>
            <w:tcW w:w="1672" w:type="pct"/>
          </w:tcPr>
          <w:p w14:paraId="224EA6F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3E68849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0BF2B0EC" w14:textId="77777777" w:rsidTr="007F4E66">
        <w:trPr>
          <w:trHeight w:val="20"/>
        </w:trPr>
        <w:tc>
          <w:tcPr>
            <w:tcW w:w="616" w:type="pct"/>
          </w:tcPr>
          <w:p w14:paraId="587AF29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Datnioides undecimradiatus</w:t>
            </w:r>
          </w:p>
        </w:tc>
        <w:tc>
          <w:tcPr>
            <w:tcW w:w="632" w:type="pct"/>
          </w:tcPr>
          <w:p w14:paraId="7FBA565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Datnioididae / Lobotiformes</w:t>
            </w:r>
          </w:p>
        </w:tc>
        <w:tc>
          <w:tcPr>
            <w:tcW w:w="459" w:type="pct"/>
          </w:tcPr>
          <w:p w14:paraId="2A8F114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4D96001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 Song Vam Co Dong</w:t>
            </w:r>
          </w:p>
        </w:tc>
        <w:tc>
          <w:tcPr>
            <w:tcW w:w="1621" w:type="pct"/>
          </w:tcPr>
          <w:p w14:paraId="0E8E80D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21BE728B" w14:textId="77777777" w:rsidTr="007F4E66">
        <w:trPr>
          <w:trHeight w:val="20"/>
        </w:trPr>
        <w:tc>
          <w:tcPr>
            <w:tcW w:w="616" w:type="pct"/>
          </w:tcPr>
          <w:p w14:paraId="787A134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Dicentrarchus labrax</w:t>
            </w:r>
          </w:p>
        </w:tc>
        <w:tc>
          <w:tcPr>
            <w:tcW w:w="632" w:type="pct"/>
          </w:tcPr>
          <w:p w14:paraId="7E42071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Moronidae / Perciformes</w:t>
            </w:r>
          </w:p>
        </w:tc>
        <w:tc>
          <w:tcPr>
            <w:tcW w:w="459" w:type="pct"/>
          </w:tcPr>
          <w:p w14:paraId="46180DF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23DDD27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 Nahr Al Kabir; Besor; Bidasoa; Buna; Danube; Guadiana; Maritsa; Minho; Neretva; Newry; Vida</w:t>
            </w:r>
          </w:p>
        </w:tc>
        <w:tc>
          <w:tcPr>
            <w:tcW w:w="1621" w:type="pct"/>
          </w:tcPr>
          <w:p w14:paraId="0FE00F7A"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Albanie; Bosnie-Herzégovine; Croatie; Danemark; France; Allemagne; Grèce; Irlande; Israël; Liban; Monténégro; Portugal; Roumanie; Espagne; État de Palestine; Syrie; Turquie; Ukraine; Royaume-Uni</w:t>
            </w:r>
          </w:p>
        </w:tc>
      </w:tr>
      <w:tr w:rsidR="005969CE" w:rsidRPr="00FD736D" w14:paraId="5B7B21E4" w14:textId="77777777" w:rsidTr="007F4E66">
        <w:trPr>
          <w:trHeight w:val="20"/>
        </w:trPr>
        <w:tc>
          <w:tcPr>
            <w:tcW w:w="616" w:type="pct"/>
          </w:tcPr>
          <w:p w14:paraId="223D135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Diptychus maculatus</w:t>
            </w:r>
          </w:p>
        </w:tc>
        <w:tc>
          <w:tcPr>
            <w:tcW w:w="632" w:type="pct"/>
          </w:tcPr>
          <w:p w14:paraId="1C1AD59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4C806FB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764AE7B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Balkhash-Ili; Ganges-Brahmaputra-Meghna; Indus; Syr Darya; Talas; Tarim</w:t>
            </w:r>
          </w:p>
        </w:tc>
        <w:tc>
          <w:tcPr>
            <w:tcW w:w="1621" w:type="pct"/>
          </w:tcPr>
          <w:p w14:paraId="32A7693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Inde; Kazakhstan; Kirghizistan; Népal; Pakistan; Tadjikistan; Ouzbékistan</w:t>
            </w:r>
          </w:p>
        </w:tc>
      </w:tr>
      <w:tr w:rsidR="005969CE" w:rsidRPr="00FD736D" w14:paraId="0B676888" w14:textId="77777777" w:rsidTr="007F4E66">
        <w:trPr>
          <w:trHeight w:val="20"/>
        </w:trPr>
        <w:tc>
          <w:tcPr>
            <w:tcW w:w="616" w:type="pct"/>
          </w:tcPr>
          <w:p w14:paraId="1DCFFE4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Doraops zuloagai</w:t>
            </w:r>
          </w:p>
        </w:tc>
        <w:tc>
          <w:tcPr>
            <w:tcW w:w="632" w:type="pct"/>
          </w:tcPr>
          <w:p w14:paraId="4F5B749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Doradidae / Siluriformes</w:t>
            </w:r>
          </w:p>
        </w:tc>
        <w:tc>
          <w:tcPr>
            <w:tcW w:w="459" w:type="pct"/>
          </w:tcPr>
          <w:p w14:paraId="02957E0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3C11C2D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Catatumbo</w:t>
            </w:r>
          </w:p>
        </w:tc>
        <w:tc>
          <w:tcPr>
            <w:tcW w:w="1621" w:type="pct"/>
          </w:tcPr>
          <w:p w14:paraId="106B9CB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Colombie; Venezuela</w:t>
            </w:r>
          </w:p>
        </w:tc>
      </w:tr>
      <w:tr w:rsidR="005969CE" w:rsidRPr="00FD736D" w14:paraId="5065F635" w14:textId="77777777" w:rsidTr="007F4E66">
        <w:trPr>
          <w:trHeight w:val="20"/>
        </w:trPr>
        <w:tc>
          <w:tcPr>
            <w:tcW w:w="616" w:type="pct"/>
          </w:tcPr>
          <w:p w14:paraId="1921D34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Elops hawaiensis</w:t>
            </w:r>
          </w:p>
        </w:tc>
        <w:tc>
          <w:tcPr>
            <w:tcW w:w="632" w:type="pct"/>
          </w:tcPr>
          <w:p w14:paraId="41B3AC5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Elopidae / Elopiformes</w:t>
            </w:r>
          </w:p>
        </w:tc>
        <w:tc>
          <w:tcPr>
            <w:tcW w:w="459" w:type="pct"/>
          </w:tcPr>
          <w:p w14:paraId="24E6E25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4885020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Beilun; Giang Thanh; Golok</w:t>
            </w:r>
          </w:p>
        </w:tc>
        <w:tc>
          <w:tcPr>
            <w:tcW w:w="1621" w:type="pct"/>
          </w:tcPr>
          <w:p w14:paraId="31ACE1FA"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Cambodge; Chine; Malaisie; Thaïlande; Vietnam</w:t>
            </w:r>
          </w:p>
        </w:tc>
      </w:tr>
      <w:tr w:rsidR="005969CE" w:rsidRPr="00FD736D" w14:paraId="2798274C" w14:textId="77777777" w:rsidTr="007F4E66">
        <w:trPr>
          <w:trHeight w:val="20"/>
        </w:trPr>
        <w:tc>
          <w:tcPr>
            <w:tcW w:w="616" w:type="pct"/>
          </w:tcPr>
          <w:p w14:paraId="72A3268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Elops senegalensis</w:t>
            </w:r>
          </w:p>
        </w:tc>
        <w:tc>
          <w:tcPr>
            <w:tcW w:w="632" w:type="pct"/>
          </w:tcPr>
          <w:p w14:paraId="780A93C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Elopidae / Elopiformes</w:t>
            </w:r>
          </w:p>
        </w:tc>
        <w:tc>
          <w:tcPr>
            <w:tcW w:w="459" w:type="pct"/>
          </w:tcPr>
          <w:p w14:paraId="48D4786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1A1D224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Aby Lagoon-Bia-Tano; Akwayafe; Cavally; Chiloango; Congo; Cross; Great Scarcies; Mano; Mono; Muni; Ntem; Oueme; Sénégal; Volta</w:t>
            </w:r>
          </w:p>
        </w:tc>
        <w:tc>
          <w:tcPr>
            <w:tcW w:w="1621" w:type="pct"/>
          </w:tcPr>
          <w:p w14:paraId="6AB7C89D"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Angola; Bénin; Cameroun; Côte d’Ivoire; République démocratique du Congo; Guinée équatoriale; Gabon; Ghana; Guinée; Libéria; Mauritanie; Nigeria; Sénégal; Sierra Leone; Togo</w:t>
            </w:r>
          </w:p>
        </w:tc>
      </w:tr>
      <w:tr w:rsidR="005969CE" w:rsidRPr="00FD736D" w14:paraId="602D84B3" w14:textId="77777777" w:rsidTr="007F4E66">
        <w:trPr>
          <w:trHeight w:val="20"/>
        </w:trPr>
        <w:tc>
          <w:tcPr>
            <w:tcW w:w="616" w:type="pct"/>
          </w:tcPr>
          <w:p w14:paraId="1328568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Enteromius brevipinnis</w:t>
            </w:r>
          </w:p>
        </w:tc>
        <w:tc>
          <w:tcPr>
            <w:tcW w:w="632" w:type="pct"/>
          </w:tcPr>
          <w:p w14:paraId="0D8CD45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6EBB9A4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2E1B3D6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Incomati; Maputo</w:t>
            </w:r>
          </w:p>
        </w:tc>
        <w:tc>
          <w:tcPr>
            <w:tcW w:w="1621" w:type="pct"/>
          </w:tcPr>
          <w:p w14:paraId="660EC878"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Eswatini; Mozambique; Afrique du Sud</w:t>
            </w:r>
          </w:p>
        </w:tc>
      </w:tr>
      <w:tr w:rsidR="005969CE" w:rsidRPr="00FD736D" w14:paraId="35FCB0F6" w14:textId="77777777" w:rsidTr="007F4E66">
        <w:trPr>
          <w:trHeight w:val="20"/>
        </w:trPr>
        <w:tc>
          <w:tcPr>
            <w:tcW w:w="616" w:type="pct"/>
          </w:tcPr>
          <w:p w14:paraId="4D48B07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Enteromius gurneyi</w:t>
            </w:r>
          </w:p>
        </w:tc>
        <w:tc>
          <w:tcPr>
            <w:tcW w:w="632" w:type="pct"/>
          </w:tcPr>
          <w:p w14:paraId="78A61B6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1776CA7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4340FA3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Incomati</w:t>
            </w:r>
          </w:p>
        </w:tc>
        <w:tc>
          <w:tcPr>
            <w:tcW w:w="1621" w:type="pct"/>
          </w:tcPr>
          <w:p w14:paraId="2ECAD29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Eswatini; Afrique du Sud</w:t>
            </w:r>
          </w:p>
        </w:tc>
      </w:tr>
      <w:tr w:rsidR="005969CE" w:rsidRPr="00FD736D" w14:paraId="5F9BA53A" w14:textId="77777777" w:rsidTr="007F4E66">
        <w:trPr>
          <w:trHeight w:val="20"/>
        </w:trPr>
        <w:tc>
          <w:tcPr>
            <w:tcW w:w="616" w:type="pct"/>
          </w:tcPr>
          <w:p w14:paraId="3A1D8E4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Enteromius liberiensis</w:t>
            </w:r>
          </w:p>
        </w:tc>
        <w:tc>
          <w:tcPr>
            <w:tcW w:w="632" w:type="pct"/>
          </w:tcPr>
          <w:p w14:paraId="1AE738F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338238E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25CD941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Mano</w:t>
            </w:r>
          </w:p>
        </w:tc>
        <w:tc>
          <w:tcPr>
            <w:tcW w:w="1621" w:type="pct"/>
          </w:tcPr>
          <w:p w14:paraId="5AB7FE1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Libéria; Sierra Leone</w:t>
            </w:r>
          </w:p>
        </w:tc>
      </w:tr>
      <w:tr w:rsidR="005969CE" w:rsidRPr="00FD736D" w14:paraId="56A9E690" w14:textId="77777777" w:rsidTr="007F4E66">
        <w:trPr>
          <w:trHeight w:val="20"/>
        </w:trPr>
        <w:tc>
          <w:tcPr>
            <w:tcW w:w="616" w:type="pct"/>
          </w:tcPr>
          <w:p w14:paraId="711E78F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Enteromius litamba</w:t>
            </w:r>
          </w:p>
        </w:tc>
        <w:tc>
          <w:tcPr>
            <w:tcW w:w="632" w:type="pct"/>
          </w:tcPr>
          <w:p w14:paraId="3FE6FD3A" w14:textId="77777777" w:rsidR="005969CE"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p w14:paraId="3914505C" w14:textId="77777777" w:rsidR="00300FCD" w:rsidRPr="00FD736D" w:rsidRDefault="00300FCD" w:rsidP="008A6534">
            <w:pPr>
              <w:spacing w:after="0" w:line="240" w:lineRule="auto"/>
              <w:rPr>
                <w:rFonts w:ascii="Arial" w:hAnsi="Arial" w:cs="Arial"/>
                <w:iCs/>
                <w:color w:val="000000" w:themeColor="text1"/>
                <w:sz w:val="20"/>
                <w:szCs w:val="20"/>
              </w:rPr>
            </w:pPr>
          </w:p>
        </w:tc>
        <w:tc>
          <w:tcPr>
            <w:tcW w:w="459" w:type="pct"/>
          </w:tcPr>
          <w:p w14:paraId="5B5BBA2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6901571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Zambezi</w:t>
            </w:r>
          </w:p>
        </w:tc>
        <w:tc>
          <w:tcPr>
            <w:tcW w:w="1621" w:type="pct"/>
          </w:tcPr>
          <w:p w14:paraId="7377D16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Malawi; Mozambique; Tanzanie</w:t>
            </w:r>
          </w:p>
        </w:tc>
      </w:tr>
      <w:tr w:rsidR="005969CE" w:rsidRPr="00FD736D" w14:paraId="30732034" w14:textId="77777777" w:rsidTr="007F4E66">
        <w:trPr>
          <w:trHeight w:val="20"/>
        </w:trPr>
        <w:tc>
          <w:tcPr>
            <w:tcW w:w="616" w:type="pct"/>
          </w:tcPr>
          <w:p w14:paraId="4EFF035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Enteromius motebensis</w:t>
            </w:r>
          </w:p>
        </w:tc>
        <w:tc>
          <w:tcPr>
            <w:tcW w:w="632" w:type="pct"/>
          </w:tcPr>
          <w:p w14:paraId="2830296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5AB207F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7AE9B3D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Limpopo</w:t>
            </w:r>
          </w:p>
        </w:tc>
        <w:tc>
          <w:tcPr>
            <w:tcW w:w="1621" w:type="pct"/>
          </w:tcPr>
          <w:p w14:paraId="72A49EF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Botswana; Afrique du Sud</w:t>
            </w:r>
          </w:p>
        </w:tc>
      </w:tr>
      <w:tr w:rsidR="005969CE" w:rsidRPr="00FD736D" w14:paraId="493FA566" w14:textId="77777777" w:rsidTr="007F4E66">
        <w:trPr>
          <w:trHeight w:val="20"/>
        </w:trPr>
        <w:tc>
          <w:tcPr>
            <w:tcW w:w="616" w:type="pct"/>
          </w:tcPr>
          <w:p w14:paraId="4BA746D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Entosphenus tridentatus</w:t>
            </w:r>
          </w:p>
        </w:tc>
        <w:tc>
          <w:tcPr>
            <w:tcW w:w="632" w:type="pct"/>
          </w:tcPr>
          <w:p w14:paraId="6B5507F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Petromyzontidae / Petromyzontiformes</w:t>
            </w:r>
          </w:p>
        </w:tc>
        <w:tc>
          <w:tcPr>
            <w:tcW w:w="459" w:type="pct"/>
          </w:tcPr>
          <w:p w14:paraId="382027A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449D710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Alsek; Copper; Stikine</w:t>
            </w:r>
          </w:p>
        </w:tc>
        <w:tc>
          <w:tcPr>
            <w:tcW w:w="1621" w:type="pct"/>
          </w:tcPr>
          <w:p w14:paraId="67051691"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Canada; États-Unis d’Amérique (Alaska)</w:t>
            </w:r>
          </w:p>
        </w:tc>
      </w:tr>
      <w:tr w:rsidR="005969CE" w:rsidRPr="00FD736D" w14:paraId="7114BE35" w14:textId="77777777" w:rsidTr="007F4E66">
        <w:trPr>
          <w:trHeight w:val="20"/>
        </w:trPr>
        <w:tc>
          <w:tcPr>
            <w:tcW w:w="616" w:type="pct"/>
          </w:tcPr>
          <w:p w14:paraId="29B9030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Epalzeorhynchos frenatum</w:t>
            </w:r>
          </w:p>
        </w:tc>
        <w:tc>
          <w:tcPr>
            <w:tcW w:w="632" w:type="pct"/>
          </w:tcPr>
          <w:p w14:paraId="39B646F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20CD2B4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7A02097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 Song Vam Co Dong</w:t>
            </w:r>
          </w:p>
        </w:tc>
        <w:tc>
          <w:tcPr>
            <w:tcW w:w="1621" w:type="pct"/>
          </w:tcPr>
          <w:p w14:paraId="3B3165A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Myanmar; Thaïlande; Vietnam</w:t>
            </w:r>
          </w:p>
        </w:tc>
      </w:tr>
      <w:tr w:rsidR="005969CE" w:rsidRPr="00FD736D" w14:paraId="2A5ED91D" w14:textId="77777777" w:rsidTr="007F4E66">
        <w:trPr>
          <w:trHeight w:val="20"/>
        </w:trPr>
        <w:tc>
          <w:tcPr>
            <w:tcW w:w="616" w:type="pct"/>
          </w:tcPr>
          <w:p w14:paraId="43D1E69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Esomus longimanus</w:t>
            </w:r>
          </w:p>
        </w:tc>
        <w:tc>
          <w:tcPr>
            <w:tcW w:w="632" w:type="pct"/>
          </w:tcPr>
          <w:p w14:paraId="6688526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16CEE71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1A83CF0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 Saigon/Song Nha Be; Song Vam Co Dong</w:t>
            </w:r>
          </w:p>
        </w:tc>
        <w:tc>
          <w:tcPr>
            <w:tcW w:w="1621" w:type="pct"/>
          </w:tcPr>
          <w:p w14:paraId="4DAABE9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Myanmar; Thaïlande; Vietnam</w:t>
            </w:r>
          </w:p>
        </w:tc>
      </w:tr>
      <w:tr w:rsidR="005969CE" w:rsidRPr="00FD736D" w14:paraId="1FBDEFE4" w14:textId="77777777" w:rsidTr="007F4E66">
        <w:trPr>
          <w:trHeight w:val="20"/>
        </w:trPr>
        <w:tc>
          <w:tcPr>
            <w:tcW w:w="616" w:type="pct"/>
          </w:tcPr>
          <w:p w14:paraId="13BBE5B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Esox lucius</w:t>
            </w:r>
          </w:p>
        </w:tc>
        <w:tc>
          <w:tcPr>
            <w:tcW w:w="632" w:type="pct"/>
          </w:tcPr>
          <w:p w14:paraId="2A69199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Esocidae / Esociformes</w:t>
            </w:r>
          </w:p>
        </w:tc>
        <w:tc>
          <w:tcPr>
            <w:tcW w:w="459" w:type="pct"/>
          </w:tcPr>
          <w:p w14:paraId="1D087E5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69E3B56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Alsek; Angerman; Barta; Botkul-Solyonaya; Burla; Coruh; Danube; Daugava; Dnieper; Dniestr; Don; Ebeyty; Elbe; Erne; Firth; Foyle; Gauja; Gota alv; Iddefjord; IJsselmeer; Indalsalven; Karasuk-Studenoye; Kem; Kemi; Kura; Lielupe; Malinovoye; Meuse; Mius; Narva; Nelson; Neman; Neva; Newry; Ob; Oder; Peschanaya; Pregolya; Rhine; Rhone; Saint Lawrence; Samur; Scheldt; Terek; Torne; Ul Kensor; Ume; Ural; Venta; Vida; Vistula; Volga; Yenisey; Yukon</w:t>
            </w:r>
          </w:p>
        </w:tc>
        <w:tc>
          <w:tcPr>
            <w:tcW w:w="1621" w:type="pct"/>
          </w:tcPr>
          <w:p w14:paraId="5FB4376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 xml:space="preserve">Kosovo; Lettonie; Liechtenstein; Lituanie; Luxembourg; Moldavie; Mongolie; Monténégro; Pays-Bas; Norvège; Pologne; Roumanie; Russie; Russie (Kaliningrad); Serbie; Slovaquie; Slovénie; Suède; Suisse; Turquie; Ukraine; Royaume-Uni; États-Unis d’Amérique; États-Unis d’Amérique (Alaska); </w:t>
            </w:r>
          </w:p>
        </w:tc>
      </w:tr>
      <w:tr w:rsidR="005969CE" w:rsidRPr="00FD736D" w14:paraId="0DE504A5" w14:textId="77777777" w:rsidTr="007F4E66">
        <w:trPr>
          <w:trHeight w:val="20"/>
        </w:trPr>
        <w:tc>
          <w:tcPr>
            <w:tcW w:w="616" w:type="pct"/>
          </w:tcPr>
          <w:p w14:paraId="54A8BB4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Eudontomyzon morii</w:t>
            </w:r>
          </w:p>
        </w:tc>
        <w:tc>
          <w:tcPr>
            <w:tcW w:w="632" w:type="pct"/>
          </w:tcPr>
          <w:p w14:paraId="68251DC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Petromyzontidae / Petromyzontiformes</w:t>
            </w:r>
          </w:p>
        </w:tc>
        <w:tc>
          <w:tcPr>
            <w:tcW w:w="459" w:type="pct"/>
          </w:tcPr>
          <w:p w14:paraId="72F55C9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49ED4D1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Yalu</w:t>
            </w:r>
          </w:p>
        </w:tc>
        <w:tc>
          <w:tcPr>
            <w:tcW w:w="1621" w:type="pct"/>
          </w:tcPr>
          <w:p w14:paraId="2FB3558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Corée du Nord</w:t>
            </w:r>
          </w:p>
        </w:tc>
      </w:tr>
      <w:tr w:rsidR="005969CE" w:rsidRPr="00FD736D" w14:paraId="1FCB020B" w14:textId="77777777" w:rsidTr="007F4E66">
        <w:trPr>
          <w:trHeight w:val="20"/>
        </w:trPr>
        <w:tc>
          <w:tcPr>
            <w:tcW w:w="616" w:type="pct"/>
          </w:tcPr>
          <w:p w14:paraId="25EFF74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Eutropiichthys vacha</w:t>
            </w:r>
          </w:p>
        </w:tc>
        <w:tc>
          <w:tcPr>
            <w:tcW w:w="632" w:type="pct"/>
          </w:tcPr>
          <w:p w14:paraId="01EEF1C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Schilbeidae / Siluriformes</w:t>
            </w:r>
          </w:p>
        </w:tc>
        <w:tc>
          <w:tcPr>
            <w:tcW w:w="459" w:type="pct"/>
          </w:tcPr>
          <w:p w14:paraId="46BE50F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0E34B5E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Ganges-Brahmaputra-Meghna; Karnaphuli</w:t>
            </w:r>
          </w:p>
        </w:tc>
        <w:tc>
          <w:tcPr>
            <w:tcW w:w="1621" w:type="pct"/>
          </w:tcPr>
          <w:p w14:paraId="173322C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Inde; Népal</w:t>
            </w:r>
          </w:p>
        </w:tc>
      </w:tr>
      <w:tr w:rsidR="005969CE" w:rsidRPr="00FD736D" w14:paraId="19B6C8DA" w14:textId="77777777" w:rsidTr="007F4E66">
        <w:trPr>
          <w:trHeight w:val="20"/>
        </w:trPr>
        <w:tc>
          <w:tcPr>
            <w:tcW w:w="616" w:type="pct"/>
          </w:tcPr>
          <w:p w14:paraId="4A1A253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Fluvitrygon oxyrhynchus</w:t>
            </w:r>
          </w:p>
        </w:tc>
        <w:tc>
          <w:tcPr>
            <w:tcW w:w="632" w:type="pct"/>
          </w:tcPr>
          <w:p w14:paraId="68131BF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Dasyatidae / Myliobatiformes</w:t>
            </w:r>
          </w:p>
        </w:tc>
        <w:tc>
          <w:tcPr>
            <w:tcW w:w="459" w:type="pct"/>
          </w:tcPr>
          <w:p w14:paraId="402533F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6E47650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43FB45E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Vietnam</w:t>
            </w:r>
          </w:p>
        </w:tc>
      </w:tr>
      <w:tr w:rsidR="005969CE" w:rsidRPr="00FD736D" w14:paraId="3CBBAE1C" w14:textId="77777777" w:rsidTr="007F4E66">
        <w:trPr>
          <w:trHeight w:val="20"/>
        </w:trPr>
        <w:tc>
          <w:tcPr>
            <w:tcW w:w="616" w:type="pct"/>
          </w:tcPr>
          <w:p w14:paraId="144423A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Fluvitrygon signifer</w:t>
            </w:r>
          </w:p>
        </w:tc>
        <w:tc>
          <w:tcPr>
            <w:tcW w:w="632" w:type="pct"/>
          </w:tcPr>
          <w:p w14:paraId="1519341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Dasyatidae / Myliobatiformes</w:t>
            </w:r>
          </w:p>
        </w:tc>
        <w:tc>
          <w:tcPr>
            <w:tcW w:w="459" w:type="pct"/>
          </w:tcPr>
          <w:p w14:paraId="02F0D99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6CD8FB6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Golok</w:t>
            </w:r>
          </w:p>
        </w:tc>
        <w:tc>
          <w:tcPr>
            <w:tcW w:w="1621" w:type="pct"/>
          </w:tcPr>
          <w:p w14:paraId="5B3288E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Malaisie; Thaïlande</w:t>
            </w:r>
          </w:p>
        </w:tc>
      </w:tr>
      <w:tr w:rsidR="005969CE" w:rsidRPr="00FD736D" w14:paraId="5CE5AB90" w14:textId="77777777" w:rsidTr="007F4E66">
        <w:trPr>
          <w:trHeight w:val="20"/>
        </w:trPr>
        <w:tc>
          <w:tcPr>
            <w:tcW w:w="616" w:type="pct"/>
          </w:tcPr>
          <w:p w14:paraId="071342F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Genidens barbus</w:t>
            </w:r>
          </w:p>
        </w:tc>
        <w:tc>
          <w:tcPr>
            <w:tcW w:w="632" w:type="pct"/>
          </w:tcPr>
          <w:p w14:paraId="08FD9D1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Ariidae / Siluriformes</w:t>
            </w:r>
          </w:p>
        </w:tc>
        <w:tc>
          <w:tcPr>
            <w:tcW w:w="459" w:type="pct"/>
          </w:tcPr>
          <w:p w14:paraId="047FF8D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3C78F04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Lagoon Mirim</w:t>
            </w:r>
          </w:p>
        </w:tc>
        <w:tc>
          <w:tcPr>
            <w:tcW w:w="1621" w:type="pct"/>
          </w:tcPr>
          <w:p w14:paraId="06A757F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Brésil; Uruguay</w:t>
            </w:r>
          </w:p>
        </w:tc>
      </w:tr>
      <w:tr w:rsidR="005969CE" w:rsidRPr="00FD736D" w14:paraId="11AC181D" w14:textId="77777777" w:rsidTr="007F4E66">
        <w:trPr>
          <w:trHeight w:val="20"/>
        </w:trPr>
        <w:tc>
          <w:tcPr>
            <w:tcW w:w="616" w:type="pct"/>
          </w:tcPr>
          <w:p w14:paraId="71F3AC8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Geotria macrostoma</w:t>
            </w:r>
          </w:p>
        </w:tc>
        <w:tc>
          <w:tcPr>
            <w:tcW w:w="632" w:type="pct"/>
          </w:tcPr>
          <w:p w14:paraId="2C2F4CA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Geotriidae / Petromyzontiformes</w:t>
            </w:r>
          </w:p>
        </w:tc>
        <w:tc>
          <w:tcPr>
            <w:tcW w:w="459" w:type="pct"/>
          </w:tcPr>
          <w:p w14:paraId="2D9C7BC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67449A3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Azopardo; Gallegos-Chico; Rio Grande (South America)</w:t>
            </w:r>
          </w:p>
        </w:tc>
        <w:tc>
          <w:tcPr>
            <w:tcW w:w="1621" w:type="pct"/>
          </w:tcPr>
          <w:p w14:paraId="4DDC260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Argentine; Chili</w:t>
            </w:r>
          </w:p>
        </w:tc>
      </w:tr>
      <w:tr w:rsidR="005969CE" w:rsidRPr="00FD736D" w14:paraId="23F45366" w14:textId="77777777" w:rsidTr="007F4E66">
        <w:trPr>
          <w:trHeight w:val="20"/>
        </w:trPr>
        <w:tc>
          <w:tcPr>
            <w:tcW w:w="616" w:type="pct"/>
          </w:tcPr>
          <w:p w14:paraId="1225D92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Gila elegans</w:t>
            </w:r>
          </w:p>
        </w:tc>
        <w:tc>
          <w:tcPr>
            <w:tcW w:w="632" w:type="pct"/>
          </w:tcPr>
          <w:p w14:paraId="5108144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Leuciscidae / Cypriniformes</w:t>
            </w:r>
          </w:p>
        </w:tc>
        <w:tc>
          <w:tcPr>
            <w:tcW w:w="459" w:type="pct"/>
          </w:tcPr>
          <w:p w14:paraId="3DFF4F6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CR</w:t>
            </w:r>
          </w:p>
        </w:tc>
        <w:tc>
          <w:tcPr>
            <w:tcW w:w="1672" w:type="pct"/>
          </w:tcPr>
          <w:p w14:paraId="0695C0D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Colorado</w:t>
            </w:r>
          </w:p>
        </w:tc>
        <w:tc>
          <w:tcPr>
            <w:tcW w:w="1621" w:type="pct"/>
          </w:tcPr>
          <w:p w14:paraId="3A13C83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Mexique; États-Unis d’Amérique</w:t>
            </w:r>
          </w:p>
        </w:tc>
      </w:tr>
      <w:tr w:rsidR="005969CE" w:rsidRPr="00FD736D" w14:paraId="5EFCE4A8" w14:textId="77777777" w:rsidTr="007F4E66">
        <w:trPr>
          <w:trHeight w:val="20"/>
        </w:trPr>
        <w:tc>
          <w:tcPr>
            <w:tcW w:w="616" w:type="pct"/>
          </w:tcPr>
          <w:p w14:paraId="6F30481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Gonialosa modesta</w:t>
            </w:r>
          </w:p>
        </w:tc>
        <w:tc>
          <w:tcPr>
            <w:tcW w:w="632" w:type="pct"/>
          </w:tcPr>
          <w:p w14:paraId="2A4AAAF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Clupeidae / Clupeiformes</w:t>
            </w:r>
          </w:p>
        </w:tc>
        <w:tc>
          <w:tcPr>
            <w:tcW w:w="459" w:type="pct"/>
          </w:tcPr>
          <w:p w14:paraId="0D8DB57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1076CFF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Pakchan; Salween</w:t>
            </w:r>
          </w:p>
        </w:tc>
        <w:tc>
          <w:tcPr>
            <w:tcW w:w="1621" w:type="pct"/>
          </w:tcPr>
          <w:p w14:paraId="3914689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Myanmar; Thaïlande</w:t>
            </w:r>
          </w:p>
        </w:tc>
      </w:tr>
      <w:tr w:rsidR="005969CE" w:rsidRPr="00FD736D" w14:paraId="547F29DC" w14:textId="77777777" w:rsidTr="007F4E66">
        <w:trPr>
          <w:trHeight w:val="20"/>
        </w:trPr>
        <w:tc>
          <w:tcPr>
            <w:tcW w:w="616" w:type="pct"/>
          </w:tcPr>
          <w:p w14:paraId="26DCFAA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Gonialosa whiteheadi</w:t>
            </w:r>
          </w:p>
        </w:tc>
        <w:tc>
          <w:tcPr>
            <w:tcW w:w="632" w:type="pct"/>
          </w:tcPr>
          <w:p w14:paraId="068837D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Clupeidae / Clupeiformes</w:t>
            </w:r>
          </w:p>
        </w:tc>
        <w:tc>
          <w:tcPr>
            <w:tcW w:w="459" w:type="pct"/>
          </w:tcPr>
          <w:p w14:paraId="32D36A9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73AD8FE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Pakchan</w:t>
            </w:r>
          </w:p>
        </w:tc>
        <w:tc>
          <w:tcPr>
            <w:tcW w:w="1621" w:type="pct"/>
          </w:tcPr>
          <w:p w14:paraId="64776C3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Myanmar; Thaïlande</w:t>
            </w:r>
          </w:p>
        </w:tc>
      </w:tr>
      <w:tr w:rsidR="005969CE" w:rsidRPr="00FD736D" w14:paraId="07128143" w14:textId="77777777" w:rsidTr="007F4E66">
        <w:trPr>
          <w:trHeight w:val="20"/>
        </w:trPr>
        <w:tc>
          <w:tcPr>
            <w:tcW w:w="616" w:type="pct"/>
          </w:tcPr>
          <w:p w14:paraId="2D75B96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Gudusia chapra</w:t>
            </w:r>
          </w:p>
        </w:tc>
        <w:tc>
          <w:tcPr>
            <w:tcW w:w="632" w:type="pct"/>
          </w:tcPr>
          <w:p w14:paraId="1855C3F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Clupeidae / Clupeiformes</w:t>
            </w:r>
          </w:p>
        </w:tc>
        <w:tc>
          <w:tcPr>
            <w:tcW w:w="459" w:type="pct"/>
          </w:tcPr>
          <w:p w14:paraId="2D4C7D2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6A6A1C81" w14:textId="77777777" w:rsidR="005969CE" w:rsidRPr="00FD736D" w:rsidRDefault="005969CE" w:rsidP="008A6534">
            <w:pPr>
              <w:spacing w:after="0" w:line="240" w:lineRule="auto"/>
              <w:rPr>
                <w:rFonts w:ascii="Arial" w:hAnsi="Arial" w:cs="Arial"/>
                <w:iCs/>
                <w:color w:val="000000" w:themeColor="text1"/>
                <w:sz w:val="20"/>
                <w:szCs w:val="20"/>
                <w:lang w:val="de-DE"/>
              </w:rPr>
            </w:pPr>
            <w:r w:rsidRPr="00FD736D">
              <w:rPr>
                <w:rFonts w:ascii="Arial" w:hAnsi="Arial" w:cs="Arial"/>
                <w:iCs/>
                <w:color w:val="000000" w:themeColor="text1"/>
                <w:sz w:val="20"/>
                <w:szCs w:val="20"/>
                <w:lang w:val="de-DE"/>
              </w:rPr>
              <w:t>Ganges-Brahmaputra-Meghna; Indus; Karnaphuli</w:t>
            </w:r>
          </w:p>
        </w:tc>
        <w:tc>
          <w:tcPr>
            <w:tcW w:w="1621" w:type="pct"/>
          </w:tcPr>
          <w:p w14:paraId="03D46AD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Inde; Népal; Pakistan</w:t>
            </w:r>
          </w:p>
        </w:tc>
      </w:tr>
      <w:tr w:rsidR="005969CE" w:rsidRPr="00FD736D" w14:paraId="6DCFB4D7" w14:textId="77777777" w:rsidTr="007F4E66">
        <w:trPr>
          <w:trHeight w:val="20"/>
        </w:trPr>
        <w:tc>
          <w:tcPr>
            <w:tcW w:w="616" w:type="pct"/>
          </w:tcPr>
          <w:p w14:paraId="6BF596B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Gymnogobius castaneus</w:t>
            </w:r>
          </w:p>
        </w:tc>
        <w:tc>
          <w:tcPr>
            <w:tcW w:w="632" w:type="pct"/>
          </w:tcPr>
          <w:p w14:paraId="47A2FCB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Gobiidae / Gobiiformes</w:t>
            </w:r>
          </w:p>
        </w:tc>
        <w:tc>
          <w:tcPr>
            <w:tcW w:w="459" w:type="pct"/>
          </w:tcPr>
          <w:p w14:paraId="52C5A80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03CD2E6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Han</w:t>
            </w:r>
          </w:p>
        </w:tc>
        <w:tc>
          <w:tcPr>
            <w:tcW w:w="1621" w:type="pct"/>
          </w:tcPr>
          <w:p w14:paraId="7179EEEC"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Corée du Nord; Corée du Sud</w:t>
            </w:r>
          </w:p>
        </w:tc>
      </w:tr>
      <w:tr w:rsidR="005969CE" w:rsidRPr="00FD736D" w14:paraId="1D01F1D3" w14:textId="77777777" w:rsidTr="007F4E66">
        <w:trPr>
          <w:trHeight w:val="20"/>
        </w:trPr>
        <w:tc>
          <w:tcPr>
            <w:tcW w:w="616" w:type="pct"/>
          </w:tcPr>
          <w:p w14:paraId="5459858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Gyrinocheilus aymonieri</w:t>
            </w:r>
          </w:p>
        </w:tc>
        <w:tc>
          <w:tcPr>
            <w:tcW w:w="632" w:type="pct"/>
          </w:tcPr>
          <w:p w14:paraId="09647BC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Gyrinocheilidae / Cypriniformes</w:t>
            </w:r>
          </w:p>
        </w:tc>
        <w:tc>
          <w:tcPr>
            <w:tcW w:w="459" w:type="pct"/>
          </w:tcPr>
          <w:p w14:paraId="6EECBB0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0ACF2D6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490D444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Vietnam</w:t>
            </w:r>
          </w:p>
        </w:tc>
      </w:tr>
      <w:tr w:rsidR="005969CE" w:rsidRPr="00FD736D" w14:paraId="17F06DA8" w14:textId="77777777" w:rsidTr="007F4E66">
        <w:trPr>
          <w:trHeight w:val="20"/>
        </w:trPr>
        <w:tc>
          <w:tcPr>
            <w:tcW w:w="616" w:type="pct"/>
          </w:tcPr>
          <w:p w14:paraId="6EA6F9C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Helicophagus leptorhynchus</w:t>
            </w:r>
          </w:p>
        </w:tc>
        <w:tc>
          <w:tcPr>
            <w:tcW w:w="632" w:type="pct"/>
          </w:tcPr>
          <w:p w14:paraId="16CA189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Pangasiidae / Siluriformes</w:t>
            </w:r>
          </w:p>
        </w:tc>
        <w:tc>
          <w:tcPr>
            <w:tcW w:w="459" w:type="pct"/>
          </w:tcPr>
          <w:p w14:paraId="621F5C0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6819A72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3B2F12C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Chine; Laos; Myanmar; Thaïlande; Vietnam</w:t>
            </w:r>
          </w:p>
        </w:tc>
      </w:tr>
      <w:tr w:rsidR="005969CE" w:rsidRPr="00FD736D" w14:paraId="2F96C46D" w14:textId="77777777" w:rsidTr="007F4E66">
        <w:trPr>
          <w:trHeight w:val="20"/>
        </w:trPr>
        <w:tc>
          <w:tcPr>
            <w:tcW w:w="616" w:type="pct"/>
          </w:tcPr>
          <w:p w14:paraId="7DAB883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Hemibagrus filamentus</w:t>
            </w:r>
          </w:p>
        </w:tc>
        <w:tc>
          <w:tcPr>
            <w:tcW w:w="632" w:type="pct"/>
          </w:tcPr>
          <w:p w14:paraId="3894A88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Bagridae / Siluriformes</w:t>
            </w:r>
          </w:p>
        </w:tc>
        <w:tc>
          <w:tcPr>
            <w:tcW w:w="459" w:type="pct"/>
          </w:tcPr>
          <w:p w14:paraId="3A1300A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060D52A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 Song Vam Co Dong</w:t>
            </w:r>
          </w:p>
        </w:tc>
        <w:tc>
          <w:tcPr>
            <w:tcW w:w="1621" w:type="pct"/>
          </w:tcPr>
          <w:p w14:paraId="482787E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556EC446" w14:textId="77777777" w:rsidTr="007F4E66">
        <w:trPr>
          <w:trHeight w:val="20"/>
        </w:trPr>
        <w:tc>
          <w:tcPr>
            <w:tcW w:w="616" w:type="pct"/>
          </w:tcPr>
          <w:p w14:paraId="45FA52F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Hemibagrus guttatus</w:t>
            </w:r>
          </w:p>
        </w:tc>
        <w:tc>
          <w:tcPr>
            <w:tcW w:w="632" w:type="pct"/>
          </w:tcPr>
          <w:p w14:paraId="2F4D2DD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Bagridae / Siluriformes</w:t>
            </w:r>
          </w:p>
        </w:tc>
        <w:tc>
          <w:tcPr>
            <w:tcW w:w="459" w:type="pct"/>
          </w:tcPr>
          <w:p w14:paraId="3EE34FD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317BC02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Ma; Pearl; Red/Song Hong</w:t>
            </w:r>
          </w:p>
        </w:tc>
        <w:tc>
          <w:tcPr>
            <w:tcW w:w="1621" w:type="pct"/>
          </w:tcPr>
          <w:p w14:paraId="738877F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Laos; Vietnam</w:t>
            </w:r>
          </w:p>
        </w:tc>
      </w:tr>
      <w:tr w:rsidR="005969CE" w:rsidRPr="00FD736D" w14:paraId="158B9EDA" w14:textId="77777777" w:rsidTr="007F4E66">
        <w:trPr>
          <w:trHeight w:val="20"/>
        </w:trPr>
        <w:tc>
          <w:tcPr>
            <w:tcW w:w="616" w:type="pct"/>
          </w:tcPr>
          <w:p w14:paraId="156C9C5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Hemibagrus microphthalmus</w:t>
            </w:r>
          </w:p>
        </w:tc>
        <w:tc>
          <w:tcPr>
            <w:tcW w:w="632" w:type="pct"/>
          </w:tcPr>
          <w:p w14:paraId="02B70A4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Bagridae / Siluriformes</w:t>
            </w:r>
          </w:p>
        </w:tc>
        <w:tc>
          <w:tcPr>
            <w:tcW w:w="459" w:type="pct"/>
          </w:tcPr>
          <w:p w14:paraId="4311261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03F04A2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Irrawaddy; Salween</w:t>
            </w:r>
          </w:p>
        </w:tc>
        <w:tc>
          <w:tcPr>
            <w:tcW w:w="1621" w:type="pct"/>
          </w:tcPr>
          <w:p w14:paraId="345AAC2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Inde; Myanmar; Thaïlande</w:t>
            </w:r>
          </w:p>
        </w:tc>
      </w:tr>
      <w:tr w:rsidR="005969CE" w:rsidRPr="00FD736D" w14:paraId="6AE88F0D" w14:textId="77777777" w:rsidTr="007F4E66">
        <w:trPr>
          <w:trHeight w:val="20"/>
        </w:trPr>
        <w:tc>
          <w:tcPr>
            <w:tcW w:w="616" w:type="pct"/>
          </w:tcPr>
          <w:p w14:paraId="2859D1A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Hemitrygon Laosensis</w:t>
            </w:r>
          </w:p>
        </w:tc>
        <w:tc>
          <w:tcPr>
            <w:tcW w:w="632" w:type="pct"/>
          </w:tcPr>
          <w:p w14:paraId="18CC15C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Dasyatidae / Myliobatiformes</w:t>
            </w:r>
          </w:p>
        </w:tc>
        <w:tc>
          <w:tcPr>
            <w:tcW w:w="459" w:type="pct"/>
          </w:tcPr>
          <w:p w14:paraId="686C830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25EAA60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35F09DF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Myanmar; Thaïlande</w:t>
            </w:r>
          </w:p>
        </w:tc>
      </w:tr>
      <w:tr w:rsidR="005969CE" w:rsidRPr="00FD736D" w14:paraId="69E9E0ED" w14:textId="77777777" w:rsidTr="007F4E66">
        <w:trPr>
          <w:trHeight w:val="20"/>
        </w:trPr>
        <w:tc>
          <w:tcPr>
            <w:tcW w:w="616" w:type="pct"/>
          </w:tcPr>
          <w:p w14:paraId="76C4D7C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Henicorhynchus caudimaculatus</w:t>
            </w:r>
          </w:p>
        </w:tc>
        <w:tc>
          <w:tcPr>
            <w:tcW w:w="632" w:type="pct"/>
          </w:tcPr>
          <w:p w14:paraId="78963F5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37099F7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07365EA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4BD9499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Laos; Thaïlande</w:t>
            </w:r>
          </w:p>
        </w:tc>
      </w:tr>
      <w:tr w:rsidR="005969CE" w:rsidRPr="00FD736D" w14:paraId="4076F0ED" w14:textId="77777777" w:rsidTr="007F4E66">
        <w:trPr>
          <w:trHeight w:val="20"/>
        </w:trPr>
        <w:tc>
          <w:tcPr>
            <w:tcW w:w="616" w:type="pct"/>
          </w:tcPr>
          <w:p w14:paraId="4C66DC9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Henicorhynchus entmema</w:t>
            </w:r>
          </w:p>
        </w:tc>
        <w:tc>
          <w:tcPr>
            <w:tcW w:w="632" w:type="pct"/>
          </w:tcPr>
          <w:p w14:paraId="21291CF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41490B9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2A4E943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2399058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Myanmar; Thaïlande</w:t>
            </w:r>
          </w:p>
        </w:tc>
      </w:tr>
      <w:tr w:rsidR="005969CE" w:rsidRPr="00FD736D" w14:paraId="4D6B41CD" w14:textId="77777777" w:rsidTr="007F4E66">
        <w:trPr>
          <w:trHeight w:val="20"/>
        </w:trPr>
        <w:tc>
          <w:tcPr>
            <w:tcW w:w="616" w:type="pct"/>
          </w:tcPr>
          <w:p w14:paraId="2E0593D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Henicorhynchus ornatipinnis</w:t>
            </w:r>
          </w:p>
        </w:tc>
        <w:tc>
          <w:tcPr>
            <w:tcW w:w="632" w:type="pct"/>
          </w:tcPr>
          <w:p w14:paraId="270617A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2FC5DBA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5489414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309B35C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Laos; Thaïlande</w:t>
            </w:r>
          </w:p>
        </w:tc>
      </w:tr>
      <w:tr w:rsidR="005969CE" w:rsidRPr="00FD736D" w14:paraId="3034DEFA" w14:textId="77777777" w:rsidTr="007F4E66">
        <w:trPr>
          <w:trHeight w:val="20"/>
        </w:trPr>
        <w:tc>
          <w:tcPr>
            <w:tcW w:w="616" w:type="pct"/>
          </w:tcPr>
          <w:p w14:paraId="26C830E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Henicorhynchus siamensis</w:t>
            </w:r>
          </w:p>
        </w:tc>
        <w:tc>
          <w:tcPr>
            <w:tcW w:w="632" w:type="pct"/>
          </w:tcPr>
          <w:p w14:paraId="69083F0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7C66726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013F3C6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71FDC9D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Myanmar; Thaïlande; Vietnam</w:t>
            </w:r>
          </w:p>
        </w:tc>
      </w:tr>
      <w:tr w:rsidR="005969CE" w:rsidRPr="00FD736D" w14:paraId="1D9EDBFC" w14:textId="77777777" w:rsidTr="007F4E66">
        <w:trPr>
          <w:trHeight w:val="20"/>
        </w:trPr>
        <w:tc>
          <w:tcPr>
            <w:tcW w:w="616" w:type="pct"/>
          </w:tcPr>
          <w:p w14:paraId="775ADFB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Himantura marginata</w:t>
            </w:r>
          </w:p>
        </w:tc>
        <w:tc>
          <w:tcPr>
            <w:tcW w:w="632" w:type="pct"/>
          </w:tcPr>
          <w:p w14:paraId="7445EAA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Dasyatidae / Myliobatiformes</w:t>
            </w:r>
          </w:p>
        </w:tc>
        <w:tc>
          <w:tcPr>
            <w:tcW w:w="459" w:type="pct"/>
          </w:tcPr>
          <w:p w14:paraId="39476A0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03BB36E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Mono; Oueme</w:t>
            </w:r>
          </w:p>
        </w:tc>
        <w:tc>
          <w:tcPr>
            <w:tcW w:w="1621" w:type="pct"/>
          </w:tcPr>
          <w:p w14:paraId="40371EA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Bénin; Nigeria; Togo</w:t>
            </w:r>
          </w:p>
        </w:tc>
      </w:tr>
      <w:tr w:rsidR="005969CE" w:rsidRPr="00FD736D" w14:paraId="42D7F7B1" w14:textId="77777777" w:rsidTr="007F4E66">
        <w:trPr>
          <w:trHeight w:val="20"/>
        </w:trPr>
        <w:tc>
          <w:tcPr>
            <w:tcW w:w="616" w:type="pct"/>
          </w:tcPr>
          <w:p w14:paraId="726A0FB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Hoplias aimara</w:t>
            </w:r>
          </w:p>
        </w:tc>
        <w:tc>
          <w:tcPr>
            <w:tcW w:w="632" w:type="pct"/>
          </w:tcPr>
          <w:p w14:paraId="69E8B52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Erythrinidae / Characiformes</w:t>
            </w:r>
          </w:p>
        </w:tc>
        <w:tc>
          <w:tcPr>
            <w:tcW w:w="459" w:type="pct"/>
          </w:tcPr>
          <w:p w14:paraId="1F7B118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4F5D53BF" w14:textId="77777777" w:rsidR="005969CE" w:rsidRPr="00FD736D" w:rsidRDefault="005969CE" w:rsidP="008A6534">
            <w:pPr>
              <w:spacing w:after="0" w:line="240" w:lineRule="auto"/>
              <w:rPr>
                <w:rFonts w:ascii="Arial" w:hAnsi="Arial" w:cs="Arial"/>
                <w:iCs/>
                <w:color w:val="000000" w:themeColor="text1"/>
                <w:sz w:val="20"/>
                <w:szCs w:val="20"/>
                <w:lang w:val="it-IT"/>
              </w:rPr>
            </w:pPr>
            <w:r w:rsidRPr="00FD736D">
              <w:rPr>
                <w:rFonts w:ascii="Arial" w:hAnsi="Arial" w:cs="Arial"/>
                <w:iCs/>
                <w:color w:val="000000" w:themeColor="text1"/>
                <w:sz w:val="20"/>
                <w:szCs w:val="20"/>
                <w:lang w:val="it-IT"/>
              </w:rPr>
              <w:t>Amazon; Barima; Courantyne; Essequibo; Maroni; Orinoco; Oyapock</w:t>
            </w:r>
          </w:p>
        </w:tc>
        <w:tc>
          <w:tcPr>
            <w:tcW w:w="1621" w:type="pct"/>
          </w:tcPr>
          <w:p w14:paraId="4A629416"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Brésil; Colombie; Guyane française; Guyana; Suriname; Venezuela</w:t>
            </w:r>
          </w:p>
        </w:tc>
      </w:tr>
      <w:tr w:rsidR="005969CE" w:rsidRPr="00FD736D" w14:paraId="512C2AD8" w14:textId="77777777" w:rsidTr="007F4E66">
        <w:trPr>
          <w:trHeight w:val="20"/>
        </w:trPr>
        <w:tc>
          <w:tcPr>
            <w:tcW w:w="616" w:type="pct"/>
          </w:tcPr>
          <w:p w14:paraId="72462A1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Hucho hucho</w:t>
            </w:r>
          </w:p>
        </w:tc>
        <w:tc>
          <w:tcPr>
            <w:tcW w:w="632" w:type="pct"/>
          </w:tcPr>
          <w:p w14:paraId="08CAEBE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Salmonidae / Salmoniformes</w:t>
            </w:r>
          </w:p>
        </w:tc>
        <w:tc>
          <w:tcPr>
            <w:tcW w:w="459" w:type="pct"/>
          </w:tcPr>
          <w:p w14:paraId="6BC82A6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79104B9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Danube</w:t>
            </w:r>
          </w:p>
        </w:tc>
        <w:tc>
          <w:tcPr>
            <w:tcW w:w="1621" w:type="pct"/>
          </w:tcPr>
          <w:p w14:paraId="013108D3"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Autriche; Bosnie-Herzégovine; Croatie; Allemagne; Hongrie; Monténégro; Roumanie; Serbie; Slovaquie; Slovénie; Suisse; Ukraine</w:t>
            </w:r>
          </w:p>
        </w:tc>
      </w:tr>
      <w:tr w:rsidR="005969CE" w:rsidRPr="00FD736D" w14:paraId="691C1D6A" w14:textId="77777777" w:rsidTr="007F4E66">
        <w:trPr>
          <w:trHeight w:val="20"/>
        </w:trPr>
        <w:tc>
          <w:tcPr>
            <w:tcW w:w="616" w:type="pct"/>
          </w:tcPr>
          <w:p w14:paraId="2674700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Hucho taimen</w:t>
            </w:r>
          </w:p>
        </w:tc>
        <w:tc>
          <w:tcPr>
            <w:tcW w:w="632" w:type="pct"/>
          </w:tcPr>
          <w:p w14:paraId="5BFB378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Salmonidae / Salmoniformes</w:t>
            </w:r>
          </w:p>
        </w:tc>
        <w:tc>
          <w:tcPr>
            <w:tcW w:w="459" w:type="pct"/>
          </w:tcPr>
          <w:p w14:paraId="4F8F091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1C9903D6" w14:textId="77777777" w:rsidR="005969CE"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Amur; Burla; Ebeyty; Karasuk-Studenoye; Malinovoye; Ob; Sujfun; Torey Lakes; Ul Kensor; Yenisey</w:t>
            </w:r>
          </w:p>
          <w:p w14:paraId="3D5CB4A3" w14:textId="77777777" w:rsidR="00300FCD" w:rsidRPr="00FD736D" w:rsidRDefault="00300FCD" w:rsidP="008A6534">
            <w:pPr>
              <w:spacing w:after="0" w:line="240" w:lineRule="auto"/>
              <w:rPr>
                <w:rFonts w:ascii="Arial" w:hAnsi="Arial" w:cs="Arial"/>
                <w:iCs/>
                <w:color w:val="000000" w:themeColor="text1"/>
                <w:sz w:val="20"/>
                <w:szCs w:val="20"/>
              </w:rPr>
            </w:pPr>
          </w:p>
        </w:tc>
        <w:tc>
          <w:tcPr>
            <w:tcW w:w="1621" w:type="pct"/>
          </w:tcPr>
          <w:p w14:paraId="288A9FA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Kazakhstan; Mongolie; Russie</w:t>
            </w:r>
          </w:p>
        </w:tc>
      </w:tr>
      <w:tr w:rsidR="005969CE" w:rsidRPr="00FD736D" w14:paraId="2BCADB3E" w14:textId="77777777" w:rsidTr="007F4E66">
        <w:trPr>
          <w:trHeight w:val="20"/>
        </w:trPr>
        <w:tc>
          <w:tcPr>
            <w:tcW w:w="616" w:type="pct"/>
          </w:tcPr>
          <w:p w14:paraId="76A1517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Hypophthalmichthys molitrix</w:t>
            </w:r>
          </w:p>
        </w:tc>
        <w:tc>
          <w:tcPr>
            <w:tcW w:w="632" w:type="pct"/>
          </w:tcPr>
          <w:p w14:paraId="25BFE40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4D9CB70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1026DF31"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Amur; Danube; Dniestr; La Plata; Meuse; Rhine; Scheldt; Tumen; Volga</w:t>
            </w:r>
          </w:p>
        </w:tc>
        <w:tc>
          <w:tcPr>
            <w:tcW w:w="1621" w:type="pct"/>
          </w:tcPr>
          <w:p w14:paraId="3E4D0523"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Argentine; Autriche; Belgique; Brésil; Bulgarie; Chine; France; Allemagne; Hongrie; Kazakhstan; Moldavie; Corée du Nord; Roumanie; Russie; Serbie; Slovaquie; Ukraine</w:t>
            </w:r>
          </w:p>
        </w:tc>
      </w:tr>
      <w:tr w:rsidR="005969CE" w:rsidRPr="00FD736D" w14:paraId="7AB1D99C" w14:textId="77777777" w:rsidTr="007F4E66">
        <w:trPr>
          <w:trHeight w:val="20"/>
        </w:trPr>
        <w:tc>
          <w:tcPr>
            <w:tcW w:w="616" w:type="pct"/>
          </w:tcPr>
          <w:p w14:paraId="2049B6F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Hyporhamphus intermedius</w:t>
            </w:r>
          </w:p>
        </w:tc>
        <w:tc>
          <w:tcPr>
            <w:tcW w:w="632" w:type="pct"/>
          </w:tcPr>
          <w:p w14:paraId="46FCC24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Hemiramphidae / Beloniformes</w:t>
            </w:r>
          </w:p>
        </w:tc>
        <w:tc>
          <w:tcPr>
            <w:tcW w:w="459" w:type="pct"/>
          </w:tcPr>
          <w:p w14:paraId="69B4E4A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5BB46E2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Han</w:t>
            </w:r>
          </w:p>
        </w:tc>
        <w:tc>
          <w:tcPr>
            <w:tcW w:w="1621" w:type="pct"/>
          </w:tcPr>
          <w:p w14:paraId="33F28A56"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Corée du Nord; Corée du Sud</w:t>
            </w:r>
          </w:p>
        </w:tc>
      </w:tr>
      <w:tr w:rsidR="005969CE" w:rsidRPr="00FD736D" w14:paraId="3C11ED64" w14:textId="77777777" w:rsidTr="007F4E66">
        <w:trPr>
          <w:trHeight w:val="20"/>
        </w:trPr>
        <w:tc>
          <w:tcPr>
            <w:tcW w:w="616" w:type="pct"/>
          </w:tcPr>
          <w:p w14:paraId="13F623B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Hyporhamphus sajori</w:t>
            </w:r>
          </w:p>
        </w:tc>
        <w:tc>
          <w:tcPr>
            <w:tcW w:w="632" w:type="pct"/>
          </w:tcPr>
          <w:p w14:paraId="64C6036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Hemiramphidae / Beloniformes</w:t>
            </w:r>
          </w:p>
        </w:tc>
        <w:tc>
          <w:tcPr>
            <w:tcW w:w="459" w:type="pct"/>
          </w:tcPr>
          <w:p w14:paraId="1B7E001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4BD5E1C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Tumen</w:t>
            </w:r>
          </w:p>
        </w:tc>
        <w:tc>
          <w:tcPr>
            <w:tcW w:w="1621" w:type="pct"/>
          </w:tcPr>
          <w:p w14:paraId="6744237A"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Chine; Corée du Nord; Russie</w:t>
            </w:r>
          </w:p>
        </w:tc>
      </w:tr>
      <w:tr w:rsidR="005969CE" w:rsidRPr="00FD736D" w14:paraId="583236F4" w14:textId="77777777" w:rsidTr="007F4E66">
        <w:trPr>
          <w:trHeight w:val="20"/>
        </w:trPr>
        <w:tc>
          <w:tcPr>
            <w:tcW w:w="616" w:type="pct"/>
          </w:tcPr>
          <w:p w14:paraId="16CCE8A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Hypsibarbus lagleri</w:t>
            </w:r>
          </w:p>
        </w:tc>
        <w:tc>
          <w:tcPr>
            <w:tcW w:w="632" w:type="pct"/>
          </w:tcPr>
          <w:p w14:paraId="4E06018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5776182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68893DC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7414ACB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472D2FC3" w14:textId="77777777" w:rsidTr="007F4E66">
        <w:trPr>
          <w:trHeight w:val="20"/>
        </w:trPr>
        <w:tc>
          <w:tcPr>
            <w:tcW w:w="616" w:type="pct"/>
          </w:tcPr>
          <w:p w14:paraId="1973061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Hypsibarbus pierrei</w:t>
            </w:r>
          </w:p>
        </w:tc>
        <w:tc>
          <w:tcPr>
            <w:tcW w:w="632" w:type="pct"/>
          </w:tcPr>
          <w:p w14:paraId="6CBD2C7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3060C7F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0BE3779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306FAC2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6A6539C5" w14:textId="77777777" w:rsidTr="007F4E66">
        <w:trPr>
          <w:trHeight w:val="20"/>
        </w:trPr>
        <w:tc>
          <w:tcPr>
            <w:tcW w:w="616" w:type="pct"/>
          </w:tcPr>
          <w:p w14:paraId="2B8E178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Ichthyoelephas humeralis</w:t>
            </w:r>
          </w:p>
        </w:tc>
        <w:tc>
          <w:tcPr>
            <w:tcW w:w="632" w:type="pct"/>
          </w:tcPr>
          <w:p w14:paraId="05290E5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Prochilodontidae / Characiformes</w:t>
            </w:r>
          </w:p>
        </w:tc>
        <w:tc>
          <w:tcPr>
            <w:tcW w:w="459" w:type="pct"/>
          </w:tcPr>
          <w:p w14:paraId="13176B2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0476B1A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Mira</w:t>
            </w:r>
          </w:p>
        </w:tc>
        <w:tc>
          <w:tcPr>
            <w:tcW w:w="1621" w:type="pct"/>
          </w:tcPr>
          <w:p w14:paraId="588B130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Colombie; Équateur</w:t>
            </w:r>
          </w:p>
        </w:tc>
      </w:tr>
      <w:tr w:rsidR="005969CE" w:rsidRPr="00FD736D" w14:paraId="6CE1E67B" w14:textId="77777777" w:rsidTr="007F4E66">
        <w:trPr>
          <w:trHeight w:val="20"/>
        </w:trPr>
        <w:tc>
          <w:tcPr>
            <w:tcW w:w="616" w:type="pct"/>
          </w:tcPr>
          <w:p w14:paraId="4866390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Ilisha novacula</w:t>
            </w:r>
          </w:p>
        </w:tc>
        <w:tc>
          <w:tcPr>
            <w:tcW w:w="632" w:type="pct"/>
          </w:tcPr>
          <w:p w14:paraId="14A74C3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Pristigasteridae / Clupeiformes</w:t>
            </w:r>
          </w:p>
        </w:tc>
        <w:tc>
          <w:tcPr>
            <w:tcW w:w="459" w:type="pct"/>
          </w:tcPr>
          <w:p w14:paraId="71239F1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7E9A14C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Irrawaddy</w:t>
            </w:r>
          </w:p>
        </w:tc>
        <w:tc>
          <w:tcPr>
            <w:tcW w:w="1621" w:type="pct"/>
          </w:tcPr>
          <w:p w14:paraId="781C331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Inde; Myanmar</w:t>
            </w:r>
          </w:p>
        </w:tc>
      </w:tr>
      <w:tr w:rsidR="005969CE" w:rsidRPr="00FD736D" w14:paraId="412F19E1" w14:textId="77777777" w:rsidTr="007F4E66">
        <w:trPr>
          <w:trHeight w:val="20"/>
        </w:trPr>
        <w:tc>
          <w:tcPr>
            <w:tcW w:w="616" w:type="pct"/>
          </w:tcPr>
          <w:p w14:paraId="3153DBC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Incisilabeo behri</w:t>
            </w:r>
          </w:p>
        </w:tc>
        <w:tc>
          <w:tcPr>
            <w:tcW w:w="632" w:type="pct"/>
          </w:tcPr>
          <w:p w14:paraId="7922DB5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4946BE4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39FF744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181D902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Chine; Laos; Myanmar; Thaïlande; Vietnam</w:t>
            </w:r>
          </w:p>
        </w:tc>
      </w:tr>
      <w:tr w:rsidR="005969CE" w:rsidRPr="00FD736D" w14:paraId="11A12F97" w14:textId="77777777" w:rsidTr="007F4E66">
        <w:trPr>
          <w:trHeight w:val="20"/>
        </w:trPr>
        <w:tc>
          <w:tcPr>
            <w:tcW w:w="616" w:type="pct"/>
          </w:tcPr>
          <w:p w14:paraId="4700A90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Johnius gangeticus</w:t>
            </w:r>
          </w:p>
        </w:tc>
        <w:tc>
          <w:tcPr>
            <w:tcW w:w="632" w:type="pct"/>
          </w:tcPr>
          <w:p w14:paraId="7F62292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Sciaenidae / Acanthuriformes</w:t>
            </w:r>
          </w:p>
        </w:tc>
        <w:tc>
          <w:tcPr>
            <w:tcW w:w="459" w:type="pct"/>
          </w:tcPr>
          <w:p w14:paraId="73D2417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6426735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Ganges-Brahmaputra-Meghna</w:t>
            </w:r>
          </w:p>
        </w:tc>
        <w:tc>
          <w:tcPr>
            <w:tcW w:w="1621" w:type="pct"/>
          </w:tcPr>
          <w:p w14:paraId="32235C8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Inde; Népal</w:t>
            </w:r>
          </w:p>
        </w:tc>
      </w:tr>
      <w:tr w:rsidR="005969CE" w:rsidRPr="00FD736D" w14:paraId="03C7D6BC" w14:textId="77777777" w:rsidTr="007F4E66">
        <w:trPr>
          <w:trHeight w:val="20"/>
        </w:trPr>
        <w:tc>
          <w:tcPr>
            <w:tcW w:w="616" w:type="pct"/>
          </w:tcPr>
          <w:p w14:paraId="6FAB5C1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Joturus pichardi</w:t>
            </w:r>
          </w:p>
        </w:tc>
        <w:tc>
          <w:tcPr>
            <w:tcW w:w="632" w:type="pct"/>
          </w:tcPr>
          <w:p w14:paraId="1BF8CCF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Eleotridae / Gobiiformes</w:t>
            </w:r>
          </w:p>
        </w:tc>
        <w:tc>
          <w:tcPr>
            <w:tcW w:w="459" w:type="pct"/>
          </w:tcPr>
          <w:p w14:paraId="32DB640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2598A9D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Belize; Changuinola; Coco; Hondo; Motagua; San Juan; Sixaola</w:t>
            </w:r>
          </w:p>
        </w:tc>
        <w:tc>
          <w:tcPr>
            <w:tcW w:w="1621" w:type="pct"/>
          </w:tcPr>
          <w:p w14:paraId="6CB8ACB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Belize; Costa Rica; Guatemala; Honduras; Mexique; Nicaragua; Panama</w:t>
            </w:r>
          </w:p>
        </w:tc>
      </w:tr>
      <w:tr w:rsidR="005969CE" w:rsidRPr="00FD736D" w14:paraId="72BD9C0B" w14:textId="77777777" w:rsidTr="007F4E66">
        <w:trPr>
          <w:trHeight w:val="20"/>
        </w:trPr>
        <w:tc>
          <w:tcPr>
            <w:tcW w:w="616" w:type="pct"/>
          </w:tcPr>
          <w:p w14:paraId="2485986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Kryptopterus dissitus</w:t>
            </w:r>
          </w:p>
        </w:tc>
        <w:tc>
          <w:tcPr>
            <w:tcW w:w="632" w:type="pct"/>
          </w:tcPr>
          <w:p w14:paraId="34338FE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Siluridae / Siluriformes</w:t>
            </w:r>
          </w:p>
        </w:tc>
        <w:tc>
          <w:tcPr>
            <w:tcW w:w="459" w:type="pct"/>
          </w:tcPr>
          <w:p w14:paraId="3924D33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54C771D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026834C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Vietnam</w:t>
            </w:r>
          </w:p>
        </w:tc>
      </w:tr>
      <w:tr w:rsidR="005969CE" w:rsidRPr="00FD736D" w14:paraId="472DAA9C" w14:textId="77777777" w:rsidTr="007F4E66">
        <w:trPr>
          <w:trHeight w:val="20"/>
        </w:trPr>
        <w:tc>
          <w:tcPr>
            <w:tcW w:w="616" w:type="pct"/>
          </w:tcPr>
          <w:p w14:paraId="6F18457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Kryptopterus paraschilbeides</w:t>
            </w:r>
          </w:p>
        </w:tc>
        <w:tc>
          <w:tcPr>
            <w:tcW w:w="632" w:type="pct"/>
          </w:tcPr>
          <w:p w14:paraId="112DAD3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Siluridae / Siluriformes</w:t>
            </w:r>
          </w:p>
        </w:tc>
        <w:tc>
          <w:tcPr>
            <w:tcW w:w="459" w:type="pct"/>
          </w:tcPr>
          <w:p w14:paraId="2059E4E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33AE486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401D82B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Vietnam</w:t>
            </w:r>
          </w:p>
        </w:tc>
      </w:tr>
      <w:tr w:rsidR="005969CE" w:rsidRPr="00FD736D" w14:paraId="4BB85726" w14:textId="77777777" w:rsidTr="007F4E66">
        <w:trPr>
          <w:trHeight w:val="20"/>
        </w:trPr>
        <w:tc>
          <w:tcPr>
            <w:tcW w:w="616" w:type="pct"/>
          </w:tcPr>
          <w:p w14:paraId="3DF6F89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Kyataphisa caelata</w:t>
            </w:r>
          </w:p>
        </w:tc>
        <w:tc>
          <w:tcPr>
            <w:tcW w:w="632" w:type="pct"/>
          </w:tcPr>
          <w:p w14:paraId="46AC85F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639D046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19BF379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57C56B7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Vietnam</w:t>
            </w:r>
          </w:p>
        </w:tc>
      </w:tr>
      <w:tr w:rsidR="005969CE" w:rsidRPr="00FD736D" w14:paraId="413D1687" w14:textId="77777777" w:rsidTr="007F4E66">
        <w:trPr>
          <w:trHeight w:val="20"/>
        </w:trPr>
        <w:tc>
          <w:tcPr>
            <w:tcW w:w="616" w:type="pct"/>
          </w:tcPr>
          <w:p w14:paraId="79F4190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Labeo mesops</w:t>
            </w:r>
          </w:p>
        </w:tc>
        <w:tc>
          <w:tcPr>
            <w:tcW w:w="632" w:type="pct"/>
          </w:tcPr>
          <w:p w14:paraId="2470312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7F1A6D5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CR</w:t>
            </w:r>
          </w:p>
        </w:tc>
        <w:tc>
          <w:tcPr>
            <w:tcW w:w="1672" w:type="pct"/>
          </w:tcPr>
          <w:p w14:paraId="33E0DFE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Zambezi</w:t>
            </w:r>
          </w:p>
        </w:tc>
        <w:tc>
          <w:tcPr>
            <w:tcW w:w="1621" w:type="pct"/>
          </w:tcPr>
          <w:p w14:paraId="54FB216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Malawi; Mozambique</w:t>
            </w:r>
          </w:p>
        </w:tc>
      </w:tr>
      <w:tr w:rsidR="005969CE" w:rsidRPr="00FD736D" w14:paraId="298C624E" w14:textId="77777777" w:rsidTr="007F4E66">
        <w:trPr>
          <w:trHeight w:val="20"/>
        </w:trPr>
        <w:tc>
          <w:tcPr>
            <w:tcW w:w="616" w:type="pct"/>
          </w:tcPr>
          <w:p w14:paraId="5F96160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Labeo pangusia</w:t>
            </w:r>
          </w:p>
        </w:tc>
        <w:tc>
          <w:tcPr>
            <w:tcW w:w="632" w:type="pct"/>
          </w:tcPr>
          <w:p w14:paraId="1BD7F45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46C599B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25A7528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Ganges-Brahmaputra-Meghna</w:t>
            </w:r>
          </w:p>
        </w:tc>
        <w:tc>
          <w:tcPr>
            <w:tcW w:w="1621" w:type="pct"/>
          </w:tcPr>
          <w:p w14:paraId="1F15FCB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Bhoutan; Inde; Népal</w:t>
            </w:r>
          </w:p>
        </w:tc>
      </w:tr>
      <w:tr w:rsidR="005969CE" w:rsidRPr="00FD736D" w14:paraId="6A28753A" w14:textId="77777777" w:rsidTr="007F4E66">
        <w:trPr>
          <w:trHeight w:val="20"/>
        </w:trPr>
        <w:tc>
          <w:tcPr>
            <w:tcW w:w="616" w:type="pct"/>
          </w:tcPr>
          <w:p w14:paraId="09A406C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Labeo pierrei</w:t>
            </w:r>
          </w:p>
        </w:tc>
        <w:tc>
          <w:tcPr>
            <w:tcW w:w="632" w:type="pct"/>
          </w:tcPr>
          <w:p w14:paraId="5746C533" w14:textId="77777777" w:rsidR="005969CE"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p w14:paraId="74A5D6B6" w14:textId="77777777" w:rsidR="00C37301" w:rsidRPr="00FD736D" w:rsidRDefault="00C37301" w:rsidP="008A6534">
            <w:pPr>
              <w:spacing w:after="0" w:line="240" w:lineRule="auto"/>
              <w:rPr>
                <w:rFonts w:ascii="Arial" w:hAnsi="Arial" w:cs="Arial"/>
                <w:iCs/>
                <w:color w:val="000000" w:themeColor="text1"/>
                <w:sz w:val="20"/>
                <w:szCs w:val="20"/>
              </w:rPr>
            </w:pPr>
          </w:p>
        </w:tc>
        <w:tc>
          <w:tcPr>
            <w:tcW w:w="459" w:type="pct"/>
          </w:tcPr>
          <w:p w14:paraId="192B081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22E1491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 Saigon/Song Nha Be; Song Vam Co Dong</w:t>
            </w:r>
          </w:p>
        </w:tc>
        <w:tc>
          <w:tcPr>
            <w:tcW w:w="1621" w:type="pct"/>
          </w:tcPr>
          <w:p w14:paraId="37BD09A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Vietnam</w:t>
            </w:r>
          </w:p>
        </w:tc>
      </w:tr>
      <w:tr w:rsidR="005969CE" w:rsidRPr="00FD736D" w14:paraId="4B03D627" w14:textId="77777777" w:rsidTr="007F4E66">
        <w:trPr>
          <w:trHeight w:val="20"/>
        </w:trPr>
        <w:tc>
          <w:tcPr>
            <w:tcW w:w="616" w:type="pct"/>
          </w:tcPr>
          <w:p w14:paraId="2D26344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Labeo ruddi</w:t>
            </w:r>
          </w:p>
        </w:tc>
        <w:tc>
          <w:tcPr>
            <w:tcW w:w="632" w:type="pct"/>
          </w:tcPr>
          <w:p w14:paraId="2DB1159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7D96DEE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1FF15C7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Incomati; Limpopo; Umbeluzi</w:t>
            </w:r>
          </w:p>
        </w:tc>
        <w:tc>
          <w:tcPr>
            <w:tcW w:w="1621" w:type="pct"/>
          </w:tcPr>
          <w:p w14:paraId="09743AE3"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Botswana; Eswatini; Mozambique; Afrique du Sud; Zimbabwe</w:t>
            </w:r>
          </w:p>
        </w:tc>
      </w:tr>
      <w:tr w:rsidR="005969CE" w:rsidRPr="00FD736D" w14:paraId="67B0EA08" w14:textId="77777777" w:rsidTr="007F4E66">
        <w:trPr>
          <w:trHeight w:val="20"/>
        </w:trPr>
        <w:tc>
          <w:tcPr>
            <w:tcW w:w="616" w:type="pct"/>
          </w:tcPr>
          <w:p w14:paraId="6D3B7F2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Labeo victorianus</w:t>
            </w:r>
          </w:p>
        </w:tc>
        <w:tc>
          <w:tcPr>
            <w:tcW w:w="632" w:type="pct"/>
          </w:tcPr>
          <w:p w14:paraId="1E89744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1A3E865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6BB5449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Nile</w:t>
            </w:r>
          </w:p>
        </w:tc>
        <w:tc>
          <w:tcPr>
            <w:tcW w:w="1621" w:type="pct"/>
          </w:tcPr>
          <w:p w14:paraId="24157EDF" w14:textId="77777777" w:rsidR="005969CE" w:rsidRPr="00FD736D" w:rsidRDefault="005969CE" w:rsidP="008A6534">
            <w:pPr>
              <w:spacing w:after="0" w:line="240" w:lineRule="auto"/>
              <w:rPr>
                <w:rFonts w:ascii="Arial" w:hAnsi="Arial" w:cs="Arial"/>
                <w:iCs/>
                <w:color w:val="000000" w:themeColor="text1"/>
                <w:sz w:val="20"/>
                <w:szCs w:val="20"/>
                <w:lang w:val="it-IT"/>
              </w:rPr>
            </w:pPr>
            <w:r w:rsidRPr="00FD736D">
              <w:rPr>
                <w:rFonts w:ascii="Arial" w:hAnsi="Arial" w:cs="Arial"/>
                <w:iCs/>
                <w:color w:val="000000" w:themeColor="text1"/>
                <w:sz w:val="20"/>
                <w:szCs w:val="20"/>
                <w:lang w:val="it-IT"/>
              </w:rPr>
              <w:t>Burundi; Kenya; Rwanda; Tanzanie; Ouganda</w:t>
            </w:r>
          </w:p>
        </w:tc>
      </w:tr>
      <w:tr w:rsidR="005969CE" w:rsidRPr="00FD736D" w14:paraId="6AAF73E1" w14:textId="77777777" w:rsidTr="007F4E66">
        <w:trPr>
          <w:trHeight w:val="20"/>
        </w:trPr>
        <w:tc>
          <w:tcPr>
            <w:tcW w:w="616" w:type="pct"/>
          </w:tcPr>
          <w:p w14:paraId="090F178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Labeobarbus johnstonii</w:t>
            </w:r>
          </w:p>
        </w:tc>
        <w:tc>
          <w:tcPr>
            <w:tcW w:w="632" w:type="pct"/>
          </w:tcPr>
          <w:p w14:paraId="2305D7E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3239890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644B650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Zambezi</w:t>
            </w:r>
          </w:p>
        </w:tc>
        <w:tc>
          <w:tcPr>
            <w:tcW w:w="1621" w:type="pct"/>
          </w:tcPr>
          <w:p w14:paraId="3B709FC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Malawi; Mozambique; Tanzanie</w:t>
            </w:r>
          </w:p>
        </w:tc>
      </w:tr>
      <w:tr w:rsidR="005969CE" w:rsidRPr="00FD736D" w14:paraId="4B581460" w14:textId="77777777" w:rsidTr="007F4E66">
        <w:trPr>
          <w:trHeight w:val="20"/>
        </w:trPr>
        <w:tc>
          <w:tcPr>
            <w:tcW w:w="616" w:type="pct"/>
          </w:tcPr>
          <w:p w14:paraId="67FD7AF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Labeobarbus kimberleyensis</w:t>
            </w:r>
          </w:p>
        </w:tc>
        <w:tc>
          <w:tcPr>
            <w:tcW w:w="632" w:type="pct"/>
          </w:tcPr>
          <w:p w14:paraId="02635C1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38D038E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2723639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Orange</w:t>
            </w:r>
          </w:p>
        </w:tc>
        <w:tc>
          <w:tcPr>
            <w:tcW w:w="1621" w:type="pct"/>
          </w:tcPr>
          <w:p w14:paraId="13AF68E7"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Lesotho; Namibie; Afrique du Sud</w:t>
            </w:r>
          </w:p>
        </w:tc>
      </w:tr>
      <w:tr w:rsidR="005969CE" w:rsidRPr="00FD736D" w14:paraId="131A48C3" w14:textId="77777777" w:rsidTr="007F4E66">
        <w:trPr>
          <w:trHeight w:val="20"/>
        </w:trPr>
        <w:tc>
          <w:tcPr>
            <w:tcW w:w="616" w:type="pct"/>
          </w:tcPr>
          <w:p w14:paraId="0D12720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Labeobarbus nelspruitensis</w:t>
            </w:r>
          </w:p>
        </w:tc>
        <w:tc>
          <w:tcPr>
            <w:tcW w:w="632" w:type="pct"/>
          </w:tcPr>
          <w:p w14:paraId="17AD578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7002A4F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30804F6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Incomati; Maputo</w:t>
            </w:r>
          </w:p>
        </w:tc>
        <w:tc>
          <w:tcPr>
            <w:tcW w:w="1621" w:type="pct"/>
          </w:tcPr>
          <w:p w14:paraId="457420C7"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Eswatini; Mozambique; Afrique du Sud</w:t>
            </w:r>
          </w:p>
        </w:tc>
      </w:tr>
      <w:tr w:rsidR="005969CE" w:rsidRPr="00FD736D" w14:paraId="6A44509D" w14:textId="77777777" w:rsidTr="007F4E66">
        <w:trPr>
          <w:trHeight w:val="20"/>
        </w:trPr>
        <w:tc>
          <w:tcPr>
            <w:tcW w:w="616" w:type="pct"/>
          </w:tcPr>
          <w:p w14:paraId="72662BD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Labiobarbus lineatus</w:t>
            </w:r>
          </w:p>
        </w:tc>
        <w:tc>
          <w:tcPr>
            <w:tcW w:w="632" w:type="pct"/>
          </w:tcPr>
          <w:p w14:paraId="54ACD07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04C72F2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686848D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03BFA5B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76D55D91" w14:textId="77777777" w:rsidTr="007F4E66">
        <w:trPr>
          <w:trHeight w:val="20"/>
        </w:trPr>
        <w:tc>
          <w:tcPr>
            <w:tcW w:w="616" w:type="pct"/>
          </w:tcPr>
          <w:p w14:paraId="59D584A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Lampetra fluviatilis</w:t>
            </w:r>
          </w:p>
        </w:tc>
        <w:tc>
          <w:tcPr>
            <w:tcW w:w="632" w:type="pct"/>
          </w:tcPr>
          <w:p w14:paraId="6F4EF0E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Petromyzontidae / Petromyzontiformes</w:t>
            </w:r>
          </w:p>
        </w:tc>
        <w:tc>
          <w:tcPr>
            <w:tcW w:w="459" w:type="pct"/>
          </w:tcPr>
          <w:p w14:paraId="427CBFE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46DA259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Angerman; Barta; Daugava; Elbe; Erne; Foyle; Gauja; Gota alv; Iddefjord; IJsselmeer; Indalsalven; Kemi; Lielupe; Meuse; Narva; Neman; Neva; Newry; Oder; Peschanaya; Pregolya; Rhine; Torne; Ume; Venta; Vida; Vistula</w:t>
            </w:r>
          </w:p>
        </w:tc>
        <w:tc>
          <w:tcPr>
            <w:tcW w:w="1621" w:type="pct"/>
          </w:tcPr>
          <w:p w14:paraId="39E08EDC"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Biélorussie; Belgique; République tchèque; Danemark; Estonie; Finlande; France; Allemagne; Irlande; Lettonie; Lituanie; Luxembourg; Pays-Bas; Norvège; Pologne; Russie;  Russie (Kaliningrad); Slovaquie; Suède; Suisse; Ukraine; Royaume-Uni</w:t>
            </w:r>
          </w:p>
        </w:tc>
      </w:tr>
      <w:tr w:rsidR="005969CE" w:rsidRPr="00FD736D" w14:paraId="24CF844D" w14:textId="77777777" w:rsidTr="007F4E66">
        <w:trPr>
          <w:trHeight w:val="20"/>
        </w:trPr>
        <w:tc>
          <w:tcPr>
            <w:tcW w:w="616" w:type="pct"/>
          </w:tcPr>
          <w:p w14:paraId="7273871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Lampetra planeri</w:t>
            </w:r>
          </w:p>
        </w:tc>
        <w:tc>
          <w:tcPr>
            <w:tcW w:w="632" w:type="pct"/>
          </w:tcPr>
          <w:p w14:paraId="5512BAF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Petromyzontidae / Petromyzontiformes</w:t>
            </w:r>
          </w:p>
        </w:tc>
        <w:tc>
          <w:tcPr>
            <w:tcW w:w="459" w:type="pct"/>
          </w:tcPr>
          <w:p w14:paraId="4A9CBEA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7A4AC35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Angerman; Barta; Daugava; Elbe; Erne; Foyle; Gauja; Gota alv; Iddefjord; IJsselmeer; Indalsalven; Kemi; Lielupe; Meuse; Narva; Neman; Neva; Newry; Oder; Peschanaya; Pregolya; Rhine; Rhone; Scheldt; Torne; Ume; Venta; Vida; Vistula</w:t>
            </w:r>
          </w:p>
        </w:tc>
        <w:tc>
          <w:tcPr>
            <w:tcW w:w="1621" w:type="pct"/>
          </w:tcPr>
          <w:p w14:paraId="2135B78E"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Autriche; Biélorussie; Belgique; République tchèque; Danemark; Estonie; Finlande; France; Allemagne; Irlande; Lettonie; Liechtenstein; Lituanie; Luxembourg; Pays-Bas; Norvège; Pologne; Russie; Russie (Kaliningrad); Slovaquie; Suède; Suisse; Ukraine; Royaume-Uni</w:t>
            </w:r>
          </w:p>
        </w:tc>
      </w:tr>
      <w:tr w:rsidR="005969CE" w:rsidRPr="00FD736D" w14:paraId="43B92D28" w14:textId="77777777" w:rsidTr="007F4E66">
        <w:trPr>
          <w:trHeight w:val="20"/>
        </w:trPr>
        <w:tc>
          <w:tcPr>
            <w:tcW w:w="616" w:type="pct"/>
          </w:tcPr>
          <w:p w14:paraId="48133CE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Laubuka caeruleostigmata</w:t>
            </w:r>
          </w:p>
        </w:tc>
        <w:tc>
          <w:tcPr>
            <w:tcW w:w="632" w:type="pct"/>
          </w:tcPr>
          <w:p w14:paraId="2514A6A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244A907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5B93F9D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 Song Vam Co Dong</w:t>
            </w:r>
          </w:p>
        </w:tc>
        <w:tc>
          <w:tcPr>
            <w:tcW w:w="1621" w:type="pct"/>
          </w:tcPr>
          <w:p w14:paraId="56E5AA0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58372B83" w14:textId="77777777" w:rsidTr="007F4E66">
        <w:trPr>
          <w:trHeight w:val="20"/>
        </w:trPr>
        <w:tc>
          <w:tcPr>
            <w:tcW w:w="616" w:type="pct"/>
          </w:tcPr>
          <w:p w14:paraId="3206241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Leiarius longibarbis</w:t>
            </w:r>
          </w:p>
        </w:tc>
        <w:tc>
          <w:tcPr>
            <w:tcW w:w="632" w:type="pct"/>
          </w:tcPr>
          <w:p w14:paraId="30A4121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Pimelodidae / Siluriformes</w:t>
            </w:r>
          </w:p>
        </w:tc>
        <w:tc>
          <w:tcPr>
            <w:tcW w:w="459" w:type="pct"/>
          </w:tcPr>
          <w:p w14:paraId="21563CD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0467F69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Amazon</w:t>
            </w:r>
          </w:p>
        </w:tc>
        <w:tc>
          <w:tcPr>
            <w:tcW w:w="1621" w:type="pct"/>
          </w:tcPr>
          <w:p w14:paraId="236AEDF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Brésil; Pérou</w:t>
            </w:r>
          </w:p>
        </w:tc>
      </w:tr>
      <w:tr w:rsidR="005969CE" w:rsidRPr="00FD736D" w14:paraId="45D379CC" w14:textId="77777777" w:rsidTr="007F4E66">
        <w:trPr>
          <w:trHeight w:val="20"/>
        </w:trPr>
        <w:tc>
          <w:tcPr>
            <w:tcW w:w="616" w:type="pct"/>
          </w:tcPr>
          <w:p w14:paraId="578D2F2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Leporinus bimaculatus</w:t>
            </w:r>
          </w:p>
        </w:tc>
        <w:tc>
          <w:tcPr>
            <w:tcW w:w="632" w:type="pct"/>
          </w:tcPr>
          <w:p w14:paraId="5E57FBC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Anostomidae / Characiformes</w:t>
            </w:r>
          </w:p>
        </w:tc>
        <w:tc>
          <w:tcPr>
            <w:tcW w:w="459" w:type="pct"/>
          </w:tcPr>
          <w:p w14:paraId="706416F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4AD177E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Amazon</w:t>
            </w:r>
          </w:p>
        </w:tc>
        <w:tc>
          <w:tcPr>
            <w:tcW w:w="1621" w:type="pct"/>
          </w:tcPr>
          <w:p w14:paraId="60F22DC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Brésil; Colombie; Pérou</w:t>
            </w:r>
          </w:p>
        </w:tc>
      </w:tr>
      <w:tr w:rsidR="005969CE" w:rsidRPr="00FD736D" w14:paraId="4978D90E" w14:textId="77777777" w:rsidTr="007F4E66">
        <w:trPr>
          <w:trHeight w:val="20"/>
        </w:trPr>
        <w:tc>
          <w:tcPr>
            <w:tcW w:w="616" w:type="pct"/>
          </w:tcPr>
          <w:p w14:paraId="5CF451A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Leporinus bleheri</w:t>
            </w:r>
          </w:p>
        </w:tc>
        <w:tc>
          <w:tcPr>
            <w:tcW w:w="632" w:type="pct"/>
          </w:tcPr>
          <w:p w14:paraId="23EDB65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Anostomidae / Characiformes</w:t>
            </w:r>
          </w:p>
        </w:tc>
        <w:tc>
          <w:tcPr>
            <w:tcW w:w="459" w:type="pct"/>
          </w:tcPr>
          <w:p w14:paraId="7178B0F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3E2A0EF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Amazon</w:t>
            </w:r>
          </w:p>
        </w:tc>
        <w:tc>
          <w:tcPr>
            <w:tcW w:w="1621" w:type="pct"/>
          </w:tcPr>
          <w:p w14:paraId="6E8D9AC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Bolivie; Brésil</w:t>
            </w:r>
          </w:p>
        </w:tc>
      </w:tr>
      <w:tr w:rsidR="005969CE" w:rsidRPr="00FD736D" w14:paraId="0568D275" w14:textId="77777777" w:rsidTr="007F4E66">
        <w:trPr>
          <w:trHeight w:val="20"/>
        </w:trPr>
        <w:tc>
          <w:tcPr>
            <w:tcW w:w="616" w:type="pct"/>
          </w:tcPr>
          <w:p w14:paraId="3C2BD09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Leptobarbus rubripinna</w:t>
            </w:r>
          </w:p>
        </w:tc>
        <w:tc>
          <w:tcPr>
            <w:tcW w:w="632" w:type="pct"/>
          </w:tcPr>
          <w:p w14:paraId="77EF11C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29897A4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1A24A2D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0A8758D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52B33E34" w14:textId="77777777" w:rsidTr="007F4E66">
        <w:trPr>
          <w:trHeight w:val="20"/>
        </w:trPr>
        <w:tc>
          <w:tcPr>
            <w:tcW w:w="616" w:type="pct"/>
          </w:tcPr>
          <w:p w14:paraId="215E808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Leucopsarion petersii</w:t>
            </w:r>
          </w:p>
        </w:tc>
        <w:tc>
          <w:tcPr>
            <w:tcW w:w="632" w:type="pct"/>
          </w:tcPr>
          <w:p w14:paraId="4174E94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Osmeridae / Osmeriformes</w:t>
            </w:r>
          </w:p>
        </w:tc>
        <w:tc>
          <w:tcPr>
            <w:tcW w:w="459" w:type="pct"/>
          </w:tcPr>
          <w:p w14:paraId="3D26DBE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16D012B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Han</w:t>
            </w:r>
          </w:p>
        </w:tc>
        <w:tc>
          <w:tcPr>
            <w:tcW w:w="1621" w:type="pct"/>
          </w:tcPr>
          <w:p w14:paraId="476A43AE"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Corée du Nord; Corée du Sud</w:t>
            </w:r>
          </w:p>
        </w:tc>
      </w:tr>
      <w:tr w:rsidR="005969CE" w:rsidRPr="00FD736D" w14:paraId="1D0DB179" w14:textId="77777777" w:rsidTr="007F4E66">
        <w:trPr>
          <w:trHeight w:val="20"/>
        </w:trPr>
        <w:tc>
          <w:tcPr>
            <w:tcW w:w="616" w:type="pct"/>
          </w:tcPr>
          <w:p w14:paraId="4166427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Liza grandisquamis</w:t>
            </w:r>
          </w:p>
        </w:tc>
        <w:tc>
          <w:tcPr>
            <w:tcW w:w="632" w:type="pct"/>
          </w:tcPr>
          <w:p w14:paraId="0B11509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Mugilidae / Mugiliformes</w:t>
            </w:r>
          </w:p>
        </w:tc>
        <w:tc>
          <w:tcPr>
            <w:tcW w:w="459" w:type="pct"/>
          </w:tcPr>
          <w:p w14:paraId="324E480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002E798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Ntem; Sénégal</w:t>
            </w:r>
          </w:p>
        </w:tc>
        <w:tc>
          <w:tcPr>
            <w:tcW w:w="1621" w:type="pct"/>
          </w:tcPr>
          <w:p w14:paraId="11F91E57"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Cameroun; Guinée équatoriale; Mauritanie; Sénégal</w:t>
            </w:r>
          </w:p>
        </w:tc>
      </w:tr>
      <w:tr w:rsidR="005969CE" w:rsidRPr="00FD736D" w14:paraId="1862F61B" w14:textId="77777777" w:rsidTr="007F4E66">
        <w:trPr>
          <w:trHeight w:val="20"/>
        </w:trPr>
        <w:tc>
          <w:tcPr>
            <w:tcW w:w="616" w:type="pct"/>
          </w:tcPr>
          <w:p w14:paraId="315E23D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Lobocheilos cryptopogon</w:t>
            </w:r>
          </w:p>
        </w:tc>
        <w:tc>
          <w:tcPr>
            <w:tcW w:w="632" w:type="pct"/>
          </w:tcPr>
          <w:p w14:paraId="0391B39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07A3827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26D01A0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1883EE8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Vietnam</w:t>
            </w:r>
          </w:p>
        </w:tc>
      </w:tr>
      <w:tr w:rsidR="005969CE" w:rsidRPr="00FD736D" w14:paraId="5EB25558" w14:textId="77777777" w:rsidTr="007F4E66">
        <w:trPr>
          <w:trHeight w:val="20"/>
        </w:trPr>
        <w:tc>
          <w:tcPr>
            <w:tcW w:w="616" w:type="pct"/>
          </w:tcPr>
          <w:p w14:paraId="278838B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Luciobarbus brachycephalus</w:t>
            </w:r>
          </w:p>
        </w:tc>
        <w:tc>
          <w:tcPr>
            <w:tcW w:w="632" w:type="pct"/>
          </w:tcPr>
          <w:p w14:paraId="2FF45BD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4C74D42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38FC803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Amu Darya; Kura; Samur; Syr Darya</w:t>
            </w:r>
          </w:p>
        </w:tc>
        <w:tc>
          <w:tcPr>
            <w:tcW w:w="1621" w:type="pct"/>
          </w:tcPr>
          <w:p w14:paraId="49D07F5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Afghanistan; Azerbaïdjan; Géorgie; Iran; Kazakhstan; Kirghizistan; Russie; Tadjikistan; Turkménistan; Ouzbékistan</w:t>
            </w:r>
          </w:p>
        </w:tc>
      </w:tr>
      <w:tr w:rsidR="005969CE" w:rsidRPr="00FD736D" w14:paraId="0CA50C2C" w14:textId="77777777" w:rsidTr="007F4E66">
        <w:trPr>
          <w:trHeight w:val="20"/>
        </w:trPr>
        <w:tc>
          <w:tcPr>
            <w:tcW w:w="616" w:type="pct"/>
          </w:tcPr>
          <w:p w14:paraId="7A80ECE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Luciobarbus capito</w:t>
            </w:r>
          </w:p>
        </w:tc>
        <w:tc>
          <w:tcPr>
            <w:tcW w:w="632" w:type="pct"/>
          </w:tcPr>
          <w:p w14:paraId="3F0D554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7D8C517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0B1F0F11" w14:textId="77777777" w:rsidR="005969CE" w:rsidRPr="00FD736D" w:rsidRDefault="005969CE" w:rsidP="008A6534">
            <w:pPr>
              <w:spacing w:after="0" w:line="240" w:lineRule="auto"/>
              <w:rPr>
                <w:rFonts w:ascii="Arial" w:hAnsi="Arial" w:cs="Arial"/>
                <w:iCs/>
                <w:color w:val="000000" w:themeColor="text1"/>
                <w:sz w:val="20"/>
                <w:szCs w:val="20"/>
                <w:lang w:val="pt-PT"/>
              </w:rPr>
            </w:pPr>
            <w:r w:rsidRPr="00FD736D">
              <w:rPr>
                <w:rFonts w:ascii="Arial" w:hAnsi="Arial" w:cs="Arial"/>
                <w:iCs/>
                <w:color w:val="000000" w:themeColor="text1"/>
                <w:sz w:val="20"/>
                <w:szCs w:val="20"/>
                <w:lang w:val="pt-PT"/>
              </w:rPr>
              <w:t>Atrek; Kura; Samur; Terek; Volga</w:t>
            </w:r>
          </w:p>
        </w:tc>
        <w:tc>
          <w:tcPr>
            <w:tcW w:w="1621" w:type="pct"/>
          </w:tcPr>
          <w:p w14:paraId="4191ACF5" w14:textId="77777777" w:rsidR="005969CE" w:rsidRPr="00FD736D" w:rsidRDefault="005969CE" w:rsidP="008A6534">
            <w:pPr>
              <w:spacing w:after="0" w:line="240" w:lineRule="auto"/>
              <w:rPr>
                <w:rFonts w:ascii="Arial" w:hAnsi="Arial" w:cs="Arial"/>
                <w:iCs/>
                <w:color w:val="000000" w:themeColor="text1"/>
                <w:sz w:val="20"/>
                <w:szCs w:val="20"/>
                <w:lang w:val="de-DE"/>
              </w:rPr>
            </w:pPr>
            <w:r w:rsidRPr="00FD736D">
              <w:rPr>
                <w:rFonts w:ascii="Arial" w:hAnsi="Arial" w:cs="Arial"/>
                <w:iCs/>
                <w:color w:val="000000" w:themeColor="text1"/>
                <w:sz w:val="20"/>
                <w:szCs w:val="20"/>
                <w:lang w:val="de-DE"/>
              </w:rPr>
              <w:t>Arménie; Azerbaïdjan; Géorgie; Iran; Kazakhstan; Russie; Turquie; Turkménistan</w:t>
            </w:r>
          </w:p>
        </w:tc>
      </w:tr>
      <w:tr w:rsidR="005969CE" w:rsidRPr="00FD736D" w14:paraId="7ADE07F2" w14:textId="77777777" w:rsidTr="007F4E66">
        <w:trPr>
          <w:trHeight w:val="20"/>
        </w:trPr>
        <w:tc>
          <w:tcPr>
            <w:tcW w:w="616" w:type="pct"/>
          </w:tcPr>
          <w:p w14:paraId="32D0AD4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Luciobarbus caspius</w:t>
            </w:r>
          </w:p>
        </w:tc>
        <w:tc>
          <w:tcPr>
            <w:tcW w:w="632" w:type="pct"/>
          </w:tcPr>
          <w:p w14:paraId="0A95617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1FC869F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669720B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Kura; Samur; Terek; Volga</w:t>
            </w:r>
          </w:p>
        </w:tc>
        <w:tc>
          <w:tcPr>
            <w:tcW w:w="1621" w:type="pct"/>
          </w:tcPr>
          <w:p w14:paraId="4ECF1ED1" w14:textId="77777777" w:rsidR="005969CE" w:rsidRPr="00FD736D" w:rsidRDefault="005969CE" w:rsidP="008A6534">
            <w:pPr>
              <w:spacing w:after="0" w:line="240" w:lineRule="auto"/>
              <w:rPr>
                <w:rFonts w:ascii="Arial" w:hAnsi="Arial" w:cs="Arial"/>
                <w:iCs/>
                <w:color w:val="000000" w:themeColor="text1"/>
                <w:sz w:val="20"/>
                <w:szCs w:val="20"/>
                <w:lang w:val="de-DE"/>
              </w:rPr>
            </w:pPr>
            <w:r w:rsidRPr="00FD736D">
              <w:rPr>
                <w:rFonts w:ascii="Arial" w:hAnsi="Arial" w:cs="Arial"/>
                <w:iCs/>
                <w:color w:val="000000" w:themeColor="text1"/>
                <w:sz w:val="20"/>
                <w:szCs w:val="20"/>
                <w:lang w:val="de-DE"/>
              </w:rPr>
              <w:t>Arménie; Azerbaïdjan; Géorgie; Iran; Kazakhstan; Russie; Turquie</w:t>
            </w:r>
          </w:p>
        </w:tc>
      </w:tr>
      <w:tr w:rsidR="005969CE" w:rsidRPr="00FD736D" w14:paraId="0FC88786" w14:textId="77777777" w:rsidTr="007F4E66">
        <w:trPr>
          <w:trHeight w:val="20"/>
        </w:trPr>
        <w:tc>
          <w:tcPr>
            <w:tcW w:w="616" w:type="pct"/>
          </w:tcPr>
          <w:p w14:paraId="32E3CED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Luciobarbus esocinus</w:t>
            </w:r>
          </w:p>
        </w:tc>
        <w:tc>
          <w:tcPr>
            <w:tcW w:w="632" w:type="pct"/>
          </w:tcPr>
          <w:p w14:paraId="6882042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5EE689B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4D3EE04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Tigris-Euphrates/Shatt al Arab</w:t>
            </w:r>
          </w:p>
        </w:tc>
        <w:tc>
          <w:tcPr>
            <w:tcW w:w="1621" w:type="pct"/>
          </w:tcPr>
          <w:p w14:paraId="002E6AE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Iran; Irak; Syrie; Turquie</w:t>
            </w:r>
          </w:p>
        </w:tc>
      </w:tr>
      <w:tr w:rsidR="005969CE" w:rsidRPr="00FD736D" w14:paraId="7680FF5E" w14:textId="77777777" w:rsidTr="007F4E66">
        <w:trPr>
          <w:trHeight w:val="20"/>
        </w:trPr>
        <w:tc>
          <w:tcPr>
            <w:tcW w:w="616" w:type="pct"/>
          </w:tcPr>
          <w:p w14:paraId="1B03E47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Luciobarbus graellsii</w:t>
            </w:r>
          </w:p>
        </w:tc>
        <w:tc>
          <w:tcPr>
            <w:tcW w:w="632" w:type="pct"/>
          </w:tcPr>
          <w:p w14:paraId="7F6087B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35429B3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574A82C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Ebro</w:t>
            </w:r>
          </w:p>
        </w:tc>
        <w:tc>
          <w:tcPr>
            <w:tcW w:w="1621" w:type="pct"/>
          </w:tcPr>
          <w:p w14:paraId="6088ADD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Andorre; Espagne</w:t>
            </w:r>
          </w:p>
        </w:tc>
      </w:tr>
      <w:tr w:rsidR="005969CE" w:rsidRPr="00FD736D" w14:paraId="2D968B78" w14:textId="77777777" w:rsidTr="007F4E66">
        <w:trPr>
          <w:trHeight w:val="20"/>
        </w:trPr>
        <w:tc>
          <w:tcPr>
            <w:tcW w:w="616" w:type="pct"/>
          </w:tcPr>
          <w:p w14:paraId="4DD1AE3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Luciobarbus longiceps</w:t>
            </w:r>
          </w:p>
        </w:tc>
        <w:tc>
          <w:tcPr>
            <w:tcW w:w="632" w:type="pct"/>
          </w:tcPr>
          <w:p w14:paraId="001436C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2286A49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22644FE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Jordanie/Mer Morte</w:t>
            </w:r>
          </w:p>
        </w:tc>
        <w:tc>
          <w:tcPr>
            <w:tcW w:w="1621" w:type="pct"/>
          </w:tcPr>
          <w:p w14:paraId="7D5B2B3C"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Israël; Jordanie; État de Palestine; Syrie</w:t>
            </w:r>
          </w:p>
        </w:tc>
      </w:tr>
      <w:tr w:rsidR="005969CE" w:rsidRPr="00FD736D" w14:paraId="5786FC02" w14:textId="77777777" w:rsidTr="007F4E66">
        <w:trPr>
          <w:trHeight w:val="20"/>
        </w:trPr>
        <w:tc>
          <w:tcPr>
            <w:tcW w:w="616" w:type="pct"/>
          </w:tcPr>
          <w:p w14:paraId="0371390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Luciobarbus subquincunciatus</w:t>
            </w:r>
          </w:p>
        </w:tc>
        <w:tc>
          <w:tcPr>
            <w:tcW w:w="632" w:type="pct"/>
          </w:tcPr>
          <w:p w14:paraId="29A4E75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364B670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CR</w:t>
            </w:r>
          </w:p>
        </w:tc>
        <w:tc>
          <w:tcPr>
            <w:tcW w:w="1672" w:type="pct"/>
          </w:tcPr>
          <w:p w14:paraId="05BCEF8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Tigris-Euphrates/Shatt al Arab</w:t>
            </w:r>
          </w:p>
        </w:tc>
        <w:tc>
          <w:tcPr>
            <w:tcW w:w="1621" w:type="pct"/>
          </w:tcPr>
          <w:p w14:paraId="3C3EFD4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Iran; Irak; Syrie; Turquie</w:t>
            </w:r>
          </w:p>
        </w:tc>
      </w:tr>
      <w:tr w:rsidR="005969CE" w:rsidRPr="00FD736D" w14:paraId="03DA32AF" w14:textId="77777777" w:rsidTr="007F4E66">
        <w:trPr>
          <w:trHeight w:val="20"/>
        </w:trPr>
        <w:tc>
          <w:tcPr>
            <w:tcW w:w="616" w:type="pct"/>
          </w:tcPr>
          <w:p w14:paraId="707EBE8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Luciobrama macrocephalus</w:t>
            </w:r>
          </w:p>
        </w:tc>
        <w:tc>
          <w:tcPr>
            <w:tcW w:w="632" w:type="pct"/>
          </w:tcPr>
          <w:p w14:paraId="496121A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2E54FC6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0D62E09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Red/Song Hong</w:t>
            </w:r>
          </w:p>
        </w:tc>
        <w:tc>
          <w:tcPr>
            <w:tcW w:w="1621" w:type="pct"/>
          </w:tcPr>
          <w:p w14:paraId="254FDCE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Vietnam</w:t>
            </w:r>
          </w:p>
        </w:tc>
      </w:tr>
      <w:tr w:rsidR="005969CE" w:rsidRPr="00FD736D" w14:paraId="7EE6C105" w14:textId="77777777" w:rsidTr="007F4E66">
        <w:trPr>
          <w:trHeight w:val="20"/>
        </w:trPr>
        <w:tc>
          <w:tcPr>
            <w:tcW w:w="616" w:type="pct"/>
          </w:tcPr>
          <w:p w14:paraId="64D70FD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Luciocyprinus langsoni</w:t>
            </w:r>
          </w:p>
        </w:tc>
        <w:tc>
          <w:tcPr>
            <w:tcW w:w="632" w:type="pct"/>
          </w:tcPr>
          <w:p w14:paraId="29882BD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6805899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377BC36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Pearl; Red/Song Hong</w:t>
            </w:r>
          </w:p>
        </w:tc>
        <w:tc>
          <w:tcPr>
            <w:tcW w:w="1621" w:type="pct"/>
          </w:tcPr>
          <w:p w14:paraId="220397E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Vietnam</w:t>
            </w:r>
          </w:p>
        </w:tc>
      </w:tr>
      <w:tr w:rsidR="005969CE" w:rsidRPr="00FD736D" w14:paraId="71FD623B" w14:textId="77777777" w:rsidTr="007F4E66">
        <w:trPr>
          <w:trHeight w:val="20"/>
        </w:trPr>
        <w:tc>
          <w:tcPr>
            <w:tcW w:w="616" w:type="pct"/>
          </w:tcPr>
          <w:p w14:paraId="7587C9A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Luciocyprinus striolatus</w:t>
            </w:r>
          </w:p>
        </w:tc>
        <w:tc>
          <w:tcPr>
            <w:tcW w:w="632" w:type="pct"/>
          </w:tcPr>
          <w:p w14:paraId="75513BE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4874EEF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48FFEA3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1CC94F8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Laos; Myanmar; Thaïlande</w:t>
            </w:r>
          </w:p>
        </w:tc>
      </w:tr>
      <w:tr w:rsidR="005969CE" w:rsidRPr="00FD736D" w14:paraId="1892FA1C" w14:textId="77777777" w:rsidTr="007F4E66">
        <w:trPr>
          <w:trHeight w:val="20"/>
        </w:trPr>
        <w:tc>
          <w:tcPr>
            <w:tcW w:w="616" w:type="pct"/>
          </w:tcPr>
          <w:p w14:paraId="20AE705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Lutjanus goldiei</w:t>
            </w:r>
          </w:p>
        </w:tc>
        <w:tc>
          <w:tcPr>
            <w:tcW w:w="632" w:type="pct"/>
          </w:tcPr>
          <w:p w14:paraId="5F196E3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Lutjanidae / Lutjaniformes</w:t>
            </w:r>
          </w:p>
        </w:tc>
        <w:tc>
          <w:tcPr>
            <w:tcW w:w="459" w:type="pct"/>
          </w:tcPr>
          <w:p w14:paraId="6DA6D47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34314C1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Fly</w:t>
            </w:r>
          </w:p>
        </w:tc>
        <w:tc>
          <w:tcPr>
            <w:tcW w:w="1621" w:type="pct"/>
          </w:tcPr>
          <w:p w14:paraId="6241FCF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Indonésie; Papouasie-Nouvelle-Guinée</w:t>
            </w:r>
          </w:p>
        </w:tc>
      </w:tr>
      <w:tr w:rsidR="005969CE" w:rsidRPr="00FD736D" w14:paraId="281BE174" w14:textId="77777777" w:rsidTr="007F4E66">
        <w:trPr>
          <w:trHeight w:val="20"/>
        </w:trPr>
        <w:tc>
          <w:tcPr>
            <w:tcW w:w="616" w:type="pct"/>
          </w:tcPr>
          <w:p w14:paraId="5991BE3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Macrhybopsis aestivalis</w:t>
            </w:r>
          </w:p>
        </w:tc>
        <w:tc>
          <w:tcPr>
            <w:tcW w:w="632" w:type="pct"/>
          </w:tcPr>
          <w:p w14:paraId="473C219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Leuciscidae / Cypriniformes</w:t>
            </w:r>
          </w:p>
        </w:tc>
        <w:tc>
          <w:tcPr>
            <w:tcW w:w="459" w:type="pct"/>
          </w:tcPr>
          <w:p w14:paraId="68E1B29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358D13B0"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Rio Grande (Amérique du Nord)</w:t>
            </w:r>
          </w:p>
        </w:tc>
        <w:tc>
          <w:tcPr>
            <w:tcW w:w="1621" w:type="pct"/>
          </w:tcPr>
          <w:p w14:paraId="00390FB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Mexique; États-Unis d’Amérique</w:t>
            </w:r>
          </w:p>
        </w:tc>
      </w:tr>
      <w:tr w:rsidR="005969CE" w:rsidRPr="00FD736D" w14:paraId="60E8CB1C" w14:textId="77777777" w:rsidTr="007F4E66">
        <w:trPr>
          <w:trHeight w:val="20"/>
        </w:trPr>
        <w:tc>
          <w:tcPr>
            <w:tcW w:w="616" w:type="pct"/>
          </w:tcPr>
          <w:p w14:paraId="50A4E50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Macrochirichthys macrochirus</w:t>
            </w:r>
          </w:p>
        </w:tc>
        <w:tc>
          <w:tcPr>
            <w:tcW w:w="632" w:type="pct"/>
          </w:tcPr>
          <w:p w14:paraId="60F3F7A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0A70393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0E4F459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Ca/Lam/Song-Koi; Giang Thanh; Golok; Ma; Mekong; Red/Song Hong; Saigon/Song Nha Be; Salween; Sambas; Sembakung; Song Vam Co Dong</w:t>
            </w:r>
          </w:p>
        </w:tc>
        <w:tc>
          <w:tcPr>
            <w:tcW w:w="1621" w:type="pct"/>
          </w:tcPr>
          <w:p w14:paraId="122CEF66"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Cambodge; Chine; Indonésie; Laos; Malaisie; Myanmar; Thaïlande; Vietnam</w:t>
            </w:r>
          </w:p>
        </w:tc>
      </w:tr>
      <w:tr w:rsidR="005969CE" w:rsidRPr="00FD736D" w14:paraId="1F0D836B" w14:textId="77777777" w:rsidTr="007F4E66">
        <w:trPr>
          <w:trHeight w:val="20"/>
        </w:trPr>
        <w:tc>
          <w:tcPr>
            <w:tcW w:w="616" w:type="pct"/>
          </w:tcPr>
          <w:p w14:paraId="5DC4CDB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Macrospinosa cuja</w:t>
            </w:r>
          </w:p>
        </w:tc>
        <w:tc>
          <w:tcPr>
            <w:tcW w:w="632" w:type="pct"/>
          </w:tcPr>
          <w:p w14:paraId="3CEEFE92" w14:textId="77777777" w:rsidR="005969CE"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Ariidae / Siluriformes</w:t>
            </w:r>
          </w:p>
          <w:p w14:paraId="62147F1B" w14:textId="77777777" w:rsidR="00C37301" w:rsidRPr="00FD736D" w:rsidRDefault="00C37301" w:rsidP="008A6534">
            <w:pPr>
              <w:spacing w:after="0" w:line="240" w:lineRule="auto"/>
              <w:rPr>
                <w:rFonts w:ascii="Arial" w:hAnsi="Arial" w:cs="Arial"/>
                <w:iCs/>
                <w:color w:val="000000" w:themeColor="text1"/>
                <w:sz w:val="20"/>
                <w:szCs w:val="20"/>
              </w:rPr>
            </w:pPr>
          </w:p>
        </w:tc>
        <w:tc>
          <w:tcPr>
            <w:tcW w:w="459" w:type="pct"/>
          </w:tcPr>
          <w:p w14:paraId="475D0D4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57D3D1F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Naf</w:t>
            </w:r>
          </w:p>
        </w:tc>
        <w:tc>
          <w:tcPr>
            <w:tcW w:w="1621" w:type="pct"/>
          </w:tcPr>
          <w:p w14:paraId="742A8A6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Myanmar</w:t>
            </w:r>
          </w:p>
        </w:tc>
      </w:tr>
      <w:tr w:rsidR="005969CE" w:rsidRPr="00FD736D" w14:paraId="55582905" w14:textId="77777777" w:rsidTr="007F4E66">
        <w:trPr>
          <w:trHeight w:val="20"/>
        </w:trPr>
        <w:tc>
          <w:tcPr>
            <w:tcW w:w="616" w:type="pct"/>
          </w:tcPr>
          <w:p w14:paraId="6477513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Mallotus villosus</w:t>
            </w:r>
          </w:p>
        </w:tc>
        <w:tc>
          <w:tcPr>
            <w:tcW w:w="632" w:type="pct"/>
          </w:tcPr>
          <w:p w14:paraId="5074D2A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Osmeridae / Osmeriformes</w:t>
            </w:r>
          </w:p>
        </w:tc>
        <w:tc>
          <w:tcPr>
            <w:tcW w:w="459" w:type="pct"/>
          </w:tcPr>
          <w:p w14:paraId="2CC11DD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07A19EA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Paatsjoki</w:t>
            </w:r>
          </w:p>
        </w:tc>
        <w:tc>
          <w:tcPr>
            <w:tcW w:w="1621" w:type="pct"/>
          </w:tcPr>
          <w:p w14:paraId="5E509B0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Norvège; Russie</w:t>
            </w:r>
          </w:p>
        </w:tc>
      </w:tr>
      <w:tr w:rsidR="005969CE" w:rsidRPr="00FD736D" w14:paraId="2C5A0555" w14:textId="77777777" w:rsidTr="007F4E66">
        <w:trPr>
          <w:trHeight w:val="20"/>
        </w:trPr>
        <w:tc>
          <w:tcPr>
            <w:tcW w:w="616" w:type="pct"/>
          </w:tcPr>
          <w:p w14:paraId="322A779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Mastacembelus erythrotaenia</w:t>
            </w:r>
          </w:p>
        </w:tc>
        <w:tc>
          <w:tcPr>
            <w:tcW w:w="632" w:type="pct"/>
          </w:tcPr>
          <w:p w14:paraId="223B90D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Mastacembelidae / Synbranchiformes</w:t>
            </w:r>
          </w:p>
        </w:tc>
        <w:tc>
          <w:tcPr>
            <w:tcW w:w="459" w:type="pct"/>
          </w:tcPr>
          <w:p w14:paraId="6231250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126781D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 Song Vam Co Dong</w:t>
            </w:r>
          </w:p>
        </w:tc>
        <w:tc>
          <w:tcPr>
            <w:tcW w:w="1621" w:type="pct"/>
          </w:tcPr>
          <w:p w14:paraId="27EC392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Vietnam</w:t>
            </w:r>
          </w:p>
        </w:tc>
      </w:tr>
      <w:tr w:rsidR="005969CE" w:rsidRPr="00FD736D" w14:paraId="268FBDD0" w14:textId="77777777" w:rsidTr="007F4E66">
        <w:trPr>
          <w:trHeight w:val="20"/>
        </w:trPr>
        <w:tc>
          <w:tcPr>
            <w:tcW w:w="616" w:type="pct"/>
          </w:tcPr>
          <w:p w14:paraId="148B582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Mastacembelus undulatus</w:t>
            </w:r>
          </w:p>
        </w:tc>
        <w:tc>
          <w:tcPr>
            <w:tcW w:w="632" w:type="pct"/>
          </w:tcPr>
          <w:p w14:paraId="40C0EA6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Mastacembelidae / Synbranchiformes</w:t>
            </w:r>
          </w:p>
        </w:tc>
        <w:tc>
          <w:tcPr>
            <w:tcW w:w="459" w:type="pct"/>
          </w:tcPr>
          <w:p w14:paraId="43EDCB1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1494D80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Ma; Pearl; Red/Song Hong</w:t>
            </w:r>
          </w:p>
        </w:tc>
        <w:tc>
          <w:tcPr>
            <w:tcW w:w="1621" w:type="pct"/>
          </w:tcPr>
          <w:p w14:paraId="2D30072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Laos; Vietnam</w:t>
            </w:r>
          </w:p>
        </w:tc>
      </w:tr>
      <w:tr w:rsidR="005969CE" w:rsidRPr="00FD736D" w14:paraId="13C1E6F5" w14:textId="77777777" w:rsidTr="007F4E66">
        <w:trPr>
          <w:trHeight w:val="20"/>
        </w:trPr>
        <w:tc>
          <w:tcPr>
            <w:tcW w:w="616" w:type="pct"/>
          </w:tcPr>
          <w:p w14:paraId="7371891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Megalops atlanticus</w:t>
            </w:r>
          </w:p>
        </w:tc>
        <w:tc>
          <w:tcPr>
            <w:tcW w:w="632" w:type="pct"/>
          </w:tcPr>
          <w:p w14:paraId="65A4F77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Megalopidae / Elopiformes</w:t>
            </w:r>
          </w:p>
        </w:tc>
        <w:tc>
          <w:tcPr>
            <w:tcW w:w="459" w:type="pct"/>
          </w:tcPr>
          <w:p w14:paraId="04B7893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101716A3" w14:textId="77777777" w:rsidR="005969CE" w:rsidRPr="00FD736D" w:rsidRDefault="005969CE" w:rsidP="008A6534">
            <w:pPr>
              <w:spacing w:after="0" w:line="240" w:lineRule="auto"/>
              <w:rPr>
                <w:rFonts w:ascii="Arial" w:hAnsi="Arial" w:cs="Arial"/>
                <w:iCs/>
                <w:color w:val="000000" w:themeColor="text1"/>
                <w:sz w:val="20"/>
                <w:szCs w:val="20"/>
                <w:lang w:val="es-ES"/>
              </w:rPr>
            </w:pPr>
            <w:r w:rsidRPr="00FD736D">
              <w:rPr>
                <w:rFonts w:ascii="Arial" w:hAnsi="Arial" w:cs="Arial"/>
                <w:iCs/>
                <w:color w:val="000000" w:themeColor="text1"/>
                <w:sz w:val="20"/>
                <w:szCs w:val="20"/>
                <w:lang w:val="es-ES"/>
              </w:rPr>
              <w:t>Hondo; Oyapock; San Juan; Sixaola</w:t>
            </w:r>
          </w:p>
        </w:tc>
        <w:tc>
          <w:tcPr>
            <w:tcW w:w="1621" w:type="pct"/>
          </w:tcPr>
          <w:p w14:paraId="60CC2C07" w14:textId="77777777" w:rsidR="005969CE" w:rsidRPr="00FD736D" w:rsidRDefault="005969CE" w:rsidP="008A6534">
            <w:pPr>
              <w:spacing w:after="0" w:line="240" w:lineRule="auto"/>
              <w:rPr>
                <w:rFonts w:ascii="Arial" w:hAnsi="Arial" w:cs="Arial"/>
                <w:iCs/>
                <w:color w:val="000000" w:themeColor="text1"/>
                <w:sz w:val="20"/>
                <w:szCs w:val="20"/>
                <w:lang w:val="pt-PT"/>
              </w:rPr>
            </w:pPr>
            <w:r w:rsidRPr="00FD736D">
              <w:rPr>
                <w:rFonts w:ascii="Arial" w:hAnsi="Arial" w:cs="Arial"/>
                <w:iCs/>
                <w:color w:val="000000" w:themeColor="text1"/>
                <w:sz w:val="20"/>
                <w:szCs w:val="20"/>
                <w:lang w:val="pt-PT"/>
              </w:rPr>
              <w:t>Belize; Brésil; Costa Rica; Guyane française; Mexique; Nicaragua; Panama</w:t>
            </w:r>
          </w:p>
        </w:tc>
      </w:tr>
      <w:tr w:rsidR="005969CE" w:rsidRPr="00FD736D" w14:paraId="2A8D8D3D" w14:textId="77777777" w:rsidTr="007F4E66">
        <w:trPr>
          <w:trHeight w:val="20"/>
        </w:trPr>
        <w:tc>
          <w:tcPr>
            <w:tcW w:w="616" w:type="pct"/>
          </w:tcPr>
          <w:p w14:paraId="10C5F36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Megalops cyprinoides</w:t>
            </w:r>
          </w:p>
        </w:tc>
        <w:tc>
          <w:tcPr>
            <w:tcW w:w="632" w:type="pct"/>
          </w:tcPr>
          <w:p w14:paraId="1516E12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Megalopidae / Elopiformes</w:t>
            </w:r>
          </w:p>
        </w:tc>
        <w:tc>
          <w:tcPr>
            <w:tcW w:w="459" w:type="pct"/>
          </w:tcPr>
          <w:p w14:paraId="29C853E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0546E03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Beilun; Dakatia; Feni; Ganges-Brahmaputra-Meghna; Giang Thanh; Golok; Matamuhuri; Naf; Ruvuma; Umba</w:t>
            </w:r>
          </w:p>
        </w:tc>
        <w:tc>
          <w:tcPr>
            <w:tcW w:w="1621" w:type="pct"/>
          </w:tcPr>
          <w:p w14:paraId="0B14730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Cambodge; Chine; Inde; Kenya; Malaisie; Mozambique; Myanmar; Tanzanie; Thaïlande; Vietnam</w:t>
            </w:r>
          </w:p>
        </w:tc>
      </w:tr>
      <w:tr w:rsidR="005969CE" w:rsidRPr="00FD736D" w14:paraId="5AAC948D" w14:textId="77777777" w:rsidTr="007F4E66">
        <w:trPr>
          <w:trHeight w:val="20"/>
        </w:trPr>
        <w:tc>
          <w:tcPr>
            <w:tcW w:w="616" w:type="pct"/>
          </w:tcPr>
          <w:p w14:paraId="137031C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Mekongina erythrospila</w:t>
            </w:r>
          </w:p>
        </w:tc>
        <w:tc>
          <w:tcPr>
            <w:tcW w:w="632" w:type="pct"/>
          </w:tcPr>
          <w:p w14:paraId="523195B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5349C78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5078606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351751D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78C20A24" w14:textId="77777777" w:rsidTr="007F4E66">
        <w:trPr>
          <w:trHeight w:val="20"/>
        </w:trPr>
        <w:tc>
          <w:tcPr>
            <w:tcW w:w="616" w:type="pct"/>
          </w:tcPr>
          <w:p w14:paraId="29CBDC6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Membras vagrans</w:t>
            </w:r>
          </w:p>
        </w:tc>
        <w:tc>
          <w:tcPr>
            <w:tcW w:w="632" w:type="pct"/>
          </w:tcPr>
          <w:p w14:paraId="0CD467C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Atherinopsidae / Atheriniformes</w:t>
            </w:r>
          </w:p>
        </w:tc>
        <w:tc>
          <w:tcPr>
            <w:tcW w:w="459" w:type="pct"/>
          </w:tcPr>
          <w:p w14:paraId="4B9E859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1B774666"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Rio Grande (Amérique du Nord)</w:t>
            </w:r>
          </w:p>
        </w:tc>
        <w:tc>
          <w:tcPr>
            <w:tcW w:w="1621" w:type="pct"/>
          </w:tcPr>
          <w:p w14:paraId="49D4836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Mexique; États-Unis d’Amérique</w:t>
            </w:r>
          </w:p>
        </w:tc>
      </w:tr>
      <w:tr w:rsidR="005969CE" w:rsidRPr="00FD736D" w14:paraId="6031FC8D" w14:textId="77777777" w:rsidTr="007F4E66">
        <w:trPr>
          <w:trHeight w:val="20"/>
        </w:trPr>
        <w:tc>
          <w:tcPr>
            <w:tcW w:w="616" w:type="pct"/>
          </w:tcPr>
          <w:p w14:paraId="470BED5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Metynnis orinocensis</w:t>
            </w:r>
          </w:p>
        </w:tc>
        <w:tc>
          <w:tcPr>
            <w:tcW w:w="632" w:type="pct"/>
          </w:tcPr>
          <w:p w14:paraId="2F9D93A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Serrasalmidae / Characiformes</w:t>
            </w:r>
          </w:p>
        </w:tc>
        <w:tc>
          <w:tcPr>
            <w:tcW w:w="459" w:type="pct"/>
          </w:tcPr>
          <w:p w14:paraId="4B362E1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7893A3B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Orinoco</w:t>
            </w:r>
          </w:p>
        </w:tc>
        <w:tc>
          <w:tcPr>
            <w:tcW w:w="1621" w:type="pct"/>
          </w:tcPr>
          <w:p w14:paraId="52FD730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Colombie; Venezuela</w:t>
            </w:r>
          </w:p>
        </w:tc>
      </w:tr>
      <w:tr w:rsidR="005969CE" w:rsidRPr="00FD736D" w14:paraId="33D6E464" w14:textId="77777777" w:rsidTr="007F4E66">
        <w:trPr>
          <w:trHeight w:val="20"/>
        </w:trPr>
        <w:tc>
          <w:tcPr>
            <w:tcW w:w="616" w:type="pct"/>
          </w:tcPr>
          <w:p w14:paraId="78B28B7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Micronema cheveyi</w:t>
            </w:r>
          </w:p>
        </w:tc>
        <w:tc>
          <w:tcPr>
            <w:tcW w:w="632" w:type="pct"/>
          </w:tcPr>
          <w:p w14:paraId="749DDAD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Siluridae / Siluriformes</w:t>
            </w:r>
          </w:p>
        </w:tc>
        <w:tc>
          <w:tcPr>
            <w:tcW w:w="459" w:type="pct"/>
          </w:tcPr>
          <w:p w14:paraId="66E1D00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7FF7BAD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5DC6EF4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7546B8A7" w14:textId="77777777" w:rsidTr="007F4E66">
        <w:trPr>
          <w:trHeight w:val="20"/>
        </w:trPr>
        <w:tc>
          <w:tcPr>
            <w:tcW w:w="616" w:type="pct"/>
          </w:tcPr>
          <w:p w14:paraId="5604A97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Mugil cephalus</w:t>
            </w:r>
          </w:p>
        </w:tc>
        <w:tc>
          <w:tcPr>
            <w:tcW w:w="632" w:type="pct"/>
          </w:tcPr>
          <w:p w14:paraId="0BE7267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Mugilidae / Mugiliformes</w:t>
            </w:r>
          </w:p>
        </w:tc>
        <w:tc>
          <w:tcPr>
            <w:tcW w:w="459" w:type="pct"/>
          </w:tcPr>
          <w:p w14:paraId="3DBB2E9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50F8549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 Nahr Al Kabir; Beilun; Besor; Bidasoa; Buna; Congo; Coruh; Danube; Dniestr; Douro; Gambie; Giang Thanh; Goascoran; Golok; Guadiana; Jordanie/Mer Morte; Jurado; Kunene; Kura; Lima; Mano; Maritsa; Medjerda; Minho; Mius; Negro (Amérique du Nord); Neretva; Nestos; Orange; Orontes; Rio Grande (Amérique du Nord); Ruvuma; Sénégal; Soca; Struma; Tijuana; Tumbes; Umba; Vardar; Vjosa; Zarumilla</w:t>
            </w:r>
          </w:p>
        </w:tc>
        <w:tc>
          <w:tcPr>
            <w:tcW w:w="1621" w:type="pct"/>
          </w:tcPr>
          <w:p w14:paraId="61D2F67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Albanie; Algérie; Angola; Bosnie-Herzégovine; Bulgarie; Cambodge; Chine; Colombie; Croatie; République démocratique du Congo; Équateur; El Salvador; France; Gambie; Géorgie; Grèce; Honduras; Israël; Italie; Jordanie; Kenya; Liban; Libéria; Malaisie; Mauritanie; Mexique; Moldavie; Monténégro; Mozambique; Namibie; Nicaragua; Macédoine du Nord; Panama; Pérou; Portugal; Roumanie; Russie; Sénégal; Sierra Leone; Slovénie; Afrique du Sud; Espagne; État de Palestine; Syrie; Tanzanie; Thaïlande; Tunisie; Turquie; Ukraine; États-Unis d’Amérique; Vietnam</w:t>
            </w:r>
          </w:p>
        </w:tc>
      </w:tr>
      <w:tr w:rsidR="005969CE" w:rsidRPr="00FD736D" w14:paraId="2C44B095" w14:textId="77777777" w:rsidTr="007F4E66">
        <w:trPr>
          <w:trHeight w:val="20"/>
        </w:trPr>
        <w:tc>
          <w:tcPr>
            <w:tcW w:w="616" w:type="pct"/>
          </w:tcPr>
          <w:p w14:paraId="3526D50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Myleus pacu</w:t>
            </w:r>
          </w:p>
        </w:tc>
        <w:tc>
          <w:tcPr>
            <w:tcW w:w="632" w:type="pct"/>
          </w:tcPr>
          <w:p w14:paraId="6A2BE28E" w14:textId="77777777" w:rsidR="005969CE"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Serrasalmidae / Characiformes</w:t>
            </w:r>
          </w:p>
          <w:p w14:paraId="2DC853A0" w14:textId="77777777" w:rsidR="00C37301" w:rsidRPr="00FD736D" w:rsidRDefault="00C37301" w:rsidP="008A6534">
            <w:pPr>
              <w:spacing w:after="0" w:line="240" w:lineRule="auto"/>
              <w:rPr>
                <w:rFonts w:ascii="Arial" w:hAnsi="Arial" w:cs="Arial"/>
                <w:iCs/>
                <w:color w:val="000000" w:themeColor="text1"/>
                <w:sz w:val="20"/>
                <w:szCs w:val="20"/>
              </w:rPr>
            </w:pPr>
          </w:p>
        </w:tc>
        <w:tc>
          <w:tcPr>
            <w:tcW w:w="459" w:type="pct"/>
          </w:tcPr>
          <w:p w14:paraId="793CFD4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33CDC36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Amazon; Courantyne; Essequibo</w:t>
            </w:r>
          </w:p>
        </w:tc>
        <w:tc>
          <w:tcPr>
            <w:tcW w:w="1621" w:type="pct"/>
          </w:tcPr>
          <w:p w14:paraId="77CDC67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Brésil; Guyana; Suriname; Venezuela</w:t>
            </w:r>
          </w:p>
        </w:tc>
      </w:tr>
      <w:tr w:rsidR="005969CE" w:rsidRPr="00FD736D" w14:paraId="27B860D6" w14:textId="77777777" w:rsidTr="007F4E66">
        <w:trPr>
          <w:trHeight w:val="20"/>
        </w:trPr>
        <w:tc>
          <w:tcPr>
            <w:tcW w:w="616" w:type="pct"/>
          </w:tcPr>
          <w:p w14:paraId="623711A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Myloplus planquettei</w:t>
            </w:r>
          </w:p>
        </w:tc>
        <w:tc>
          <w:tcPr>
            <w:tcW w:w="632" w:type="pct"/>
          </w:tcPr>
          <w:p w14:paraId="75AE19F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Serrasalmidae / Characiformes</w:t>
            </w:r>
          </w:p>
        </w:tc>
        <w:tc>
          <w:tcPr>
            <w:tcW w:w="459" w:type="pct"/>
          </w:tcPr>
          <w:p w14:paraId="3327568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072F304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Maroni</w:t>
            </w:r>
          </w:p>
        </w:tc>
        <w:tc>
          <w:tcPr>
            <w:tcW w:w="1621" w:type="pct"/>
          </w:tcPr>
          <w:p w14:paraId="385B758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Guyane française; Suriname</w:t>
            </w:r>
          </w:p>
        </w:tc>
      </w:tr>
      <w:tr w:rsidR="005969CE" w:rsidRPr="00FD736D" w14:paraId="17A7DDF7" w14:textId="77777777" w:rsidTr="007F4E66">
        <w:trPr>
          <w:trHeight w:val="20"/>
        </w:trPr>
        <w:tc>
          <w:tcPr>
            <w:tcW w:w="616" w:type="pct"/>
          </w:tcPr>
          <w:p w14:paraId="6767AC5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Mystus bocourti</w:t>
            </w:r>
          </w:p>
        </w:tc>
        <w:tc>
          <w:tcPr>
            <w:tcW w:w="632" w:type="pct"/>
          </w:tcPr>
          <w:p w14:paraId="0F4B3AB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Bagridae / Siluriformes</w:t>
            </w:r>
          </w:p>
        </w:tc>
        <w:tc>
          <w:tcPr>
            <w:tcW w:w="459" w:type="pct"/>
          </w:tcPr>
          <w:p w14:paraId="5418E97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5AC0F8F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381BA57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w:t>
            </w:r>
          </w:p>
        </w:tc>
      </w:tr>
      <w:tr w:rsidR="005969CE" w:rsidRPr="00FD736D" w14:paraId="4F8E4996" w14:textId="77777777" w:rsidTr="007F4E66">
        <w:trPr>
          <w:trHeight w:val="20"/>
        </w:trPr>
        <w:tc>
          <w:tcPr>
            <w:tcW w:w="616" w:type="pct"/>
          </w:tcPr>
          <w:p w14:paraId="1DFAF96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Mystus cavasius</w:t>
            </w:r>
          </w:p>
        </w:tc>
        <w:tc>
          <w:tcPr>
            <w:tcW w:w="632" w:type="pct"/>
          </w:tcPr>
          <w:p w14:paraId="403E2EB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Bagridae / Siluriformes</w:t>
            </w:r>
          </w:p>
        </w:tc>
        <w:tc>
          <w:tcPr>
            <w:tcW w:w="459" w:type="pct"/>
          </w:tcPr>
          <w:p w14:paraId="2C92337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7FCC222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Ganges-Brahmaputra-Meghna</w:t>
            </w:r>
          </w:p>
        </w:tc>
        <w:tc>
          <w:tcPr>
            <w:tcW w:w="1621" w:type="pct"/>
          </w:tcPr>
          <w:p w14:paraId="55483E6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Bhoutan; Inde</w:t>
            </w:r>
          </w:p>
        </w:tc>
      </w:tr>
      <w:tr w:rsidR="005969CE" w:rsidRPr="00FD736D" w14:paraId="05D9D225" w14:textId="77777777" w:rsidTr="007F4E66">
        <w:trPr>
          <w:trHeight w:val="20"/>
        </w:trPr>
        <w:tc>
          <w:tcPr>
            <w:tcW w:w="616" w:type="pct"/>
          </w:tcPr>
          <w:p w14:paraId="20A9CF5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Mystus rhegma</w:t>
            </w:r>
          </w:p>
        </w:tc>
        <w:tc>
          <w:tcPr>
            <w:tcW w:w="632" w:type="pct"/>
          </w:tcPr>
          <w:p w14:paraId="2D8514C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Bagridae / Siluriformes</w:t>
            </w:r>
          </w:p>
        </w:tc>
        <w:tc>
          <w:tcPr>
            <w:tcW w:w="459" w:type="pct"/>
          </w:tcPr>
          <w:p w14:paraId="6579EE2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11B2374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7D000C0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39F6FF59" w14:textId="77777777" w:rsidTr="007F4E66">
        <w:trPr>
          <w:trHeight w:val="20"/>
        </w:trPr>
        <w:tc>
          <w:tcPr>
            <w:tcW w:w="616" w:type="pct"/>
          </w:tcPr>
          <w:p w14:paraId="105F7D1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Myxus elongatus</w:t>
            </w:r>
          </w:p>
        </w:tc>
        <w:tc>
          <w:tcPr>
            <w:tcW w:w="632" w:type="pct"/>
          </w:tcPr>
          <w:p w14:paraId="3A4E457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Mugilidae / Mugiliformes</w:t>
            </w:r>
          </w:p>
        </w:tc>
        <w:tc>
          <w:tcPr>
            <w:tcW w:w="459" w:type="pct"/>
          </w:tcPr>
          <w:p w14:paraId="67CC31A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1F9A002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Buna</w:t>
            </w:r>
          </w:p>
        </w:tc>
        <w:tc>
          <w:tcPr>
            <w:tcW w:w="1621" w:type="pct"/>
          </w:tcPr>
          <w:p w14:paraId="7204B74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Albanie; Monténégro</w:t>
            </w:r>
          </w:p>
        </w:tc>
      </w:tr>
      <w:tr w:rsidR="005969CE" w:rsidRPr="00FD736D" w14:paraId="6ED11813" w14:textId="77777777" w:rsidTr="007F4E66">
        <w:trPr>
          <w:trHeight w:val="20"/>
        </w:trPr>
        <w:tc>
          <w:tcPr>
            <w:tcW w:w="616" w:type="pct"/>
          </w:tcPr>
          <w:p w14:paraId="53AEBEC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Namaquacypris hospes</w:t>
            </w:r>
          </w:p>
        </w:tc>
        <w:tc>
          <w:tcPr>
            <w:tcW w:w="632" w:type="pct"/>
          </w:tcPr>
          <w:p w14:paraId="71DA33D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5B03542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29C0846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Orange</w:t>
            </w:r>
          </w:p>
        </w:tc>
        <w:tc>
          <w:tcPr>
            <w:tcW w:w="1621" w:type="pct"/>
          </w:tcPr>
          <w:p w14:paraId="59A3751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Namibie; Afrique du Sud</w:t>
            </w:r>
          </w:p>
        </w:tc>
      </w:tr>
      <w:tr w:rsidR="005969CE" w:rsidRPr="00FD736D" w14:paraId="7B050AF2" w14:textId="77777777" w:rsidTr="007F4E66">
        <w:trPr>
          <w:trHeight w:val="20"/>
        </w:trPr>
        <w:tc>
          <w:tcPr>
            <w:tcW w:w="616" w:type="pct"/>
          </w:tcPr>
          <w:p w14:paraId="66958DB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Naziritor chelynoides</w:t>
            </w:r>
          </w:p>
        </w:tc>
        <w:tc>
          <w:tcPr>
            <w:tcW w:w="632" w:type="pct"/>
          </w:tcPr>
          <w:p w14:paraId="126B307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352E8CB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55D9E3C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Ganges-Brahmaputra-Meghna</w:t>
            </w:r>
          </w:p>
        </w:tc>
        <w:tc>
          <w:tcPr>
            <w:tcW w:w="1621" w:type="pct"/>
          </w:tcPr>
          <w:p w14:paraId="2304678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Inde; Népal</w:t>
            </w:r>
          </w:p>
        </w:tc>
      </w:tr>
      <w:tr w:rsidR="005969CE" w:rsidRPr="00FD736D" w14:paraId="4347F2BA" w14:textId="77777777" w:rsidTr="007F4E66">
        <w:trPr>
          <w:trHeight w:val="20"/>
        </w:trPr>
        <w:tc>
          <w:tcPr>
            <w:tcW w:w="616" w:type="pct"/>
          </w:tcPr>
          <w:p w14:paraId="0B81E2C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Neochelon falcipinnis</w:t>
            </w:r>
          </w:p>
        </w:tc>
        <w:tc>
          <w:tcPr>
            <w:tcW w:w="632" w:type="pct"/>
          </w:tcPr>
          <w:p w14:paraId="10E4848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Mugilidae / Mugiliformes</w:t>
            </w:r>
          </w:p>
        </w:tc>
        <w:tc>
          <w:tcPr>
            <w:tcW w:w="459" w:type="pct"/>
          </w:tcPr>
          <w:p w14:paraId="29BD831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665AE4D7" w14:textId="77777777" w:rsidR="005969CE" w:rsidRPr="00FD736D" w:rsidRDefault="005969CE" w:rsidP="008A6534">
            <w:pPr>
              <w:spacing w:after="0" w:line="240" w:lineRule="auto"/>
              <w:rPr>
                <w:rFonts w:ascii="Arial" w:hAnsi="Arial" w:cs="Arial"/>
                <w:iCs/>
                <w:color w:val="000000" w:themeColor="text1"/>
                <w:sz w:val="20"/>
                <w:szCs w:val="20"/>
                <w:lang w:val="it-IT"/>
              </w:rPr>
            </w:pPr>
            <w:r w:rsidRPr="00FD736D">
              <w:rPr>
                <w:rFonts w:ascii="Arial" w:hAnsi="Arial" w:cs="Arial"/>
                <w:iCs/>
                <w:color w:val="000000" w:themeColor="text1"/>
                <w:sz w:val="20"/>
                <w:szCs w:val="20"/>
                <w:lang w:val="it-IT"/>
              </w:rPr>
              <w:t>Aby Lagoon-Bia-Tano; Chiloango; Congo; Gambie; Kunene; Mono; Muni; Niger; Ntem; Oueme; Volta</w:t>
            </w:r>
          </w:p>
        </w:tc>
        <w:tc>
          <w:tcPr>
            <w:tcW w:w="1621" w:type="pct"/>
          </w:tcPr>
          <w:p w14:paraId="480A03FE"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Angola; Bénin; Cameroun; Côte d’Ivoire; République démocratique du Congo; Guinée équatoriale; Gabon; Gambie; Ghana; Namibie; Niger; Nigeria; Sénégal; Togo</w:t>
            </w:r>
          </w:p>
        </w:tc>
      </w:tr>
      <w:tr w:rsidR="005969CE" w:rsidRPr="00FD736D" w14:paraId="22B60ECC" w14:textId="77777777" w:rsidTr="007F4E66">
        <w:trPr>
          <w:trHeight w:val="20"/>
        </w:trPr>
        <w:tc>
          <w:tcPr>
            <w:tcW w:w="616" w:type="pct"/>
          </w:tcPr>
          <w:p w14:paraId="3A37A00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Neolissochilus blanci</w:t>
            </w:r>
          </w:p>
        </w:tc>
        <w:tc>
          <w:tcPr>
            <w:tcW w:w="632" w:type="pct"/>
          </w:tcPr>
          <w:p w14:paraId="03036AA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351EC23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780E5B8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Ca/Lam/Song-Koi; Mekong; Red/Song Hong; Salween</w:t>
            </w:r>
          </w:p>
        </w:tc>
        <w:tc>
          <w:tcPr>
            <w:tcW w:w="1621" w:type="pct"/>
          </w:tcPr>
          <w:p w14:paraId="59DA31D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Chine; Laos; Myanmar; Thaïlande; Vietnam</w:t>
            </w:r>
          </w:p>
        </w:tc>
      </w:tr>
      <w:tr w:rsidR="005969CE" w:rsidRPr="00FD736D" w14:paraId="34D2B918" w14:textId="77777777" w:rsidTr="007F4E66">
        <w:trPr>
          <w:trHeight w:val="20"/>
        </w:trPr>
        <w:tc>
          <w:tcPr>
            <w:tcW w:w="616" w:type="pct"/>
          </w:tcPr>
          <w:p w14:paraId="3D6262D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Neolissochilus hexagonolepis</w:t>
            </w:r>
          </w:p>
        </w:tc>
        <w:tc>
          <w:tcPr>
            <w:tcW w:w="632" w:type="pct"/>
          </w:tcPr>
          <w:p w14:paraId="02772EA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3144530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2532993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Ganges-Brahmaputra-Meghna</w:t>
            </w:r>
          </w:p>
        </w:tc>
        <w:tc>
          <w:tcPr>
            <w:tcW w:w="1621" w:type="pct"/>
          </w:tcPr>
          <w:p w14:paraId="212C1FF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Bhoutan; Inde; Népal</w:t>
            </w:r>
          </w:p>
        </w:tc>
      </w:tr>
      <w:tr w:rsidR="005969CE" w:rsidRPr="00FD736D" w14:paraId="1A17AB3E" w14:textId="77777777" w:rsidTr="007F4E66">
        <w:trPr>
          <w:trHeight w:val="20"/>
        </w:trPr>
        <w:tc>
          <w:tcPr>
            <w:tcW w:w="616" w:type="pct"/>
          </w:tcPr>
          <w:p w14:paraId="1313A55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Neosalanx brevirostris</w:t>
            </w:r>
          </w:p>
        </w:tc>
        <w:tc>
          <w:tcPr>
            <w:tcW w:w="632" w:type="pct"/>
          </w:tcPr>
          <w:p w14:paraId="73B9AE7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Salangidae / Osmeriformes</w:t>
            </w:r>
          </w:p>
        </w:tc>
        <w:tc>
          <w:tcPr>
            <w:tcW w:w="459" w:type="pct"/>
          </w:tcPr>
          <w:p w14:paraId="3568466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7C62D36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Beilun; Han; Ma; Pearl; Red/Song Hong; Yalu</w:t>
            </w:r>
          </w:p>
        </w:tc>
        <w:tc>
          <w:tcPr>
            <w:tcW w:w="1621" w:type="pct"/>
          </w:tcPr>
          <w:p w14:paraId="7654463E"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Chine; Laos; Corée du Nord; Corée du Sud; Vietnam</w:t>
            </w:r>
          </w:p>
        </w:tc>
      </w:tr>
      <w:tr w:rsidR="005969CE" w:rsidRPr="00FD736D" w14:paraId="6CAC5983" w14:textId="77777777" w:rsidTr="007F4E66">
        <w:trPr>
          <w:trHeight w:val="20"/>
        </w:trPr>
        <w:tc>
          <w:tcPr>
            <w:tcW w:w="616" w:type="pct"/>
          </w:tcPr>
          <w:p w14:paraId="1911209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Neosalanx hubbsi</w:t>
            </w:r>
          </w:p>
        </w:tc>
        <w:tc>
          <w:tcPr>
            <w:tcW w:w="632" w:type="pct"/>
          </w:tcPr>
          <w:p w14:paraId="411C547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Salangidae / Osmeriformes</w:t>
            </w:r>
          </w:p>
        </w:tc>
        <w:tc>
          <w:tcPr>
            <w:tcW w:w="459" w:type="pct"/>
          </w:tcPr>
          <w:p w14:paraId="76E12C9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3779D65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Han</w:t>
            </w:r>
          </w:p>
        </w:tc>
        <w:tc>
          <w:tcPr>
            <w:tcW w:w="1621" w:type="pct"/>
          </w:tcPr>
          <w:p w14:paraId="58205D69"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Corée du Nord; Corée du Sud</w:t>
            </w:r>
          </w:p>
        </w:tc>
      </w:tr>
      <w:tr w:rsidR="005969CE" w:rsidRPr="00FD736D" w14:paraId="6C771AF2" w14:textId="77777777" w:rsidTr="007F4E66">
        <w:trPr>
          <w:trHeight w:val="20"/>
        </w:trPr>
        <w:tc>
          <w:tcPr>
            <w:tcW w:w="616" w:type="pct"/>
          </w:tcPr>
          <w:p w14:paraId="2AF2E4A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Neosalanx Jordaniei</w:t>
            </w:r>
          </w:p>
        </w:tc>
        <w:tc>
          <w:tcPr>
            <w:tcW w:w="632" w:type="pct"/>
          </w:tcPr>
          <w:p w14:paraId="433AFAC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Salangidae / Osmeriformes</w:t>
            </w:r>
          </w:p>
        </w:tc>
        <w:tc>
          <w:tcPr>
            <w:tcW w:w="459" w:type="pct"/>
          </w:tcPr>
          <w:p w14:paraId="48B3F79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3B2E3E6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Yalu</w:t>
            </w:r>
          </w:p>
        </w:tc>
        <w:tc>
          <w:tcPr>
            <w:tcW w:w="1621" w:type="pct"/>
          </w:tcPr>
          <w:p w14:paraId="781C305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Corée du Nord</w:t>
            </w:r>
          </w:p>
        </w:tc>
      </w:tr>
      <w:tr w:rsidR="005969CE" w:rsidRPr="00FD736D" w14:paraId="3569F458" w14:textId="77777777" w:rsidTr="007F4E66">
        <w:trPr>
          <w:trHeight w:val="20"/>
        </w:trPr>
        <w:tc>
          <w:tcPr>
            <w:tcW w:w="616" w:type="pct"/>
          </w:tcPr>
          <w:p w14:paraId="3051AFA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Notropis jemezanus</w:t>
            </w:r>
          </w:p>
        </w:tc>
        <w:tc>
          <w:tcPr>
            <w:tcW w:w="632" w:type="pct"/>
          </w:tcPr>
          <w:p w14:paraId="48CD39C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Leuciscidae / Cypriniformes</w:t>
            </w:r>
          </w:p>
        </w:tc>
        <w:tc>
          <w:tcPr>
            <w:tcW w:w="459" w:type="pct"/>
          </w:tcPr>
          <w:p w14:paraId="042DFDB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736AB2A3"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Rio Grande (Amérique du Nord)</w:t>
            </w:r>
          </w:p>
        </w:tc>
        <w:tc>
          <w:tcPr>
            <w:tcW w:w="1621" w:type="pct"/>
          </w:tcPr>
          <w:p w14:paraId="5F5405A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Mexique; États-Unis d’Amérique</w:t>
            </w:r>
          </w:p>
        </w:tc>
      </w:tr>
      <w:tr w:rsidR="005969CE" w:rsidRPr="00FD736D" w14:paraId="703687DD" w14:textId="77777777" w:rsidTr="007F4E66">
        <w:trPr>
          <w:trHeight w:val="20"/>
        </w:trPr>
        <w:tc>
          <w:tcPr>
            <w:tcW w:w="616" w:type="pct"/>
          </w:tcPr>
          <w:p w14:paraId="3CCFA68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Odontesthes hatcheri</w:t>
            </w:r>
          </w:p>
        </w:tc>
        <w:tc>
          <w:tcPr>
            <w:tcW w:w="632" w:type="pct"/>
          </w:tcPr>
          <w:p w14:paraId="0534DC6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Atherinopsidae / Atheriniformes</w:t>
            </w:r>
          </w:p>
        </w:tc>
        <w:tc>
          <w:tcPr>
            <w:tcW w:w="459" w:type="pct"/>
          </w:tcPr>
          <w:p w14:paraId="57F8B80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7BB7F4F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Baker; Puelo</w:t>
            </w:r>
          </w:p>
        </w:tc>
        <w:tc>
          <w:tcPr>
            <w:tcW w:w="1621" w:type="pct"/>
          </w:tcPr>
          <w:p w14:paraId="5B3DE2E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Argentine; Chili</w:t>
            </w:r>
          </w:p>
        </w:tc>
      </w:tr>
      <w:tr w:rsidR="005969CE" w:rsidRPr="00FD736D" w14:paraId="6339CED1" w14:textId="77777777" w:rsidTr="007F4E66">
        <w:trPr>
          <w:trHeight w:val="20"/>
        </w:trPr>
        <w:tc>
          <w:tcPr>
            <w:tcW w:w="616" w:type="pct"/>
          </w:tcPr>
          <w:p w14:paraId="7707223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Ompok bimaculatus</w:t>
            </w:r>
          </w:p>
        </w:tc>
        <w:tc>
          <w:tcPr>
            <w:tcW w:w="632" w:type="pct"/>
          </w:tcPr>
          <w:p w14:paraId="67B89EC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Siluridae / Siluriformes</w:t>
            </w:r>
          </w:p>
        </w:tc>
        <w:tc>
          <w:tcPr>
            <w:tcW w:w="459" w:type="pct"/>
          </w:tcPr>
          <w:p w14:paraId="30B0097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6C67030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Dakatia; Feni; Ganges-Brahmaputra-Meghna; Indus; Irrawaddy; Kaladan; Karnaphuli; Matamuhuri; Naf; Rann of Kutch</w:t>
            </w:r>
          </w:p>
        </w:tc>
        <w:tc>
          <w:tcPr>
            <w:tcW w:w="1621" w:type="pct"/>
          </w:tcPr>
          <w:p w14:paraId="46EBE84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Afghanistan; Bangladesh; Bhoutan; Chine; Inde; Myanmar; Népal; Pakistan</w:t>
            </w:r>
          </w:p>
        </w:tc>
      </w:tr>
      <w:tr w:rsidR="005969CE" w:rsidRPr="00FD736D" w14:paraId="2D4D7849" w14:textId="77777777" w:rsidTr="007F4E66">
        <w:trPr>
          <w:trHeight w:val="20"/>
        </w:trPr>
        <w:tc>
          <w:tcPr>
            <w:tcW w:w="616" w:type="pct"/>
          </w:tcPr>
          <w:p w14:paraId="3BC0138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Ompok pabda</w:t>
            </w:r>
          </w:p>
        </w:tc>
        <w:tc>
          <w:tcPr>
            <w:tcW w:w="632" w:type="pct"/>
          </w:tcPr>
          <w:p w14:paraId="52B9CF3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Siluridae / Siluriformes</w:t>
            </w:r>
          </w:p>
        </w:tc>
        <w:tc>
          <w:tcPr>
            <w:tcW w:w="459" w:type="pct"/>
          </w:tcPr>
          <w:p w14:paraId="3D4FABD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3480A47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Ganges-Brahmaputra-Meghna</w:t>
            </w:r>
          </w:p>
        </w:tc>
        <w:tc>
          <w:tcPr>
            <w:tcW w:w="1621" w:type="pct"/>
          </w:tcPr>
          <w:p w14:paraId="4632FE2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Inde</w:t>
            </w:r>
          </w:p>
        </w:tc>
      </w:tr>
      <w:tr w:rsidR="005969CE" w:rsidRPr="00FD736D" w14:paraId="2DA7E8DF" w14:textId="77777777" w:rsidTr="007F4E66">
        <w:trPr>
          <w:trHeight w:val="20"/>
        </w:trPr>
        <w:tc>
          <w:tcPr>
            <w:tcW w:w="616" w:type="pct"/>
          </w:tcPr>
          <w:p w14:paraId="100C58F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Ompok pinnatus</w:t>
            </w:r>
          </w:p>
        </w:tc>
        <w:tc>
          <w:tcPr>
            <w:tcW w:w="632" w:type="pct"/>
          </w:tcPr>
          <w:p w14:paraId="44BEE54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Siluridae / Siluriformes</w:t>
            </w:r>
          </w:p>
        </w:tc>
        <w:tc>
          <w:tcPr>
            <w:tcW w:w="459" w:type="pct"/>
          </w:tcPr>
          <w:p w14:paraId="6A6DFEC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18D3DE0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 Song Vam Co Dong</w:t>
            </w:r>
          </w:p>
        </w:tc>
        <w:tc>
          <w:tcPr>
            <w:tcW w:w="1621" w:type="pct"/>
          </w:tcPr>
          <w:p w14:paraId="12FA76B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Vietnam</w:t>
            </w:r>
          </w:p>
        </w:tc>
      </w:tr>
      <w:tr w:rsidR="005969CE" w:rsidRPr="00FD736D" w14:paraId="2A3429FE" w14:textId="77777777" w:rsidTr="007F4E66">
        <w:trPr>
          <w:trHeight w:val="20"/>
        </w:trPr>
        <w:tc>
          <w:tcPr>
            <w:tcW w:w="616" w:type="pct"/>
          </w:tcPr>
          <w:p w14:paraId="1D9D8FE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Oncorhynchus clarkii</w:t>
            </w:r>
          </w:p>
        </w:tc>
        <w:tc>
          <w:tcPr>
            <w:tcW w:w="632" w:type="pct"/>
          </w:tcPr>
          <w:p w14:paraId="40A7339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Salmonidae / Salmoniformes</w:t>
            </w:r>
          </w:p>
        </w:tc>
        <w:tc>
          <w:tcPr>
            <w:tcW w:w="459" w:type="pct"/>
          </w:tcPr>
          <w:p w14:paraId="69720B8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5732242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Alsek; Chilkat; Columbia; Copper; Skagit; Stikine; Taku; Whiting</w:t>
            </w:r>
          </w:p>
        </w:tc>
        <w:tc>
          <w:tcPr>
            <w:tcW w:w="1621" w:type="pct"/>
          </w:tcPr>
          <w:p w14:paraId="39A280CE"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Canada; États-Unis d’Amérique; États-Unis d’Amérique (Alaska)</w:t>
            </w:r>
          </w:p>
        </w:tc>
      </w:tr>
      <w:tr w:rsidR="005969CE" w:rsidRPr="00FD736D" w14:paraId="4AF702DE" w14:textId="77777777" w:rsidTr="007F4E66">
        <w:trPr>
          <w:trHeight w:val="20"/>
        </w:trPr>
        <w:tc>
          <w:tcPr>
            <w:tcW w:w="616" w:type="pct"/>
          </w:tcPr>
          <w:p w14:paraId="2E3BAFD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Opsaridium microcephalum</w:t>
            </w:r>
          </w:p>
        </w:tc>
        <w:tc>
          <w:tcPr>
            <w:tcW w:w="632" w:type="pct"/>
          </w:tcPr>
          <w:p w14:paraId="42D6B32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41A3173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28BF4A9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Zambezi</w:t>
            </w:r>
          </w:p>
        </w:tc>
        <w:tc>
          <w:tcPr>
            <w:tcW w:w="1621" w:type="pct"/>
          </w:tcPr>
          <w:p w14:paraId="4D9E3F8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Malawi; Mozambique; Tanzanie</w:t>
            </w:r>
          </w:p>
        </w:tc>
      </w:tr>
      <w:tr w:rsidR="005969CE" w:rsidRPr="00FD736D" w14:paraId="4C075265" w14:textId="77777777" w:rsidTr="007F4E66">
        <w:trPr>
          <w:trHeight w:val="20"/>
        </w:trPr>
        <w:tc>
          <w:tcPr>
            <w:tcW w:w="616" w:type="pct"/>
          </w:tcPr>
          <w:p w14:paraId="0135D1A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Opsaridium microlepis</w:t>
            </w:r>
          </w:p>
        </w:tc>
        <w:tc>
          <w:tcPr>
            <w:tcW w:w="632" w:type="pct"/>
          </w:tcPr>
          <w:p w14:paraId="08B970D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4D2B2BF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0C42A71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Zambezi</w:t>
            </w:r>
          </w:p>
        </w:tc>
        <w:tc>
          <w:tcPr>
            <w:tcW w:w="1621" w:type="pct"/>
          </w:tcPr>
          <w:p w14:paraId="7411055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Malawi; Mozambique; Tanzanie</w:t>
            </w:r>
          </w:p>
        </w:tc>
      </w:tr>
      <w:tr w:rsidR="005969CE" w:rsidRPr="00FD736D" w14:paraId="6995CFF4" w14:textId="77777777" w:rsidTr="007F4E66">
        <w:trPr>
          <w:trHeight w:val="20"/>
        </w:trPr>
        <w:tc>
          <w:tcPr>
            <w:tcW w:w="616" w:type="pct"/>
          </w:tcPr>
          <w:p w14:paraId="4FF0BA8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Opsarius bendelisis</w:t>
            </w:r>
          </w:p>
        </w:tc>
        <w:tc>
          <w:tcPr>
            <w:tcW w:w="632" w:type="pct"/>
          </w:tcPr>
          <w:p w14:paraId="613135C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37E8A72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73613BD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Ganges-Brahmaputra-Meghna</w:t>
            </w:r>
          </w:p>
        </w:tc>
        <w:tc>
          <w:tcPr>
            <w:tcW w:w="1621" w:type="pct"/>
          </w:tcPr>
          <w:p w14:paraId="744080B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Inde; Népal</w:t>
            </w:r>
          </w:p>
        </w:tc>
      </w:tr>
      <w:tr w:rsidR="005969CE" w:rsidRPr="00FD736D" w14:paraId="532B4D4E" w14:textId="77777777" w:rsidTr="007F4E66">
        <w:trPr>
          <w:trHeight w:val="20"/>
        </w:trPr>
        <w:tc>
          <w:tcPr>
            <w:tcW w:w="616" w:type="pct"/>
          </w:tcPr>
          <w:p w14:paraId="3357B2C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Oreochromis macrochir</w:t>
            </w:r>
          </w:p>
        </w:tc>
        <w:tc>
          <w:tcPr>
            <w:tcW w:w="632" w:type="pct"/>
          </w:tcPr>
          <w:p w14:paraId="4671A4A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Cichlidae / Cichliformes</w:t>
            </w:r>
          </w:p>
        </w:tc>
        <w:tc>
          <w:tcPr>
            <w:tcW w:w="459" w:type="pct"/>
          </w:tcPr>
          <w:p w14:paraId="10C57A6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02F5609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Buzi; Etosha-Cuvelai; Kunene; Okavango; Zambezi</w:t>
            </w:r>
          </w:p>
        </w:tc>
        <w:tc>
          <w:tcPr>
            <w:tcW w:w="1621" w:type="pct"/>
          </w:tcPr>
          <w:p w14:paraId="1A8749EA" w14:textId="77777777" w:rsidR="005969CE" w:rsidRPr="00FD736D" w:rsidRDefault="005969CE" w:rsidP="008A6534">
            <w:pPr>
              <w:spacing w:after="0" w:line="240" w:lineRule="auto"/>
              <w:rPr>
                <w:rFonts w:ascii="Arial" w:hAnsi="Arial" w:cs="Arial"/>
                <w:iCs/>
                <w:color w:val="000000" w:themeColor="text1"/>
                <w:sz w:val="20"/>
                <w:szCs w:val="20"/>
                <w:lang w:val="it-IT"/>
              </w:rPr>
            </w:pPr>
            <w:r w:rsidRPr="00FD736D">
              <w:rPr>
                <w:rFonts w:ascii="Arial" w:hAnsi="Arial" w:cs="Arial"/>
                <w:iCs/>
                <w:color w:val="000000" w:themeColor="text1"/>
                <w:sz w:val="20"/>
                <w:szCs w:val="20"/>
                <w:lang w:val="it-IT"/>
              </w:rPr>
              <w:t>Angola; Botswana; Mozambique; Namibie; Zambie; Zimbabwe</w:t>
            </w:r>
          </w:p>
        </w:tc>
      </w:tr>
      <w:tr w:rsidR="005969CE" w:rsidRPr="00FD736D" w14:paraId="4BF27982" w14:textId="77777777" w:rsidTr="007F4E66">
        <w:trPr>
          <w:trHeight w:val="20"/>
        </w:trPr>
        <w:tc>
          <w:tcPr>
            <w:tcW w:w="616" w:type="pct"/>
          </w:tcPr>
          <w:p w14:paraId="3F419C2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Oreochromis mossambicus</w:t>
            </w:r>
          </w:p>
        </w:tc>
        <w:tc>
          <w:tcPr>
            <w:tcW w:w="632" w:type="pct"/>
          </w:tcPr>
          <w:p w14:paraId="530F5BF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Cichlidae / Cichliformes</w:t>
            </w:r>
          </w:p>
        </w:tc>
        <w:tc>
          <w:tcPr>
            <w:tcW w:w="459" w:type="pct"/>
          </w:tcPr>
          <w:p w14:paraId="0F4781C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454B4700" w14:textId="77777777" w:rsidR="005969CE" w:rsidRPr="00FD736D" w:rsidRDefault="005969CE" w:rsidP="008A6534">
            <w:pPr>
              <w:spacing w:after="0" w:line="240" w:lineRule="auto"/>
              <w:rPr>
                <w:rFonts w:ascii="Arial" w:hAnsi="Arial" w:cs="Arial"/>
                <w:iCs/>
                <w:color w:val="000000" w:themeColor="text1"/>
                <w:sz w:val="20"/>
                <w:szCs w:val="20"/>
                <w:lang w:val="it-IT"/>
              </w:rPr>
            </w:pPr>
            <w:r w:rsidRPr="00FD736D">
              <w:rPr>
                <w:rFonts w:ascii="Arial" w:hAnsi="Arial" w:cs="Arial"/>
                <w:iCs/>
                <w:color w:val="000000" w:themeColor="text1"/>
                <w:sz w:val="20"/>
                <w:szCs w:val="20"/>
                <w:lang w:val="it-IT"/>
              </w:rPr>
              <w:t>Buzi; Incomati; Limpopo; Maputo; Okavango; Save; Umbeluzi; Zambezi</w:t>
            </w:r>
          </w:p>
        </w:tc>
        <w:tc>
          <w:tcPr>
            <w:tcW w:w="1621" w:type="pct"/>
          </w:tcPr>
          <w:p w14:paraId="73EFA74F" w14:textId="77777777" w:rsidR="005969CE" w:rsidRPr="00FD736D" w:rsidRDefault="005969CE" w:rsidP="008A6534">
            <w:pPr>
              <w:spacing w:after="0" w:line="240" w:lineRule="auto"/>
              <w:rPr>
                <w:rFonts w:ascii="Arial" w:hAnsi="Arial" w:cs="Arial"/>
                <w:iCs/>
                <w:color w:val="000000" w:themeColor="text1"/>
                <w:sz w:val="20"/>
                <w:szCs w:val="20"/>
                <w:lang w:val="it-IT"/>
              </w:rPr>
            </w:pPr>
            <w:r w:rsidRPr="00FD736D">
              <w:rPr>
                <w:rFonts w:ascii="Arial" w:hAnsi="Arial" w:cs="Arial"/>
                <w:iCs/>
                <w:color w:val="000000" w:themeColor="text1"/>
                <w:sz w:val="20"/>
                <w:szCs w:val="20"/>
                <w:lang w:val="it-IT"/>
              </w:rPr>
              <w:t>Botswana; Eswatini; Malawi; Mozambique; Afrique du Sud; Zambie; Zimbabwe</w:t>
            </w:r>
          </w:p>
        </w:tc>
      </w:tr>
      <w:tr w:rsidR="005969CE" w:rsidRPr="00FD736D" w14:paraId="2062996A" w14:textId="77777777" w:rsidTr="007F4E66">
        <w:trPr>
          <w:trHeight w:val="20"/>
        </w:trPr>
        <w:tc>
          <w:tcPr>
            <w:tcW w:w="616" w:type="pct"/>
          </w:tcPr>
          <w:p w14:paraId="302C5B2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Osphronemus exodon</w:t>
            </w:r>
          </w:p>
        </w:tc>
        <w:tc>
          <w:tcPr>
            <w:tcW w:w="632" w:type="pct"/>
          </w:tcPr>
          <w:p w14:paraId="30B1A25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Osphronemidae / Anabantiformes</w:t>
            </w:r>
          </w:p>
        </w:tc>
        <w:tc>
          <w:tcPr>
            <w:tcW w:w="459" w:type="pct"/>
          </w:tcPr>
          <w:p w14:paraId="29AE904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28E2642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 Song Vam Co Dong</w:t>
            </w:r>
          </w:p>
        </w:tc>
        <w:tc>
          <w:tcPr>
            <w:tcW w:w="1621" w:type="pct"/>
          </w:tcPr>
          <w:p w14:paraId="10296DB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151FA57A" w14:textId="77777777" w:rsidTr="007F4E66">
        <w:trPr>
          <w:trHeight w:val="20"/>
        </w:trPr>
        <w:tc>
          <w:tcPr>
            <w:tcW w:w="616" w:type="pct"/>
          </w:tcPr>
          <w:p w14:paraId="01A4372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Osteobrama belangeri</w:t>
            </w:r>
          </w:p>
        </w:tc>
        <w:tc>
          <w:tcPr>
            <w:tcW w:w="632" w:type="pct"/>
          </w:tcPr>
          <w:p w14:paraId="13E3824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1A095B0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73F5BED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Irrawaddy; Salween</w:t>
            </w:r>
          </w:p>
        </w:tc>
        <w:tc>
          <w:tcPr>
            <w:tcW w:w="1621" w:type="pct"/>
          </w:tcPr>
          <w:p w14:paraId="35A8505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Inde; Myanmar; Thaïlande</w:t>
            </w:r>
          </w:p>
        </w:tc>
      </w:tr>
      <w:tr w:rsidR="005969CE" w:rsidRPr="00FD736D" w14:paraId="0FC32D93" w14:textId="77777777" w:rsidTr="007F4E66">
        <w:trPr>
          <w:trHeight w:val="20"/>
        </w:trPr>
        <w:tc>
          <w:tcPr>
            <w:tcW w:w="616" w:type="pct"/>
          </w:tcPr>
          <w:p w14:paraId="7A1BFAC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Osteochilus melanopleurus</w:t>
            </w:r>
          </w:p>
        </w:tc>
        <w:tc>
          <w:tcPr>
            <w:tcW w:w="632" w:type="pct"/>
          </w:tcPr>
          <w:p w14:paraId="1E71A79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09376EA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2E9DB16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72AA712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71A3E973" w14:textId="77777777" w:rsidTr="007F4E66">
        <w:trPr>
          <w:trHeight w:val="20"/>
        </w:trPr>
        <w:tc>
          <w:tcPr>
            <w:tcW w:w="616" w:type="pct"/>
          </w:tcPr>
          <w:p w14:paraId="4DB81C9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Osteochilus schlegelii</w:t>
            </w:r>
          </w:p>
        </w:tc>
        <w:tc>
          <w:tcPr>
            <w:tcW w:w="632" w:type="pct"/>
          </w:tcPr>
          <w:p w14:paraId="2B2CE16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73D040D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1754BE8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291DA73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76CA0630" w14:textId="77777777" w:rsidTr="007F4E66">
        <w:trPr>
          <w:trHeight w:val="20"/>
        </w:trPr>
        <w:tc>
          <w:tcPr>
            <w:tcW w:w="616" w:type="pct"/>
          </w:tcPr>
          <w:p w14:paraId="383FDB2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Osteoglossum bicirrhosum</w:t>
            </w:r>
          </w:p>
        </w:tc>
        <w:tc>
          <w:tcPr>
            <w:tcW w:w="632" w:type="pct"/>
          </w:tcPr>
          <w:p w14:paraId="04C6990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Osteoglossidae / Osteoglossiformes</w:t>
            </w:r>
          </w:p>
        </w:tc>
        <w:tc>
          <w:tcPr>
            <w:tcW w:w="459" w:type="pct"/>
          </w:tcPr>
          <w:p w14:paraId="51E91D5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7717B29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Amazon; Orinoco; Oyapock</w:t>
            </w:r>
          </w:p>
        </w:tc>
        <w:tc>
          <w:tcPr>
            <w:tcW w:w="1621" w:type="pct"/>
          </w:tcPr>
          <w:p w14:paraId="632AAA09"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Bolivie; Brésil; Colombie; Équateur; Guyane française; Guyana; Pérou; Venezuela</w:t>
            </w:r>
          </w:p>
        </w:tc>
      </w:tr>
      <w:tr w:rsidR="005969CE" w:rsidRPr="00FD736D" w14:paraId="2FFB89EF" w14:textId="77777777" w:rsidTr="007F4E66">
        <w:trPr>
          <w:trHeight w:val="20"/>
        </w:trPr>
        <w:tc>
          <w:tcPr>
            <w:tcW w:w="616" w:type="pct"/>
          </w:tcPr>
          <w:p w14:paraId="3F5C675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Osteomugil cunnesius</w:t>
            </w:r>
          </w:p>
        </w:tc>
        <w:tc>
          <w:tcPr>
            <w:tcW w:w="632" w:type="pct"/>
          </w:tcPr>
          <w:p w14:paraId="56F5FB1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Mugilidae / Mugiliformes</w:t>
            </w:r>
          </w:p>
        </w:tc>
        <w:tc>
          <w:tcPr>
            <w:tcW w:w="459" w:type="pct"/>
          </w:tcPr>
          <w:p w14:paraId="35AE131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7220527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Save</w:t>
            </w:r>
          </w:p>
        </w:tc>
        <w:tc>
          <w:tcPr>
            <w:tcW w:w="1621" w:type="pct"/>
          </w:tcPr>
          <w:p w14:paraId="5D08A70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Mozambique; Zimbabwe</w:t>
            </w:r>
          </w:p>
        </w:tc>
      </w:tr>
      <w:tr w:rsidR="005969CE" w:rsidRPr="00FD736D" w14:paraId="4087BBE5" w14:textId="77777777" w:rsidTr="007F4E66">
        <w:trPr>
          <w:trHeight w:val="20"/>
        </w:trPr>
        <w:tc>
          <w:tcPr>
            <w:tcW w:w="616" w:type="pct"/>
          </w:tcPr>
          <w:p w14:paraId="5FE774F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Otolithoides biauritus</w:t>
            </w:r>
          </w:p>
        </w:tc>
        <w:tc>
          <w:tcPr>
            <w:tcW w:w="632" w:type="pct"/>
          </w:tcPr>
          <w:p w14:paraId="4D7FB53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Sciaenidae / Acanthuriformes</w:t>
            </w:r>
          </w:p>
        </w:tc>
        <w:tc>
          <w:tcPr>
            <w:tcW w:w="459" w:type="pct"/>
          </w:tcPr>
          <w:p w14:paraId="3759199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7037785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Naf</w:t>
            </w:r>
          </w:p>
        </w:tc>
        <w:tc>
          <w:tcPr>
            <w:tcW w:w="1621" w:type="pct"/>
          </w:tcPr>
          <w:p w14:paraId="1B0F99B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Myanmar</w:t>
            </w:r>
          </w:p>
        </w:tc>
      </w:tr>
      <w:tr w:rsidR="005969CE" w:rsidRPr="00FD736D" w14:paraId="2A0DC2C2" w14:textId="77777777" w:rsidTr="007F4E66">
        <w:trPr>
          <w:trHeight w:val="20"/>
        </w:trPr>
        <w:tc>
          <w:tcPr>
            <w:tcW w:w="616" w:type="pct"/>
          </w:tcPr>
          <w:p w14:paraId="32401A8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Otolithoides pama</w:t>
            </w:r>
          </w:p>
        </w:tc>
        <w:tc>
          <w:tcPr>
            <w:tcW w:w="632" w:type="pct"/>
          </w:tcPr>
          <w:p w14:paraId="604795A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Sciaenidae / Acanthuriformes</w:t>
            </w:r>
          </w:p>
        </w:tc>
        <w:tc>
          <w:tcPr>
            <w:tcW w:w="459" w:type="pct"/>
          </w:tcPr>
          <w:p w14:paraId="3545CA6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51722F2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Naf</w:t>
            </w:r>
          </w:p>
        </w:tc>
        <w:tc>
          <w:tcPr>
            <w:tcW w:w="1621" w:type="pct"/>
          </w:tcPr>
          <w:p w14:paraId="2488AAD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Myanmar</w:t>
            </w:r>
          </w:p>
        </w:tc>
      </w:tr>
      <w:tr w:rsidR="005969CE" w:rsidRPr="00FD736D" w14:paraId="59F7F7EE" w14:textId="77777777" w:rsidTr="007F4E66">
        <w:trPr>
          <w:trHeight w:val="20"/>
        </w:trPr>
        <w:tc>
          <w:tcPr>
            <w:tcW w:w="616" w:type="pct"/>
          </w:tcPr>
          <w:p w14:paraId="6CF5541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Oxygaster pointoni</w:t>
            </w:r>
          </w:p>
        </w:tc>
        <w:tc>
          <w:tcPr>
            <w:tcW w:w="632" w:type="pct"/>
          </w:tcPr>
          <w:p w14:paraId="6969A2BD" w14:textId="77777777" w:rsidR="005969CE"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p w14:paraId="1AA88287" w14:textId="77777777" w:rsidR="00C37301" w:rsidRPr="00FD736D" w:rsidRDefault="00C37301" w:rsidP="008A6534">
            <w:pPr>
              <w:spacing w:after="0" w:line="240" w:lineRule="auto"/>
              <w:rPr>
                <w:rFonts w:ascii="Arial" w:hAnsi="Arial" w:cs="Arial"/>
                <w:iCs/>
                <w:color w:val="000000" w:themeColor="text1"/>
                <w:sz w:val="20"/>
                <w:szCs w:val="20"/>
              </w:rPr>
            </w:pPr>
          </w:p>
        </w:tc>
        <w:tc>
          <w:tcPr>
            <w:tcW w:w="459" w:type="pct"/>
          </w:tcPr>
          <w:p w14:paraId="4DA42C1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2E3D41C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 Song Vam Co Dong</w:t>
            </w:r>
          </w:p>
        </w:tc>
        <w:tc>
          <w:tcPr>
            <w:tcW w:w="1621" w:type="pct"/>
          </w:tcPr>
          <w:p w14:paraId="7F11690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07026C71" w14:textId="77777777" w:rsidTr="007F4E66">
        <w:trPr>
          <w:trHeight w:val="20"/>
        </w:trPr>
        <w:tc>
          <w:tcPr>
            <w:tcW w:w="616" w:type="pct"/>
          </w:tcPr>
          <w:p w14:paraId="18EF47F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Pangasianodon hypophthalmus</w:t>
            </w:r>
          </w:p>
        </w:tc>
        <w:tc>
          <w:tcPr>
            <w:tcW w:w="632" w:type="pct"/>
          </w:tcPr>
          <w:p w14:paraId="2EA9AFA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Pangasiidae / Siluriformes</w:t>
            </w:r>
          </w:p>
        </w:tc>
        <w:tc>
          <w:tcPr>
            <w:tcW w:w="459" w:type="pct"/>
          </w:tcPr>
          <w:p w14:paraId="3EC414A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0358F7A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 Saigon/Song Nha Be; Song Vam Co Dong</w:t>
            </w:r>
          </w:p>
        </w:tc>
        <w:tc>
          <w:tcPr>
            <w:tcW w:w="1621" w:type="pct"/>
          </w:tcPr>
          <w:p w14:paraId="07208E5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6C2DB5B7" w14:textId="77777777" w:rsidTr="007F4E66">
        <w:trPr>
          <w:trHeight w:val="20"/>
        </w:trPr>
        <w:tc>
          <w:tcPr>
            <w:tcW w:w="616" w:type="pct"/>
          </w:tcPr>
          <w:p w14:paraId="0306D8B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Pangasius bocourti</w:t>
            </w:r>
          </w:p>
        </w:tc>
        <w:tc>
          <w:tcPr>
            <w:tcW w:w="632" w:type="pct"/>
          </w:tcPr>
          <w:p w14:paraId="38B37CC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Pangasiidae / Siluriformes</w:t>
            </w:r>
          </w:p>
        </w:tc>
        <w:tc>
          <w:tcPr>
            <w:tcW w:w="459" w:type="pct"/>
          </w:tcPr>
          <w:p w14:paraId="58C7AC6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7F2DB36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1749256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Chine; Laos; Myanmar; Thaïlande; Vietnam</w:t>
            </w:r>
          </w:p>
        </w:tc>
      </w:tr>
      <w:tr w:rsidR="005969CE" w:rsidRPr="00FD736D" w14:paraId="01198DCB" w14:textId="77777777" w:rsidTr="007F4E66">
        <w:trPr>
          <w:trHeight w:val="20"/>
        </w:trPr>
        <w:tc>
          <w:tcPr>
            <w:tcW w:w="616" w:type="pct"/>
          </w:tcPr>
          <w:p w14:paraId="30A115A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Pangasius conchophilus</w:t>
            </w:r>
          </w:p>
        </w:tc>
        <w:tc>
          <w:tcPr>
            <w:tcW w:w="632" w:type="pct"/>
          </w:tcPr>
          <w:p w14:paraId="2EC7ADE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Pangasiidae / Siluriformes</w:t>
            </w:r>
          </w:p>
        </w:tc>
        <w:tc>
          <w:tcPr>
            <w:tcW w:w="459" w:type="pct"/>
          </w:tcPr>
          <w:p w14:paraId="3D67971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4A1D1AB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5996968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Myanmar; Thaïlande; Vietnam</w:t>
            </w:r>
          </w:p>
        </w:tc>
      </w:tr>
      <w:tr w:rsidR="005969CE" w:rsidRPr="00FD736D" w14:paraId="3D2CE4D6" w14:textId="77777777" w:rsidTr="007F4E66">
        <w:trPr>
          <w:trHeight w:val="20"/>
        </w:trPr>
        <w:tc>
          <w:tcPr>
            <w:tcW w:w="616" w:type="pct"/>
          </w:tcPr>
          <w:p w14:paraId="4C61429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Pangasius elongatus</w:t>
            </w:r>
          </w:p>
        </w:tc>
        <w:tc>
          <w:tcPr>
            <w:tcW w:w="632" w:type="pct"/>
          </w:tcPr>
          <w:p w14:paraId="4A4399C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Pangasiidae / Siluriformes</w:t>
            </w:r>
          </w:p>
        </w:tc>
        <w:tc>
          <w:tcPr>
            <w:tcW w:w="459" w:type="pct"/>
          </w:tcPr>
          <w:p w14:paraId="1E6E67B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0C8CBE5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0E6E6BD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Myanmar; Thaïlande; Vietnam</w:t>
            </w:r>
          </w:p>
        </w:tc>
      </w:tr>
      <w:tr w:rsidR="005969CE" w:rsidRPr="00FD736D" w14:paraId="41B9D087" w14:textId="77777777" w:rsidTr="007F4E66">
        <w:trPr>
          <w:trHeight w:val="20"/>
        </w:trPr>
        <w:tc>
          <w:tcPr>
            <w:tcW w:w="616" w:type="pct"/>
          </w:tcPr>
          <w:p w14:paraId="7E53C0A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Pangasius krempfi</w:t>
            </w:r>
          </w:p>
        </w:tc>
        <w:tc>
          <w:tcPr>
            <w:tcW w:w="632" w:type="pct"/>
          </w:tcPr>
          <w:p w14:paraId="6E11C6F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Pangasiidae / Siluriformes</w:t>
            </w:r>
          </w:p>
        </w:tc>
        <w:tc>
          <w:tcPr>
            <w:tcW w:w="459" w:type="pct"/>
          </w:tcPr>
          <w:p w14:paraId="3B0BC45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4D77C46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 Saigon/Song Nha Be; Song Vam Co Dong</w:t>
            </w:r>
          </w:p>
        </w:tc>
        <w:tc>
          <w:tcPr>
            <w:tcW w:w="1621" w:type="pct"/>
          </w:tcPr>
          <w:p w14:paraId="06B7516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7CE91B1F" w14:textId="77777777" w:rsidTr="007F4E66">
        <w:trPr>
          <w:trHeight w:val="20"/>
        </w:trPr>
        <w:tc>
          <w:tcPr>
            <w:tcW w:w="616" w:type="pct"/>
          </w:tcPr>
          <w:p w14:paraId="1081A02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Pangasius larnaudii</w:t>
            </w:r>
          </w:p>
        </w:tc>
        <w:tc>
          <w:tcPr>
            <w:tcW w:w="632" w:type="pct"/>
          </w:tcPr>
          <w:p w14:paraId="57EA2BE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Pangasiidae / Siluriformes</w:t>
            </w:r>
          </w:p>
        </w:tc>
        <w:tc>
          <w:tcPr>
            <w:tcW w:w="459" w:type="pct"/>
          </w:tcPr>
          <w:p w14:paraId="4DA3CD3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2004473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5F2DD8F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Myanmar; Thaïlande; Vietnam</w:t>
            </w:r>
          </w:p>
        </w:tc>
      </w:tr>
      <w:tr w:rsidR="005969CE" w:rsidRPr="00FD736D" w14:paraId="4B0539C4" w14:textId="77777777" w:rsidTr="007F4E66">
        <w:trPr>
          <w:trHeight w:val="20"/>
        </w:trPr>
        <w:tc>
          <w:tcPr>
            <w:tcW w:w="616" w:type="pct"/>
          </w:tcPr>
          <w:p w14:paraId="15C2789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Pangasius pangasius</w:t>
            </w:r>
          </w:p>
        </w:tc>
        <w:tc>
          <w:tcPr>
            <w:tcW w:w="632" w:type="pct"/>
          </w:tcPr>
          <w:p w14:paraId="6098E3F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Pangasiidae / Siluriformes</w:t>
            </w:r>
          </w:p>
        </w:tc>
        <w:tc>
          <w:tcPr>
            <w:tcW w:w="459" w:type="pct"/>
          </w:tcPr>
          <w:p w14:paraId="646D590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51FD88D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Ganges-Brahmaputra-Meghna; Mekong</w:t>
            </w:r>
          </w:p>
        </w:tc>
        <w:tc>
          <w:tcPr>
            <w:tcW w:w="1621" w:type="pct"/>
          </w:tcPr>
          <w:p w14:paraId="06782A8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Cambodge; Inde; Laos; Thaïlande</w:t>
            </w:r>
          </w:p>
        </w:tc>
      </w:tr>
      <w:tr w:rsidR="005969CE" w:rsidRPr="00FD736D" w14:paraId="12B1F804" w14:textId="77777777" w:rsidTr="007F4E66">
        <w:trPr>
          <w:trHeight w:val="20"/>
        </w:trPr>
        <w:tc>
          <w:tcPr>
            <w:tcW w:w="616" w:type="pct"/>
          </w:tcPr>
          <w:p w14:paraId="2285E62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Pangasius sanitwongsei</w:t>
            </w:r>
          </w:p>
        </w:tc>
        <w:tc>
          <w:tcPr>
            <w:tcW w:w="632" w:type="pct"/>
          </w:tcPr>
          <w:p w14:paraId="05DC1B4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Pangasiidae / Siluriformes</w:t>
            </w:r>
          </w:p>
        </w:tc>
        <w:tc>
          <w:tcPr>
            <w:tcW w:w="459" w:type="pct"/>
          </w:tcPr>
          <w:p w14:paraId="680E23F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CR</w:t>
            </w:r>
          </w:p>
        </w:tc>
        <w:tc>
          <w:tcPr>
            <w:tcW w:w="1672" w:type="pct"/>
          </w:tcPr>
          <w:p w14:paraId="0187948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 Song Vam Co Dong</w:t>
            </w:r>
          </w:p>
        </w:tc>
        <w:tc>
          <w:tcPr>
            <w:tcW w:w="1621" w:type="pct"/>
          </w:tcPr>
          <w:p w14:paraId="4959BCE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Myanmar; Thaïlande; Vietnam</w:t>
            </w:r>
          </w:p>
        </w:tc>
      </w:tr>
      <w:tr w:rsidR="005969CE" w:rsidRPr="00FD736D" w14:paraId="2283BE51" w14:textId="77777777" w:rsidTr="007F4E66">
        <w:trPr>
          <w:trHeight w:val="20"/>
        </w:trPr>
        <w:tc>
          <w:tcPr>
            <w:tcW w:w="616" w:type="pct"/>
          </w:tcPr>
          <w:p w14:paraId="5084729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Pantosteus plebeius</w:t>
            </w:r>
          </w:p>
        </w:tc>
        <w:tc>
          <w:tcPr>
            <w:tcW w:w="632" w:type="pct"/>
          </w:tcPr>
          <w:p w14:paraId="042BF89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Catostomidae / Cypriniformes</w:t>
            </w:r>
          </w:p>
        </w:tc>
        <w:tc>
          <w:tcPr>
            <w:tcW w:w="459" w:type="pct"/>
          </w:tcPr>
          <w:p w14:paraId="25ECC9D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08082928"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Colorado; Rio Grande (Amérique du Nord); Yaqui</w:t>
            </w:r>
          </w:p>
        </w:tc>
        <w:tc>
          <w:tcPr>
            <w:tcW w:w="1621" w:type="pct"/>
          </w:tcPr>
          <w:p w14:paraId="3C1F942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Mexique; États-Unis d’Amérique</w:t>
            </w:r>
          </w:p>
        </w:tc>
      </w:tr>
      <w:tr w:rsidR="005969CE" w:rsidRPr="00FD736D" w14:paraId="36CD8EFF" w14:textId="77777777" w:rsidTr="007F4E66">
        <w:trPr>
          <w:trHeight w:val="20"/>
        </w:trPr>
        <w:tc>
          <w:tcPr>
            <w:tcW w:w="616" w:type="pct"/>
          </w:tcPr>
          <w:p w14:paraId="3328DF9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Parabramis pekinensis</w:t>
            </w:r>
          </w:p>
        </w:tc>
        <w:tc>
          <w:tcPr>
            <w:tcW w:w="632" w:type="pct"/>
          </w:tcPr>
          <w:p w14:paraId="4216D6E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01406D5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1FAE4B6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Amur; Beilun; Pearl</w:t>
            </w:r>
          </w:p>
        </w:tc>
        <w:tc>
          <w:tcPr>
            <w:tcW w:w="1621" w:type="pct"/>
          </w:tcPr>
          <w:p w14:paraId="7C8FE19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Russie; Vietnam</w:t>
            </w:r>
          </w:p>
        </w:tc>
      </w:tr>
      <w:tr w:rsidR="005969CE" w:rsidRPr="00FD736D" w14:paraId="01E43E53" w14:textId="77777777" w:rsidTr="007F4E66">
        <w:trPr>
          <w:trHeight w:val="20"/>
        </w:trPr>
        <w:tc>
          <w:tcPr>
            <w:tcW w:w="616" w:type="pct"/>
          </w:tcPr>
          <w:p w14:paraId="06F38C8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Parachondrostoma miegii</w:t>
            </w:r>
          </w:p>
        </w:tc>
        <w:tc>
          <w:tcPr>
            <w:tcW w:w="632" w:type="pct"/>
          </w:tcPr>
          <w:p w14:paraId="4863D4B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Leuciscidae / Cypriniformes</w:t>
            </w:r>
          </w:p>
        </w:tc>
        <w:tc>
          <w:tcPr>
            <w:tcW w:w="459" w:type="pct"/>
          </w:tcPr>
          <w:p w14:paraId="38E5367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4C6865D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Bidasoa; Ebro</w:t>
            </w:r>
          </w:p>
        </w:tc>
        <w:tc>
          <w:tcPr>
            <w:tcW w:w="1621" w:type="pct"/>
          </w:tcPr>
          <w:p w14:paraId="5C1738A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Andorre; France; Espagne</w:t>
            </w:r>
          </w:p>
        </w:tc>
      </w:tr>
      <w:tr w:rsidR="005969CE" w:rsidRPr="00FD736D" w14:paraId="2987179C" w14:textId="77777777" w:rsidTr="007F4E66">
        <w:trPr>
          <w:trHeight w:val="20"/>
        </w:trPr>
        <w:tc>
          <w:tcPr>
            <w:tcW w:w="616" w:type="pct"/>
          </w:tcPr>
          <w:p w14:paraId="2C37B4B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Parachromis dovii</w:t>
            </w:r>
          </w:p>
        </w:tc>
        <w:tc>
          <w:tcPr>
            <w:tcW w:w="632" w:type="pct"/>
          </w:tcPr>
          <w:p w14:paraId="701CC40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Cichlidae / Cichliformes</w:t>
            </w:r>
          </w:p>
        </w:tc>
        <w:tc>
          <w:tcPr>
            <w:tcW w:w="459" w:type="pct"/>
          </w:tcPr>
          <w:p w14:paraId="1A98E81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770D2A0C"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Choluteca; Coco; Negro (Amérique du Nord); San Juan</w:t>
            </w:r>
          </w:p>
        </w:tc>
        <w:tc>
          <w:tcPr>
            <w:tcW w:w="1621" w:type="pct"/>
          </w:tcPr>
          <w:p w14:paraId="4F13112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Costa Rica; Honduras; Nicaragua</w:t>
            </w:r>
          </w:p>
        </w:tc>
      </w:tr>
      <w:tr w:rsidR="005969CE" w:rsidRPr="00FD736D" w14:paraId="494CF3FC" w14:textId="77777777" w:rsidTr="007F4E66">
        <w:trPr>
          <w:trHeight w:val="20"/>
        </w:trPr>
        <w:tc>
          <w:tcPr>
            <w:tcW w:w="616" w:type="pct"/>
          </w:tcPr>
          <w:p w14:paraId="3EA185D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Percichthys trucha</w:t>
            </w:r>
          </w:p>
        </w:tc>
        <w:tc>
          <w:tcPr>
            <w:tcW w:w="632" w:type="pct"/>
          </w:tcPr>
          <w:p w14:paraId="5598CF4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Percichthyidae / Perciformes</w:t>
            </w:r>
          </w:p>
        </w:tc>
        <w:tc>
          <w:tcPr>
            <w:tcW w:w="459" w:type="pct"/>
          </w:tcPr>
          <w:p w14:paraId="6255349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79CF04C7" w14:textId="77777777" w:rsidR="005969CE" w:rsidRPr="00FD736D" w:rsidRDefault="005969CE" w:rsidP="008A6534">
            <w:pPr>
              <w:spacing w:after="0" w:line="240" w:lineRule="auto"/>
              <w:rPr>
                <w:rFonts w:ascii="Arial" w:hAnsi="Arial" w:cs="Arial"/>
                <w:iCs/>
                <w:color w:val="000000" w:themeColor="text1"/>
                <w:sz w:val="20"/>
                <w:szCs w:val="20"/>
                <w:lang w:val="es-ES"/>
              </w:rPr>
            </w:pPr>
            <w:r w:rsidRPr="00FD736D">
              <w:rPr>
                <w:rFonts w:ascii="Arial" w:hAnsi="Arial" w:cs="Arial"/>
                <w:iCs/>
                <w:color w:val="000000" w:themeColor="text1"/>
                <w:sz w:val="20"/>
                <w:szCs w:val="20"/>
                <w:lang w:val="es-ES"/>
              </w:rPr>
              <w:t>Baker; Gallegos-Chico; Puelo; Valdivia; Yelcho</w:t>
            </w:r>
          </w:p>
        </w:tc>
        <w:tc>
          <w:tcPr>
            <w:tcW w:w="1621" w:type="pct"/>
          </w:tcPr>
          <w:p w14:paraId="15F73F8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Argentine; Chili</w:t>
            </w:r>
          </w:p>
        </w:tc>
      </w:tr>
      <w:tr w:rsidR="005969CE" w:rsidRPr="00FD736D" w14:paraId="3DF1D549" w14:textId="77777777" w:rsidTr="007F4E66">
        <w:trPr>
          <w:trHeight w:val="20"/>
        </w:trPr>
        <w:tc>
          <w:tcPr>
            <w:tcW w:w="616" w:type="pct"/>
          </w:tcPr>
          <w:p w14:paraId="2838F18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Petromyzon marinus</w:t>
            </w:r>
          </w:p>
        </w:tc>
        <w:tc>
          <w:tcPr>
            <w:tcW w:w="632" w:type="pct"/>
          </w:tcPr>
          <w:p w14:paraId="2B95850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Petromyzontidae / Petromyzontiformes</w:t>
            </w:r>
          </w:p>
        </w:tc>
        <w:tc>
          <w:tcPr>
            <w:tcW w:w="459" w:type="pct"/>
          </w:tcPr>
          <w:p w14:paraId="221C587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347ADD0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Barta; Bidasoa; Buna; Elbe; Erne; Foyle; Guadiana; Iddefjord; IJsselmeer; Lima; Medjerda; Meuse; Minho; Naatamo; Narva; Neman; Neretva; Newry; Oder; Paatsjoki; Pregolya; Rhine; Saint Croix; Saint Lawrence; Scheldt; Vida; Vistula</w:t>
            </w:r>
          </w:p>
        </w:tc>
        <w:tc>
          <w:tcPr>
            <w:tcW w:w="1621" w:type="pct"/>
          </w:tcPr>
          <w:p w14:paraId="3890DB59" w14:textId="77777777" w:rsidR="005969CE"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Albanie; Algérie; Belgique; Bosnie-Herzégovine; Canada; Croatie; République tchèque; Danemark; Estonie; Finlande; France; Allemagne; Irlande; Lettonie; Lituanie; Luxembourg; Monténégro; Pays-Bas; Norvège; Pologne; Portugal; Russie; Russie (Kaliningrad); Slovaquie; Espagne; Suède; Suisse; Tunisie; Royaume-Uni; États-Unis d’Amérique</w:t>
            </w:r>
          </w:p>
          <w:p w14:paraId="687DD218" w14:textId="77777777" w:rsidR="00C37301" w:rsidRPr="00FD736D" w:rsidRDefault="00C37301" w:rsidP="008A6534">
            <w:pPr>
              <w:spacing w:after="0" w:line="240" w:lineRule="auto"/>
              <w:rPr>
                <w:rFonts w:ascii="Arial" w:hAnsi="Arial" w:cs="Arial"/>
                <w:iCs/>
                <w:color w:val="000000" w:themeColor="text1"/>
                <w:sz w:val="20"/>
                <w:szCs w:val="20"/>
                <w:lang w:val="fr-FR"/>
              </w:rPr>
            </w:pPr>
          </w:p>
        </w:tc>
      </w:tr>
      <w:tr w:rsidR="005969CE" w:rsidRPr="00FD736D" w14:paraId="53E74355" w14:textId="77777777" w:rsidTr="007F4E66">
        <w:trPr>
          <w:trHeight w:val="20"/>
        </w:trPr>
        <w:tc>
          <w:tcPr>
            <w:tcW w:w="616" w:type="pct"/>
          </w:tcPr>
          <w:p w14:paraId="019020F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Piaractus mesopotamicus</w:t>
            </w:r>
          </w:p>
        </w:tc>
        <w:tc>
          <w:tcPr>
            <w:tcW w:w="632" w:type="pct"/>
          </w:tcPr>
          <w:p w14:paraId="114CAC1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Serrasalmidae / Characiformes</w:t>
            </w:r>
          </w:p>
        </w:tc>
        <w:tc>
          <w:tcPr>
            <w:tcW w:w="459" w:type="pct"/>
          </w:tcPr>
          <w:p w14:paraId="4572054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424273B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 Plata</w:t>
            </w:r>
          </w:p>
        </w:tc>
        <w:tc>
          <w:tcPr>
            <w:tcW w:w="1621" w:type="pct"/>
          </w:tcPr>
          <w:p w14:paraId="0A5E04B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Argentine; Bolivie; Brésil; Paraguay</w:t>
            </w:r>
          </w:p>
        </w:tc>
      </w:tr>
      <w:tr w:rsidR="005969CE" w:rsidRPr="00FD736D" w14:paraId="4CBBC4D9" w14:textId="77777777" w:rsidTr="007F4E66">
        <w:trPr>
          <w:trHeight w:val="20"/>
        </w:trPr>
        <w:tc>
          <w:tcPr>
            <w:tcW w:w="616" w:type="pct"/>
          </w:tcPr>
          <w:p w14:paraId="6A0EFAD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Piaractus orinoquensis</w:t>
            </w:r>
          </w:p>
        </w:tc>
        <w:tc>
          <w:tcPr>
            <w:tcW w:w="632" w:type="pct"/>
          </w:tcPr>
          <w:p w14:paraId="5BB986E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Serrasalmidae / Characiformes</w:t>
            </w:r>
          </w:p>
        </w:tc>
        <w:tc>
          <w:tcPr>
            <w:tcW w:w="459" w:type="pct"/>
          </w:tcPr>
          <w:p w14:paraId="77786D3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620273A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Orinoco</w:t>
            </w:r>
          </w:p>
        </w:tc>
        <w:tc>
          <w:tcPr>
            <w:tcW w:w="1621" w:type="pct"/>
          </w:tcPr>
          <w:p w14:paraId="131CA39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Colombie; Venezuela</w:t>
            </w:r>
          </w:p>
        </w:tc>
      </w:tr>
      <w:tr w:rsidR="005969CE" w:rsidRPr="00FD736D" w14:paraId="60E25A63" w14:textId="77777777" w:rsidTr="007F4E66">
        <w:trPr>
          <w:trHeight w:val="20"/>
        </w:trPr>
        <w:tc>
          <w:tcPr>
            <w:tcW w:w="616" w:type="pct"/>
          </w:tcPr>
          <w:p w14:paraId="5A7B842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Plagioscion Surinamensis</w:t>
            </w:r>
          </w:p>
        </w:tc>
        <w:tc>
          <w:tcPr>
            <w:tcW w:w="632" w:type="pct"/>
          </w:tcPr>
          <w:p w14:paraId="4F88FB3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Sciaenidae / Acanthuriformes</w:t>
            </w:r>
          </w:p>
        </w:tc>
        <w:tc>
          <w:tcPr>
            <w:tcW w:w="459" w:type="pct"/>
          </w:tcPr>
          <w:p w14:paraId="551B732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191CB1A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Amazon</w:t>
            </w:r>
          </w:p>
        </w:tc>
        <w:tc>
          <w:tcPr>
            <w:tcW w:w="1621" w:type="pct"/>
          </w:tcPr>
          <w:p w14:paraId="7CD70B8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Bolivie; Brésil</w:t>
            </w:r>
          </w:p>
        </w:tc>
      </w:tr>
      <w:tr w:rsidR="005969CE" w:rsidRPr="00FD736D" w14:paraId="29BEEAA9" w14:textId="77777777" w:rsidTr="007F4E66">
        <w:trPr>
          <w:trHeight w:val="20"/>
        </w:trPr>
        <w:tc>
          <w:tcPr>
            <w:tcW w:w="616" w:type="pct"/>
          </w:tcPr>
          <w:p w14:paraId="66B27D1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Planiliza haematocheila</w:t>
            </w:r>
          </w:p>
        </w:tc>
        <w:tc>
          <w:tcPr>
            <w:tcW w:w="632" w:type="pct"/>
          </w:tcPr>
          <w:p w14:paraId="68753E6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Mugilidae / Mugiliformes</w:t>
            </w:r>
          </w:p>
        </w:tc>
        <w:tc>
          <w:tcPr>
            <w:tcW w:w="459" w:type="pct"/>
          </w:tcPr>
          <w:p w14:paraId="74E8FDD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295E1E6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Han</w:t>
            </w:r>
          </w:p>
        </w:tc>
        <w:tc>
          <w:tcPr>
            <w:tcW w:w="1621" w:type="pct"/>
          </w:tcPr>
          <w:p w14:paraId="1AC24432"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Corée du Nord; Corée du Sud</w:t>
            </w:r>
          </w:p>
        </w:tc>
      </w:tr>
      <w:tr w:rsidR="005969CE" w:rsidRPr="00FD736D" w14:paraId="7CF5697F" w14:textId="77777777" w:rsidTr="007F4E66">
        <w:trPr>
          <w:trHeight w:val="20"/>
        </w:trPr>
        <w:tc>
          <w:tcPr>
            <w:tcW w:w="616" w:type="pct"/>
          </w:tcPr>
          <w:p w14:paraId="1C3D2D9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Planiliza melinopterus</w:t>
            </w:r>
          </w:p>
        </w:tc>
        <w:tc>
          <w:tcPr>
            <w:tcW w:w="632" w:type="pct"/>
          </w:tcPr>
          <w:p w14:paraId="720AA55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Mugilidae / Mugiliformes</w:t>
            </w:r>
          </w:p>
        </w:tc>
        <w:tc>
          <w:tcPr>
            <w:tcW w:w="459" w:type="pct"/>
          </w:tcPr>
          <w:p w14:paraId="1D74D56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262B236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Tigris-Euphrates/Shatt al Arab</w:t>
            </w:r>
          </w:p>
        </w:tc>
        <w:tc>
          <w:tcPr>
            <w:tcW w:w="1621" w:type="pct"/>
          </w:tcPr>
          <w:p w14:paraId="5FF9606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Iran; Irak</w:t>
            </w:r>
          </w:p>
        </w:tc>
      </w:tr>
      <w:tr w:rsidR="005969CE" w:rsidRPr="00FD736D" w14:paraId="2C37140C" w14:textId="77777777" w:rsidTr="007F4E66">
        <w:trPr>
          <w:trHeight w:val="20"/>
        </w:trPr>
        <w:tc>
          <w:tcPr>
            <w:tcW w:w="616" w:type="pct"/>
          </w:tcPr>
          <w:p w14:paraId="6DDD31E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Planiliza tade</w:t>
            </w:r>
          </w:p>
        </w:tc>
        <w:tc>
          <w:tcPr>
            <w:tcW w:w="632" w:type="pct"/>
          </w:tcPr>
          <w:p w14:paraId="59D08C6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Mugilidae / Mugiliformes</w:t>
            </w:r>
          </w:p>
        </w:tc>
        <w:tc>
          <w:tcPr>
            <w:tcW w:w="459" w:type="pct"/>
          </w:tcPr>
          <w:p w14:paraId="30A69C9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02D2128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Aby Lagoon-Bia-Tano; Beilun; Giang Thanh; Golok; Matamuhuri; Naf; Orange</w:t>
            </w:r>
          </w:p>
        </w:tc>
        <w:tc>
          <w:tcPr>
            <w:tcW w:w="1621" w:type="pct"/>
          </w:tcPr>
          <w:p w14:paraId="501E0F20"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Bangladesh; Cambodge; Chine; Côte d’Ivoire; Ghana; Malaisie; Myanmar; Namibie; Afrique du Sud; Thaïlande; Vietnam</w:t>
            </w:r>
          </w:p>
        </w:tc>
      </w:tr>
      <w:tr w:rsidR="005969CE" w:rsidRPr="00FD736D" w14:paraId="3FC4EEE7" w14:textId="77777777" w:rsidTr="007F4E66">
        <w:trPr>
          <w:trHeight w:val="20"/>
        </w:trPr>
        <w:tc>
          <w:tcPr>
            <w:tcW w:w="616" w:type="pct"/>
          </w:tcPr>
          <w:p w14:paraId="5808DD8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Platygobio gracilis</w:t>
            </w:r>
          </w:p>
        </w:tc>
        <w:tc>
          <w:tcPr>
            <w:tcW w:w="632" w:type="pct"/>
          </w:tcPr>
          <w:p w14:paraId="6727AE0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Leuciscidae / Cypriniformes</w:t>
            </w:r>
          </w:p>
        </w:tc>
        <w:tc>
          <w:tcPr>
            <w:tcW w:w="459" w:type="pct"/>
          </w:tcPr>
          <w:p w14:paraId="784D2E6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43F9B45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Mississippi</w:t>
            </w:r>
          </w:p>
        </w:tc>
        <w:tc>
          <w:tcPr>
            <w:tcW w:w="1621" w:type="pct"/>
          </w:tcPr>
          <w:p w14:paraId="5D87DA0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Canada; États-Unis d’Amérique</w:t>
            </w:r>
          </w:p>
        </w:tc>
      </w:tr>
      <w:tr w:rsidR="005969CE" w:rsidRPr="00FD736D" w14:paraId="18FB1250" w14:textId="77777777" w:rsidTr="007F4E66">
        <w:trPr>
          <w:trHeight w:val="20"/>
        </w:trPr>
        <w:tc>
          <w:tcPr>
            <w:tcW w:w="616" w:type="pct"/>
          </w:tcPr>
          <w:p w14:paraId="010DE70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Platysilurus malarmo</w:t>
            </w:r>
          </w:p>
        </w:tc>
        <w:tc>
          <w:tcPr>
            <w:tcW w:w="632" w:type="pct"/>
          </w:tcPr>
          <w:p w14:paraId="0D6448C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Pimelodidae / Siluriformes</w:t>
            </w:r>
          </w:p>
        </w:tc>
        <w:tc>
          <w:tcPr>
            <w:tcW w:w="459" w:type="pct"/>
          </w:tcPr>
          <w:p w14:paraId="5B493A0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234449A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Amazon; Catatumbo; Orinoco</w:t>
            </w:r>
          </w:p>
        </w:tc>
        <w:tc>
          <w:tcPr>
            <w:tcW w:w="1621" w:type="pct"/>
          </w:tcPr>
          <w:p w14:paraId="0DC9FCF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Bolivie; Colombie; Pérou; Venezuela</w:t>
            </w:r>
          </w:p>
        </w:tc>
      </w:tr>
      <w:tr w:rsidR="005969CE" w:rsidRPr="00FD736D" w14:paraId="00BEA38C" w14:textId="77777777" w:rsidTr="007F4E66">
        <w:trPr>
          <w:trHeight w:val="20"/>
        </w:trPr>
        <w:tc>
          <w:tcPr>
            <w:tcW w:w="616" w:type="pct"/>
          </w:tcPr>
          <w:p w14:paraId="72FA347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Plecoglossus altivelis</w:t>
            </w:r>
          </w:p>
        </w:tc>
        <w:tc>
          <w:tcPr>
            <w:tcW w:w="632" w:type="pct"/>
          </w:tcPr>
          <w:p w14:paraId="03BBBC4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Plecoglossidae / Osmeriformes</w:t>
            </w:r>
          </w:p>
        </w:tc>
        <w:tc>
          <w:tcPr>
            <w:tcW w:w="459" w:type="pct"/>
          </w:tcPr>
          <w:p w14:paraId="5432E42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3F67AFB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Beilun</w:t>
            </w:r>
          </w:p>
        </w:tc>
        <w:tc>
          <w:tcPr>
            <w:tcW w:w="1621" w:type="pct"/>
          </w:tcPr>
          <w:p w14:paraId="07CDE45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Vietnam</w:t>
            </w:r>
          </w:p>
        </w:tc>
      </w:tr>
      <w:tr w:rsidR="005969CE" w:rsidRPr="00FD736D" w14:paraId="6F6F0537" w14:textId="77777777" w:rsidTr="007F4E66">
        <w:trPr>
          <w:trHeight w:val="20"/>
        </w:trPr>
        <w:tc>
          <w:tcPr>
            <w:tcW w:w="616" w:type="pct"/>
          </w:tcPr>
          <w:p w14:paraId="2C94EA9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Pogonopoma obscurum</w:t>
            </w:r>
          </w:p>
        </w:tc>
        <w:tc>
          <w:tcPr>
            <w:tcW w:w="632" w:type="pct"/>
          </w:tcPr>
          <w:p w14:paraId="67F81CD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Loricariidae / Siluriformes</w:t>
            </w:r>
          </w:p>
        </w:tc>
        <w:tc>
          <w:tcPr>
            <w:tcW w:w="459" w:type="pct"/>
          </w:tcPr>
          <w:p w14:paraId="34781B3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7EBA10A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 Plata</w:t>
            </w:r>
          </w:p>
        </w:tc>
        <w:tc>
          <w:tcPr>
            <w:tcW w:w="1621" w:type="pct"/>
          </w:tcPr>
          <w:p w14:paraId="431DF5E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Argentine; Brésil</w:t>
            </w:r>
          </w:p>
        </w:tc>
      </w:tr>
      <w:tr w:rsidR="005969CE" w:rsidRPr="00FD736D" w14:paraId="15A00505" w14:textId="77777777" w:rsidTr="007F4E66">
        <w:trPr>
          <w:trHeight w:val="20"/>
        </w:trPr>
        <w:tc>
          <w:tcPr>
            <w:tcW w:w="616" w:type="pct"/>
          </w:tcPr>
          <w:p w14:paraId="1128039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Polydactylus sextarius</w:t>
            </w:r>
          </w:p>
        </w:tc>
        <w:tc>
          <w:tcPr>
            <w:tcW w:w="632" w:type="pct"/>
          </w:tcPr>
          <w:p w14:paraId="471DC3C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Polynemidae / Polynemiformes</w:t>
            </w:r>
          </w:p>
        </w:tc>
        <w:tc>
          <w:tcPr>
            <w:tcW w:w="459" w:type="pct"/>
          </w:tcPr>
          <w:p w14:paraId="5BED0EB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305AB01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Tigris-Euphrates/Shatt al Arab</w:t>
            </w:r>
          </w:p>
        </w:tc>
        <w:tc>
          <w:tcPr>
            <w:tcW w:w="1621" w:type="pct"/>
          </w:tcPr>
          <w:p w14:paraId="222236E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Iran; Irak</w:t>
            </w:r>
          </w:p>
        </w:tc>
      </w:tr>
      <w:tr w:rsidR="005969CE" w:rsidRPr="00FD736D" w14:paraId="00F995F9" w14:textId="77777777" w:rsidTr="007F4E66">
        <w:trPr>
          <w:trHeight w:val="20"/>
        </w:trPr>
        <w:tc>
          <w:tcPr>
            <w:tcW w:w="616" w:type="pct"/>
          </w:tcPr>
          <w:p w14:paraId="36ED5BE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Polynemus paradiseus</w:t>
            </w:r>
          </w:p>
        </w:tc>
        <w:tc>
          <w:tcPr>
            <w:tcW w:w="632" w:type="pct"/>
          </w:tcPr>
          <w:p w14:paraId="4AEB3A2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Polynemidae / Polynemiformes</w:t>
            </w:r>
          </w:p>
        </w:tc>
        <w:tc>
          <w:tcPr>
            <w:tcW w:w="459" w:type="pct"/>
          </w:tcPr>
          <w:p w14:paraId="3D23D65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22E1D8F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Dakatia; Feni; Ganges-Brahmaputra-Meghna; Giang Thanh; Golok; Kaladan; Karnaphuli; Matamuhuri; Naf; Pakchan; Song Vam Co Dong</w:t>
            </w:r>
          </w:p>
        </w:tc>
        <w:tc>
          <w:tcPr>
            <w:tcW w:w="1621" w:type="pct"/>
          </w:tcPr>
          <w:p w14:paraId="4D4C3E2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Bhoutan; Cambodge; Inde; Malaisie; Myanmar; Thaïlande; Vietnam</w:t>
            </w:r>
          </w:p>
        </w:tc>
      </w:tr>
      <w:tr w:rsidR="005969CE" w:rsidRPr="00FD736D" w14:paraId="562CECC1" w14:textId="77777777" w:rsidTr="007F4E66">
        <w:trPr>
          <w:trHeight w:val="20"/>
        </w:trPr>
        <w:tc>
          <w:tcPr>
            <w:tcW w:w="616" w:type="pct"/>
          </w:tcPr>
          <w:p w14:paraId="01FB143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Potamorhina laticeps</w:t>
            </w:r>
          </w:p>
        </w:tc>
        <w:tc>
          <w:tcPr>
            <w:tcW w:w="632" w:type="pct"/>
          </w:tcPr>
          <w:p w14:paraId="1843B35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Curimatidae / Characiformes</w:t>
            </w:r>
          </w:p>
        </w:tc>
        <w:tc>
          <w:tcPr>
            <w:tcW w:w="459" w:type="pct"/>
          </w:tcPr>
          <w:p w14:paraId="7843CD6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5C2BF43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Amazon; Catatumbo; Orinoco</w:t>
            </w:r>
          </w:p>
        </w:tc>
        <w:tc>
          <w:tcPr>
            <w:tcW w:w="1621" w:type="pct"/>
          </w:tcPr>
          <w:p w14:paraId="1D44097E"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Bolivie; Brésil; Colombie; Pérou; Venezuela</w:t>
            </w:r>
          </w:p>
        </w:tc>
      </w:tr>
      <w:tr w:rsidR="005969CE" w:rsidRPr="00FD736D" w14:paraId="2BCDBEA6" w14:textId="77777777" w:rsidTr="007F4E66">
        <w:trPr>
          <w:trHeight w:val="20"/>
        </w:trPr>
        <w:tc>
          <w:tcPr>
            <w:tcW w:w="616" w:type="pct"/>
          </w:tcPr>
          <w:p w14:paraId="14839AF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Potamotrygon constellata</w:t>
            </w:r>
          </w:p>
        </w:tc>
        <w:tc>
          <w:tcPr>
            <w:tcW w:w="632" w:type="pct"/>
          </w:tcPr>
          <w:p w14:paraId="17DD541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Potamotrygonidae / Myliobatiformes</w:t>
            </w:r>
          </w:p>
        </w:tc>
        <w:tc>
          <w:tcPr>
            <w:tcW w:w="459" w:type="pct"/>
          </w:tcPr>
          <w:p w14:paraId="20F0E0F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53F2091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Amazon</w:t>
            </w:r>
          </w:p>
        </w:tc>
        <w:tc>
          <w:tcPr>
            <w:tcW w:w="1621" w:type="pct"/>
          </w:tcPr>
          <w:p w14:paraId="0753902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Brésil; Colombie; Équateur; Pérou</w:t>
            </w:r>
          </w:p>
        </w:tc>
      </w:tr>
      <w:tr w:rsidR="005969CE" w:rsidRPr="00FD736D" w14:paraId="3DBE0FA9" w14:textId="77777777" w:rsidTr="007F4E66">
        <w:trPr>
          <w:trHeight w:val="20"/>
        </w:trPr>
        <w:tc>
          <w:tcPr>
            <w:tcW w:w="616" w:type="pct"/>
          </w:tcPr>
          <w:p w14:paraId="0F17ACA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Potamotrygon hystrix</w:t>
            </w:r>
          </w:p>
        </w:tc>
        <w:tc>
          <w:tcPr>
            <w:tcW w:w="632" w:type="pct"/>
          </w:tcPr>
          <w:p w14:paraId="1A47BEB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Potamotrygonidae / Myliobatiformes</w:t>
            </w:r>
          </w:p>
        </w:tc>
        <w:tc>
          <w:tcPr>
            <w:tcW w:w="459" w:type="pct"/>
          </w:tcPr>
          <w:p w14:paraId="4D6D2F5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70BE6F9A" w14:textId="77777777" w:rsidR="005969CE" w:rsidRPr="00FD736D" w:rsidRDefault="005969CE" w:rsidP="008A6534">
            <w:pPr>
              <w:spacing w:after="0" w:line="240" w:lineRule="auto"/>
              <w:rPr>
                <w:rFonts w:ascii="Arial" w:hAnsi="Arial" w:cs="Arial"/>
                <w:iCs/>
                <w:color w:val="000000" w:themeColor="text1"/>
                <w:sz w:val="20"/>
                <w:szCs w:val="20"/>
                <w:lang w:val="it-IT"/>
              </w:rPr>
            </w:pPr>
            <w:r w:rsidRPr="00FD736D">
              <w:rPr>
                <w:rFonts w:ascii="Arial" w:hAnsi="Arial" w:cs="Arial"/>
                <w:iCs/>
                <w:color w:val="000000" w:themeColor="text1"/>
                <w:sz w:val="20"/>
                <w:szCs w:val="20"/>
                <w:lang w:val="it-IT"/>
              </w:rPr>
              <w:t>Amazon; La Plata; Maroni; Oyapock</w:t>
            </w:r>
          </w:p>
        </w:tc>
        <w:tc>
          <w:tcPr>
            <w:tcW w:w="1621" w:type="pct"/>
          </w:tcPr>
          <w:p w14:paraId="15D17BCA" w14:textId="77777777" w:rsidR="005969CE"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Argentine; Brésil; Colombie; Équateur; Guyane française; Guyana; Paraguay; Suriname</w:t>
            </w:r>
          </w:p>
          <w:p w14:paraId="54CC53F7" w14:textId="77777777" w:rsidR="00C37301" w:rsidRPr="00FD736D" w:rsidRDefault="00C37301" w:rsidP="008A6534">
            <w:pPr>
              <w:spacing w:after="0" w:line="240" w:lineRule="auto"/>
              <w:rPr>
                <w:rFonts w:ascii="Arial" w:hAnsi="Arial" w:cs="Arial"/>
                <w:iCs/>
                <w:color w:val="000000" w:themeColor="text1"/>
                <w:sz w:val="20"/>
                <w:szCs w:val="20"/>
                <w:lang w:val="fr-FR"/>
              </w:rPr>
            </w:pPr>
          </w:p>
        </w:tc>
      </w:tr>
      <w:tr w:rsidR="005969CE" w:rsidRPr="00FD736D" w14:paraId="76F1485D" w14:textId="77777777" w:rsidTr="007F4E66">
        <w:trPr>
          <w:trHeight w:val="20"/>
        </w:trPr>
        <w:tc>
          <w:tcPr>
            <w:tcW w:w="616" w:type="pct"/>
          </w:tcPr>
          <w:p w14:paraId="3F6B939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Potamotrygon motoro</w:t>
            </w:r>
          </w:p>
        </w:tc>
        <w:tc>
          <w:tcPr>
            <w:tcW w:w="632" w:type="pct"/>
          </w:tcPr>
          <w:p w14:paraId="1D09255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Potamotrygonidae / Myliobatiformes</w:t>
            </w:r>
          </w:p>
        </w:tc>
        <w:tc>
          <w:tcPr>
            <w:tcW w:w="459" w:type="pct"/>
          </w:tcPr>
          <w:p w14:paraId="02E9C07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5C894A8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 Plata</w:t>
            </w:r>
          </w:p>
        </w:tc>
        <w:tc>
          <w:tcPr>
            <w:tcW w:w="1621" w:type="pct"/>
          </w:tcPr>
          <w:p w14:paraId="19FC165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Argentine; Bolivie; Paraguay</w:t>
            </w:r>
          </w:p>
        </w:tc>
      </w:tr>
      <w:tr w:rsidR="005969CE" w:rsidRPr="00FD736D" w14:paraId="10E2E811" w14:textId="77777777" w:rsidTr="007F4E66">
        <w:trPr>
          <w:trHeight w:val="20"/>
        </w:trPr>
        <w:tc>
          <w:tcPr>
            <w:tcW w:w="616" w:type="pct"/>
          </w:tcPr>
          <w:p w14:paraId="21720C4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Potamotrygon scobina</w:t>
            </w:r>
          </w:p>
        </w:tc>
        <w:tc>
          <w:tcPr>
            <w:tcW w:w="632" w:type="pct"/>
          </w:tcPr>
          <w:p w14:paraId="2F4EAAD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Potamotrygonidae / Myliobatiformes</w:t>
            </w:r>
          </w:p>
        </w:tc>
        <w:tc>
          <w:tcPr>
            <w:tcW w:w="459" w:type="pct"/>
          </w:tcPr>
          <w:p w14:paraId="77FC847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2D71E5C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Amazon; Orinoco</w:t>
            </w:r>
          </w:p>
        </w:tc>
        <w:tc>
          <w:tcPr>
            <w:tcW w:w="1621" w:type="pct"/>
          </w:tcPr>
          <w:p w14:paraId="0589C1F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Brésil; Colombie; Guyana; Venezuela</w:t>
            </w:r>
          </w:p>
        </w:tc>
      </w:tr>
      <w:tr w:rsidR="005969CE" w:rsidRPr="00FD736D" w14:paraId="09015AC3" w14:textId="77777777" w:rsidTr="007F4E66">
        <w:trPr>
          <w:trHeight w:val="20"/>
        </w:trPr>
        <w:tc>
          <w:tcPr>
            <w:tcW w:w="616" w:type="pct"/>
          </w:tcPr>
          <w:p w14:paraId="6BED84A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Probarbus jullieni</w:t>
            </w:r>
          </w:p>
        </w:tc>
        <w:tc>
          <w:tcPr>
            <w:tcW w:w="632" w:type="pct"/>
          </w:tcPr>
          <w:p w14:paraId="1206E88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2E12CE8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CR</w:t>
            </w:r>
          </w:p>
        </w:tc>
        <w:tc>
          <w:tcPr>
            <w:tcW w:w="1672" w:type="pct"/>
          </w:tcPr>
          <w:p w14:paraId="2289917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129F6C1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Myanmar; Thaïlande; Vietnam</w:t>
            </w:r>
          </w:p>
        </w:tc>
      </w:tr>
      <w:tr w:rsidR="005969CE" w:rsidRPr="00FD736D" w14:paraId="029D47C0" w14:textId="77777777" w:rsidTr="007F4E66">
        <w:trPr>
          <w:trHeight w:val="20"/>
        </w:trPr>
        <w:tc>
          <w:tcPr>
            <w:tcW w:w="616" w:type="pct"/>
          </w:tcPr>
          <w:p w14:paraId="1403A01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Probarbus labeamajor</w:t>
            </w:r>
          </w:p>
        </w:tc>
        <w:tc>
          <w:tcPr>
            <w:tcW w:w="632" w:type="pct"/>
          </w:tcPr>
          <w:p w14:paraId="6A2257F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429694D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25D9200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15AF56A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727775EB" w14:textId="77777777" w:rsidTr="007F4E66">
        <w:trPr>
          <w:trHeight w:val="20"/>
        </w:trPr>
        <w:tc>
          <w:tcPr>
            <w:tcW w:w="616" w:type="pct"/>
          </w:tcPr>
          <w:p w14:paraId="66D651D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Probarbus labeaminor</w:t>
            </w:r>
          </w:p>
        </w:tc>
        <w:tc>
          <w:tcPr>
            <w:tcW w:w="632" w:type="pct"/>
          </w:tcPr>
          <w:p w14:paraId="470F5F3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33C44F8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0D2B5DF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53BF71A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w:t>
            </w:r>
          </w:p>
        </w:tc>
      </w:tr>
      <w:tr w:rsidR="005969CE" w:rsidRPr="00FD736D" w14:paraId="70834C68" w14:textId="77777777" w:rsidTr="007F4E66">
        <w:trPr>
          <w:trHeight w:val="20"/>
        </w:trPr>
        <w:tc>
          <w:tcPr>
            <w:tcW w:w="616" w:type="pct"/>
          </w:tcPr>
          <w:p w14:paraId="6BF3B44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Prochilodus mariae</w:t>
            </w:r>
          </w:p>
        </w:tc>
        <w:tc>
          <w:tcPr>
            <w:tcW w:w="632" w:type="pct"/>
          </w:tcPr>
          <w:p w14:paraId="7F58D89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Prochilodontidae / Characiformes</w:t>
            </w:r>
          </w:p>
        </w:tc>
        <w:tc>
          <w:tcPr>
            <w:tcW w:w="459" w:type="pct"/>
          </w:tcPr>
          <w:p w14:paraId="0E7A2B5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7FDD86A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Orinoco</w:t>
            </w:r>
          </w:p>
        </w:tc>
        <w:tc>
          <w:tcPr>
            <w:tcW w:w="1621" w:type="pct"/>
          </w:tcPr>
          <w:p w14:paraId="708319D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Colombie; Venezuela</w:t>
            </w:r>
          </w:p>
        </w:tc>
      </w:tr>
      <w:tr w:rsidR="005969CE" w:rsidRPr="00FD736D" w14:paraId="02DB2D97" w14:textId="77777777" w:rsidTr="007F4E66">
        <w:trPr>
          <w:trHeight w:val="20"/>
        </w:trPr>
        <w:tc>
          <w:tcPr>
            <w:tcW w:w="616" w:type="pct"/>
          </w:tcPr>
          <w:p w14:paraId="781722F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Prochilodus reticulatus</w:t>
            </w:r>
          </w:p>
        </w:tc>
        <w:tc>
          <w:tcPr>
            <w:tcW w:w="632" w:type="pct"/>
          </w:tcPr>
          <w:p w14:paraId="2AA67C2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Prochilodontidae / Characiformes</w:t>
            </w:r>
          </w:p>
        </w:tc>
        <w:tc>
          <w:tcPr>
            <w:tcW w:w="459" w:type="pct"/>
          </w:tcPr>
          <w:p w14:paraId="4FF5FD8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2B0CB6B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Catatumbo; La Plata; Maroni</w:t>
            </w:r>
          </w:p>
        </w:tc>
        <w:tc>
          <w:tcPr>
            <w:tcW w:w="1621" w:type="pct"/>
          </w:tcPr>
          <w:p w14:paraId="21CAF9BB"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Argentine; Brésil; Colombie; Guyane française; Paraguay; Suriname; Venezuela</w:t>
            </w:r>
          </w:p>
        </w:tc>
      </w:tr>
      <w:tr w:rsidR="005969CE" w:rsidRPr="00FD736D" w14:paraId="7C1CCD0C" w14:textId="77777777" w:rsidTr="007F4E66">
        <w:trPr>
          <w:trHeight w:val="20"/>
        </w:trPr>
        <w:tc>
          <w:tcPr>
            <w:tcW w:w="616" w:type="pct"/>
          </w:tcPr>
          <w:p w14:paraId="2D70A53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Procypris mera</w:t>
            </w:r>
          </w:p>
        </w:tc>
        <w:tc>
          <w:tcPr>
            <w:tcW w:w="632" w:type="pct"/>
          </w:tcPr>
          <w:p w14:paraId="557FF58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28FAD06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391AA8A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Pearl</w:t>
            </w:r>
          </w:p>
        </w:tc>
        <w:tc>
          <w:tcPr>
            <w:tcW w:w="1621" w:type="pct"/>
          </w:tcPr>
          <w:p w14:paraId="4EC524A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Vietnam</w:t>
            </w:r>
          </w:p>
        </w:tc>
      </w:tr>
      <w:tr w:rsidR="005969CE" w:rsidRPr="00FD736D" w14:paraId="1C54D745" w14:textId="77777777" w:rsidTr="007F4E66">
        <w:trPr>
          <w:trHeight w:val="20"/>
        </w:trPr>
        <w:tc>
          <w:tcPr>
            <w:tcW w:w="616" w:type="pct"/>
          </w:tcPr>
          <w:p w14:paraId="77F33B2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Protosalanx chinensis</w:t>
            </w:r>
          </w:p>
        </w:tc>
        <w:tc>
          <w:tcPr>
            <w:tcW w:w="632" w:type="pct"/>
          </w:tcPr>
          <w:p w14:paraId="4930E8F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Salangidae / Osmeriformes</w:t>
            </w:r>
          </w:p>
        </w:tc>
        <w:tc>
          <w:tcPr>
            <w:tcW w:w="459" w:type="pct"/>
          </w:tcPr>
          <w:p w14:paraId="7465FC3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07896B1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Beilun; Han; Yalu</w:t>
            </w:r>
          </w:p>
        </w:tc>
        <w:tc>
          <w:tcPr>
            <w:tcW w:w="1621" w:type="pct"/>
          </w:tcPr>
          <w:p w14:paraId="3DDE8303"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Chine; Corée du Nord; Corée du Sud; Vietnam</w:t>
            </w:r>
          </w:p>
        </w:tc>
      </w:tr>
      <w:tr w:rsidR="005969CE" w:rsidRPr="00FD736D" w14:paraId="3B41D063" w14:textId="77777777" w:rsidTr="007F4E66">
        <w:trPr>
          <w:trHeight w:val="20"/>
        </w:trPr>
        <w:tc>
          <w:tcPr>
            <w:tcW w:w="616" w:type="pct"/>
          </w:tcPr>
          <w:p w14:paraId="7DD328F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Pseudocurimata boulengeri</w:t>
            </w:r>
          </w:p>
        </w:tc>
        <w:tc>
          <w:tcPr>
            <w:tcW w:w="632" w:type="pct"/>
          </w:tcPr>
          <w:p w14:paraId="28D8513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Curimatidae / Characiformes</w:t>
            </w:r>
          </w:p>
        </w:tc>
        <w:tc>
          <w:tcPr>
            <w:tcW w:w="459" w:type="pct"/>
          </w:tcPr>
          <w:p w14:paraId="0DB0ACF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4DE8F8A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Zarumilla</w:t>
            </w:r>
          </w:p>
        </w:tc>
        <w:tc>
          <w:tcPr>
            <w:tcW w:w="1621" w:type="pct"/>
          </w:tcPr>
          <w:p w14:paraId="7D97952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Équateur; Pérou</w:t>
            </w:r>
          </w:p>
        </w:tc>
      </w:tr>
      <w:tr w:rsidR="005969CE" w:rsidRPr="00FD736D" w14:paraId="54E5FE09" w14:textId="77777777" w:rsidTr="007F4E66">
        <w:trPr>
          <w:trHeight w:val="20"/>
        </w:trPr>
        <w:tc>
          <w:tcPr>
            <w:tcW w:w="616" w:type="pct"/>
          </w:tcPr>
          <w:p w14:paraId="66E429E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Pseudocurimata Pérouana</w:t>
            </w:r>
          </w:p>
        </w:tc>
        <w:tc>
          <w:tcPr>
            <w:tcW w:w="632" w:type="pct"/>
          </w:tcPr>
          <w:p w14:paraId="5A29394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Curimatidae / Characiformes</w:t>
            </w:r>
          </w:p>
        </w:tc>
        <w:tc>
          <w:tcPr>
            <w:tcW w:w="459" w:type="pct"/>
          </w:tcPr>
          <w:p w14:paraId="7A86F38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2639EF6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Chira; Tumbes; Zarumilla</w:t>
            </w:r>
          </w:p>
        </w:tc>
        <w:tc>
          <w:tcPr>
            <w:tcW w:w="1621" w:type="pct"/>
          </w:tcPr>
          <w:p w14:paraId="17A2A02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Équateur; Pérou</w:t>
            </w:r>
          </w:p>
        </w:tc>
      </w:tr>
      <w:tr w:rsidR="005969CE" w:rsidRPr="00FD736D" w14:paraId="1172F1A2" w14:textId="77777777" w:rsidTr="007F4E66">
        <w:trPr>
          <w:trHeight w:val="20"/>
        </w:trPr>
        <w:tc>
          <w:tcPr>
            <w:tcW w:w="616" w:type="pct"/>
          </w:tcPr>
          <w:p w14:paraId="164F764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Pseudohemiculter dispar</w:t>
            </w:r>
          </w:p>
        </w:tc>
        <w:tc>
          <w:tcPr>
            <w:tcW w:w="632" w:type="pct"/>
          </w:tcPr>
          <w:p w14:paraId="0178BDC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1014980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0118917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Beilun; Ca/Lam/Song-Koi; Ma; Mekong; Pearl; Red/Song Hong</w:t>
            </w:r>
          </w:p>
        </w:tc>
        <w:tc>
          <w:tcPr>
            <w:tcW w:w="1621" w:type="pct"/>
          </w:tcPr>
          <w:p w14:paraId="2690860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Chine; Laos; Myanmar; Thaïlande; Vietnam</w:t>
            </w:r>
          </w:p>
        </w:tc>
      </w:tr>
      <w:tr w:rsidR="005969CE" w:rsidRPr="00FD736D" w14:paraId="25A5205A" w14:textId="77777777" w:rsidTr="007F4E66">
        <w:trPr>
          <w:trHeight w:val="20"/>
        </w:trPr>
        <w:tc>
          <w:tcPr>
            <w:tcW w:w="616" w:type="pct"/>
          </w:tcPr>
          <w:p w14:paraId="01AC9FD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Pseudoplatystoma corruscans</w:t>
            </w:r>
          </w:p>
        </w:tc>
        <w:tc>
          <w:tcPr>
            <w:tcW w:w="632" w:type="pct"/>
          </w:tcPr>
          <w:p w14:paraId="567C68E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Pimelodidae / Siluriformes</w:t>
            </w:r>
          </w:p>
        </w:tc>
        <w:tc>
          <w:tcPr>
            <w:tcW w:w="459" w:type="pct"/>
          </w:tcPr>
          <w:p w14:paraId="7DD1141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58FC098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 Plata; Lagoon Mirim</w:t>
            </w:r>
          </w:p>
        </w:tc>
        <w:tc>
          <w:tcPr>
            <w:tcW w:w="1621" w:type="pct"/>
          </w:tcPr>
          <w:p w14:paraId="5807286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Argentine; Bolivie; Brésil; Paraguay; Uruguay</w:t>
            </w:r>
          </w:p>
        </w:tc>
      </w:tr>
      <w:tr w:rsidR="005969CE" w:rsidRPr="00FD736D" w14:paraId="3FF3EB18" w14:textId="77777777" w:rsidTr="007F4E66">
        <w:trPr>
          <w:trHeight w:val="20"/>
        </w:trPr>
        <w:tc>
          <w:tcPr>
            <w:tcW w:w="616" w:type="pct"/>
          </w:tcPr>
          <w:p w14:paraId="4AD6F3F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Pseudoplatystoma fasciatum</w:t>
            </w:r>
          </w:p>
        </w:tc>
        <w:tc>
          <w:tcPr>
            <w:tcW w:w="632" w:type="pct"/>
          </w:tcPr>
          <w:p w14:paraId="335AFBD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Pimelodidae / Siluriformes</w:t>
            </w:r>
          </w:p>
        </w:tc>
        <w:tc>
          <w:tcPr>
            <w:tcW w:w="459" w:type="pct"/>
          </w:tcPr>
          <w:p w14:paraId="447C332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6BC36D6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Courantyne; Maroni; Oyapock</w:t>
            </w:r>
          </w:p>
        </w:tc>
        <w:tc>
          <w:tcPr>
            <w:tcW w:w="1621" w:type="pct"/>
          </w:tcPr>
          <w:p w14:paraId="43481900"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Brésil; Guyane française; Guyana; Suriname</w:t>
            </w:r>
          </w:p>
        </w:tc>
      </w:tr>
      <w:tr w:rsidR="005969CE" w:rsidRPr="00FD736D" w14:paraId="58E9372B" w14:textId="77777777" w:rsidTr="007F4E66">
        <w:trPr>
          <w:trHeight w:val="20"/>
        </w:trPr>
        <w:tc>
          <w:tcPr>
            <w:tcW w:w="616" w:type="pct"/>
          </w:tcPr>
          <w:p w14:paraId="0B8EC63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Pseudoplatystoma metaense</w:t>
            </w:r>
          </w:p>
        </w:tc>
        <w:tc>
          <w:tcPr>
            <w:tcW w:w="632" w:type="pct"/>
          </w:tcPr>
          <w:p w14:paraId="7F58202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Pimelodidae / Siluriformes</w:t>
            </w:r>
          </w:p>
        </w:tc>
        <w:tc>
          <w:tcPr>
            <w:tcW w:w="459" w:type="pct"/>
          </w:tcPr>
          <w:p w14:paraId="72D633A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1E88BCE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Orinoco</w:t>
            </w:r>
          </w:p>
        </w:tc>
        <w:tc>
          <w:tcPr>
            <w:tcW w:w="1621" w:type="pct"/>
          </w:tcPr>
          <w:p w14:paraId="7EC4A48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Colombie; Venezuela</w:t>
            </w:r>
          </w:p>
        </w:tc>
      </w:tr>
      <w:tr w:rsidR="005969CE" w:rsidRPr="00FD736D" w14:paraId="4CE71171" w14:textId="77777777" w:rsidTr="007F4E66">
        <w:trPr>
          <w:trHeight w:val="20"/>
        </w:trPr>
        <w:tc>
          <w:tcPr>
            <w:tcW w:w="616" w:type="pct"/>
          </w:tcPr>
          <w:p w14:paraId="05F6625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Pseudoplatystoma orinocoense</w:t>
            </w:r>
          </w:p>
        </w:tc>
        <w:tc>
          <w:tcPr>
            <w:tcW w:w="632" w:type="pct"/>
          </w:tcPr>
          <w:p w14:paraId="58273E6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Pimelodidae / Siluriformes</w:t>
            </w:r>
          </w:p>
        </w:tc>
        <w:tc>
          <w:tcPr>
            <w:tcW w:w="459" w:type="pct"/>
          </w:tcPr>
          <w:p w14:paraId="7492DCD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412F575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Orinoco</w:t>
            </w:r>
          </w:p>
        </w:tc>
        <w:tc>
          <w:tcPr>
            <w:tcW w:w="1621" w:type="pct"/>
          </w:tcPr>
          <w:p w14:paraId="5036444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Colombie; Venezuela</w:t>
            </w:r>
          </w:p>
        </w:tc>
      </w:tr>
      <w:tr w:rsidR="005969CE" w:rsidRPr="00FD736D" w14:paraId="32E98E6E" w14:textId="77777777" w:rsidTr="007F4E66">
        <w:trPr>
          <w:trHeight w:val="20"/>
        </w:trPr>
        <w:tc>
          <w:tcPr>
            <w:tcW w:w="616" w:type="pct"/>
          </w:tcPr>
          <w:p w14:paraId="5795033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Rasbora hobelmani</w:t>
            </w:r>
          </w:p>
        </w:tc>
        <w:tc>
          <w:tcPr>
            <w:tcW w:w="632" w:type="pct"/>
          </w:tcPr>
          <w:p w14:paraId="0AA9A67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Danionidae / Cypriniformes</w:t>
            </w:r>
          </w:p>
        </w:tc>
        <w:tc>
          <w:tcPr>
            <w:tcW w:w="459" w:type="pct"/>
          </w:tcPr>
          <w:p w14:paraId="2964916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122BED2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3A35898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w:t>
            </w:r>
          </w:p>
        </w:tc>
      </w:tr>
      <w:tr w:rsidR="005969CE" w:rsidRPr="00FD736D" w14:paraId="497B13C7" w14:textId="77777777" w:rsidTr="007F4E66">
        <w:trPr>
          <w:trHeight w:val="20"/>
        </w:trPr>
        <w:tc>
          <w:tcPr>
            <w:tcW w:w="616" w:type="pct"/>
          </w:tcPr>
          <w:p w14:paraId="4509E70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Rhinelepis aspera</w:t>
            </w:r>
          </w:p>
        </w:tc>
        <w:tc>
          <w:tcPr>
            <w:tcW w:w="632" w:type="pct"/>
          </w:tcPr>
          <w:p w14:paraId="27EFF16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Loricariidae / Siluriformes</w:t>
            </w:r>
          </w:p>
        </w:tc>
        <w:tc>
          <w:tcPr>
            <w:tcW w:w="459" w:type="pct"/>
          </w:tcPr>
          <w:p w14:paraId="3B0D90D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1279F1A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 Plata</w:t>
            </w:r>
          </w:p>
        </w:tc>
        <w:tc>
          <w:tcPr>
            <w:tcW w:w="1621" w:type="pct"/>
          </w:tcPr>
          <w:p w14:paraId="6B37747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Argentine; Brésil; Paraguay</w:t>
            </w:r>
          </w:p>
        </w:tc>
      </w:tr>
      <w:tr w:rsidR="005969CE" w:rsidRPr="00FD736D" w14:paraId="139F8091" w14:textId="77777777" w:rsidTr="007F4E66">
        <w:trPr>
          <w:trHeight w:val="20"/>
        </w:trPr>
        <w:tc>
          <w:tcPr>
            <w:tcW w:w="616" w:type="pct"/>
          </w:tcPr>
          <w:p w14:paraId="11B2958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Rhonciscus crocro</w:t>
            </w:r>
          </w:p>
        </w:tc>
        <w:tc>
          <w:tcPr>
            <w:tcW w:w="632" w:type="pct"/>
          </w:tcPr>
          <w:p w14:paraId="0B1F4CE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Haemulidae / Eupercaria incertae sedis</w:t>
            </w:r>
          </w:p>
        </w:tc>
        <w:tc>
          <w:tcPr>
            <w:tcW w:w="459" w:type="pct"/>
          </w:tcPr>
          <w:p w14:paraId="4AD5691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782CB1C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Coco; Motagua; Oyapock; Rio Grande (Amérique du Nord); San Juan; Sarstoon; Sixaola</w:t>
            </w:r>
          </w:p>
        </w:tc>
        <w:tc>
          <w:tcPr>
            <w:tcW w:w="1621" w:type="pct"/>
          </w:tcPr>
          <w:p w14:paraId="65AC0743"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Belize; Brésil; Costa Rica; Guyane française; Guatemala; Honduras; Mexique; Nicaragua; Panama; États-Unis d’Amérique</w:t>
            </w:r>
          </w:p>
        </w:tc>
      </w:tr>
      <w:tr w:rsidR="005969CE" w:rsidRPr="00FD736D" w14:paraId="166E6793" w14:textId="77777777" w:rsidTr="007F4E66">
        <w:trPr>
          <w:trHeight w:val="20"/>
        </w:trPr>
        <w:tc>
          <w:tcPr>
            <w:tcW w:w="616" w:type="pct"/>
          </w:tcPr>
          <w:p w14:paraId="6913EB6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Rutilus meidingeri</w:t>
            </w:r>
          </w:p>
        </w:tc>
        <w:tc>
          <w:tcPr>
            <w:tcW w:w="632" w:type="pct"/>
          </w:tcPr>
          <w:p w14:paraId="3C39C4A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Leuciscidae / Cypriniformes</w:t>
            </w:r>
          </w:p>
        </w:tc>
        <w:tc>
          <w:tcPr>
            <w:tcW w:w="459" w:type="pct"/>
          </w:tcPr>
          <w:p w14:paraId="0F39068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19BCC2D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Danube</w:t>
            </w:r>
          </w:p>
        </w:tc>
        <w:tc>
          <w:tcPr>
            <w:tcW w:w="1621" w:type="pct"/>
          </w:tcPr>
          <w:p w14:paraId="798C4CE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Autriche; Allemagne</w:t>
            </w:r>
          </w:p>
        </w:tc>
      </w:tr>
      <w:tr w:rsidR="005969CE" w:rsidRPr="00FD736D" w14:paraId="68A4F627" w14:textId="77777777" w:rsidTr="007F4E66">
        <w:trPr>
          <w:trHeight w:val="20"/>
        </w:trPr>
        <w:tc>
          <w:tcPr>
            <w:tcW w:w="616" w:type="pct"/>
          </w:tcPr>
          <w:p w14:paraId="2488346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Salanx chinensis</w:t>
            </w:r>
          </w:p>
        </w:tc>
        <w:tc>
          <w:tcPr>
            <w:tcW w:w="632" w:type="pct"/>
          </w:tcPr>
          <w:p w14:paraId="184FA15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Salangidae / Osmeriformes</w:t>
            </w:r>
          </w:p>
        </w:tc>
        <w:tc>
          <w:tcPr>
            <w:tcW w:w="459" w:type="pct"/>
          </w:tcPr>
          <w:p w14:paraId="41ECA65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2EB5885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Beilun</w:t>
            </w:r>
          </w:p>
        </w:tc>
        <w:tc>
          <w:tcPr>
            <w:tcW w:w="1621" w:type="pct"/>
          </w:tcPr>
          <w:p w14:paraId="053BF7F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Vietnam</w:t>
            </w:r>
          </w:p>
        </w:tc>
      </w:tr>
      <w:tr w:rsidR="005969CE" w:rsidRPr="00FD736D" w14:paraId="3BF40F6C" w14:textId="77777777" w:rsidTr="007F4E66">
        <w:trPr>
          <w:trHeight w:val="20"/>
        </w:trPr>
        <w:tc>
          <w:tcPr>
            <w:tcW w:w="616" w:type="pct"/>
          </w:tcPr>
          <w:p w14:paraId="1B84292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Salmo labrax</w:t>
            </w:r>
          </w:p>
        </w:tc>
        <w:tc>
          <w:tcPr>
            <w:tcW w:w="632" w:type="pct"/>
          </w:tcPr>
          <w:p w14:paraId="382CC2F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Salmonidae / Salmoniformes</w:t>
            </w:r>
          </w:p>
        </w:tc>
        <w:tc>
          <w:tcPr>
            <w:tcW w:w="459" w:type="pct"/>
          </w:tcPr>
          <w:p w14:paraId="283F93B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2A125FC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Danube; Dnieper; Dniestr; Don; Mius</w:t>
            </w:r>
          </w:p>
        </w:tc>
        <w:tc>
          <w:tcPr>
            <w:tcW w:w="1621" w:type="pct"/>
          </w:tcPr>
          <w:p w14:paraId="1DF0DA51"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Kosovo; Moldavie; Monténégro; Roumanie; Russie; Serbie; Slovaquie; Slovénie; Ukraine</w:t>
            </w:r>
          </w:p>
        </w:tc>
      </w:tr>
      <w:tr w:rsidR="005969CE" w:rsidRPr="00FD736D" w14:paraId="55F9A3FB" w14:textId="77777777" w:rsidTr="007F4E66">
        <w:trPr>
          <w:trHeight w:val="20"/>
        </w:trPr>
        <w:tc>
          <w:tcPr>
            <w:tcW w:w="616" w:type="pct"/>
          </w:tcPr>
          <w:p w14:paraId="1D006C5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Salmo macrostigma</w:t>
            </w:r>
          </w:p>
        </w:tc>
        <w:tc>
          <w:tcPr>
            <w:tcW w:w="632" w:type="pct"/>
          </w:tcPr>
          <w:p w14:paraId="344911B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Salmonidae / Salmoniformes</w:t>
            </w:r>
          </w:p>
        </w:tc>
        <w:tc>
          <w:tcPr>
            <w:tcW w:w="459" w:type="pct"/>
          </w:tcPr>
          <w:p w14:paraId="723A21C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3B2DB56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Medjerda; Moulouya</w:t>
            </w:r>
          </w:p>
        </w:tc>
        <w:tc>
          <w:tcPr>
            <w:tcW w:w="1621" w:type="pct"/>
          </w:tcPr>
          <w:p w14:paraId="639493D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Algérie; Maroc; Tunisie</w:t>
            </w:r>
          </w:p>
        </w:tc>
      </w:tr>
      <w:tr w:rsidR="005969CE" w:rsidRPr="00FD736D" w14:paraId="71952050" w14:textId="77777777" w:rsidTr="007F4E66">
        <w:trPr>
          <w:trHeight w:val="20"/>
        </w:trPr>
        <w:tc>
          <w:tcPr>
            <w:tcW w:w="616" w:type="pct"/>
          </w:tcPr>
          <w:p w14:paraId="6514C97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Salmo marmoratus</w:t>
            </w:r>
          </w:p>
        </w:tc>
        <w:tc>
          <w:tcPr>
            <w:tcW w:w="632" w:type="pct"/>
          </w:tcPr>
          <w:p w14:paraId="6980FE8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Salmonidae / Salmoniformes</w:t>
            </w:r>
          </w:p>
        </w:tc>
        <w:tc>
          <w:tcPr>
            <w:tcW w:w="459" w:type="pct"/>
          </w:tcPr>
          <w:p w14:paraId="14B1019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6595FBE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Buna; Neretva; Po; Soca</w:t>
            </w:r>
          </w:p>
        </w:tc>
        <w:tc>
          <w:tcPr>
            <w:tcW w:w="1621" w:type="pct"/>
          </w:tcPr>
          <w:p w14:paraId="45EEB4A6"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Albanie; Bosnie-Herzégovine; Croatie; Italie; Monténégro; Slovénie; Suisse</w:t>
            </w:r>
          </w:p>
        </w:tc>
      </w:tr>
      <w:tr w:rsidR="005969CE" w:rsidRPr="00FD736D" w14:paraId="712A05FB" w14:textId="77777777" w:rsidTr="007F4E66">
        <w:trPr>
          <w:trHeight w:val="20"/>
        </w:trPr>
        <w:tc>
          <w:tcPr>
            <w:tcW w:w="616" w:type="pct"/>
          </w:tcPr>
          <w:p w14:paraId="01059F5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Salmo salar</w:t>
            </w:r>
          </w:p>
        </w:tc>
        <w:tc>
          <w:tcPr>
            <w:tcW w:w="632" w:type="pct"/>
          </w:tcPr>
          <w:p w14:paraId="4FBF87D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Salmonidae / Salmoniformes</w:t>
            </w:r>
          </w:p>
        </w:tc>
        <w:tc>
          <w:tcPr>
            <w:tcW w:w="459" w:type="pct"/>
          </w:tcPr>
          <w:p w14:paraId="01CAB01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57D1A8F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Barta; Daugava; Erne; Foyle; Gauja; Iddefjord; IJsselmeer; Lielupe; Minho; Naatamo; Narva; Neman; Newry; Paatsjoki; Peschanaya; Rhine; Saint Croix; Tana; Torne; Venta; Vida</w:t>
            </w:r>
          </w:p>
        </w:tc>
        <w:tc>
          <w:tcPr>
            <w:tcW w:w="1621" w:type="pct"/>
          </w:tcPr>
          <w:p w14:paraId="214BB9F7"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Biélorussie; Canada; Danemark; Estonie; Finlande; France; Allemagne; Irlande; Lettonie; Lituanie; Luxembourg; Pays-Bas; Norvège; Portugal; Russie; Russie (Kaliningrad); Espagne; Suède; Royaume-Uni; États-Unis d’Amérique</w:t>
            </w:r>
          </w:p>
        </w:tc>
      </w:tr>
      <w:tr w:rsidR="005969CE" w:rsidRPr="00FD736D" w14:paraId="30CF5D7F" w14:textId="77777777" w:rsidTr="007F4E66">
        <w:trPr>
          <w:trHeight w:val="20"/>
        </w:trPr>
        <w:tc>
          <w:tcPr>
            <w:tcW w:w="616" w:type="pct"/>
          </w:tcPr>
          <w:p w14:paraId="7434526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Salvelinus alpinus</w:t>
            </w:r>
          </w:p>
        </w:tc>
        <w:tc>
          <w:tcPr>
            <w:tcW w:w="632" w:type="pct"/>
          </w:tcPr>
          <w:p w14:paraId="164B6E0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Salmonidae / Salmoniformes</w:t>
            </w:r>
          </w:p>
        </w:tc>
        <w:tc>
          <w:tcPr>
            <w:tcW w:w="459" w:type="pct"/>
          </w:tcPr>
          <w:p w14:paraId="66C8C63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3F68938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Altaelva; Angerman; Danube; Erne; Firth; Foyle; Naatamo; Paatsjoki; Rhine; Rhone; Saint John (Amérique du Nord); Tana; Torne; Tuloma; Ume; Yukon</w:t>
            </w:r>
          </w:p>
        </w:tc>
        <w:tc>
          <w:tcPr>
            <w:tcW w:w="1621" w:type="pct"/>
          </w:tcPr>
          <w:p w14:paraId="29F1802F"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Autriche; Canada; Finlande; France; Allemagne; Irlande; Liechtenstein; Norvège; Russie; Suède; Suisse; Royaume-Uni; États-Unis d’Amérique; États-Unis d’Amérique (Alaska)</w:t>
            </w:r>
          </w:p>
        </w:tc>
      </w:tr>
      <w:tr w:rsidR="005969CE" w:rsidRPr="00FD736D" w14:paraId="2CE41DB3" w14:textId="77777777" w:rsidTr="007F4E66">
        <w:trPr>
          <w:trHeight w:val="20"/>
        </w:trPr>
        <w:tc>
          <w:tcPr>
            <w:tcW w:w="616" w:type="pct"/>
          </w:tcPr>
          <w:p w14:paraId="1E42A37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Salvelinus confluentus</w:t>
            </w:r>
          </w:p>
        </w:tc>
        <w:tc>
          <w:tcPr>
            <w:tcW w:w="632" w:type="pct"/>
          </w:tcPr>
          <w:p w14:paraId="7D86976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Salmonidae / Salmoniformes</w:t>
            </w:r>
          </w:p>
        </w:tc>
        <w:tc>
          <w:tcPr>
            <w:tcW w:w="459" w:type="pct"/>
          </w:tcPr>
          <w:p w14:paraId="2F6C001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5D4C8E4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Alsek; Chilkat; Columbia; Skagit; Stikine; Taku; Unuk; Whiting</w:t>
            </w:r>
          </w:p>
        </w:tc>
        <w:tc>
          <w:tcPr>
            <w:tcW w:w="1621" w:type="pct"/>
          </w:tcPr>
          <w:p w14:paraId="5CFB39C5"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Canada; États-Unis d’Amérique; États-Unis d’Amérique (Alaska)</w:t>
            </w:r>
          </w:p>
        </w:tc>
      </w:tr>
      <w:tr w:rsidR="005969CE" w:rsidRPr="00FD736D" w14:paraId="76C2998D" w14:textId="77777777" w:rsidTr="007F4E66">
        <w:trPr>
          <w:trHeight w:val="20"/>
        </w:trPr>
        <w:tc>
          <w:tcPr>
            <w:tcW w:w="616" w:type="pct"/>
          </w:tcPr>
          <w:p w14:paraId="46541B6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Scaphirhynchus albus</w:t>
            </w:r>
          </w:p>
        </w:tc>
        <w:tc>
          <w:tcPr>
            <w:tcW w:w="632" w:type="pct"/>
          </w:tcPr>
          <w:p w14:paraId="23ACA4F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Acipenseridae / Acipenseriformes</w:t>
            </w:r>
          </w:p>
        </w:tc>
        <w:tc>
          <w:tcPr>
            <w:tcW w:w="459" w:type="pct"/>
          </w:tcPr>
          <w:p w14:paraId="3141BAC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CR</w:t>
            </w:r>
          </w:p>
        </w:tc>
        <w:tc>
          <w:tcPr>
            <w:tcW w:w="1672" w:type="pct"/>
          </w:tcPr>
          <w:p w14:paraId="41A7215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Mississippi</w:t>
            </w:r>
          </w:p>
        </w:tc>
        <w:tc>
          <w:tcPr>
            <w:tcW w:w="1621" w:type="pct"/>
          </w:tcPr>
          <w:p w14:paraId="43B7A1A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Canada; États-Unis d’Amérique</w:t>
            </w:r>
          </w:p>
        </w:tc>
      </w:tr>
      <w:tr w:rsidR="005969CE" w:rsidRPr="00FD736D" w14:paraId="011ED572" w14:textId="77777777" w:rsidTr="007F4E66">
        <w:trPr>
          <w:trHeight w:val="20"/>
        </w:trPr>
        <w:tc>
          <w:tcPr>
            <w:tcW w:w="616" w:type="pct"/>
          </w:tcPr>
          <w:p w14:paraId="2289B46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Scaphognathops bandanensis</w:t>
            </w:r>
          </w:p>
        </w:tc>
        <w:tc>
          <w:tcPr>
            <w:tcW w:w="632" w:type="pct"/>
          </w:tcPr>
          <w:p w14:paraId="17DAA8C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3A89166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382D7E4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445161B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Myanmar; Thaïlande; Vietnam</w:t>
            </w:r>
          </w:p>
        </w:tc>
      </w:tr>
      <w:tr w:rsidR="005969CE" w:rsidRPr="00FD736D" w14:paraId="065670C3" w14:textId="77777777" w:rsidTr="007F4E66">
        <w:trPr>
          <w:trHeight w:val="20"/>
        </w:trPr>
        <w:tc>
          <w:tcPr>
            <w:tcW w:w="616" w:type="pct"/>
          </w:tcPr>
          <w:p w14:paraId="16EF24B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Schizocypris brucei</w:t>
            </w:r>
          </w:p>
        </w:tc>
        <w:tc>
          <w:tcPr>
            <w:tcW w:w="632" w:type="pct"/>
          </w:tcPr>
          <w:p w14:paraId="6F608A6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65AB45E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76A6CB3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Helmand</w:t>
            </w:r>
          </w:p>
        </w:tc>
        <w:tc>
          <w:tcPr>
            <w:tcW w:w="1621" w:type="pct"/>
          </w:tcPr>
          <w:p w14:paraId="77D01F8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Afghanistan; Iran</w:t>
            </w:r>
          </w:p>
        </w:tc>
      </w:tr>
      <w:tr w:rsidR="005969CE" w:rsidRPr="00FD736D" w14:paraId="1962B381" w14:textId="77777777" w:rsidTr="007F4E66">
        <w:trPr>
          <w:trHeight w:val="20"/>
        </w:trPr>
        <w:tc>
          <w:tcPr>
            <w:tcW w:w="616" w:type="pct"/>
          </w:tcPr>
          <w:p w14:paraId="3D309FE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Schizothorax esocinus</w:t>
            </w:r>
          </w:p>
        </w:tc>
        <w:tc>
          <w:tcPr>
            <w:tcW w:w="632" w:type="pct"/>
          </w:tcPr>
          <w:p w14:paraId="0D739AE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2709F03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43519AE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Indus</w:t>
            </w:r>
          </w:p>
        </w:tc>
        <w:tc>
          <w:tcPr>
            <w:tcW w:w="1621" w:type="pct"/>
          </w:tcPr>
          <w:p w14:paraId="2CB0E58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Afghanistan; Inde; Pakistan</w:t>
            </w:r>
          </w:p>
        </w:tc>
      </w:tr>
      <w:tr w:rsidR="005969CE" w:rsidRPr="00FD736D" w14:paraId="49339D49" w14:textId="77777777" w:rsidTr="007F4E66">
        <w:trPr>
          <w:trHeight w:val="20"/>
        </w:trPr>
        <w:tc>
          <w:tcPr>
            <w:tcW w:w="616" w:type="pct"/>
          </w:tcPr>
          <w:p w14:paraId="7A8D239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Schizothorax lantsangensis</w:t>
            </w:r>
          </w:p>
        </w:tc>
        <w:tc>
          <w:tcPr>
            <w:tcW w:w="632" w:type="pct"/>
          </w:tcPr>
          <w:p w14:paraId="139A6B5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261581A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221C170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2AACFB5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Myanmar</w:t>
            </w:r>
          </w:p>
        </w:tc>
      </w:tr>
      <w:tr w:rsidR="005969CE" w:rsidRPr="00FD736D" w14:paraId="23395397" w14:textId="77777777" w:rsidTr="007F4E66">
        <w:trPr>
          <w:trHeight w:val="20"/>
        </w:trPr>
        <w:tc>
          <w:tcPr>
            <w:tcW w:w="616" w:type="pct"/>
          </w:tcPr>
          <w:p w14:paraId="5C25E17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Schizothorax plagiostomus</w:t>
            </w:r>
          </w:p>
        </w:tc>
        <w:tc>
          <w:tcPr>
            <w:tcW w:w="632" w:type="pct"/>
          </w:tcPr>
          <w:p w14:paraId="3446A9C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15EC2F8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20E9228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Amu Darya; Dakatia; Dasht; Feni; Ganges-Brahmaputra-Meghna; Hari/Harirud-Murgab; Helmand; Indus; Irrawaddy; Kaladan; Karnaphuli; Rann of Kutch; Tarim</w:t>
            </w:r>
          </w:p>
        </w:tc>
        <w:tc>
          <w:tcPr>
            <w:tcW w:w="1621" w:type="pct"/>
          </w:tcPr>
          <w:p w14:paraId="2ADE0A2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Afghanistan; Bangladesh; Bhoutan; Chine; Inde; Iran; Myanmar; Népal; Pakistan; Tadjikistan; Turkménistan; Ouzbékistan</w:t>
            </w:r>
          </w:p>
        </w:tc>
      </w:tr>
      <w:tr w:rsidR="005969CE" w:rsidRPr="00FD736D" w14:paraId="131B2B4C" w14:textId="77777777" w:rsidTr="007F4E66">
        <w:trPr>
          <w:trHeight w:val="20"/>
        </w:trPr>
        <w:tc>
          <w:tcPr>
            <w:tcW w:w="616" w:type="pct"/>
          </w:tcPr>
          <w:p w14:paraId="6948894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Schizothorax richardsonii</w:t>
            </w:r>
          </w:p>
        </w:tc>
        <w:tc>
          <w:tcPr>
            <w:tcW w:w="632" w:type="pct"/>
          </w:tcPr>
          <w:p w14:paraId="1EC6E58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4F5F134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0D7351F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Ganges-Brahmaputra-Meghna</w:t>
            </w:r>
          </w:p>
        </w:tc>
        <w:tc>
          <w:tcPr>
            <w:tcW w:w="1621" w:type="pct"/>
          </w:tcPr>
          <w:p w14:paraId="1C1CACB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Bhoutan; Chine; Inde; Népal</w:t>
            </w:r>
          </w:p>
        </w:tc>
      </w:tr>
      <w:tr w:rsidR="005969CE" w:rsidRPr="00FD736D" w14:paraId="287C3AA6" w14:textId="77777777" w:rsidTr="007F4E66">
        <w:trPr>
          <w:trHeight w:val="20"/>
        </w:trPr>
        <w:tc>
          <w:tcPr>
            <w:tcW w:w="616" w:type="pct"/>
          </w:tcPr>
          <w:p w14:paraId="1458C04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Scomberomorus sinensis</w:t>
            </w:r>
          </w:p>
        </w:tc>
        <w:tc>
          <w:tcPr>
            <w:tcW w:w="632" w:type="pct"/>
          </w:tcPr>
          <w:p w14:paraId="2BD52A1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Scombridae / Scombriformes</w:t>
            </w:r>
          </w:p>
        </w:tc>
        <w:tc>
          <w:tcPr>
            <w:tcW w:w="459" w:type="pct"/>
          </w:tcPr>
          <w:p w14:paraId="2BBC034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66D6959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51363AD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Vietnam</w:t>
            </w:r>
          </w:p>
        </w:tc>
      </w:tr>
      <w:tr w:rsidR="005969CE" w:rsidRPr="00FD736D" w14:paraId="2F76596C" w14:textId="77777777" w:rsidTr="007F4E66">
        <w:trPr>
          <w:trHeight w:val="20"/>
        </w:trPr>
        <w:tc>
          <w:tcPr>
            <w:tcW w:w="616" w:type="pct"/>
          </w:tcPr>
          <w:p w14:paraId="40E2C56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Semaprochilodus varii</w:t>
            </w:r>
          </w:p>
        </w:tc>
        <w:tc>
          <w:tcPr>
            <w:tcW w:w="632" w:type="pct"/>
          </w:tcPr>
          <w:p w14:paraId="56BBC4C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Prochilodontidae / Characiformes</w:t>
            </w:r>
          </w:p>
        </w:tc>
        <w:tc>
          <w:tcPr>
            <w:tcW w:w="459" w:type="pct"/>
          </w:tcPr>
          <w:p w14:paraId="7C77ECC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1FC2EE1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Maroni</w:t>
            </w:r>
          </w:p>
        </w:tc>
        <w:tc>
          <w:tcPr>
            <w:tcW w:w="1621" w:type="pct"/>
          </w:tcPr>
          <w:p w14:paraId="143424D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Guyane française; Suriname</w:t>
            </w:r>
          </w:p>
        </w:tc>
      </w:tr>
      <w:tr w:rsidR="005969CE" w:rsidRPr="00FD736D" w14:paraId="289B06FE" w14:textId="77777777" w:rsidTr="007F4E66">
        <w:trPr>
          <w:trHeight w:val="20"/>
        </w:trPr>
        <w:tc>
          <w:tcPr>
            <w:tcW w:w="616" w:type="pct"/>
          </w:tcPr>
          <w:p w14:paraId="6A514DB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Semiplotus manipurensis</w:t>
            </w:r>
          </w:p>
        </w:tc>
        <w:tc>
          <w:tcPr>
            <w:tcW w:w="632" w:type="pct"/>
          </w:tcPr>
          <w:p w14:paraId="4C202CC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096244A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19EF9DC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Irrawaddy</w:t>
            </w:r>
          </w:p>
        </w:tc>
        <w:tc>
          <w:tcPr>
            <w:tcW w:w="1621" w:type="pct"/>
          </w:tcPr>
          <w:p w14:paraId="18845AC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Inde; Myanmar</w:t>
            </w:r>
          </w:p>
        </w:tc>
      </w:tr>
      <w:tr w:rsidR="005969CE" w:rsidRPr="00FD736D" w14:paraId="37DFE5EF" w14:textId="77777777" w:rsidTr="007F4E66">
        <w:trPr>
          <w:trHeight w:val="20"/>
        </w:trPr>
        <w:tc>
          <w:tcPr>
            <w:tcW w:w="616" w:type="pct"/>
          </w:tcPr>
          <w:p w14:paraId="5E68066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Serranochromis meridianus</w:t>
            </w:r>
          </w:p>
        </w:tc>
        <w:tc>
          <w:tcPr>
            <w:tcW w:w="632" w:type="pct"/>
          </w:tcPr>
          <w:p w14:paraId="57CB80B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Cichlidae / Cichliformes</w:t>
            </w:r>
          </w:p>
        </w:tc>
        <w:tc>
          <w:tcPr>
            <w:tcW w:w="459" w:type="pct"/>
          </w:tcPr>
          <w:p w14:paraId="3516467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32996C5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Incomati; Limpopo; Umbeluzi</w:t>
            </w:r>
          </w:p>
        </w:tc>
        <w:tc>
          <w:tcPr>
            <w:tcW w:w="1621" w:type="pct"/>
          </w:tcPr>
          <w:p w14:paraId="42DD1E4A"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Eswatini; Mozambique; Afrique du Sud</w:t>
            </w:r>
          </w:p>
        </w:tc>
      </w:tr>
      <w:tr w:rsidR="005969CE" w:rsidRPr="00FD736D" w14:paraId="12B6AFAB" w14:textId="77777777" w:rsidTr="007F4E66">
        <w:trPr>
          <w:trHeight w:val="20"/>
        </w:trPr>
        <w:tc>
          <w:tcPr>
            <w:tcW w:w="616" w:type="pct"/>
          </w:tcPr>
          <w:p w14:paraId="2384CEA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Setipinna brevifilis</w:t>
            </w:r>
          </w:p>
        </w:tc>
        <w:tc>
          <w:tcPr>
            <w:tcW w:w="632" w:type="pct"/>
          </w:tcPr>
          <w:p w14:paraId="38F7B0E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Engraulidae / Clupeiformes</w:t>
            </w:r>
          </w:p>
        </w:tc>
        <w:tc>
          <w:tcPr>
            <w:tcW w:w="459" w:type="pct"/>
          </w:tcPr>
          <w:p w14:paraId="114B8E6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1AA1D2A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Ganges-Brahmaputra-Meghna</w:t>
            </w:r>
          </w:p>
        </w:tc>
        <w:tc>
          <w:tcPr>
            <w:tcW w:w="1621" w:type="pct"/>
          </w:tcPr>
          <w:p w14:paraId="4D1AA84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Inde; Népal</w:t>
            </w:r>
          </w:p>
        </w:tc>
      </w:tr>
      <w:tr w:rsidR="005969CE" w:rsidRPr="00FD736D" w14:paraId="09DCCBB8" w14:textId="77777777" w:rsidTr="007F4E66">
        <w:trPr>
          <w:trHeight w:val="20"/>
        </w:trPr>
        <w:tc>
          <w:tcPr>
            <w:tcW w:w="616" w:type="pct"/>
          </w:tcPr>
          <w:p w14:paraId="057E00F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Setipinna tenuifilis</w:t>
            </w:r>
          </w:p>
        </w:tc>
        <w:tc>
          <w:tcPr>
            <w:tcW w:w="632" w:type="pct"/>
          </w:tcPr>
          <w:p w14:paraId="4DF81FB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Engraulidae / Clupeiformes</w:t>
            </w:r>
          </w:p>
        </w:tc>
        <w:tc>
          <w:tcPr>
            <w:tcW w:w="459" w:type="pct"/>
          </w:tcPr>
          <w:p w14:paraId="42E6298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12D38BF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Han; Naf</w:t>
            </w:r>
          </w:p>
        </w:tc>
        <w:tc>
          <w:tcPr>
            <w:tcW w:w="1621" w:type="pct"/>
          </w:tcPr>
          <w:p w14:paraId="58AD427E"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Bangladesh; Myanmar; Corée du Nord; Corée du Sud</w:t>
            </w:r>
          </w:p>
        </w:tc>
      </w:tr>
      <w:tr w:rsidR="005969CE" w:rsidRPr="00FD736D" w14:paraId="416AC225" w14:textId="77777777" w:rsidTr="007F4E66">
        <w:trPr>
          <w:trHeight w:val="20"/>
        </w:trPr>
        <w:tc>
          <w:tcPr>
            <w:tcW w:w="616" w:type="pct"/>
          </w:tcPr>
          <w:p w14:paraId="7680138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Sicydium adelum</w:t>
            </w:r>
          </w:p>
        </w:tc>
        <w:tc>
          <w:tcPr>
            <w:tcW w:w="632" w:type="pct"/>
          </w:tcPr>
          <w:p w14:paraId="2A7B13E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Gobiidae / Gobiiformes</w:t>
            </w:r>
          </w:p>
        </w:tc>
        <w:tc>
          <w:tcPr>
            <w:tcW w:w="459" w:type="pct"/>
          </w:tcPr>
          <w:p w14:paraId="4EB6DB7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580EECB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Sixaola</w:t>
            </w:r>
          </w:p>
        </w:tc>
        <w:tc>
          <w:tcPr>
            <w:tcW w:w="1621" w:type="pct"/>
          </w:tcPr>
          <w:p w14:paraId="4F9C7CC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Costa Rica; Panama</w:t>
            </w:r>
          </w:p>
        </w:tc>
      </w:tr>
      <w:tr w:rsidR="005969CE" w:rsidRPr="00FD736D" w14:paraId="6B81687B" w14:textId="77777777" w:rsidTr="007F4E66">
        <w:trPr>
          <w:trHeight w:val="20"/>
        </w:trPr>
        <w:tc>
          <w:tcPr>
            <w:tcW w:w="616" w:type="pct"/>
          </w:tcPr>
          <w:p w14:paraId="37A6CA9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Sikukia gudgeri</w:t>
            </w:r>
          </w:p>
        </w:tc>
        <w:tc>
          <w:tcPr>
            <w:tcW w:w="632" w:type="pct"/>
          </w:tcPr>
          <w:p w14:paraId="14B7428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557FDA9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24F1600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5AFE5EA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57071C8F" w14:textId="77777777" w:rsidTr="007F4E66">
        <w:trPr>
          <w:trHeight w:val="20"/>
        </w:trPr>
        <w:tc>
          <w:tcPr>
            <w:tcW w:w="616" w:type="pct"/>
          </w:tcPr>
          <w:p w14:paraId="5E922BA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Silhouettea sibayi</w:t>
            </w:r>
          </w:p>
        </w:tc>
        <w:tc>
          <w:tcPr>
            <w:tcW w:w="632" w:type="pct"/>
          </w:tcPr>
          <w:p w14:paraId="28A1479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Gobiidae / Gobiiformes</w:t>
            </w:r>
          </w:p>
        </w:tc>
        <w:tc>
          <w:tcPr>
            <w:tcW w:w="459" w:type="pct"/>
          </w:tcPr>
          <w:p w14:paraId="4E45106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4A92118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Umbeluzi</w:t>
            </w:r>
          </w:p>
        </w:tc>
        <w:tc>
          <w:tcPr>
            <w:tcW w:w="1621" w:type="pct"/>
          </w:tcPr>
          <w:p w14:paraId="60B691E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Eswatini; Mozambique</w:t>
            </w:r>
          </w:p>
        </w:tc>
      </w:tr>
      <w:tr w:rsidR="005969CE" w:rsidRPr="00FD736D" w14:paraId="3A779E93" w14:textId="77777777" w:rsidTr="007F4E66">
        <w:trPr>
          <w:trHeight w:val="20"/>
        </w:trPr>
        <w:tc>
          <w:tcPr>
            <w:tcW w:w="616" w:type="pct"/>
          </w:tcPr>
          <w:p w14:paraId="46DF802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Silurus soldatovi</w:t>
            </w:r>
          </w:p>
        </w:tc>
        <w:tc>
          <w:tcPr>
            <w:tcW w:w="632" w:type="pct"/>
          </w:tcPr>
          <w:p w14:paraId="074428B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Siluridae / Siluriformes</w:t>
            </w:r>
          </w:p>
        </w:tc>
        <w:tc>
          <w:tcPr>
            <w:tcW w:w="459" w:type="pct"/>
          </w:tcPr>
          <w:p w14:paraId="5CDAD86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52AE000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Amur</w:t>
            </w:r>
          </w:p>
        </w:tc>
        <w:tc>
          <w:tcPr>
            <w:tcW w:w="1621" w:type="pct"/>
          </w:tcPr>
          <w:p w14:paraId="7842EC7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Russie</w:t>
            </w:r>
          </w:p>
        </w:tc>
      </w:tr>
      <w:tr w:rsidR="005969CE" w:rsidRPr="00FD736D" w14:paraId="7DCAD9CC" w14:textId="77777777" w:rsidTr="007F4E66">
        <w:trPr>
          <w:trHeight w:val="20"/>
        </w:trPr>
        <w:tc>
          <w:tcPr>
            <w:tcW w:w="616" w:type="pct"/>
          </w:tcPr>
          <w:p w14:paraId="1A0B508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Steindachneridion scriptum</w:t>
            </w:r>
          </w:p>
        </w:tc>
        <w:tc>
          <w:tcPr>
            <w:tcW w:w="632" w:type="pct"/>
          </w:tcPr>
          <w:p w14:paraId="3F1D572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Pimelodidae / Siluriformes</w:t>
            </w:r>
          </w:p>
        </w:tc>
        <w:tc>
          <w:tcPr>
            <w:tcW w:w="459" w:type="pct"/>
          </w:tcPr>
          <w:p w14:paraId="63A58CF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611EE8F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 Plata</w:t>
            </w:r>
          </w:p>
        </w:tc>
        <w:tc>
          <w:tcPr>
            <w:tcW w:w="1621" w:type="pct"/>
          </w:tcPr>
          <w:p w14:paraId="79DBBC1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Argentine; Brésil; Paraguay; Uruguay</w:t>
            </w:r>
          </w:p>
        </w:tc>
      </w:tr>
      <w:tr w:rsidR="005969CE" w:rsidRPr="00FD736D" w14:paraId="34CD99D6" w14:textId="77777777" w:rsidTr="007F4E66">
        <w:trPr>
          <w:trHeight w:val="20"/>
        </w:trPr>
        <w:tc>
          <w:tcPr>
            <w:tcW w:w="616" w:type="pct"/>
          </w:tcPr>
          <w:p w14:paraId="6A12709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Stenodus leucichthys</w:t>
            </w:r>
          </w:p>
        </w:tc>
        <w:tc>
          <w:tcPr>
            <w:tcW w:w="632" w:type="pct"/>
          </w:tcPr>
          <w:p w14:paraId="6076A9C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Salmonidae / Salmoniformes</w:t>
            </w:r>
          </w:p>
        </w:tc>
        <w:tc>
          <w:tcPr>
            <w:tcW w:w="459" w:type="pct"/>
          </w:tcPr>
          <w:p w14:paraId="435BE50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376D033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Volga</w:t>
            </w:r>
          </w:p>
        </w:tc>
        <w:tc>
          <w:tcPr>
            <w:tcW w:w="1621" w:type="pct"/>
          </w:tcPr>
          <w:p w14:paraId="6C2078F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Kazakhstan; Russie</w:t>
            </w:r>
          </w:p>
        </w:tc>
      </w:tr>
      <w:tr w:rsidR="005969CE" w:rsidRPr="00FD736D" w14:paraId="2BE5B12B" w14:textId="77777777" w:rsidTr="007F4E66">
        <w:trPr>
          <w:trHeight w:val="20"/>
        </w:trPr>
        <w:tc>
          <w:tcPr>
            <w:tcW w:w="616" w:type="pct"/>
          </w:tcPr>
          <w:p w14:paraId="4E93753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Syncrossus beauforti</w:t>
            </w:r>
          </w:p>
        </w:tc>
        <w:tc>
          <w:tcPr>
            <w:tcW w:w="632" w:type="pct"/>
          </w:tcPr>
          <w:p w14:paraId="0A03B97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Botiidae / Cypriniformes</w:t>
            </w:r>
          </w:p>
        </w:tc>
        <w:tc>
          <w:tcPr>
            <w:tcW w:w="459" w:type="pct"/>
          </w:tcPr>
          <w:p w14:paraId="4BEEA37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1D0287B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Golok; Mekong</w:t>
            </w:r>
          </w:p>
        </w:tc>
        <w:tc>
          <w:tcPr>
            <w:tcW w:w="1621" w:type="pct"/>
          </w:tcPr>
          <w:p w14:paraId="051C5B42"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Cambodge; Chine; Laos; Malaisie; Thaïlande</w:t>
            </w:r>
          </w:p>
        </w:tc>
      </w:tr>
      <w:tr w:rsidR="005969CE" w:rsidRPr="00FD736D" w14:paraId="3759DFBD" w14:textId="77777777" w:rsidTr="007F4E66">
        <w:trPr>
          <w:trHeight w:val="20"/>
        </w:trPr>
        <w:tc>
          <w:tcPr>
            <w:tcW w:w="616" w:type="pct"/>
          </w:tcPr>
          <w:p w14:paraId="25CA8F5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Systomus rubripinnis</w:t>
            </w:r>
          </w:p>
        </w:tc>
        <w:tc>
          <w:tcPr>
            <w:tcW w:w="632" w:type="pct"/>
          </w:tcPr>
          <w:p w14:paraId="66E9085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14F0E8D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79222D2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 Salween</w:t>
            </w:r>
          </w:p>
        </w:tc>
        <w:tc>
          <w:tcPr>
            <w:tcW w:w="1621" w:type="pct"/>
          </w:tcPr>
          <w:p w14:paraId="2F2B9E0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Myanmar; Thaïlande</w:t>
            </w:r>
          </w:p>
        </w:tc>
      </w:tr>
      <w:tr w:rsidR="005969CE" w:rsidRPr="00FD736D" w14:paraId="1515BDDB" w14:textId="77777777" w:rsidTr="007F4E66">
        <w:trPr>
          <w:trHeight w:val="20"/>
        </w:trPr>
        <w:tc>
          <w:tcPr>
            <w:tcW w:w="616" w:type="pct"/>
          </w:tcPr>
          <w:p w14:paraId="0DE918C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Tenualosa ilisha</w:t>
            </w:r>
          </w:p>
        </w:tc>
        <w:tc>
          <w:tcPr>
            <w:tcW w:w="632" w:type="pct"/>
          </w:tcPr>
          <w:p w14:paraId="42691A5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Clupeidae / Clupeiformes</w:t>
            </w:r>
          </w:p>
        </w:tc>
        <w:tc>
          <w:tcPr>
            <w:tcW w:w="459" w:type="pct"/>
          </w:tcPr>
          <w:p w14:paraId="5525038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08043BA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 xml:space="preserve">Dakatia; Feni; Ganges-Brahmaputra-Meghna; Kaladan; Karnaphuli; Matamuhuri; </w:t>
            </w:r>
            <w:r w:rsidRPr="00FD736D">
              <w:rPr>
                <w:rFonts w:ascii="Arial" w:hAnsi="Arial" w:cs="Arial"/>
                <w:iCs/>
                <w:color w:val="000000" w:themeColor="text1"/>
                <w:sz w:val="20"/>
                <w:szCs w:val="20"/>
              </w:rPr>
              <w:lastRenderedPageBreak/>
              <w:t>Naf; Pakchan; Rann of Kutch; Salween</w:t>
            </w:r>
          </w:p>
        </w:tc>
        <w:tc>
          <w:tcPr>
            <w:tcW w:w="1621" w:type="pct"/>
          </w:tcPr>
          <w:p w14:paraId="2571AD6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Bangladesh; Bhoutan; Inde; Myanmar; Népal; Pakistan; Thaïlande</w:t>
            </w:r>
          </w:p>
        </w:tc>
      </w:tr>
      <w:tr w:rsidR="005969CE" w:rsidRPr="00FD736D" w14:paraId="5DCA81EB" w14:textId="77777777" w:rsidTr="007F4E66">
        <w:trPr>
          <w:trHeight w:val="20"/>
        </w:trPr>
        <w:tc>
          <w:tcPr>
            <w:tcW w:w="616" w:type="pct"/>
          </w:tcPr>
          <w:p w14:paraId="7E213CF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Tenualosa reevesii</w:t>
            </w:r>
          </w:p>
        </w:tc>
        <w:tc>
          <w:tcPr>
            <w:tcW w:w="632" w:type="pct"/>
          </w:tcPr>
          <w:p w14:paraId="5C2BE73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Clupeidae / Clupeiformes</w:t>
            </w:r>
          </w:p>
        </w:tc>
        <w:tc>
          <w:tcPr>
            <w:tcW w:w="459" w:type="pct"/>
          </w:tcPr>
          <w:p w14:paraId="1B51A74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268A620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Beilun; Pearl; Red/Song Hong</w:t>
            </w:r>
          </w:p>
        </w:tc>
        <w:tc>
          <w:tcPr>
            <w:tcW w:w="1621" w:type="pct"/>
          </w:tcPr>
          <w:p w14:paraId="25DE575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Vietnam</w:t>
            </w:r>
          </w:p>
        </w:tc>
      </w:tr>
      <w:tr w:rsidR="005969CE" w:rsidRPr="00FD736D" w14:paraId="0A2A5844" w14:textId="77777777" w:rsidTr="007F4E66">
        <w:trPr>
          <w:trHeight w:val="20"/>
        </w:trPr>
        <w:tc>
          <w:tcPr>
            <w:tcW w:w="616" w:type="pct"/>
          </w:tcPr>
          <w:p w14:paraId="3CE70D3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Tenualosa thibaudeaui</w:t>
            </w:r>
          </w:p>
        </w:tc>
        <w:tc>
          <w:tcPr>
            <w:tcW w:w="632" w:type="pct"/>
          </w:tcPr>
          <w:p w14:paraId="06F369C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Clupeidae / Clupeiformes</w:t>
            </w:r>
          </w:p>
        </w:tc>
        <w:tc>
          <w:tcPr>
            <w:tcW w:w="459" w:type="pct"/>
          </w:tcPr>
          <w:p w14:paraId="432CB20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24B5C69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6C90CD8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5582E494" w14:textId="77777777" w:rsidTr="007F4E66">
        <w:trPr>
          <w:trHeight w:val="20"/>
        </w:trPr>
        <w:tc>
          <w:tcPr>
            <w:tcW w:w="616" w:type="pct"/>
          </w:tcPr>
          <w:p w14:paraId="1588EB7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Terapon puta</w:t>
            </w:r>
          </w:p>
        </w:tc>
        <w:tc>
          <w:tcPr>
            <w:tcW w:w="632" w:type="pct"/>
          </w:tcPr>
          <w:p w14:paraId="40BE080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Terapontidae / Perciformes</w:t>
            </w:r>
          </w:p>
        </w:tc>
        <w:tc>
          <w:tcPr>
            <w:tcW w:w="459" w:type="pct"/>
          </w:tcPr>
          <w:p w14:paraId="5545C4A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709761D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Besor; Giang Thanh; Tigris-Euphrates/Shatt al Arab</w:t>
            </w:r>
          </w:p>
        </w:tc>
        <w:tc>
          <w:tcPr>
            <w:tcW w:w="1621" w:type="pct"/>
          </w:tcPr>
          <w:p w14:paraId="7A923186"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Cambodge; Iran; Irak; Israël; État de Palestine; Vietnam</w:t>
            </w:r>
          </w:p>
        </w:tc>
      </w:tr>
      <w:tr w:rsidR="005969CE" w:rsidRPr="00FD736D" w14:paraId="66DDFFC8" w14:textId="77777777" w:rsidTr="007F4E66">
        <w:trPr>
          <w:trHeight w:val="20"/>
        </w:trPr>
        <w:tc>
          <w:tcPr>
            <w:tcW w:w="616" w:type="pct"/>
          </w:tcPr>
          <w:p w14:paraId="1987E83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Thryssa scratchleyi</w:t>
            </w:r>
          </w:p>
        </w:tc>
        <w:tc>
          <w:tcPr>
            <w:tcW w:w="632" w:type="pct"/>
          </w:tcPr>
          <w:p w14:paraId="0DE3854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Engraulidae / Clupeiformes</w:t>
            </w:r>
          </w:p>
        </w:tc>
        <w:tc>
          <w:tcPr>
            <w:tcW w:w="459" w:type="pct"/>
          </w:tcPr>
          <w:p w14:paraId="6C7BE63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683B3FB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Fly; Merauke</w:t>
            </w:r>
          </w:p>
        </w:tc>
        <w:tc>
          <w:tcPr>
            <w:tcW w:w="1621" w:type="pct"/>
          </w:tcPr>
          <w:p w14:paraId="44074B3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Indonésie; Papouasie-Nouvelle-Guinée</w:t>
            </w:r>
          </w:p>
        </w:tc>
      </w:tr>
      <w:tr w:rsidR="005969CE" w:rsidRPr="00FD736D" w14:paraId="2CDDBF21" w14:textId="77777777" w:rsidTr="007F4E66">
        <w:trPr>
          <w:trHeight w:val="20"/>
        </w:trPr>
        <w:tc>
          <w:tcPr>
            <w:tcW w:w="616" w:type="pct"/>
          </w:tcPr>
          <w:p w14:paraId="6DAA845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Thryssa stenosoma</w:t>
            </w:r>
          </w:p>
        </w:tc>
        <w:tc>
          <w:tcPr>
            <w:tcW w:w="632" w:type="pct"/>
          </w:tcPr>
          <w:p w14:paraId="41A3813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Engraulidae / Clupeiformes</w:t>
            </w:r>
          </w:p>
        </w:tc>
        <w:tc>
          <w:tcPr>
            <w:tcW w:w="459" w:type="pct"/>
          </w:tcPr>
          <w:p w14:paraId="38A076F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7EFFC73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Naf</w:t>
            </w:r>
          </w:p>
        </w:tc>
        <w:tc>
          <w:tcPr>
            <w:tcW w:w="1621" w:type="pct"/>
          </w:tcPr>
          <w:p w14:paraId="358AE77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Myanmar</w:t>
            </w:r>
          </w:p>
        </w:tc>
      </w:tr>
      <w:tr w:rsidR="005969CE" w:rsidRPr="00FD736D" w14:paraId="733F70AD" w14:textId="77777777" w:rsidTr="007F4E66">
        <w:trPr>
          <w:trHeight w:val="20"/>
        </w:trPr>
        <w:tc>
          <w:tcPr>
            <w:tcW w:w="616" w:type="pct"/>
          </w:tcPr>
          <w:p w14:paraId="51FA301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Tor laterivittatus</w:t>
            </w:r>
          </w:p>
        </w:tc>
        <w:tc>
          <w:tcPr>
            <w:tcW w:w="632" w:type="pct"/>
          </w:tcPr>
          <w:p w14:paraId="06142A7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4EAEDD7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2573193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 Red/Song Hong</w:t>
            </w:r>
          </w:p>
        </w:tc>
        <w:tc>
          <w:tcPr>
            <w:tcW w:w="1621" w:type="pct"/>
          </w:tcPr>
          <w:p w14:paraId="4B9A230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Laos; Myanmar; Thaïlande; Vietnam</w:t>
            </w:r>
          </w:p>
        </w:tc>
      </w:tr>
      <w:tr w:rsidR="005969CE" w:rsidRPr="00FD736D" w14:paraId="06906920" w14:textId="77777777" w:rsidTr="007F4E66">
        <w:trPr>
          <w:trHeight w:val="20"/>
        </w:trPr>
        <w:tc>
          <w:tcPr>
            <w:tcW w:w="616" w:type="pct"/>
          </w:tcPr>
          <w:p w14:paraId="63D29D9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Tor polylepis</w:t>
            </w:r>
          </w:p>
        </w:tc>
        <w:tc>
          <w:tcPr>
            <w:tcW w:w="632" w:type="pct"/>
          </w:tcPr>
          <w:p w14:paraId="21F3ECA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25CA1A0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55567A0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7195454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Laos; Myanmar</w:t>
            </w:r>
          </w:p>
        </w:tc>
      </w:tr>
      <w:tr w:rsidR="005969CE" w:rsidRPr="00FD736D" w14:paraId="6D413BC6" w14:textId="77777777" w:rsidTr="007F4E66">
        <w:trPr>
          <w:trHeight w:val="20"/>
        </w:trPr>
        <w:tc>
          <w:tcPr>
            <w:tcW w:w="616" w:type="pct"/>
          </w:tcPr>
          <w:p w14:paraId="6D1DB57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Tor putitora</w:t>
            </w:r>
          </w:p>
        </w:tc>
        <w:tc>
          <w:tcPr>
            <w:tcW w:w="632" w:type="pct"/>
          </w:tcPr>
          <w:p w14:paraId="27C82D1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45778E1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16922EE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Ganges-Brahmaputra-Meghna; Indus; Irrawaddy</w:t>
            </w:r>
          </w:p>
        </w:tc>
        <w:tc>
          <w:tcPr>
            <w:tcW w:w="1621" w:type="pct"/>
          </w:tcPr>
          <w:p w14:paraId="011DBF5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Afghanistan; Bangladesh; Bhoutan; Chine; Inde; Myanmar; Népal; Pakistan</w:t>
            </w:r>
          </w:p>
        </w:tc>
      </w:tr>
      <w:tr w:rsidR="005969CE" w:rsidRPr="00FD736D" w14:paraId="0AF5DA11" w14:textId="77777777" w:rsidTr="007F4E66">
        <w:trPr>
          <w:trHeight w:val="20"/>
        </w:trPr>
        <w:tc>
          <w:tcPr>
            <w:tcW w:w="616" w:type="pct"/>
          </w:tcPr>
          <w:p w14:paraId="7A9F015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Tor sinensis</w:t>
            </w:r>
          </w:p>
        </w:tc>
        <w:tc>
          <w:tcPr>
            <w:tcW w:w="632" w:type="pct"/>
          </w:tcPr>
          <w:p w14:paraId="4103F12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4F46363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539A8A6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6ABDB5D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Chine; Laos; Myanmar; Thaïlande; Vietnam</w:t>
            </w:r>
          </w:p>
        </w:tc>
      </w:tr>
      <w:tr w:rsidR="005969CE" w:rsidRPr="00FD736D" w14:paraId="03ECFA99" w14:textId="77777777" w:rsidTr="007F4E66">
        <w:trPr>
          <w:trHeight w:val="20"/>
        </w:trPr>
        <w:tc>
          <w:tcPr>
            <w:tcW w:w="616" w:type="pct"/>
          </w:tcPr>
          <w:p w14:paraId="14BB734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Tor tambra</w:t>
            </w:r>
          </w:p>
        </w:tc>
        <w:tc>
          <w:tcPr>
            <w:tcW w:w="632" w:type="pct"/>
          </w:tcPr>
          <w:p w14:paraId="7643227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088F2D9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77D4D06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Ca/Lam/Song-Koi; Giang Thanh; Golok; Ma; Mekong; Pakchan; Red/Song Hong; Saigon/Song Nha Be; Salween; Sambas; Sembakung; Song Vam Co Dong</w:t>
            </w:r>
          </w:p>
        </w:tc>
        <w:tc>
          <w:tcPr>
            <w:tcW w:w="1621" w:type="pct"/>
          </w:tcPr>
          <w:p w14:paraId="3A4BAB07"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Cambodge; Chine; Indonésie; Laos; Malaisie; Myanmar; Thaïlande; Vietnam</w:t>
            </w:r>
          </w:p>
        </w:tc>
      </w:tr>
      <w:tr w:rsidR="005969CE" w:rsidRPr="00FD736D" w14:paraId="4A961893" w14:textId="77777777" w:rsidTr="007F4E66">
        <w:trPr>
          <w:trHeight w:val="20"/>
        </w:trPr>
        <w:tc>
          <w:tcPr>
            <w:tcW w:w="616" w:type="pct"/>
          </w:tcPr>
          <w:p w14:paraId="355664E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Tor tambroides</w:t>
            </w:r>
          </w:p>
        </w:tc>
        <w:tc>
          <w:tcPr>
            <w:tcW w:w="632" w:type="pct"/>
          </w:tcPr>
          <w:p w14:paraId="4E69909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42DBC95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04C6FC9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Ca/Lam/Song-Koi; Giang Thanh; Golok; Ma; Mekong; Pakchan; Red/Song Hong; Saigon/Song Nha Be; Salween; Sambas; Sembakung; Song Vam Co Dong</w:t>
            </w:r>
          </w:p>
        </w:tc>
        <w:tc>
          <w:tcPr>
            <w:tcW w:w="1621" w:type="pct"/>
          </w:tcPr>
          <w:p w14:paraId="60D44634"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Cambodge; Chine; Indonésie; Laos; Malaisie; Myanmar; Thaïlande; Vietnam</w:t>
            </w:r>
          </w:p>
        </w:tc>
      </w:tr>
      <w:tr w:rsidR="005969CE" w:rsidRPr="00FD736D" w14:paraId="14BF12A7" w14:textId="77777777" w:rsidTr="007F4E66">
        <w:trPr>
          <w:trHeight w:val="20"/>
        </w:trPr>
        <w:tc>
          <w:tcPr>
            <w:tcW w:w="616" w:type="pct"/>
          </w:tcPr>
          <w:p w14:paraId="7B39978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Tor tor</w:t>
            </w:r>
          </w:p>
        </w:tc>
        <w:tc>
          <w:tcPr>
            <w:tcW w:w="632" w:type="pct"/>
          </w:tcPr>
          <w:p w14:paraId="6B76942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Cyprinidae / Cypriniformes</w:t>
            </w:r>
          </w:p>
        </w:tc>
        <w:tc>
          <w:tcPr>
            <w:tcW w:w="459" w:type="pct"/>
          </w:tcPr>
          <w:p w14:paraId="3F1F212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2847551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Ganges-Brahmaputra-Meghna</w:t>
            </w:r>
          </w:p>
        </w:tc>
        <w:tc>
          <w:tcPr>
            <w:tcW w:w="1621" w:type="pct"/>
          </w:tcPr>
          <w:p w14:paraId="53984C97"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Inde; Népal</w:t>
            </w:r>
          </w:p>
        </w:tc>
      </w:tr>
      <w:tr w:rsidR="005969CE" w:rsidRPr="00FD736D" w14:paraId="091BA0A3" w14:textId="77777777" w:rsidTr="007F4E66">
        <w:trPr>
          <w:trHeight w:val="20"/>
        </w:trPr>
        <w:tc>
          <w:tcPr>
            <w:tcW w:w="616" w:type="pct"/>
          </w:tcPr>
          <w:p w14:paraId="013B435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Toxotes blythii</w:t>
            </w:r>
          </w:p>
        </w:tc>
        <w:tc>
          <w:tcPr>
            <w:tcW w:w="632" w:type="pct"/>
          </w:tcPr>
          <w:p w14:paraId="5992728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Toxotidae / Carangaria incertae sedis</w:t>
            </w:r>
          </w:p>
        </w:tc>
        <w:tc>
          <w:tcPr>
            <w:tcW w:w="459" w:type="pct"/>
          </w:tcPr>
          <w:p w14:paraId="6240D22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6BCA118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Salween</w:t>
            </w:r>
          </w:p>
        </w:tc>
        <w:tc>
          <w:tcPr>
            <w:tcW w:w="1621" w:type="pct"/>
          </w:tcPr>
          <w:p w14:paraId="42105F0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Myanmar; Thaïlande</w:t>
            </w:r>
          </w:p>
        </w:tc>
      </w:tr>
      <w:tr w:rsidR="005969CE" w:rsidRPr="00FD736D" w14:paraId="0BA6F46F" w14:textId="77777777" w:rsidTr="007F4E66">
        <w:trPr>
          <w:trHeight w:val="20"/>
        </w:trPr>
        <w:tc>
          <w:tcPr>
            <w:tcW w:w="616" w:type="pct"/>
          </w:tcPr>
          <w:p w14:paraId="03EE4D0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Trachidermus fasciatus</w:t>
            </w:r>
          </w:p>
        </w:tc>
        <w:tc>
          <w:tcPr>
            <w:tcW w:w="632" w:type="pct"/>
          </w:tcPr>
          <w:p w14:paraId="680EE2A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Cottidae / Scorpaeniformes</w:t>
            </w:r>
          </w:p>
        </w:tc>
        <w:tc>
          <w:tcPr>
            <w:tcW w:w="459" w:type="pct"/>
          </w:tcPr>
          <w:p w14:paraId="1E1944C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4A71788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Yalu</w:t>
            </w:r>
          </w:p>
        </w:tc>
        <w:tc>
          <w:tcPr>
            <w:tcW w:w="1621" w:type="pct"/>
          </w:tcPr>
          <w:p w14:paraId="7E29261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Chine; Corée du Nord</w:t>
            </w:r>
          </w:p>
        </w:tc>
      </w:tr>
      <w:tr w:rsidR="005969CE" w:rsidRPr="00FD736D" w14:paraId="7FF32C2F" w14:textId="77777777" w:rsidTr="007F4E66">
        <w:trPr>
          <w:trHeight w:val="20"/>
        </w:trPr>
        <w:tc>
          <w:tcPr>
            <w:tcW w:w="616" w:type="pct"/>
          </w:tcPr>
          <w:p w14:paraId="1EFC031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Trichopodus pectoralis</w:t>
            </w:r>
          </w:p>
        </w:tc>
        <w:tc>
          <w:tcPr>
            <w:tcW w:w="632" w:type="pct"/>
          </w:tcPr>
          <w:p w14:paraId="450F6F1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Osphronemidae / Anabantiformes</w:t>
            </w:r>
          </w:p>
        </w:tc>
        <w:tc>
          <w:tcPr>
            <w:tcW w:w="459" w:type="pct"/>
          </w:tcPr>
          <w:p w14:paraId="7C26524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652F1DB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Ma; Mekong; Red/Song Hong; Saigon/Song Nha Be; Salween</w:t>
            </w:r>
          </w:p>
        </w:tc>
        <w:tc>
          <w:tcPr>
            <w:tcW w:w="1621" w:type="pct"/>
          </w:tcPr>
          <w:p w14:paraId="5B950BD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Chine; Laos; Myanmar; Thaïlande; Vietnam</w:t>
            </w:r>
          </w:p>
        </w:tc>
      </w:tr>
      <w:tr w:rsidR="005969CE" w:rsidRPr="00FD736D" w14:paraId="4E536FA3" w14:textId="77777777" w:rsidTr="007F4E66">
        <w:trPr>
          <w:trHeight w:val="20"/>
        </w:trPr>
        <w:tc>
          <w:tcPr>
            <w:tcW w:w="616" w:type="pct"/>
          </w:tcPr>
          <w:p w14:paraId="2EF3106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lastRenderedPageBreak/>
              <w:t>Triportheus elongatus</w:t>
            </w:r>
          </w:p>
        </w:tc>
        <w:tc>
          <w:tcPr>
            <w:tcW w:w="632" w:type="pct"/>
          </w:tcPr>
          <w:p w14:paraId="3DC9B0C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Triportheidae / Characiformes</w:t>
            </w:r>
          </w:p>
        </w:tc>
        <w:tc>
          <w:tcPr>
            <w:tcW w:w="459" w:type="pct"/>
          </w:tcPr>
          <w:p w14:paraId="7D8F0526"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NE</w:t>
            </w:r>
          </w:p>
        </w:tc>
        <w:tc>
          <w:tcPr>
            <w:tcW w:w="1672" w:type="pct"/>
          </w:tcPr>
          <w:p w14:paraId="72C57A9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Amazon</w:t>
            </w:r>
          </w:p>
        </w:tc>
        <w:tc>
          <w:tcPr>
            <w:tcW w:w="1621" w:type="pct"/>
          </w:tcPr>
          <w:p w14:paraId="1CFDC3F6"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Bolivie; Brésil; Colombie; Équateur; Pérou</w:t>
            </w:r>
          </w:p>
        </w:tc>
      </w:tr>
      <w:tr w:rsidR="005969CE" w:rsidRPr="00FD736D" w14:paraId="2D4A0CAF" w14:textId="77777777" w:rsidTr="007F4E66">
        <w:trPr>
          <w:trHeight w:val="20"/>
        </w:trPr>
        <w:tc>
          <w:tcPr>
            <w:tcW w:w="616" w:type="pct"/>
          </w:tcPr>
          <w:p w14:paraId="71EE8DB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Urogymnus polylepis</w:t>
            </w:r>
          </w:p>
        </w:tc>
        <w:tc>
          <w:tcPr>
            <w:tcW w:w="632" w:type="pct"/>
          </w:tcPr>
          <w:p w14:paraId="67BE921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Dasyatidae / Myliobatiformes</w:t>
            </w:r>
          </w:p>
        </w:tc>
        <w:tc>
          <w:tcPr>
            <w:tcW w:w="459" w:type="pct"/>
          </w:tcPr>
          <w:p w14:paraId="14F797F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EN</w:t>
            </w:r>
          </w:p>
        </w:tc>
        <w:tc>
          <w:tcPr>
            <w:tcW w:w="1672" w:type="pct"/>
          </w:tcPr>
          <w:p w14:paraId="798E5C4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Dakatia; Feni; Ganges-Brahmaputra-Meghna; Karnaphuli; Matamuhuri; Mekong; Naf; Sambas</w:t>
            </w:r>
          </w:p>
        </w:tc>
        <w:tc>
          <w:tcPr>
            <w:tcW w:w="1621" w:type="pct"/>
          </w:tcPr>
          <w:p w14:paraId="6577502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Cambodge; Inde; Indonésie; Laos; Malaisie; Myanmar; Thaïlande; Vietnam</w:t>
            </w:r>
          </w:p>
        </w:tc>
      </w:tr>
      <w:tr w:rsidR="005969CE" w:rsidRPr="00FD736D" w14:paraId="38A6049A" w14:textId="77777777" w:rsidTr="007F4E66">
        <w:trPr>
          <w:trHeight w:val="20"/>
        </w:trPr>
        <w:tc>
          <w:tcPr>
            <w:tcW w:w="616" w:type="pct"/>
          </w:tcPr>
          <w:p w14:paraId="0CD5515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Vimba vimba</w:t>
            </w:r>
          </w:p>
        </w:tc>
        <w:tc>
          <w:tcPr>
            <w:tcW w:w="632" w:type="pct"/>
          </w:tcPr>
          <w:p w14:paraId="6E9F5B09"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Leuciscidae / Cypriniformes</w:t>
            </w:r>
          </w:p>
        </w:tc>
        <w:tc>
          <w:tcPr>
            <w:tcW w:w="459" w:type="pct"/>
          </w:tcPr>
          <w:p w14:paraId="72746AF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7737975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Barta; Danube; Daugava; Dnieper; Dniestr; Don; Elbe; Gauja; Gota alv; Iddefjord; Lielupe; Mius; Narva; Neman; Oder; Peschanaya; Pregolya; Venta; Vistula</w:t>
            </w:r>
          </w:p>
        </w:tc>
        <w:tc>
          <w:tcPr>
            <w:tcW w:w="1621" w:type="pct"/>
          </w:tcPr>
          <w:p w14:paraId="2AB68F59" w14:textId="77777777" w:rsidR="005969CE" w:rsidRPr="00FD736D" w:rsidRDefault="005969CE" w:rsidP="008A6534">
            <w:pPr>
              <w:spacing w:after="0" w:line="240" w:lineRule="auto"/>
              <w:rPr>
                <w:rFonts w:ascii="Arial" w:hAnsi="Arial" w:cs="Arial"/>
                <w:iCs/>
                <w:color w:val="000000" w:themeColor="text1"/>
                <w:sz w:val="20"/>
                <w:szCs w:val="20"/>
                <w:lang w:val="fr-FR"/>
              </w:rPr>
            </w:pPr>
            <w:r w:rsidRPr="00FD736D">
              <w:rPr>
                <w:rFonts w:ascii="Arial" w:hAnsi="Arial" w:cs="Arial"/>
                <w:iCs/>
                <w:color w:val="000000" w:themeColor="text1"/>
                <w:sz w:val="20"/>
                <w:szCs w:val="20"/>
                <w:lang w:val="fr-FR"/>
              </w:rPr>
              <w:t>Kosovo; Lettonie; Lituanie; Moldavie; Monténégro; Norvège; Pologne; Roumanie; Russie; Russie (Kaliningrad); Serbie; Slovaquie; Slovénie; Suède; Suisse; Ukraine</w:t>
            </w:r>
          </w:p>
        </w:tc>
      </w:tr>
      <w:tr w:rsidR="005969CE" w:rsidRPr="00FD736D" w14:paraId="5D69F886" w14:textId="77777777" w:rsidTr="007F4E66">
        <w:trPr>
          <w:trHeight w:val="20"/>
        </w:trPr>
        <w:tc>
          <w:tcPr>
            <w:tcW w:w="616" w:type="pct"/>
          </w:tcPr>
          <w:p w14:paraId="540B556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Wallago attu</w:t>
            </w:r>
          </w:p>
        </w:tc>
        <w:tc>
          <w:tcPr>
            <w:tcW w:w="632" w:type="pct"/>
          </w:tcPr>
          <w:p w14:paraId="51D8E30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Siluridae / Siluriformes</w:t>
            </w:r>
          </w:p>
        </w:tc>
        <w:tc>
          <w:tcPr>
            <w:tcW w:w="459" w:type="pct"/>
          </w:tcPr>
          <w:p w14:paraId="088A78B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VU</w:t>
            </w:r>
          </w:p>
        </w:tc>
        <w:tc>
          <w:tcPr>
            <w:tcW w:w="1672" w:type="pct"/>
          </w:tcPr>
          <w:p w14:paraId="43467B1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Dakatia; Feni; Ganges-Brahmaputra-Meghna; Indus; Irrawaddy; Kaladan; Karnaphuli; Matamuhuri; Mekong; Naf; Rann of Kutch; Salween; Song Vam Co Dong</w:t>
            </w:r>
          </w:p>
        </w:tc>
        <w:tc>
          <w:tcPr>
            <w:tcW w:w="1621" w:type="pct"/>
          </w:tcPr>
          <w:p w14:paraId="01EC32EA"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Bangladesh; Bhoutan; Cambodge; Chine; Inde; Laos; Myanmar; Népal; Pakistan; Thaïlande; Vietnam</w:t>
            </w:r>
          </w:p>
        </w:tc>
      </w:tr>
      <w:tr w:rsidR="005969CE" w:rsidRPr="00FD736D" w14:paraId="61615739" w14:textId="77777777" w:rsidTr="007F4E66">
        <w:trPr>
          <w:trHeight w:val="20"/>
        </w:trPr>
        <w:tc>
          <w:tcPr>
            <w:tcW w:w="616" w:type="pct"/>
          </w:tcPr>
          <w:p w14:paraId="45700B6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Wallago micropogon</w:t>
            </w:r>
          </w:p>
        </w:tc>
        <w:tc>
          <w:tcPr>
            <w:tcW w:w="632" w:type="pct"/>
          </w:tcPr>
          <w:p w14:paraId="7671DC95"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Siluridae / Siluriformes</w:t>
            </w:r>
          </w:p>
        </w:tc>
        <w:tc>
          <w:tcPr>
            <w:tcW w:w="459" w:type="pct"/>
          </w:tcPr>
          <w:p w14:paraId="0928377E"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66E59DE2"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 Saigon/Song Nha Be; Song Vam Co Dong</w:t>
            </w:r>
          </w:p>
        </w:tc>
        <w:tc>
          <w:tcPr>
            <w:tcW w:w="1621" w:type="pct"/>
          </w:tcPr>
          <w:p w14:paraId="11E6E163"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11B82C16" w14:textId="77777777" w:rsidTr="007F4E66">
        <w:trPr>
          <w:trHeight w:val="20"/>
        </w:trPr>
        <w:tc>
          <w:tcPr>
            <w:tcW w:w="616" w:type="pct"/>
          </w:tcPr>
          <w:p w14:paraId="6E5C11C0"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Xyrauchen texanus</w:t>
            </w:r>
          </w:p>
        </w:tc>
        <w:tc>
          <w:tcPr>
            <w:tcW w:w="632" w:type="pct"/>
          </w:tcPr>
          <w:p w14:paraId="5D21F01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Catostomidae / Cypriniformes</w:t>
            </w:r>
          </w:p>
        </w:tc>
        <w:tc>
          <w:tcPr>
            <w:tcW w:w="459" w:type="pct"/>
          </w:tcPr>
          <w:p w14:paraId="7A05114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CR</w:t>
            </w:r>
          </w:p>
        </w:tc>
        <w:tc>
          <w:tcPr>
            <w:tcW w:w="1672" w:type="pct"/>
          </w:tcPr>
          <w:p w14:paraId="2F759A7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Colorado</w:t>
            </w:r>
          </w:p>
        </w:tc>
        <w:tc>
          <w:tcPr>
            <w:tcW w:w="1621" w:type="pct"/>
          </w:tcPr>
          <w:p w14:paraId="4DB41C8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Mexique; États-Unis d’Amérique</w:t>
            </w:r>
          </w:p>
        </w:tc>
      </w:tr>
      <w:tr w:rsidR="005969CE" w:rsidRPr="00FD736D" w14:paraId="484A2328" w14:textId="77777777" w:rsidTr="007F4E66">
        <w:trPr>
          <w:trHeight w:val="20"/>
        </w:trPr>
        <w:tc>
          <w:tcPr>
            <w:tcW w:w="616" w:type="pct"/>
          </w:tcPr>
          <w:p w14:paraId="617FF9D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Yasuhikotakia eos</w:t>
            </w:r>
          </w:p>
        </w:tc>
        <w:tc>
          <w:tcPr>
            <w:tcW w:w="632" w:type="pct"/>
          </w:tcPr>
          <w:p w14:paraId="059FBF1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Botiidae / Cypriniformes</w:t>
            </w:r>
          </w:p>
        </w:tc>
        <w:tc>
          <w:tcPr>
            <w:tcW w:w="459" w:type="pct"/>
          </w:tcPr>
          <w:p w14:paraId="5C737C7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LC</w:t>
            </w:r>
          </w:p>
        </w:tc>
        <w:tc>
          <w:tcPr>
            <w:tcW w:w="1672" w:type="pct"/>
          </w:tcPr>
          <w:p w14:paraId="557C007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Ca/Lam/Song-Koi; Mekong; Saigon/Song Nha Be; Song Vam Co Dong</w:t>
            </w:r>
          </w:p>
        </w:tc>
        <w:tc>
          <w:tcPr>
            <w:tcW w:w="1621" w:type="pct"/>
          </w:tcPr>
          <w:p w14:paraId="112B618D"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Cambodge; Laos; Thaïlande; Vietnam</w:t>
            </w:r>
          </w:p>
        </w:tc>
      </w:tr>
      <w:tr w:rsidR="005969CE" w:rsidRPr="00FD736D" w14:paraId="455216B7" w14:textId="77777777" w:rsidTr="007F4E66">
        <w:trPr>
          <w:trHeight w:val="20"/>
        </w:trPr>
        <w:tc>
          <w:tcPr>
            <w:tcW w:w="616" w:type="pct"/>
          </w:tcPr>
          <w:p w14:paraId="5F33939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Yasuhikotakia longidorsalis</w:t>
            </w:r>
          </w:p>
        </w:tc>
        <w:tc>
          <w:tcPr>
            <w:tcW w:w="632" w:type="pct"/>
          </w:tcPr>
          <w:p w14:paraId="58B0F9F1"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Botiidae / Cypriniformes</w:t>
            </w:r>
          </w:p>
        </w:tc>
        <w:tc>
          <w:tcPr>
            <w:tcW w:w="459" w:type="pct"/>
          </w:tcPr>
          <w:p w14:paraId="18716B5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DD</w:t>
            </w:r>
          </w:p>
        </w:tc>
        <w:tc>
          <w:tcPr>
            <w:tcW w:w="1672" w:type="pct"/>
          </w:tcPr>
          <w:p w14:paraId="522FCBC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Mekong</w:t>
            </w:r>
          </w:p>
        </w:tc>
        <w:tc>
          <w:tcPr>
            <w:tcW w:w="1621" w:type="pct"/>
          </w:tcPr>
          <w:p w14:paraId="0EAAB0EC"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Laos; Myanmar; Thaïlande</w:t>
            </w:r>
          </w:p>
        </w:tc>
      </w:tr>
      <w:tr w:rsidR="005969CE" w:rsidRPr="00FD736D" w14:paraId="372832AA" w14:textId="77777777" w:rsidTr="007F4E66">
        <w:trPr>
          <w:trHeight w:val="20"/>
        </w:trPr>
        <w:tc>
          <w:tcPr>
            <w:tcW w:w="616" w:type="pct"/>
          </w:tcPr>
          <w:p w14:paraId="793E412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Zungaro jahu</w:t>
            </w:r>
          </w:p>
        </w:tc>
        <w:tc>
          <w:tcPr>
            <w:tcW w:w="632" w:type="pct"/>
          </w:tcPr>
          <w:p w14:paraId="645714E4"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Pimelodidae / Siluriformes</w:t>
            </w:r>
          </w:p>
        </w:tc>
        <w:tc>
          <w:tcPr>
            <w:tcW w:w="459" w:type="pct"/>
          </w:tcPr>
          <w:p w14:paraId="7BC95BD8"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NT</w:t>
            </w:r>
          </w:p>
        </w:tc>
        <w:tc>
          <w:tcPr>
            <w:tcW w:w="1672" w:type="pct"/>
          </w:tcPr>
          <w:p w14:paraId="76D578AF"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La Plata</w:t>
            </w:r>
          </w:p>
        </w:tc>
        <w:tc>
          <w:tcPr>
            <w:tcW w:w="1621" w:type="pct"/>
          </w:tcPr>
          <w:p w14:paraId="7683BE4B" w14:textId="77777777" w:rsidR="005969CE" w:rsidRPr="00FD736D" w:rsidRDefault="005969CE" w:rsidP="008A6534">
            <w:pPr>
              <w:spacing w:after="0" w:line="240" w:lineRule="auto"/>
              <w:rPr>
                <w:rFonts w:ascii="Arial" w:hAnsi="Arial" w:cs="Arial"/>
                <w:iCs/>
                <w:color w:val="000000" w:themeColor="text1"/>
                <w:sz w:val="20"/>
                <w:szCs w:val="20"/>
              </w:rPr>
            </w:pPr>
            <w:r w:rsidRPr="00FD736D">
              <w:rPr>
                <w:rFonts w:ascii="Arial" w:hAnsi="Arial" w:cs="Arial"/>
                <w:iCs/>
                <w:color w:val="000000" w:themeColor="text1"/>
                <w:sz w:val="20"/>
                <w:szCs w:val="20"/>
              </w:rPr>
              <w:t>Argentine; Bolivie; Brésil; Paraguay; Uruguay</w:t>
            </w:r>
          </w:p>
        </w:tc>
      </w:tr>
    </w:tbl>
    <w:p w14:paraId="1C2C817F" w14:textId="77777777" w:rsidR="005969CE" w:rsidRPr="00FD736D" w:rsidRDefault="005969CE" w:rsidP="005969CE">
      <w:pPr>
        <w:spacing w:after="0" w:line="240" w:lineRule="auto"/>
        <w:rPr>
          <w:rFonts w:ascii="Arial" w:hAnsi="Arial" w:cs="Arial"/>
          <w:sz w:val="20"/>
          <w:szCs w:val="20"/>
        </w:rPr>
      </w:pPr>
    </w:p>
    <w:p w14:paraId="31B740A0" w14:textId="7270A187" w:rsidR="009672C2" w:rsidRPr="00FD736D" w:rsidRDefault="009672C2" w:rsidP="005969CE">
      <w:pPr>
        <w:spacing w:line="240" w:lineRule="auto"/>
        <w:rPr>
          <w:rFonts w:ascii="Arial" w:hAnsi="Arial" w:cs="Arial"/>
          <w:iCs/>
          <w:color w:val="000000" w:themeColor="text1"/>
          <w:sz w:val="20"/>
          <w:szCs w:val="20"/>
          <w:lang w:val="fr-FR"/>
        </w:rPr>
      </w:pPr>
    </w:p>
    <w:sectPr w:rsidR="009672C2" w:rsidRPr="00FD736D" w:rsidSect="009672C2">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CEE2C3" w14:textId="77777777" w:rsidR="00806F2C" w:rsidRDefault="00806F2C">
      <w:pPr>
        <w:spacing w:after="0" w:line="240" w:lineRule="auto"/>
        <w:rPr>
          <w:lang w:val="fr-FR"/>
        </w:rPr>
      </w:pPr>
      <w:r>
        <w:rPr>
          <w:lang w:val="fr-FR"/>
        </w:rPr>
        <w:separator/>
      </w:r>
    </w:p>
  </w:endnote>
  <w:endnote w:type="continuationSeparator" w:id="0">
    <w:p w14:paraId="1597F098" w14:textId="77777777" w:rsidR="00806F2C" w:rsidRDefault="00806F2C">
      <w:pPr>
        <w:spacing w:after="0" w:line="240" w:lineRule="auto"/>
        <w:rPr>
          <w:lang w:val="fr-FR"/>
        </w:rPr>
      </w:pPr>
      <w:r>
        <w:rPr>
          <w:lang w:val="fr-FR"/>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w:panose1 w:val="02070409020205020404"/>
    <w:charset w:val="00"/>
    <w:family w:val="modern"/>
    <w:pitch w:val="fixed"/>
    <w:sig w:usb0="E0002A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sz w:val="18"/>
        <w:szCs w:val="18"/>
      </w:rPr>
      <w:id w:val="1059987444"/>
      <w:docPartObj>
        <w:docPartGallery w:val="Page Numbers (Bottom of Page)"/>
        <w:docPartUnique/>
      </w:docPartObj>
    </w:sdtPr>
    <w:sdtEndPr>
      <w:rPr>
        <w:noProof/>
      </w:rPr>
    </w:sdtEndPr>
    <w:sdtContent>
      <w:p w14:paraId="18C43F4A" w14:textId="77777777" w:rsidR="006C1525" w:rsidRPr="00577EA8" w:rsidRDefault="009672C2" w:rsidP="00577EA8">
        <w:pPr>
          <w:pStyle w:val="Footer"/>
          <w:jc w:val="center"/>
          <w:rPr>
            <w:rFonts w:ascii="Arial" w:hAnsi="Arial" w:cs="Arial"/>
            <w:sz w:val="18"/>
            <w:szCs w:val="18"/>
          </w:rPr>
        </w:pPr>
        <w:r w:rsidRPr="00577EA8">
          <w:rPr>
            <w:rFonts w:ascii="Arial" w:hAnsi="Arial" w:cs="Arial"/>
            <w:sz w:val="18"/>
            <w:szCs w:val="18"/>
          </w:rPr>
          <w:fldChar w:fldCharType="begin"/>
        </w:r>
        <w:r w:rsidR="00577EA8" w:rsidRPr="00577EA8">
          <w:rPr>
            <w:rFonts w:ascii="Arial" w:hAnsi="Arial" w:cs="Arial"/>
            <w:sz w:val="18"/>
            <w:szCs w:val="18"/>
          </w:rPr>
          <w:instrText xml:space="preserve"> PAGE   \* MERGEFORMAT </w:instrText>
        </w:r>
        <w:r w:rsidRPr="00577EA8">
          <w:rPr>
            <w:rFonts w:ascii="Arial" w:hAnsi="Arial" w:cs="Arial"/>
            <w:sz w:val="18"/>
            <w:szCs w:val="18"/>
          </w:rPr>
          <w:fldChar w:fldCharType="separate"/>
        </w:r>
        <w:r w:rsidR="00081BC2">
          <w:rPr>
            <w:rFonts w:ascii="Arial" w:hAnsi="Arial" w:cs="Arial"/>
            <w:noProof/>
            <w:sz w:val="18"/>
            <w:szCs w:val="18"/>
          </w:rPr>
          <w:t>6</w:t>
        </w:r>
        <w:r w:rsidRPr="00577EA8">
          <w:rPr>
            <w:rFonts w:ascii="Arial" w:hAnsi="Arial" w:cs="Arial"/>
            <w:noProof/>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inorHAnsi" w:hAnsiTheme="minorHAnsi" w:cstheme="minorHAnsi"/>
        <w:sz w:val="18"/>
        <w:szCs w:val="18"/>
      </w:rPr>
      <w:id w:val="1557282026"/>
      <w:docPartObj>
        <w:docPartGallery w:val="Page Numbers (Bottom of Page)"/>
        <w:docPartUnique/>
      </w:docPartObj>
    </w:sdtPr>
    <w:sdtEndPr>
      <w:rPr>
        <w:noProof/>
      </w:rPr>
    </w:sdtEndPr>
    <w:sdtContent>
      <w:p w14:paraId="533BF299" w14:textId="77777777" w:rsidR="006C1525" w:rsidRPr="00A46159" w:rsidRDefault="009672C2" w:rsidP="00A46159">
        <w:pPr>
          <w:pStyle w:val="Footer"/>
          <w:jc w:val="center"/>
          <w:rPr>
            <w:rFonts w:asciiTheme="minorHAnsi" w:hAnsiTheme="minorHAnsi" w:cstheme="minorHAnsi"/>
            <w:sz w:val="18"/>
            <w:szCs w:val="18"/>
          </w:rPr>
        </w:pPr>
        <w:r w:rsidRPr="00A46159">
          <w:rPr>
            <w:rFonts w:asciiTheme="minorHAnsi" w:hAnsiTheme="minorHAnsi" w:cstheme="minorHAnsi"/>
            <w:sz w:val="18"/>
            <w:szCs w:val="18"/>
          </w:rPr>
          <w:fldChar w:fldCharType="begin"/>
        </w:r>
        <w:r w:rsidR="00A46159" w:rsidRPr="00A46159">
          <w:rPr>
            <w:rFonts w:asciiTheme="minorHAnsi" w:hAnsiTheme="minorHAnsi" w:cstheme="minorHAnsi"/>
            <w:sz w:val="18"/>
            <w:szCs w:val="18"/>
          </w:rPr>
          <w:instrText xml:space="preserve"> PAGE   \* MERGEFORMAT </w:instrText>
        </w:r>
        <w:r w:rsidRPr="00A46159">
          <w:rPr>
            <w:rFonts w:asciiTheme="minorHAnsi" w:hAnsiTheme="minorHAnsi" w:cstheme="minorHAnsi"/>
            <w:sz w:val="18"/>
            <w:szCs w:val="18"/>
          </w:rPr>
          <w:fldChar w:fldCharType="separate"/>
        </w:r>
        <w:r w:rsidR="00081BC2">
          <w:rPr>
            <w:rFonts w:asciiTheme="minorHAnsi" w:hAnsiTheme="minorHAnsi" w:cstheme="minorHAnsi"/>
            <w:noProof/>
            <w:sz w:val="18"/>
            <w:szCs w:val="18"/>
          </w:rPr>
          <w:t>5</w:t>
        </w:r>
        <w:r w:rsidRPr="00A46159">
          <w:rPr>
            <w:rFonts w:asciiTheme="minorHAnsi" w:hAnsiTheme="minorHAnsi" w:cstheme="minorHAnsi"/>
            <w:noProof/>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1A8635" w14:textId="77777777" w:rsidR="00806F2C" w:rsidRDefault="00806F2C">
      <w:pPr>
        <w:spacing w:after="0" w:line="240" w:lineRule="auto"/>
        <w:rPr>
          <w:lang w:val="fr-FR"/>
        </w:rPr>
      </w:pPr>
      <w:r>
        <w:rPr>
          <w:lang w:val="fr-FR"/>
        </w:rPr>
        <w:separator/>
      </w:r>
    </w:p>
  </w:footnote>
  <w:footnote w:type="continuationSeparator" w:id="0">
    <w:p w14:paraId="47452D9E" w14:textId="77777777" w:rsidR="00806F2C" w:rsidRDefault="00806F2C">
      <w:pPr>
        <w:spacing w:after="0" w:line="240" w:lineRule="auto"/>
        <w:rPr>
          <w:lang w:val="fr-FR"/>
        </w:rPr>
      </w:pPr>
      <w:r>
        <w:rPr>
          <w:lang w:val="fr-FR"/>
        </w:rPr>
        <w:continuationSeparator/>
      </w:r>
    </w:p>
  </w:footnote>
  <w:footnote w:id="1">
    <w:p w14:paraId="65F1A151" w14:textId="77777777" w:rsidR="005969CE" w:rsidRPr="002A37CA" w:rsidRDefault="005969CE" w:rsidP="005969CE">
      <w:pPr>
        <w:pStyle w:val="FootnoteText"/>
        <w:rPr>
          <w:sz w:val="16"/>
          <w:szCs w:val="16"/>
          <w:lang w:val="fr-FR"/>
        </w:rPr>
      </w:pPr>
      <w:r w:rsidRPr="002A37CA">
        <w:rPr>
          <w:rStyle w:val="FootnoteReference"/>
          <w:sz w:val="16"/>
          <w:szCs w:val="16"/>
        </w:rPr>
        <w:footnoteRef/>
      </w:r>
      <w:r w:rsidRPr="002A37CA">
        <w:rPr>
          <w:sz w:val="16"/>
          <w:szCs w:val="16"/>
          <w:lang w:val="fr-FR"/>
        </w:rPr>
        <w:t xml:space="preserve"> Toutes les références au Kosovo dans le présent document doivent être comprises en totale conformité avec la résolution 1244/99 du Conseil de sécurité des Nations unies et sans préjudice de son statut.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3FD732" w14:textId="6A98AFFA" w:rsidR="009672C2" w:rsidRDefault="002A409C">
    <w:pPr>
      <w:pStyle w:val="Header"/>
      <w:pBdr>
        <w:bottom w:val="single" w:sz="4" w:space="1" w:color="auto"/>
      </w:pBdr>
      <w:rPr>
        <w:rFonts w:ascii="Arial" w:hAnsi="Arial" w:cs="Arial"/>
        <w:i/>
        <w:iCs/>
        <w:sz w:val="18"/>
        <w:szCs w:val="18"/>
        <w:lang w:val="en-GB"/>
      </w:rPr>
    </w:pPr>
    <w:r>
      <w:rPr>
        <w:rFonts w:ascii="Arial" w:hAnsi="Arial" w:cs="Arial"/>
        <w:i/>
        <w:iCs/>
        <w:sz w:val="18"/>
        <w:szCs w:val="18"/>
        <w:lang w:val="en-GB"/>
      </w:rPr>
      <w:t>UNEP/CMS/COP15/Doc.25.6.1/Annex</w:t>
    </w:r>
    <w:r w:rsidR="00321888">
      <w:rPr>
        <w:rFonts w:ascii="Arial" w:hAnsi="Arial" w:cs="Arial"/>
        <w:i/>
        <w:iCs/>
        <w:sz w:val="18"/>
        <w:szCs w:val="18"/>
        <w:lang w:val="en-GB"/>
      </w:rPr>
      <w:t>e</w:t>
    </w:r>
    <w:r>
      <w:rPr>
        <w:rFonts w:ascii="Arial" w:hAnsi="Arial" w:cs="Arial"/>
        <w:i/>
        <w:iCs/>
        <w:sz w:val="18"/>
        <w:szCs w:val="18"/>
        <w:lang w:val="en-GB"/>
      </w:rPr>
      <w:t xml:space="preserve"> 1</w:t>
    </w:r>
  </w:p>
  <w:p w14:paraId="0F2F631F" w14:textId="77777777" w:rsidR="009672C2" w:rsidRDefault="009672C2">
    <w:pPr>
      <w:pStyle w:val="Header"/>
      <w:rPr>
        <w:lang w:val="fr-FR"/>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6CE4D7" w14:textId="7EA3F45E" w:rsidR="00577EA8" w:rsidRPr="00577EA8" w:rsidRDefault="00577EA8" w:rsidP="00577EA8">
    <w:pPr>
      <w:pStyle w:val="Header"/>
      <w:pBdr>
        <w:bottom w:val="single" w:sz="4" w:space="1" w:color="auto"/>
      </w:pBdr>
      <w:jc w:val="right"/>
      <w:rPr>
        <w:rFonts w:ascii="Arial" w:hAnsi="Arial" w:cs="Arial"/>
        <w:i/>
        <w:iCs/>
        <w:sz w:val="18"/>
        <w:szCs w:val="18"/>
        <w:lang w:val="en-GB"/>
      </w:rPr>
    </w:pPr>
    <w:r w:rsidRPr="00577EA8">
      <w:rPr>
        <w:rFonts w:ascii="Arial" w:hAnsi="Arial" w:cs="Arial"/>
        <w:i/>
        <w:iCs/>
        <w:sz w:val="18"/>
        <w:szCs w:val="18"/>
        <w:lang w:val="en-GB"/>
      </w:rPr>
      <w:t>UNEP/CMS/COP15/Doc.25.6.1/Annex</w:t>
    </w:r>
    <w:r w:rsidR="00321888">
      <w:rPr>
        <w:rFonts w:ascii="Arial" w:hAnsi="Arial" w:cs="Arial"/>
        <w:i/>
        <w:iCs/>
        <w:sz w:val="18"/>
        <w:szCs w:val="18"/>
        <w:lang w:val="en-GB"/>
      </w:rPr>
      <w:t>e</w:t>
    </w:r>
    <w:r w:rsidRPr="00577EA8">
      <w:rPr>
        <w:rFonts w:ascii="Arial" w:hAnsi="Arial" w:cs="Arial"/>
        <w:i/>
        <w:iCs/>
        <w:sz w:val="18"/>
        <w:szCs w:val="18"/>
        <w:lang w:val="en-GB"/>
      </w:rPr>
      <w:t xml:space="preserve"> 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55A2E9" w14:textId="00D79C6D" w:rsidR="009672C2" w:rsidRDefault="002A409C">
    <w:pPr>
      <w:pStyle w:val="Header"/>
      <w:pBdr>
        <w:bottom w:val="single" w:sz="4" w:space="1" w:color="auto"/>
      </w:pBdr>
      <w:jc w:val="right"/>
      <w:rPr>
        <w:rFonts w:ascii="Arial" w:hAnsi="Arial" w:cs="Arial"/>
        <w:i/>
        <w:iCs/>
        <w:sz w:val="18"/>
        <w:szCs w:val="18"/>
        <w:lang w:val="en-GB"/>
      </w:rPr>
    </w:pPr>
    <w:r>
      <w:rPr>
        <w:rFonts w:ascii="Arial" w:hAnsi="Arial" w:cs="Arial"/>
        <w:i/>
        <w:iCs/>
        <w:sz w:val="18"/>
        <w:szCs w:val="18"/>
        <w:lang w:val="en-GB"/>
      </w:rPr>
      <w:t>UNEP/CMS/COP15/Doc.25.6.1/Annex</w:t>
    </w:r>
    <w:r w:rsidR="00321888">
      <w:rPr>
        <w:rFonts w:ascii="Arial" w:hAnsi="Arial" w:cs="Arial"/>
        <w:i/>
        <w:iCs/>
        <w:sz w:val="18"/>
        <w:szCs w:val="18"/>
        <w:lang w:val="en-GB"/>
      </w:rPr>
      <w:t>e</w:t>
    </w:r>
    <w:r>
      <w:rPr>
        <w:rFonts w:ascii="Arial" w:hAnsi="Arial" w:cs="Arial"/>
        <w:i/>
        <w:iCs/>
        <w:sz w:val="18"/>
        <w:szCs w:val="18"/>
        <w:lang w:val="en-GB"/>
      </w:rPr>
      <w:t xml:space="preserve"> 1</w:t>
    </w:r>
  </w:p>
  <w:p w14:paraId="7D57BF60" w14:textId="77777777" w:rsidR="009672C2" w:rsidRDefault="009672C2">
    <w:pPr>
      <w:pStyle w:val="Header"/>
      <w:rPr>
        <w:lang w:val="fr-F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1EF4E01"/>
    <w:multiLevelType w:val="hybridMultilevel"/>
    <w:tmpl w:val="A87AE7CC"/>
    <w:lvl w:ilvl="0" w:tplc="0407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95953F0"/>
    <w:multiLevelType w:val="multilevel"/>
    <w:tmpl w:val="8E6EBCB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9721B54"/>
    <w:multiLevelType w:val="hybridMultilevel"/>
    <w:tmpl w:val="3CC84D1A"/>
    <w:lvl w:ilvl="0" w:tplc="0407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97A31B5"/>
    <w:multiLevelType w:val="hybridMultilevel"/>
    <w:tmpl w:val="4C12A79C"/>
    <w:lvl w:ilvl="0" w:tplc="540A0017">
      <w:start w:val="1"/>
      <w:numFmt w:val="lowerLetter"/>
      <w:lvlText w:val="%1)"/>
      <w:lvlJc w:val="left"/>
      <w:pPr>
        <w:ind w:left="1154" w:hanging="360"/>
      </w:pPr>
      <w:rPr>
        <w:rFonts w:hint="default"/>
      </w:rPr>
    </w:lvl>
    <w:lvl w:ilvl="1" w:tplc="540A0019" w:tentative="1">
      <w:start w:val="1"/>
      <w:numFmt w:val="lowerLetter"/>
      <w:lvlText w:val="%2."/>
      <w:lvlJc w:val="left"/>
      <w:pPr>
        <w:ind w:left="1874" w:hanging="360"/>
      </w:pPr>
    </w:lvl>
    <w:lvl w:ilvl="2" w:tplc="540A001B" w:tentative="1">
      <w:start w:val="1"/>
      <w:numFmt w:val="lowerRoman"/>
      <w:lvlText w:val="%3."/>
      <w:lvlJc w:val="right"/>
      <w:pPr>
        <w:ind w:left="2594" w:hanging="180"/>
      </w:pPr>
    </w:lvl>
    <w:lvl w:ilvl="3" w:tplc="540A000F" w:tentative="1">
      <w:start w:val="1"/>
      <w:numFmt w:val="decimal"/>
      <w:lvlText w:val="%4."/>
      <w:lvlJc w:val="left"/>
      <w:pPr>
        <w:ind w:left="3314" w:hanging="360"/>
      </w:pPr>
    </w:lvl>
    <w:lvl w:ilvl="4" w:tplc="540A0019" w:tentative="1">
      <w:start w:val="1"/>
      <w:numFmt w:val="lowerLetter"/>
      <w:lvlText w:val="%5."/>
      <w:lvlJc w:val="left"/>
      <w:pPr>
        <w:ind w:left="4034" w:hanging="360"/>
      </w:pPr>
    </w:lvl>
    <w:lvl w:ilvl="5" w:tplc="540A001B" w:tentative="1">
      <w:start w:val="1"/>
      <w:numFmt w:val="lowerRoman"/>
      <w:lvlText w:val="%6."/>
      <w:lvlJc w:val="right"/>
      <w:pPr>
        <w:ind w:left="4754" w:hanging="180"/>
      </w:pPr>
    </w:lvl>
    <w:lvl w:ilvl="6" w:tplc="540A000F" w:tentative="1">
      <w:start w:val="1"/>
      <w:numFmt w:val="decimal"/>
      <w:lvlText w:val="%7."/>
      <w:lvlJc w:val="left"/>
      <w:pPr>
        <w:ind w:left="5474" w:hanging="360"/>
      </w:pPr>
    </w:lvl>
    <w:lvl w:ilvl="7" w:tplc="540A0019" w:tentative="1">
      <w:start w:val="1"/>
      <w:numFmt w:val="lowerLetter"/>
      <w:lvlText w:val="%8."/>
      <w:lvlJc w:val="left"/>
      <w:pPr>
        <w:ind w:left="6194" w:hanging="360"/>
      </w:pPr>
    </w:lvl>
    <w:lvl w:ilvl="8" w:tplc="540A001B" w:tentative="1">
      <w:start w:val="1"/>
      <w:numFmt w:val="lowerRoman"/>
      <w:lvlText w:val="%9."/>
      <w:lvlJc w:val="right"/>
      <w:pPr>
        <w:ind w:left="6914" w:hanging="180"/>
      </w:pPr>
    </w:lvl>
  </w:abstractNum>
  <w:abstractNum w:abstractNumId="10" w15:restartNumberingAfterBreak="0">
    <w:nsid w:val="09AA76F3"/>
    <w:multiLevelType w:val="multilevel"/>
    <w:tmpl w:val="55DC4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A9245BE"/>
    <w:multiLevelType w:val="hybridMultilevel"/>
    <w:tmpl w:val="591A9FE8"/>
    <w:lvl w:ilvl="0" w:tplc="1F463DA8">
      <w:start w:val="1"/>
      <w:numFmt w:val="upperLetter"/>
      <w:pStyle w:val="FourthnumberingA"/>
      <w:lvlText w:val="%1."/>
      <w:lvlJc w:val="right"/>
      <w:pPr>
        <w:ind w:left="2705" w:hanging="360"/>
      </w:pPr>
      <w:rPr>
        <w:rFonts w:hint="default"/>
      </w:rPr>
    </w:lvl>
    <w:lvl w:ilvl="1" w:tplc="04090019" w:tentative="1">
      <w:start w:val="1"/>
      <w:numFmt w:val="lowerLetter"/>
      <w:lvlText w:val="%2."/>
      <w:lvlJc w:val="left"/>
      <w:pPr>
        <w:ind w:left="3425" w:hanging="360"/>
      </w:pPr>
    </w:lvl>
    <w:lvl w:ilvl="2" w:tplc="0409001B" w:tentative="1">
      <w:start w:val="1"/>
      <w:numFmt w:val="lowerRoman"/>
      <w:lvlText w:val="%3."/>
      <w:lvlJc w:val="right"/>
      <w:pPr>
        <w:ind w:left="4145" w:hanging="180"/>
      </w:pPr>
    </w:lvl>
    <w:lvl w:ilvl="3" w:tplc="0409000F" w:tentative="1">
      <w:start w:val="1"/>
      <w:numFmt w:val="decimal"/>
      <w:lvlText w:val="%4."/>
      <w:lvlJc w:val="left"/>
      <w:pPr>
        <w:ind w:left="4865" w:hanging="360"/>
      </w:pPr>
    </w:lvl>
    <w:lvl w:ilvl="4" w:tplc="04090019" w:tentative="1">
      <w:start w:val="1"/>
      <w:numFmt w:val="lowerLetter"/>
      <w:lvlText w:val="%5."/>
      <w:lvlJc w:val="left"/>
      <w:pPr>
        <w:ind w:left="5585" w:hanging="360"/>
      </w:pPr>
    </w:lvl>
    <w:lvl w:ilvl="5" w:tplc="0409001B" w:tentative="1">
      <w:start w:val="1"/>
      <w:numFmt w:val="lowerRoman"/>
      <w:lvlText w:val="%6."/>
      <w:lvlJc w:val="right"/>
      <w:pPr>
        <w:ind w:left="6305" w:hanging="180"/>
      </w:pPr>
    </w:lvl>
    <w:lvl w:ilvl="6" w:tplc="0409000F" w:tentative="1">
      <w:start w:val="1"/>
      <w:numFmt w:val="decimal"/>
      <w:lvlText w:val="%7."/>
      <w:lvlJc w:val="left"/>
      <w:pPr>
        <w:ind w:left="7025" w:hanging="360"/>
      </w:pPr>
    </w:lvl>
    <w:lvl w:ilvl="7" w:tplc="04090019" w:tentative="1">
      <w:start w:val="1"/>
      <w:numFmt w:val="lowerLetter"/>
      <w:lvlText w:val="%8."/>
      <w:lvlJc w:val="left"/>
      <w:pPr>
        <w:ind w:left="7745" w:hanging="360"/>
      </w:pPr>
    </w:lvl>
    <w:lvl w:ilvl="8" w:tplc="0409001B" w:tentative="1">
      <w:start w:val="1"/>
      <w:numFmt w:val="lowerRoman"/>
      <w:lvlText w:val="%9."/>
      <w:lvlJc w:val="right"/>
      <w:pPr>
        <w:ind w:left="8465" w:hanging="180"/>
      </w:pPr>
    </w:lvl>
  </w:abstractNum>
  <w:abstractNum w:abstractNumId="12" w15:restartNumberingAfterBreak="0">
    <w:nsid w:val="0B0B5D12"/>
    <w:multiLevelType w:val="hybridMultilevel"/>
    <w:tmpl w:val="921834B0"/>
    <w:lvl w:ilvl="0" w:tplc="810C2214">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E9B0F69"/>
    <w:multiLevelType w:val="multilevel"/>
    <w:tmpl w:val="8E6EBC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EBF7A71"/>
    <w:multiLevelType w:val="hybridMultilevel"/>
    <w:tmpl w:val="3F88B9BE"/>
    <w:lvl w:ilvl="0" w:tplc="20000017">
      <w:start w:val="1"/>
      <w:numFmt w:val="lowerLetter"/>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5" w15:restartNumberingAfterBreak="0">
    <w:nsid w:val="0EF3354F"/>
    <w:multiLevelType w:val="multilevel"/>
    <w:tmpl w:val="8E6EBCB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83D09A0"/>
    <w:multiLevelType w:val="hybridMultilevel"/>
    <w:tmpl w:val="DFDA6434"/>
    <w:lvl w:ilvl="0" w:tplc="BA305736">
      <w:start w:val="8"/>
      <w:numFmt w:val="decimal"/>
      <w:lvlText w:val="%1."/>
      <w:lvlJc w:val="left"/>
      <w:pPr>
        <w:ind w:left="25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23263454"/>
    <w:multiLevelType w:val="hybridMultilevel"/>
    <w:tmpl w:val="81BC99EA"/>
    <w:lvl w:ilvl="0" w:tplc="010A3CB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3DF48E4"/>
    <w:multiLevelType w:val="hybridMultilevel"/>
    <w:tmpl w:val="708C2EB6"/>
    <w:lvl w:ilvl="0" w:tplc="20000017">
      <w:start w:val="1"/>
      <w:numFmt w:val="lowerLetter"/>
      <w:pStyle w:val="Secondnumbering"/>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9" w15:restartNumberingAfterBreak="0">
    <w:nsid w:val="2426759F"/>
    <w:multiLevelType w:val="hybridMultilevel"/>
    <w:tmpl w:val="534CF7DA"/>
    <w:lvl w:ilvl="0" w:tplc="08090017">
      <w:start w:val="1"/>
      <w:numFmt w:val="lowerLetter"/>
      <w:lvlText w:val="%1)"/>
      <w:lvlJc w:val="left"/>
      <w:pPr>
        <w:ind w:left="1003" w:hanging="360"/>
      </w:pPr>
    </w:lvl>
    <w:lvl w:ilvl="1" w:tplc="08090019">
      <w:start w:val="1"/>
      <w:numFmt w:val="lowerLetter"/>
      <w:lvlText w:val="%2."/>
      <w:lvlJc w:val="left"/>
      <w:pPr>
        <w:ind w:left="1723" w:hanging="360"/>
      </w:pPr>
    </w:lvl>
    <w:lvl w:ilvl="2" w:tplc="0809001B">
      <w:start w:val="1"/>
      <w:numFmt w:val="lowerRoman"/>
      <w:lvlText w:val="%3."/>
      <w:lvlJc w:val="right"/>
      <w:pPr>
        <w:ind w:left="2443" w:hanging="180"/>
      </w:pPr>
    </w:lvl>
    <w:lvl w:ilvl="3" w:tplc="0809000F">
      <w:start w:val="1"/>
      <w:numFmt w:val="decimal"/>
      <w:lvlText w:val="%4."/>
      <w:lvlJc w:val="left"/>
      <w:pPr>
        <w:ind w:left="3163" w:hanging="360"/>
      </w:pPr>
    </w:lvl>
    <w:lvl w:ilvl="4" w:tplc="08090019">
      <w:start w:val="1"/>
      <w:numFmt w:val="lowerLetter"/>
      <w:lvlText w:val="%5."/>
      <w:lvlJc w:val="left"/>
      <w:pPr>
        <w:ind w:left="3883" w:hanging="360"/>
      </w:pPr>
    </w:lvl>
    <w:lvl w:ilvl="5" w:tplc="0809001B">
      <w:start w:val="1"/>
      <w:numFmt w:val="lowerRoman"/>
      <w:lvlText w:val="%6."/>
      <w:lvlJc w:val="right"/>
      <w:pPr>
        <w:ind w:left="4603" w:hanging="180"/>
      </w:pPr>
    </w:lvl>
    <w:lvl w:ilvl="6" w:tplc="0809000F">
      <w:start w:val="1"/>
      <w:numFmt w:val="decimal"/>
      <w:lvlText w:val="%7."/>
      <w:lvlJc w:val="left"/>
      <w:pPr>
        <w:ind w:left="5323" w:hanging="360"/>
      </w:pPr>
    </w:lvl>
    <w:lvl w:ilvl="7" w:tplc="08090019">
      <w:start w:val="1"/>
      <w:numFmt w:val="lowerLetter"/>
      <w:lvlText w:val="%8."/>
      <w:lvlJc w:val="left"/>
      <w:pPr>
        <w:ind w:left="6043" w:hanging="360"/>
      </w:pPr>
    </w:lvl>
    <w:lvl w:ilvl="8" w:tplc="0809001B">
      <w:start w:val="1"/>
      <w:numFmt w:val="lowerRoman"/>
      <w:lvlText w:val="%9."/>
      <w:lvlJc w:val="right"/>
      <w:pPr>
        <w:ind w:left="6763" w:hanging="180"/>
      </w:pPr>
    </w:lvl>
  </w:abstractNum>
  <w:abstractNum w:abstractNumId="20" w15:restartNumberingAfterBreak="0">
    <w:nsid w:val="295B3257"/>
    <w:multiLevelType w:val="hybridMultilevel"/>
    <w:tmpl w:val="5C5A5CC6"/>
    <w:lvl w:ilvl="0" w:tplc="C19C193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B1C0F11"/>
    <w:multiLevelType w:val="hybridMultilevel"/>
    <w:tmpl w:val="9348D216"/>
    <w:lvl w:ilvl="0" w:tplc="0407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2D6656AB"/>
    <w:multiLevelType w:val="multilevel"/>
    <w:tmpl w:val="3CFC0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0487EEC"/>
    <w:multiLevelType w:val="hybridMultilevel"/>
    <w:tmpl w:val="CD060BEC"/>
    <w:lvl w:ilvl="0" w:tplc="0407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20E7B2A"/>
    <w:multiLevelType w:val="hybridMultilevel"/>
    <w:tmpl w:val="75F6D848"/>
    <w:lvl w:ilvl="0" w:tplc="53D8EABA">
      <w:start w:val="1"/>
      <w:numFmt w:val="lowerLetter"/>
      <w:lvlText w:val="%1)"/>
      <w:lvlJc w:val="left"/>
      <w:pPr>
        <w:ind w:left="990" w:hanging="360"/>
      </w:pPr>
      <w:rPr>
        <w:rFonts w:hint="default"/>
      </w:rPr>
    </w:lvl>
    <w:lvl w:ilvl="1" w:tplc="08090019" w:tentative="1">
      <w:start w:val="1"/>
      <w:numFmt w:val="lowerLetter"/>
      <w:lvlText w:val="%2."/>
      <w:lvlJc w:val="left"/>
      <w:pPr>
        <w:ind w:left="1710" w:hanging="360"/>
      </w:pPr>
    </w:lvl>
    <w:lvl w:ilvl="2" w:tplc="0809001B" w:tentative="1">
      <w:start w:val="1"/>
      <w:numFmt w:val="lowerRoman"/>
      <w:lvlText w:val="%3."/>
      <w:lvlJc w:val="right"/>
      <w:pPr>
        <w:ind w:left="2430" w:hanging="180"/>
      </w:pPr>
    </w:lvl>
    <w:lvl w:ilvl="3" w:tplc="0809000F" w:tentative="1">
      <w:start w:val="1"/>
      <w:numFmt w:val="decimal"/>
      <w:lvlText w:val="%4."/>
      <w:lvlJc w:val="left"/>
      <w:pPr>
        <w:ind w:left="3150" w:hanging="360"/>
      </w:pPr>
    </w:lvl>
    <w:lvl w:ilvl="4" w:tplc="08090019" w:tentative="1">
      <w:start w:val="1"/>
      <w:numFmt w:val="lowerLetter"/>
      <w:lvlText w:val="%5."/>
      <w:lvlJc w:val="left"/>
      <w:pPr>
        <w:ind w:left="3870" w:hanging="360"/>
      </w:pPr>
    </w:lvl>
    <w:lvl w:ilvl="5" w:tplc="0809001B" w:tentative="1">
      <w:start w:val="1"/>
      <w:numFmt w:val="lowerRoman"/>
      <w:lvlText w:val="%6."/>
      <w:lvlJc w:val="right"/>
      <w:pPr>
        <w:ind w:left="4590" w:hanging="180"/>
      </w:pPr>
    </w:lvl>
    <w:lvl w:ilvl="6" w:tplc="0809000F" w:tentative="1">
      <w:start w:val="1"/>
      <w:numFmt w:val="decimal"/>
      <w:lvlText w:val="%7."/>
      <w:lvlJc w:val="left"/>
      <w:pPr>
        <w:ind w:left="5310" w:hanging="360"/>
      </w:pPr>
    </w:lvl>
    <w:lvl w:ilvl="7" w:tplc="08090019" w:tentative="1">
      <w:start w:val="1"/>
      <w:numFmt w:val="lowerLetter"/>
      <w:lvlText w:val="%8."/>
      <w:lvlJc w:val="left"/>
      <w:pPr>
        <w:ind w:left="6030" w:hanging="360"/>
      </w:pPr>
    </w:lvl>
    <w:lvl w:ilvl="8" w:tplc="0809001B" w:tentative="1">
      <w:start w:val="1"/>
      <w:numFmt w:val="lowerRoman"/>
      <w:lvlText w:val="%9."/>
      <w:lvlJc w:val="right"/>
      <w:pPr>
        <w:ind w:left="6750" w:hanging="180"/>
      </w:pPr>
    </w:lvl>
  </w:abstractNum>
  <w:abstractNum w:abstractNumId="25" w15:restartNumberingAfterBreak="0">
    <w:nsid w:val="3AEC3892"/>
    <w:multiLevelType w:val="multilevel"/>
    <w:tmpl w:val="F732D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E77296C"/>
    <w:multiLevelType w:val="hybridMultilevel"/>
    <w:tmpl w:val="048CDCCE"/>
    <w:lvl w:ilvl="0" w:tplc="C51A1EEC">
      <w:start w:val="1"/>
      <w:numFmt w:val="low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7" w15:restartNumberingAfterBreak="0">
    <w:nsid w:val="40AB188D"/>
    <w:multiLevelType w:val="multilevel"/>
    <w:tmpl w:val="3B6AE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0C74FA7"/>
    <w:multiLevelType w:val="hybridMultilevel"/>
    <w:tmpl w:val="EA86C8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34D1EE8"/>
    <w:multiLevelType w:val="multilevel"/>
    <w:tmpl w:val="8E6EBC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47E4F92"/>
    <w:multiLevelType w:val="hybridMultilevel"/>
    <w:tmpl w:val="AFA623D8"/>
    <w:lvl w:ilvl="0" w:tplc="0407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48AD5C29"/>
    <w:multiLevelType w:val="hybridMultilevel"/>
    <w:tmpl w:val="D3AC241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49AE5844"/>
    <w:multiLevelType w:val="multilevel"/>
    <w:tmpl w:val="C3C4B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18636A5"/>
    <w:multiLevelType w:val="hybridMultilevel"/>
    <w:tmpl w:val="2A6E0C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1A62060"/>
    <w:multiLevelType w:val="hybridMultilevel"/>
    <w:tmpl w:val="E45C30C4"/>
    <w:lvl w:ilvl="0" w:tplc="5046ED82">
      <w:start w:val="1"/>
      <w:numFmt w:val="lowerRoman"/>
      <w:pStyle w:val="Thirdnumberingi"/>
      <w:lvlText w:val="%1)."/>
      <w:lvlJc w:val="right"/>
      <w:pPr>
        <w:ind w:left="2001" w:hanging="360"/>
      </w:pPr>
      <w:rPr>
        <w:rFonts w:hint="default"/>
      </w:rPr>
    </w:lvl>
    <w:lvl w:ilvl="1" w:tplc="04090019" w:tentative="1">
      <w:start w:val="1"/>
      <w:numFmt w:val="lowerLetter"/>
      <w:lvlText w:val="%2."/>
      <w:lvlJc w:val="left"/>
      <w:pPr>
        <w:ind w:left="2721" w:hanging="360"/>
      </w:pPr>
    </w:lvl>
    <w:lvl w:ilvl="2" w:tplc="0409001B" w:tentative="1">
      <w:start w:val="1"/>
      <w:numFmt w:val="lowerRoman"/>
      <w:lvlText w:val="%3."/>
      <w:lvlJc w:val="right"/>
      <w:pPr>
        <w:ind w:left="3441" w:hanging="180"/>
      </w:pPr>
    </w:lvl>
    <w:lvl w:ilvl="3" w:tplc="0409000F" w:tentative="1">
      <w:start w:val="1"/>
      <w:numFmt w:val="decimal"/>
      <w:lvlText w:val="%4."/>
      <w:lvlJc w:val="left"/>
      <w:pPr>
        <w:ind w:left="4161" w:hanging="360"/>
      </w:pPr>
    </w:lvl>
    <w:lvl w:ilvl="4" w:tplc="04090019" w:tentative="1">
      <w:start w:val="1"/>
      <w:numFmt w:val="lowerLetter"/>
      <w:lvlText w:val="%5."/>
      <w:lvlJc w:val="left"/>
      <w:pPr>
        <w:ind w:left="4881" w:hanging="360"/>
      </w:pPr>
    </w:lvl>
    <w:lvl w:ilvl="5" w:tplc="0409001B" w:tentative="1">
      <w:start w:val="1"/>
      <w:numFmt w:val="lowerRoman"/>
      <w:lvlText w:val="%6."/>
      <w:lvlJc w:val="right"/>
      <w:pPr>
        <w:ind w:left="5601" w:hanging="180"/>
      </w:pPr>
    </w:lvl>
    <w:lvl w:ilvl="6" w:tplc="0409000F" w:tentative="1">
      <w:start w:val="1"/>
      <w:numFmt w:val="decimal"/>
      <w:lvlText w:val="%7."/>
      <w:lvlJc w:val="left"/>
      <w:pPr>
        <w:ind w:left="6321" w:hanging="360"/>
      </w:pPr>
    </w:lvl>
    <w:lvl w:ilvl="7" w:tplc="04090019" w:tentative="1">
      <w:start w:val="1"/>
      <w:numFmt w:val="lowerLetter"/>
      <w:lvlText w:val="%8."/>
      <w:lvlJc w:val="left"/>
      <w:pPr>
        <w:ind w:left="7041" w:hanging="360"/>
      </w:pPr>
    </w:lvl>
    <w:lvl w:ilvl="8" w:tplc="0409001B" w:tentative="1">
      <w:start w:val="1"/>
      <w:numFmt w:val="lowerRoman"/>
      <w:lvlText w:val="%9."/>
      <w:lvlJc w:val="right"/>
      <w:pPr>
        <w:ind w:left="7761" w:hanging="180"/>
      </w:pPr>
    </w:lvl>
  </w:abstractNum>
  <w:abstractNum w:abstractNumId="35" w15:restartNumberingAfterBreak="0">
    <w:nsid w:val="547C66B8"/>
    <w:multiLevelType w:val="hybridMultilevel"/>
    <w:tmpl w:val="3514A814"/>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6" w15:restartNumberingAfterBreak="0">
    <w:nsid w:val="55364C0C"/>
    <w:multiLevelType w:val="multilevel"/>
    <w:tmpl w:val="6D885B36"/>
    <w:lvl w:ilvl="0">
      <w:start w:val="14"/>
      <w:numFmt w:val="decimal"/>
      <w:lvlText w:val="%1"/>
      <w:lvlJc w:val="left"/>
      <w:pPr>
        <w:ind w:left="620" w:hanging="620"/>
      </w:pPr>
      <w:rPr>
        <w:rFonts w:hint="default"/>
      </w:rPr>
    </w:lvl>
    <w:lvl w:ilvl="1">
      <w:start w:val="112"/>
      <w:numFmt w:val="decimal"/>
      <w:lvlText w:val="%1.%2"/>
      <w:lvlJc w:val="left"/>
      <w:pPr>
        <w:ind w:left="1187" w:hanging="6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7" w15:restartNumberingAfterBreak="0">
    <w:nsid w:val="5A0F31FB"/>
    <w:multiLevelType w:val="multilevel"/>
    <w:tmpl w:val="34DEA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E371D19"/>
    <w:multiLevelType w:val="multilevel"/>
    <w:tmpl w:val="17DEE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2AC22F0"/>
    <w:multiLevelType w:val="multilevel"/>
    <w:tmpl w:val="8E6EBCB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78351E9"/>
    <w:multiLevelType w:val="multilevel"/>
    <w:tmpl w:val="2CBCB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9A23F83"/>
    <w:multiLevelType w:val="hybridMultilevel"/>
    <w:tmpl w:val="A6DA6EC0"/>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2" w15:restartNumberingAfterBreak="0">
    <w:nsid w:val="6D92477F"/>
    <w:multiLevelType w:val="multilevel"/>
    <w:tmpl w:val="1F426C20"/>
    <w:lvl w:ilvl="0">
      <w:start w:val="1"/>
      <w:numFmt w:val="lowerLetter"/>
      <w:lvlText w:val="%1)"/>
      <w:lvlJc w:val="left"/>
      <w:pPr>
        <w:ind w:left="720" w:hanging="360"/>
      </w:pPr>
      <w:rPr>
        <w:rFonts w:hint="default"/>
        <w:b w:val="0"/>
        <w:i w:val="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FB30392"/>
    <w:multiLevelType w:val="hybridMultilevel"/>
    <w:tmpl w:val="DB1A317A"/>
    <w:lvl w:ilvl="0" w:tplc="90442228">
      <w:start w:val="1"/>
      <w:numFmt w:val="decimal"/>
      <w:pStyle w:val="Firstnumbering"/>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2725E34"/>
    <w:multiLevelType w:val="multilevel"/>
    <w:tmpl w:val="8E6EBCB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C644AEB"/>
    <w:multiLevelType w:val="hybridMultilevel"/>
    <w:tmpl w:val="B75E0FEE"/>
    <w:lvl w:ilvl="0" w:tplc="08090001">
      <w:start w:val="1"/>
      <w:numFmt w:val="bullet"/>
      <w:lvlText w:val=""/>
      <w:lvlJc w:val="left"/>
      <w:pPr>
        <w:ind w:left="757" w:hanging="360"/>
      </w:pPr>
      <w:rPr>
        <w:rFonts w:ascii="Symbol" w:hAnsi="Symbol" w:hint="default"/>
      </w:rPr>
    </w:lvl>
    <w:lvl w:ilvl="1" w:tplc="08090003" w:tentative="1">
      <w:start w:val="1"/>
      <w:numFmt w:val="bullet"/>
      <w:lvlText w:val="o"/>
      <w:lvlJc w:val="left"/>
      <w:pPr>
        <w:ind w:left="1477" w:hanging="360"/>
      </w:pPr>
      <w:rPr>
        <w:rFonts w:ascii="Courier New" w:hAnsi="Courier New" w:cs="Courier New" w:hint="default"/>
      </w:rPr>
    </w:lvl>
    <w:lvl w:ilvl="2" w:tplc="08090005" w:tentative="1">
      <w:start w:val="1"/>
      <w:numFmt w:val="bullet"/>
      <w:lvlText w:val=""/>
      <w:lvlJc w:val="left"/>
      <w:pPr>
        <w:ind w:left="2197" w:hanging="360"/>
      </w:pPr>
      <w:rPr>
        <w:rFonts w:ascii="Wingdings" w:hAnsi="Wingdings" w:hint="default"/>
      </w:rPr>
    </w:lvl>
    <w:lvl w:ilvl="3" w:tplc="08090001" w:tentative="1">
      <w:start w:val="1"/>
      <w:numFmt w:val="bullet"/>
      <w:lvlText w:val=""/>
      <w:lvlJc w:val="left"/>
      <w:pPr>
        <w:ind w:left="2917" w:hanging="360"/>
      </w:pPr>
      <w:rPr>
        <w:rFonts w:ascii="Symbol" w:hAnsi="Symbol" w:hint="default"/>
      </w:rPr>
    </w:lvl>
    <w:lvl w:ilvl="4" w:tplc="08090003" w:tentative="1">
      <w:start w:val="1"/>
      <w:numFmt w:val="bullet"/>
      <w:lvlText w:val="o"/>
      <w:lvlJc w:val="left"/>
      <w:pPr>
        <w:ind w:left="3637" w:hanging="360"/>
      </w:pPr>
      <w:rPr>
        <w:rFonts w:ascii="Courier New" w:hAnsi="Courier New" w:cs="Courier New" w:hint="default"/>
      </w:rPr>
    </w:lvl>
    <w:lvl w:ilvl="5" w:tplc="08090005" w:tentative="1">
      <w:start w:val="1"/>
      <w:numFmt w:val="bullet"/>
      <w:lvlText w:val=""/>
      <w:lvlJc w:val="left"/>
      <w:pPr>
        <w:ind w:left="4357" w:hanging="360"/>
      </w:pPr>
      <w:rPr>
        <w:rFonts w:ascii="Wingdings" w:hAnsi="Wingdings" w:hint="default"/>
      </w:rPr>
    </w:lvl>
    <w:lvl w:ilvl="6" w:tplc="08090001" w:tentative="1">
      <w:start w:val="1"/>
      <w:numFmt w:val="bullet"/>
      <w:lvlText w:val=""/>
      <w:lvlJc w:val="left"/>
      <w:pPr>
        <w:ind w:left="5077" w:hanging="360"/>
      </w:pPr>
      <w:rPr>
        <w:rFonts w:ascii="Symbol" w:hAnsi="Symbol" w:hint="default"/>
      </w:rPr>
    </w:lvl>
    <w:lvl w:ilvl="7" w:tplc="08090003" w:tentative="1">
      <w:start w:val="1"/>
      <w:numFmt w:val="bullet"/>
      <w:lvlText w:val="o"/>
      <w:lvlJc w:val="left"/>
      <w:pPr>
        <w:ind w:left="5797" w:hanging="360"/>
      </w:pPr>
      <w:rPr>
        <w:rFonts w:ascii="Courier New" w:hAnsi="Courier New" w:cs="Courier New" w:hint="default"/>
      </w:rPr>
    </w:lvl>
    <w:lvl w:ilvl="8" w:tplc="08090005" w:tentative="1">
      <w:start w:val="1"/>
      <w:numFmt w:val="bullet"/>
      <w:lvlText w:val=""/>
      <w:lvlJc w:val="left"/>
      <w:pPr>
        <w:ind w:left="6517" w:hanging="360"/>
      </w:pPr>
      <w:rPr>
        <w:rFonts w:ascii="Wingdings" w:hAnsi="Wingdings" w:hint="default"/>
      </w:rPr>
    </w:lvl>
  </w:abstractNum>
  <w:abstractNum w:abstractNumId="46" w15:restartNumberingAfterBreak="0">
    <w:nsid w:val="7DDF2CC9"/>
    <w:multiLevelType w:val="hybridMultilevel"/>
    <w:tmpl w:val="E31A0E0C"/>
    <w:lvl w:ilvl="0" w:tplc="BC24693E">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7" w15:restartNumberingAfterBreak="0">
    <w:nsid w:val="7E346385"/>
    <w:multiLevelType w:val="hybridMultilevel"/>
    <w:tmpl w:val="6658B680"/>
    <w:lvl w:ilvl="0" w:tplc="0407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2018850879">
    <w:abstractNumId w:val="5"/>
  </w:num>
  <w:num w:numId="2" w16cid:durableId="109445419">
    <w:abstractNumId w:val="3"/>
  </w:num>
  <w:num w:numId="3" w16cid:durableId="688410720">
    <w:abstractNumId w:val="2"/>
  </w:num>
  <w:num w:numId="4" w16cid:durableId="585698802">
    <w:abstractNumId w:val="4"/>
  </w:num>
  <w:num w:numId="5" w16cid:durableId="619456436">
    <w:abstractNumId w:val="1"/>
  </w:num>
  <w:num w:numId="6" w16cid:durableId="1489904802">
    <w:abstractNumId w:val="0"/>
  </w:num>
  <w:num w:numId="7" w16cid:durableId="1605266236">
    <w:abstractNumId w:val="25"/>
  </w:num>
  <w:num w:numId="8" w16cid:durableId="342392783">
    <w:abstractNumId w:val="29"/>
  </w:num>
  <w:num w:numId="9" w16cid:durableId="2147355216">
    <w:abstractNumId w:val="40"/>
  </w:num>
  <w:num w:numId="10" w16cid:durableId="2013995140">
    <w:abstractNumId w:val="10"/>
  </w:num>
  <w:num w:numId="11" w16cid:durableId="1063601179">
    <w:abstractNumId w:val="13"/>
  </w:num>
  <w:num w:numId="12" w16cid:durableId="1081560667">
    <w:abstractNumId w:val="33"/>
  </w:num>
  <w:num w:numId="13" w16cid:durableId="2053724497">
    <w:abstractNumId w:val="28"/>
  </w:num>
  <w:num w:numId="14" w16cid:durableId="506015939">
    <w:abstractNumId w:val="44"/>
  </w:num>
  <w:num w:numId="15" w16cid:durableId="813722806">
    <w:abstractNumId w:val="12"/>
  </w:num>
  <w:num w:numId="16" w16cid:durableId="2072540641">
    <w:abstractNumId w:val="6"/>
  </w:num>
  <w:num w:numId="17" w16cid:durableId="929508270">
    <w:abstractNumId w:val="20"/>
  </w:num>
  <w:num w:numId="18" w16cid:durableId="240525266">
    <w:abstractNumId w:val="17"/>
  </w:num>
  <w:num w:numId="19" w16cid:durableId="1620599692">
    <w:abstractNumId w:val="43"/>
  </w:num>
  <w:num w:numId="20" w16cid:durableId="187657538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67914813">
    <w:abstractNumId w:val="27"/>
  </w:num>
  <w:num w:numId="22" w16cid:durableId="440227128">
    <w:abstractNumId w:val="22"/>
  </w:num>
  <w:num w:numId="23" w16cid:durableId="1148523070">
    <w:abstractNumId w:val="32"/>
  </w:num>
  <w:num w:numId="24" w16cid:durableId="1806846613">
    <w:abstractNumId w:val="37"/>
  </w:num>
  <w:num w:numId="25" w16cid:durableId="1320697870">
    <w:abstractNumId w:val="38"/>
  </w:num>
  <w:num w:numId="26" w16cid:durableId="664675070">
    <w:abstractNumId w:val="34"/>
  </w:num>
  <w:num w:numId="27" w16cid:durableId="372996191">
    <w:abstractNumId w:val="11"/>
  </w:num>
  <w:num w:numId="28" w16cid:durableId="554043882">
    <w:abstractNumId w:val="45"/>
  </w:num>
  <w:num w:numId="29" w16cid:durableId="894269606">
    <w:abstractNumId w:val="18"/>
  </w:num>
  <w:num w:numId="30" w16cid:durableId="1414204565">
    <w:abstractNumId w:val="15"/>
  </w:num>
  <w:num w:numId="31" w16cid:durableId="1681814765">
    <w:abstractNumId w:val="7"/>
  </w:num>
  <w:num w:numId="32" w16cid:durableId="171345949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30994104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20948670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666326436">
    <w:abstractNumId w:val="24"/>
  </w:num>
  <w:num w:numId="36" w16cid:durableId="702487130">
    <w:abstractNumId w:val="14"/>
  </w:num>
  <w:num w:numId="37" w16cid:durableId="1933396743">
    <w:abstractNumId w:val="36"/>
  </w:num>
  <w:num w:numId="38" w16cid:durableId="395589668">
    <w:abstractNumId w:val="26"/>
  </w:num>
  <w:num w:numId="39" w16cid:durableId="210382928">
    <w:abstractNumId w:val="46"/>
  </w:num>
  <w:num w:numId="40" w16cid:durableId="636372578">
    <w:abstractNumId w:val="31"/>
  </w:num>
  <w:num w:numId="41" w16cid:durableId="742678511">
    <w:abstractNumId w:val="39"/>
  </w:num>
  <w:num w:numId="42" w16cid:durableId="1092357092">
    <w:abstractNumId w:val="42"/>
  </w:num>
  <w:num w:numId="43" w16cid:durableId="268390548">
    <w:abstractNumId w:val="8"/>
  </w:num>
  <w:num w:numId="44" w16cid:durableId="2098860119">
    <w:abstractNumId w:val="19"/>
  </w:num>
  <w:num w:numId="45" w16cid:durableId="420178589">
    <w:abstractNumId w:val="23"/>
  </w:num>
  <w:num w:numId="46" w16cid:durableId="1377126421">
    <w:abstractNumId w:val="47"/>
  </w:num>
  <w:num w:numId="47" w16cid:durableId="720330984">
    <w:abstractNumId w:val="21"/>
  </w:num>
  <w:num w:numId="48" w16cid:durableId="1398432158">
    <w:abstractNumId w:val="30"/>
  </w:num>
  <w:num w:numId="49" w16cid:durableId="823354761">
    <w:abstractNumId w:val="9"/>
  </w:num>
  <w:num w:numId="50" w16cid:durableId="325668302">
    <w:abstractNumId w:val="1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B47730"/>
    <w:rsid w:val="00000FF2"/>
    <w:rsid w:val="00006F60"/>
    <w:rsid w:val="0000712B"/>
    <w:rsid w:val="00012DA0"/>
    <w:rsid w:val="000147B9"/>
    <w:rsid w:val="00015500"/>
    <w:rsid w:val="000235A6"/>
    <w:rsid w:val="00025707"/>
    <w:rsid w:val="00030870"/>
    <w:rsid w:val="00032FAB"/>
    <w:rsid w:val="00033872"/>
    <w:rsid w:val="0003398A"/>
    <w:rsid w:val="00034616"/>
    <w:rsid w:val="00034D51"/>
    <w:rsid w:val="00036694"/>
    <w:rsid w:val="00041855"/>
    <w:rsid w:val="00041FEB"/>
    <w:rsid w:val="00045A9B"/>
    <w:rsid w:val="00047EEC"/>
    <w:rsid w:val="00051F9E"/>
    <w:rsid w:val="00054E3A"/>
    <w:rsid w:val="00057C25"/>
    <w:rsid w:val="0006063C"/>
    <w:rsid w:val="00060C27"/>
    <w:rsid w:val="00061148"/>
    <w:rsid w:val="00061360"/>
    <w:rsid w:val="000630A1"/>
    <w:rsid w:val="00064CD9"/>
    <w:rsid w:val="0006700F"/>
    <w:rsid w:val="00067589"/>
    <w:rsid w:val="00067EA9"/>
    <w:rsid w:val="00072D54"/>
    <w:rsid w:val="00076683"/>
    <w:rsid w:val="000767FB"/>
    <w:rsid w:val="00076DF7"/>
    <w:rsid w:val="00080C5C"/>
    <w:rsid w:val="00080CF7"/>
    <w:rsid w:val="0008197A"/>
    <w:rsid w:val="00081BC2"/>
    <w:rsid w:val="000843CC"/>
    <w:rsid w:val="0008749D"/>
    <w:rsid w:val="000910FD"/>
    <w:rsid w:val="00091D9C"/>
    <w:rsid w:val="00094055"/>
    <w:rsid w:val="000A02EC"/>
    <w:rsid w:val="000A0B0B"/>
    <w:rsid w:val="000A1289"/>
    <w:rsid w:val="000A149E"/>
    <w:rsid w:val="000A3599"/>
    <w:rsid w:val="000A51E0"/>
    <w:rsid w:val="000A6A89"/>
    <w:rsid w:val="000B3E7E"/>
    <w:rsid w:val="000B7BC1"/>
    <w:rsid w:val="000C05D7"/>
    <w:rsid w:val="000C1C96"/>
    <w:rsid w:val="000C1CE0"/>
    <w:rsid w:val="000C6052"/>
    <w:rsid w:val="000D41B0"/>
    <w:rsid w:val="000D4B47"/>
    <w:rsid w:val="000E0842"/>
    <w:rsid w:val="000E4BEB"/>
    <w:rsid w:val="000E709C"/>
    <w:rsid w:val="000E7717"/>
    <w:rsid w:val="000E7F1A"/>
    <w:rsid w:val="000F15DA"/>
    <w:rsid w:val="000F17CF"/>
    <w:rsid w:val="0010085D"/>
    <w:rsid w:val="00101BD4"/>
    <w:rsid w:val="001041E4"/>
    <w:rsid w:val="00107822"/>
    <w:rsid w:val="001118F8"/>
    <w:rsid w:val="00113161"/>
    <w:rsid w:val="00130891"/>
    <w:rsid w:val="0013467F"/>
    <w:rsid w:val="00136EDB"/>
    <w:rsid w:val="00143B19"/>
    <w:rsid w:val="00144490"/>
    <w:rsid w:val="0014583C"/>
    <w:rsid w:val="00146C1B"/>
    <w:rsid w:val="0015074B"/>
    <w:rsid w:val="001507CD"/>
    <w:rsid w:val="00150ABA"/>
    <w:rsid w:val="00152AA1"/>
    <w:rsid w:val="001533FB"/>
    <w:rsid w:val="00156CD0"/>
    <w:rsid w:val="00157334"/>
    <w:rsid w:val="00161660"/>
    <w:rsid w:val="00165429"/>
    <w:rsid w:val="00165476"/>
    <w:rsid w:val="00172539"/>
    <w:rsid w:val="001742F2"/>
    <w:rsid w:val="001776BB"/>
    <w:rsid w:val="00180C8E"/>
    <w:rsid w:val="00183402"/>
    <w:rsid w:val="00183BDC"/>
    <w:rsid w:val="00184817"/>
    <w:rsid w:val="00185E7C"/>
    <w:rsid w:val="00187275"/>
    <w:rsid w:val="00190FD2"/>
    <w:rsid w:val="00192C5D"/>
    <w:rsid w:val="001931CD"/>
    <w:rsid w:val="00194EEC"/>
    <w:rsid w:val="00195913"/>
    <w:rsid w:val="00195C9D"/>
    <w:rsid w:val="00196419"/>
    <w:rsid w:val="001A1A6F"/>
    <w:rsid w:val="001A4AA6"/>
    <w:rsid w:val="001A52AE"/>
    <w:rsid w:val="001A79DA"/>
    <w:rsid w:val="001B0978"/>
    <w:rsid w:val="001B2BAD"/>
    <w:rsid w:val="001B4B23"/>
    <w:rsid w:val="001B5E5A"/>
    <w:rsid w:val="001B6017"/>
    <w:rsid w:val="001C1C6B"/>
    <w:rsid w:val="001C713C"/>
    <w:rsid w:val="001D1051"/>
    <w:rsid w:val="001D16C9"/>
    <w:rsid w:val="001D2B2D"/>
    <w:rsid w:val="001D3D93"/>
    <w:rsid w:val="001D716F"/>
    <w:rsid w:val="001E1B83"/>
    <w:rsid w:val="001E3967"/>
    <w:rsid w:val="001E5408"/>
    <w:rsid w:val="001E5AA9"/>
    <w:rsid w:val="001E657D"/>
    <w:rsid w:val="001E7696"/>
    <w:rsid w:val="001F0DB4"/>
    <w:rsid w:val="001F575B"/>
    <w:rsid w:val="001F62D9"/>
    <w:rsid w:val="00204D6C"/>
    <w:rsid w:val="00206463"/>
    <w:rsid w:val="00207A84"/>
    <w:rsid w:val="00210078"/>
    <w:rsid w:val="00211125"/>
    <w:rsid w:val="00216463"/>
    <w:rsid w:val="00216E73"/>
    <w:rsid w:val="00224C70"/>
    <w:rsid w:val="00224D13"/>
    <w:rsid w:val="00227794"/>
    <w:rsid w:val="00234139"/>
    <w:rsid w:val="0023603B"/>
    <w:rsid w:val="00242591"/>
    <w:rsid w:val="00243DA1"/>
    <w:rsid w:val="00243E03"/>
    <w:rsid w:val="00247F46"/>
    <w:rsid w:val="00252F0C"/>
    <w:rsid w:val="00252FCF"/>
    <w:rsid w:val="0025758D"/>
    <w:rsid w:val="00262741"/>
    <w:rsid w:val="00262AAF"/>
    <w:rsid w:val="00270FFD"/>
    <w:rsid w:val="00271D07"/>
    <w:rsid w:val="0027329F"/>
    <w:rsid w:val="00273DE3"/>
    <w:rsid w:val="002744EB"/>
    <w:rsid w:val="00274931"/>
    <w:rsid w:val="00281717"/>
    <w:rsid w:val="002818C7"/>
    <w:rsid w:val="00282631"/>
    <w:rsid w:val="002940CE"/>
    <w:rsid w:val="0029639D"/>
    <w:rsid w:val="00297159"/>
    <w:rsid w:val="00297D33"/>
    <w:rsid w:val="002A2A9B"/>
    <w:rsid w:val="002A2C06"/>
    <w:rsid w:val="002A409C"/>
    <w:rsid w:val="002A41A7"/>
    <w:rsid w:val="002A6C3E"/>
    <w:rsid w:val="002A7DA6"/>
    <w:rsid w:val="002B022B"/>
    <w:rsid w:val="002B2ADA"/>
    <w:rsid w:val="002B2BFA"/>
    <w:rsid w:val="002B2CA6"/>
    <w:rsid w:val="002B2DED"/>
    <w:rsid w:val="002B5BDC"/>
    <w:rsid w:val="002B67FF"/>
    <w:rsid w:val="002C3591"/>
    <w:rsid w:val="002C7A74"/>
    <w:rsid w:val="002E1E17"/>
    <w:rsid w:val="002E30BB"/>
    <w:rsid w:val="002E4496"/>
    <w:rsid w:val="002F17EA"/>
    <w:rsid w:val="002F19AF"/>
    <w:rsid w:val="002F3288"/>
    <w:rsid w:val="002F3B35"/>
    <w:rsid w:val="002F4A40"/>
    <w:rsid w:val="00300768"/>
    <w:rsid w:val="00300AA8"/>
    <w:rsid w:val="00300FCD"/>
    <w:rsid w:val="00302132"/>
    <w:rsid w:val="00302B9B"/>
    <w:rsid w:val="00303385"/>
    <w:rsid w:val="003038E7"/>
    <w:rsid w:val="00310021"/>
    <w:rsid w:val="003160D2"/>
    <w:rsid w:val="003165C8"/>
    <w:rsid w:val="00320541"/>
    <w:rsid w:val="003216E3"/>
    <w:rsid w:val="00321888"/>
    <w:rsid w:val="00323660"/>
    <w:rsid w:val="0032417F"/>
    <w:rsid w:val="00326F90"/>
    <w:rsid w:val="003275D4"/>
    <w:rsid w:val="00330BDA"/>
    <w:rsid w:val="003333A1"/>
    <w:rsid w:val="00334382"/>
    <w:rsid w:val="00336442"/>
    <w:rsid w:val="00342F97"/>
    <w:rsid w:val="00343340"/>
    <w:rsid w:val="003438B3"/>
    <w:rsid w:val="00352E2F"/>
    <w:rsid w:val="00355FBB"/>
    <w:rsid w:val="003622AB"/>
    <w:rsid w:val="00362428"/>
    <w:rsid w:val="003661D2"/>
    <w:rsid w:val="00371E80"/>
    <w:rsid w:val="00373A5F"/>
    <w:rsid w:val="00375A37"/>
    <w:rsid w:val="0038119B"/>
    <w:rsid w:val="003824EE"/>
    <w:rsid w:val="00382A57"/>
    <w:rsid w:val="0038334B"/>
    <w:rsid w:val="00385270"/>
    <w:rsid w:val="00385944"/>
    <w:rsid w:val="00390053"/>
    <w:rsid w:val="00394BC3"/>
    <w:rsid w:val="003A19FC"/>
    <w:rsid w:val="003A1A5D"/>
    <w:rsid w:val="003A39EB"/>
    <w:rsid w:val="003A4849"/>
    <w:rsid w:val="003A6043"/>
    <w:rsid w:val="003A744D"/>
    <w:rsid w:val="003B058D"/>
    <w:rsid w:val="003B19B0"/>
    <w:rsid w:val="003B229B"/>
    <w:rsid w:val="003C17E5"/>
    <w:rsid w:val="003C19FA"/>
    <w:rsid w:val="003C2609"/>
    <w:rsid w:val="003C5F52"/>
    <w:rsid w:val="003C704A"/>
    <w:rsid w:val="003D0146"/>
    <w:rsid w:val="003D0701"/>
    <w:rsid w:val="003D22E2"/>
    <w:rsid w:val="003D399F"/>
    <w:rsid w:val="003D5690"/>
    <w:rsid w:val="003D5A0E"/>
    <w:rsid w:val="003E1FB3"/>
    <w:rsid w:val="003E496E"/>
    <w:rsid w:val="003F18C5"/>
    <w:rsid w:val="003F5B05"/>
    <w:rsid w:val="003F6A74"/>
    <w:rsid w:val="00403CC8"/>
    <w:rsid w:val="004051B6"/>
    <w:rsid w:val="004100C8"/>
    <w:rsid w:val="00410ADA"/>
    <w:rsid w:val="00410ADB"/>
    <w:rsid w:val="00415145"/>
    <w:rsid w:val="004168DF"/>
    <w:rsid w:val="004215CA"/>
    <w:rsid w:val="004227E7"/>
    <w:rsid w:val="00423340"/>
    <w:rsid w:val="0042580B"/>
    <w:rsid w:val="00426272"/>
    <w:rsid w:val="00426F27"/>
    <w:rsid w:val="004315C6"/>
    <w:rsid w:val="00434530"/>
    <w:rsid w:val="00440351"/>
    <w:rsid w:val="004405DC"/>
    <w:rsid w:val="00443F3C"/>
    <w:rsid w:val="00444EB9"/>
    <w:rsid w:val="0044530C"/>
    <w:rsid w:val="00450696"/>
    <w:rsid w:val="004540D6"/>
    <w:rsid w:val="004576AB"/>
    <w:rsid w:val="00462664"/>
    <w:rsid w:val="00462F06"/>
    <w:rsid w:val="00464BED"/>
    <w:rsid w:val="004672AD"/>
    <w:rsid w:val="004763D9"/>
    <w:rsid w:val="004811E7"/>
    <w:rsid w:val="00482732"/>
    <w:rsid w:val="0048333F"/>
    <w:rsid w:val="00484E90"/>
    <w:rsid w:val="00487180"/>
    <w:rsid w:val="00487CE2"/>
    <w:rsid w:val="00491A23"/>
    <w:rsid w:val="004930D7"/>
    <w:rsid w:val="0049526D"/>
    <w:rsid w:val="004A0AE3"/>
    <w:rsid w:val="004A11F7"/>
    <w:rsid w:val="004A4C0F"/>
    <w:rsid w:val="004A52AA"/>
    <w:rsid w:val="004B134A"/>
    <w:rsid w:val="004B1EA6"/>
    <w:rsid w:val="004B2C5F"/>
    <w:rsid w:val="004B3920"/>
    <w:rsid w:val="004C1177"/>
    <w:rsid w:val="004C24E5"/>
    <w:rsid w:val="004C3A59"/>
    <w:rsid w:val="004C68CB"/>
    <w:rsid w:val="004C7126"/>
    <w:rsid w:val="004D0638"/>
    <w:rsid w:val="004D0A0C"/>
    <w:rsid w:val="004D14EF"/>
    <w:rsid w:val="004D4CEB"/>
    <w:rsid w:val="004D7632"/>
    <w:rsid w:val="004E026A"/>
    <w:rsid w:val="004E20F3"/>
    <w:rsid w:val="004E297B"/>
    <w:rsid w:val="004E3039"/>
    <w:rsid w:val="004E38E1"/>
    <w:rsid w:val="004E3FB7"/>
    <w:rsid w:val="004E664E"/>
    <w:rsid w:val="004E7C65"/>
    <w:rsid w:val="004F2D95"/>
    <w:rsid w:val="004F3CFA"/>
    <w:rsid w:val="004F499B"/>
    <w:rsid w:val="004F5BD1"/>
    <w:rsid w:val="004F5C45"/>
    <w:rsid w:val="004F65A9"/>
    <w:rsid w:val="00502372"/>
    <w:rsid w:val="005067A5"/>
    <w:rsid w:val="00510722"/>
    <w:rsid w:val="005137AF"/>
    <w:rsid w:val="00514C96"/>
    <w:rsid w:val="005230A3"/>
    <w:rsid w:val="005230A8"/>
    <w:rsid w:val="0052585F"/>
    <w:rsid w:val="00527962"/>
    <w:rsid w:val="00531549"/>
    <w:rsid w:val="00537F55"/>
    <w:rsid w:val="00541A6E"/>
    <w:rsid w:val="005432A6"/>
    <w:rsid w:val="005432CD"/>
    <w:rsid w:val="00544810"/>
    <w:rsid w:val="005473CF"/>
    <w:rsid w:val="00551317"/>
    <w:rsid w:val="0055206B"/>
    <w:rsid w:val="00553B5B"/>
    <w:rsid w:val="0055421B"/>
    <w:rsid w:val="005560BD"/>
    <w:rsid w:val="005579B9"/>
    <w:rsid w:val="0056047B"/>
    <w:rsid w:val="00560CFF"/>
    <w:rsid w:val="005747F6"/>
    <w:rsid w:val="00575740"/>
    <w:rsid w:val="00576C9C"/>
    <w:rsid w:val="00577EA8"/>
    <w:rsid w:val="00580467"/>
    <w:rsid w:val="005858C2"/>
    <w:rsid w:val="0059053D"/>
    <w:rsid w:val="00592EB1"/>
    <w:rsid w:val="0059345C"/>
    <w:rsid w:val="00593857"/>
    <w:rsid w:val="005963FE"/>
    <w:rsid w:val="005969CE"/>
    <w:rsid w:val="005A10AE"/>
    <w:rsid w:val="005A2CB9"/>
    <w:rsid w:val="005A396C"/>
    <w:rsid w:val="005A40B3"/>
    <w:rsid w:val="005A661B"/>
    <w:rsid w:val="005A71D2"/>
    <w:rsid w:val="005B2AAC"/>
    <w:rsid w:val="005B2B19"/>
    <w:rsid w:val="005C3DDA"/>
    <w:rsid w:val="005C5741"/>
    <w:rsid w:val="005E30AE"/>
    <w:rsid w:val="005E30CF"/>
    <w:rsid w:val="005F29A7"/>
    <w:rsid w:val="005F308B"/>
    <w:rsid w:val="005F6F3C"/>
    <w:rsid w:val="00601C1F"/>
    <w:rsid w:val="00602062"/>
    <w:rsid w:val="00602EEB"/>
    <w:rsid w:val="00604CAC"/>
    <w:rsid w:val="00606D5E"/>
    <w:rsid w:val="006111AB"/>
    <w:rsid w:val="00611FCA"/>
    <w:rsid w:val="00612D0A"/>
    <w:rsid w:val="006207EB"/>
    <w:rsid w:val="00621E02"/>
    <w:rsid w:val="0062346C"/>
    <w:rsid w:val="00631AB7"/>
    <w:rsid w:val="0064514D"/>
    <w:rsid w:val="00646E59"/>
    <w:rsid w:val="00654F08"/>
    <w:rsid w:val="00655527"/>
    <w:rsid w:val="00657B31"/>
    <w:rsid w:val="00663CD5"/>
    <w:rsid w:val="00664490"/>
    <w:rsid w:val="00666C4A"/>
    <w:rsid w:val="00672543"/>
    <w:rsid w:val="006729F1"/>
    <w:rsid w:val="00673F4E"/>
    <w:rsid w:val="00676611"/>
    <w:rsid w:val="0068077D"/>
    <w:rsid w:val="00681694"/>
    <w:rsid w:val="00681F29"/>
    <w:rsid w:val="00693AB6"/>
    <w:rsid w:val="00697076"/>
    <w:rsid w:val="006B2FAF"/>
    <w:rsid w:val="006B3346"/>
    <w:rsid w:val="006C0053"/>
    <w:rsid w:val="006C1525"/>
    <w:rsid w:val="006C22A3"/>
    <w:rsid w:val="006C7E1F"/>
    <w:rsid w:val="006C7EC7"/>
    <w:rsid w:val="006D1C0D"/>
    <w:rsid w:val="006D36C1"/>
    <w:rsid w:val="006E09DB"/>
    <w:rsid w:val="006E2B9A"/>
    <w:rsid w:val="006F00AB"/>
    <w:rsid w:val="006F0AAD"/>
    <w:rsid w:val="006F0B2C"/>
    <w:rsid w:val="006F0D6E"/>
    <w:rsid w:val="006F1CA9"/>
    <w:rsid w:val="007005D4"/>
    <w:rsid w:val="00701691"/>
    <w:rsid w:val="00704C61"/>
    <w:rsid w:val="007051F3"/>
    <w:rsid w:val="007073CB"/>
    <w:rsid w:val="00711E4E"/>
    <w:rsid w:val="0071369B"/>
    <w:rsid w:val="0071557F"/>
    <w:rsid w:val="00717730"/>
    <w:rsid w:val="007205AF"/>
    <w:rsid w:val="0072614B"/>
    <w:rsid w:val="007269A8"/>
    <w:rsid w:val="00731FA6"/>
    <w:rsid w:val="007355EC"/>
    <w:rsid w:val="00737F1B"/>
    <w:rsid w:val="007401FC"/>
    <w:rsid w:val="007470F7"/>
    <w:rsid w:val="007514A0"/>
    <w:rsid w:val="00752B0D"/>
    <w:rsid w:val="00756230"/>
    <w:rsid w:val="007567DC"/>
    <w:rsid w:val="007600F8"/>
    <w:rsid w:val="007607D0"/>
    <w:rsid w:val="00762F2A"/>
    <w:rsid w:val="00763F37"/>
    <w:rsid w:val="00767D02"/>
    <w:rsid w:val="00772316"/>
    <w:rsid w:val="00775DF5"/>
    <w:rsid w:val="00776231"/>
    <w:rsid w:val="00776281"/>
    <w:rsid w:val="00776FEA"/>
    <w:rsid w:val="007771E0"/>
    <w:rsid w:val="00780B5B"/>
    <w:rsid w:val="007840E3"/>
    <w:rsid w:val="00792DB8"/>
    <w:rsid w:val="007938D9"/>
    <w:rsid w:val="007A1292"/>
    <w:rsid w:val="007A623F"/>
    <w:rsid w:val="007A7493"/>
    <w:rsid w:val="007B1F5F"/>
    <w:rsid w:val="007B2498"/>
    <w:rsid w:val="007B32E9"/>
    <w:rsid w:val="007B41AD"/>
    <w:rsid w:val="007B7D1D"/>
    <w:rsid w:val="007B7D50"/>
    <w:rsid w:val="007C1F0B"/>
    <w:rsid w:val="007C52F2"/>
    <w:rsid w:val="007D2963"/>
    <w:rsid w:val="007E3DAF"/>
    <w:rsid w:val="007E3F61"/>
    <w:rsid w:val="007E6025"/>
    <w:rsid w:val="007E6F6D"/>
    <w:rsid w:val="007F0292"/>
    <w:rsid w:val="007F0866"/>
    <w:rsid w:val="007F1937"/>
    <w:rsid w:val="007F2539"/>
    <w:rsid w:val="007F4E66"/>
    <w:rsid w:val="007F5752"/>
    <w:rsid w:val="007F6FBD"/>
    <w:rsid w:val="007F757F"/>
    <w:rsid w:val="0080499B"/>
    <w:rsid w:val="00805649"/>
    <w:rsid w:val="00806104"/>
    <w:rsid w:val="00806F2C"/>
    <w:rsid w:val="00807FF7"/>
    <w:rsid w:val="00811F16"/>
    <w:rsid w:val="008140C1"/>
    <w:rsid w:val="00824E8A"/>
    <w:rsid w:val="00827282"/>
    <w:rsid w:val="00830DD7"/>
    <w:rsid w:val="00831E2B"/>
    <w:rsid w:val="00832A04"/>
    <w:rsid w:val="00832A3F"/>
    <w:rsid w:val="00834A82"/>
    <w:rsid w:val="00846DEA"/>
    <w:rsid w:val="00847E89"/>
    <w:rsid w:val="00852077"/>
    <w:rsid w:val="008525CF"/>
    <w:rsid w:val="008529F1"/>
    <w:rsid w:val="00853BB9"/>
    <w:rsid w:val="00857E9F"/>
    <w:rsid w:val="00861783"/>
    <w:rsid w:val="0086265E"/>
    <w:rsid w:val="00867C73"/>
    <w:rsid w:val="00870749"/>
    <w:rsid w:val="00873399"/>
    <w:rsid w:val="00874E6A"/>
    <w:rsid w:val="0087576B"/>
    <w:rsid w:val="008759BA"/>
    <w:rsid w:val="00875D37"/>
    <w:rsid w:val="00875DC1"/>
    <w:rsid w:val="00875F2C"/>
    <w:rsid w:val="00876D2C"/>
    <w:rsid w:val="00881BC3"/>
    <w:rsid w:val="00891444"/>
    <w:rsid w:val="00891BEB"/>
    <w:rsid w:val="008932A6"/>
    <w:rsid w:val="008941E8"/>
    <w:rsid w:val="008965E7"/>
    <w:rsid w:val="00896D7F"/>
    <w:rsid w:val="00897070"/>
    <w:rsid w:val="008A1B17"/>
    <w:rsid w:val="008A4C9F"/>
    <w:rsid w:val="008A6BAA"/>
    <w:rsid w:val="008A7F1B"/>
    <w:rsid w:val="008B06AC"/>
    <w:rsid w:val="008B38DD"/>
    <w:rsid w:val="008B44ED"/>
    <w:rsid w:val="008B5FFD"/>
    <w:rsid w:val="008B6FDB"/>
    <w:rsid w:val="008C0D3D"/>
    <w:rsid w:val="008C1DB2"/>
    <w:rsid w:val="008C2579"/>
    <w:rsid w:val="008C54B5"/>
    <w:rsid w:val="008C5B83"/>
    <w:rsid w:val="008C6DE2"/>
    <w:rsid w:val="008C7B2E"/>
    <w:rsid w:val="008D1F5F"/>
    <w:rsid w:val="008E3154"/>
    <w:rsid w:val="008E3200"/>
    <w:rsid w:val="008F3282"/>
    <w:rsid w:val="008F4154"/>
    <w:rsid w:val="008F64AB"/>
    <w:rsid w:val="00901DC3"/>
    <w:rsid w:val="00903A36"/>
    <w:rsid w:val="009043B7"/>
    <w:rsid w:val="0090588D"/>
    <w:rsid w:val="00906860"/>
    <w:rsid w:val="009107F5"/>
    <w:rsid w:val="00911076"/>
    <w:rsid w:val="00916267"/>
    <w:rsid w:val="00920515"/>
    <w:rsid w:val="0092325E"/>
    <w:rsid w:val="009237ED"/>
    <w:rsid w:val="00926B09"/>
    <w:rsid w:val="0092761A"/>
    <w:rsid w:val="00932E7E"/>
    <w:rsid w:val="009368AC"/>
    <w:rsid w:val="00937067"/>
    <w:rsid w:val="009377FD"/>
    <w:rsid w:val="00940F16"/>
    <w:rsid w:val="009410B2"/>
    <w:rsid w:val="00946D9B"/>
    <w:rsid w:val="00950325"/>
    <w:rsid w:val="009555C0"/>
    <w:rsid w:val="00956AD6"/>
    <w:rsid w:val="00964929"/>
    <w:rsid w:val="00964D71"/>
    <w:rsid w:val="009672C2"/>
    <w:rsid w:val="0096741F"/>
    <w:rsid w:val="009676D8"/>
    <w:rsid w:val="00971B26"/>
    <w:rsid w:val="009772FD"/>
    <w:rsid w:val="0099112A"/>
    <w:rsid w:val="0099152F"/>
    <w:rsid w:val="00993659"/>
    <w:rsid w:val="00993B0B"/>
    <w:rsid w:val="009950F5"/>
    <w:rsid w:val="009A21D9"/>
    <w:rsid w:val="009A26A5"/>
    <w:rsid w:val="009B296B"/>
    <w:rsid w:val="009B40D2"/>
    <w:rsid w:val="009B519F"/>
    <w:rsid w:val="009C620D"/>
    <w:rsid w:val="009D2AA5"/>
    <w:rsid w:val="009D7D09"/>
    <w:rsid w:val="009E1E0E"/>
    <w:rsid w:val="009E549A"/>
    <w:rsid w:val="009E7661"/>
    <w:rsid w:val="009F2FFC"/>
    <w:rsid w:val="00A077D7"/>
    <w:rsid w:val="00A110D8"/>
    <w:rsid w:val="00A113E3"/>
    <w:rsid w:val="00A16D40"/>
    <w:rsid w:val="00A17992"/>
    <w:rsid w:val="00A21D32"/>
    <w:rsid w:val="00A2295C"/>
    <w:rsid w:val="00A24C46"/>
    <w:rsid w:val="00A24FE3"/>
    <w:rsid w:val="00A2682E"/>
    <w:rsid w:val="00A3108A"/>
    <w:rsid w:val="00A33563"/>
    <w:rsid w:val="00A35AD0"/>
    <w:rsid w:val="00A41620"/>
    <w:rsid w:val="00A4561A"/>
    <w:rsid w:val="00A46159"/>
    <w:rsid w:val="00A464A8"/>
    <w:rsid w:val="00A471B8"/>
    <w:rsid w:val="00A55541"/>
    <w:rsid w:val="00A575E2"/>
    <w:rsid w:val="00A60F8B"/>
    <w:rsid w:val="00A67A67"/>
    <w:rsid w:val="00A67BF0"/>
    <w:rsid w:val="00A70C00"/>
    <w:rsid w:val="00A70CB5"/>
    <w:rsid w:val="00A7151F"/>
    <w:rsid w:val="00A73330"/>
    <w:rsid w:val="00A768EE"/>
    <w:rsid w:val="00A76D36"/>
    <w:rsid w:val="00A77388"/>
    <w:rsid w:val="00A81F4C"/>
    <w:rsid w:val="00A826C0"/>
    <w:rsid w:val="00A83F30"/>
    <w:rsid w:val="00A8485D"/>
    <w:rsid w:val="00A8630A"/>
    <w:rsid w:val="00A908E7"/>
    <w:rsid w:val="00A9533C"/>
    <w:rsid w:val="00A965F6"/>
    <w:rsid w:val="00A97E88"/>
    <w:rsid w:val="00AA1D8D"/>
    <w:rsid w:val="00AA1DBE"/>
    <w:rsid w:val="00AA406A"/>
    <w:rsid w:val="00AA773A"/>
    <w:rsid w:val="00AB3DA9"/>
    <w:rsid w:val="00AB479E"/>
    <w:rsid w:val="00AB7D01"/>
    <w:rsid w:val="00AC0F32"/>
    <w:rsid w:val="00AC22E0"/>
    <w:rsid w:val="00AC26AF"/>
    <w:rsid w:val="00AC305D"/>
    <w:rsid w:val="00AC37A3"/>
    <w:rsid w:val="00AC6211"/>
    <w:rsid w:val="00AC7661"/>
    <w:rsid w:val="00AD0A85"/>
    <w:rsid w:val="00AD0D13"/>
    <w:rsid w:val="00AD3A0A"/>
    <w:rsid w:val="00AD3B2F"/>
    <w:rsid w:val="00AD60DB"/>
    <w:rsid w:val="00AD62C3"/>
    <w:rsid w:val="00AD7054"/>
    <w:rsid w:val="00AE3BCE"/>
    <w:rsid w:val="00AE486A"/>
    <w:rsid w:val="00AE57D1"/>
    <w:rsid w:val="00AF0054"/>
    <w:rsid w:val="00AF3AC3"/>
    <w:rsid w:val="00AF56D1"/>
    <w:rsid w:val="00B0318F"/>
    <w:rsid w:val="00B0439F"/>
    <w:rsid w:val="00B04E95"/>
    <w:rsid w:val="00B07853"/>
    <w:rsid w:val="00B07CFB"/>
    <w:rsid w:val="00B12D76"/>
    <w:rsid w:val="00B13AC8"/>
    <w:rsid w:val="00B1481A"/>
    <w:rsid w:val="00B15AEF"/>
    <w:rsid w:val="00B1752E"/>
    <w:rsid w:val="00B20832"/>
    <w:rsid w:val="00B223B6"/>
    <w:rsid w:val="00B22DA1"/>
    <w:rsid w:val="00B2699C"/>
    <w:rsid w:val="00B26CF0"/>
    <w:rsid w:val="00B27CE1"/>
    <w:rsid w:val="00B304ED"/>
    <w:rsid w:val="00B310FE"/>
    <w:rsid w:val="00B32216"/>
    <w:rsid w:val="00B3491E"/>
    <w:rsid w:val="00B37F08"/>
    <w:rsid w:val="00B42691"/>
    <w:rsid w:val="00B47730"/>
    <w:rsid w:val="00B51891"/>
    <w:rsid w:val="00B51A51"/>
    <w:rsid w:val="00B52BE2"/>
    <w:rsid w:val="00B52D27"/>
    <w:rsid w:val="00B548BC"/>
    <w:rsid w:val="00B54AB3"/>
    <w:rsid w:val="00B55EC9"/>
    <w:rsid w:val="00B571C3"/>
    <w:rsid w:val="00B63F7B"/>
    <w:rsid w:val="00B6641B"/>
    <w:rsid w:val="00B70C03"/>
    <w:rsid w:val="00B7525F"/>
    <w:rsid w:val="00B77271"/>
    <w:rsid w:val="00B77E71"/>
    <w:rsid w:val="00B868B7"/>
    <w:rsid w:val="00B95BD5"/>
    <w:rsid w:val="00B95C90"/>
    <w:rsid w:val="00B96E1E"/>
    <w:rsid w:val="00BA2D3F"/>
    <w:rsid w:val="00BA3DD0"/>
    <w:rsid w:val="00BA3FBD"/>
    <w:rsid w:val="00BA66DA"/>
    <w:rsid w:val="00BA6CCB"/>
    <w:rsid w:val="00BA6D4E"/>
    <w:rsid w:val="00BB3315"/>
    <w:rsid w:val="00BB3E4D"/>
    <w:rsid w:val="00BB6DD5"/>
    <w:rsid w:val="00BB77FD"/>
    <w:rsid w:val="00BD2E15"/>
    <w:rsid w:val="00BD7353"/>
    <w:rsid w:val="00BE1EDC"/>
    <w:rsid w:val="00BE39DE"/>
    <w:rsid w:val="00BE70E9"/>
    <w:rsid w:val="00BF0761"/>
    <w:rsid w:val="00BF1D3D"/>
    <w:rsid w:val="00BF5111"/>
    <w:rsid w:val="00BF60F4"/>
    <w:rsid w:val="00C005D5"/>
    <w:rsid w:val="00C04BF4"/>
    <w:rsid w:val="00C078B7"/>
    <w:rsid w:val="00C1274F"/>
    <w:rsid w:val="00C13CCC"/>
    <w:rsid w:val="00C2701D"/>
    <w:rsid w:val="00C272D1"/>
    <w:rsid w:val="00C301B8"/>
    <w:rsid w:val="00C312D3"/>
    <w:rsid w:val="00C34214"/>
    <w:rsid w:val="00C35B30"/>
    <w:rsid w:val="00C37301"/>
    <w:rsid w:val="00C4109B"/>
    <w:rsid w:val="00C416A4"/>
    <w:rsid w:val="00C45944"/>
    <w:rsid w:val="00C52329"/>
    <w:rsid w:val="00C53C51"/>
    <w:rsid w:val="00C54FAD"/>
    <w:rsid w:val="00C55C27"/>
    <w:rsid w:val="00C61B36"/>
    <w:rsid w:val="00C62628"/>
    <w:rsid w:val="00C6329F"/>
    <w:rsid w:val="00C64430"/>
    <w:rsid w:val="00C70C49"/>
    <w:rsid w:val="00C73870"/>
    <w:rsid w:val="00C80635"/>
    <w:rsid w:val="00C80CCF"/>
    <w:rsid w:val="00C8295A"/>
    <w:rsid w:val="00C92013"/>
    <w:rsid w:val="00C9584A"/>
    <w:rsid w:val="00C9697F"/>
    <w:rsid w:val="00CA1110"/>
    <w:rsid w:val="00CA1F20"/>
    <w:rsid w:val="00CA280D"/>
    <w:rsid w:val="00CA3A24"/>
    <w:rsid w:val="00CA4837"/>
    <w:rsid w:val="00CA4C4B"/>
    <w:rsid w:val="00CA79F9"/>
    <w:rsid w:val="00CA7AAD"/>
    <w:rsid w:val="00CB0664"/>
    <w:rsid w:val="00CB1836"/>
    <w:rsid w:val="00CB1EDF"/>
    <w:rsid w:val="00CB1F98"/>
    <w:rsid w:val="00CB4CBF"/>
    <w:rsid w:val="00CB685F"/>
    <w:rsid w:val="00CC0136"/>
    <w:rsid w:val="00CC048A"/>
    <w:rsid w:val="00CC335B"/>
    <w:rsid w:val="00CC6FAA"/>
    <w:rsid w:val="00CC75B9"/>
    <w:rsid w:val="00CC769E"/>
    <w:rsid w:val="00CC78B7"/>
    <w:rsid w:val="00CC7F46"/>
    <w:rsid w:val="00CD48D4"/>
    <w:rsid w:val="00CD5588"/>
    <w:rsid w:val="00CD6583"/>
    <w:rsid w:val="00CE3F34"/>
    <w:rsid w:val="00CE5968"/>
    <w:rsid w:val="00CF18F2"/>
    <w:rsid w:val="00CF7066"/>
    <w:rsid w:val="00CF74CB"/>
    <w:rsid w:val="00D01873"/>
    <w:rsid w:val="00D02EF8"/>
    <w:rsid w:val="00D05FB1"/>
    <w:rsid w:val="00D11AD5"/>
    <w:rsid w:val="00D14963"/>
    <w:rsid w:val="00D151C5"/>
    <w:rsid w:val="00D16D5A"/>
    <w:rsid w:val="00D170EF"/>
    <w:rsid w:val="00D30415"/>
    <w:rsid w:val="00D31978"/>
    <w:rsid w:val="00D41165"/>
    <w:rsid w:val="00D41C91"/>
    <w:rsid w:val="00D4425D"/>
    <w:rsid w:val="00D44B71"/>
    <w:rsid w:val="00D44C35"/>
    <w:rsid w:val="00D461A0"/>
    <w:rsid w:val="00D46F45"/>
    <w:rsid w:val="00D52CAC"/>
    <w:rsid w:val="00D52DFB"/>
    <w:rsid w:val="00D557BB"/>
    <w:rsid w:val="00D55F15"/>
    <w:rsid w:val="00D63BF0"/>
    <w:rsid w:val="00D67025"/>
    <w:rsid w:val="00D676ED"/>
    <w:rsid w:val="00D72702"/>
    <w:rsid w:val="00D75E5F"/>
    <w:rsid w:val="00D81C54"/>
    <w:rsid w:val="00D8546A"/>
    <w:rsid w:val="00D87E8F"/>
    <w:rsid w:val="00D87F16"/>
    <w:rsid w:val="00D90101"/>
    <w:rsid w:val="00D905D8"/>
    <w:rsid w:val="00D92ABA"/>
    <w:rsid w:val="00D937EF"/>
    <w:rsid w:val="00D97AA1"/>
    <w:rsid w:val="00DA09EE"/>
    <w:rsid w:val="00DA112C"/>
    <w:rsid w:val="00DA1420"/>
    <w:rsid w:val="00DA364D"/>
    <w:rsid w:val="00DA3E04"/>
    <w:rsid w:val="00DB3B3D"/>
    <w:rsid w:val="00DB5B0D"/>
    <w:rsid w:val="00DC6DED"/>
    <w:rsid w:val="00DD1CD5"/>
    <w:rsid w:val="00DD5245"/>
    <w:rsid w:val="00DE0BAA"/>
    <w:rsid w:val="00DE5F39"/>
    <w:rsid w:val="00DE7F4C"/>
    <w:rsid w:val="00DF0A86"/>
    <w:rsid w:val="00DF1102"/>
    <w:rsid w:val="00DF7FA2"/>
    <w:rsid w:val="00E014C9"/>
    <w:rsid w:val="00E024E5"/>
    <w:rsid w:val="00E0506E"/>
    <w:rsid w:val="00E10E78"/>
    <w:rsid w:val="00E1469C"/>
    <w:rsid w:val="00E216A9"/>
    <w:rsid w:val="00E22A84"/>
    <w:rsid w:val="00E22BCE"/>
    <w:rsid w:val="00E32CAC"/>
    <w:rsid w:val="00E338AF"/>
    <w:rsid w:val="00E33EAF"/>
    <w:rsid w:val="00E35162"/>
    <w:rsid w:val="00E353AB"/>
    <w:rsid w:val="00E360D4"/>
    <w:rsid w:val="00E36253"/>
    <w:rsid w:val="00E41EB3"/>
    <w:rsid w:val="00E42226"/>
    <w:rsid w:val="00E42B45"/>
    <w:rsid w:val="00E44295"/>
    <w:rsid w:val="00E45FE1"/>
    <w:rsid w:val="00E46AEC"/>
    <w:rsid w:val="00E502A7"/>
    <w:rsid w:val="00E550D9"/>
    <w:rsid w:val="00E6259F"/>
    <w:rsid w:val="00E75A63"/>
    <w:rsid w:val="00E77F7F"/>
    <w:rsid w:val="00E80B60"/>
    <w:rsid w:val="00E81CE0"/>
    <w:rsid w:val="00E84636"/>
    <w:rsid w:val="00E84908"/>
    <w:rsid w:val="00E92252"/>
    <w:rsid w:val="00E925FB"/>
    <w:rsid w:val="00E92662"/>
    <w:rsid w:val="00E9422F"/>
    <w:rsid w:val="00E976DD"/>
    <w:rsid w:val="00EA1645"/>
    <w:rsid w:val="00EA193B"/>
    <w:rsid w:val="00EA3CD6"/>
    <w:rsid w:val="00EA4B3A"/>
    <w:rsid w:val="00EA5927"/>
    <w:rsid w:val="00EA64B0"/>
    <w:rsid w:val="00EB049F"/>
    <w:rsid w:val="00EB3608"/>
    <w:rsid w:val="00EC098B"/>
    <w:rsid w:val="00EC0DF1"/>
    <w:rsid w:val="00EC165E"/>
    <w:rsid w:val="00EC2E79"/>
    <w:rsid w:val="00EC50E4"/>
    <w:rsid w:val="00EC5A78"/>
    <w:rsid w:val="00ED04A4"/>
    <w:rsid w:val="00ED0F78"/>
    <w:rsid w:val="00ED41F7"/>
    <w:rsid w:val="00ED5D79"/>
    <w:rsid w:val="00EE2A57"/>
    <w:rsid w:val="00EE406F"/>
    <w:rsid w:val="00EF1E60"/>
    <w:rsid w:val="00EF2DED"/>
    <w:rsid w:val="00F00798"/>
    <w:rsid w:val="00F014F6"/>
    <w:rsid w:val="00F01D23"/>
    <w:rsid w:val="00F03A71"/>
    <w:rsid w:val="00F04F23"/>
    <w:rsid w:val="00F05C94"/>
    <w:rsid w:val="00F12D2B"/>
    <w:rsid w:val="00F13D68"/>
    <w:rsid w:val="00F15A5F"/>
    <w:rsid w:val="00F16316"/>
    <w:rsid w:val="00F17BB8"/>
    <w:rsid w:val="00F249C6"/>
    <w:rsid w:val="00F25758"/>
    <w:rsid w:val="00F2648B"/>
    <w:rsid w:val="00F35954"/>
    <w:rsid w:val="00F37633"/>
    <w:rsid w:val="00F42A73"/>
    <w:rsid w:val="00F4407F"/>
    <w:rsid w:val="00F44FAE"/>
    <w:rsid w:val="00F4517E"/>
    <w:rsid w:val="00F451E4"/>
    <w:rsid w:val="00F515C9"/>
    <w:rsid w:val="00F531F3"/>
    <w:rsid w:val="00F5352E"/>
    <w:rsid w:val="00F544CF"/>
    <w:rsid w:val="00F57D24"/>
    <w:rsid w:val="00F631B0"/>
    <w:rsid w:val="00F64065"/>
    <w:rsid w:val="00F645AB"/>
    <w:rsid w:val="00F64994"/>
    <w:rsid w:val="00F65A82"/>
    <w:rsid w:val="00F65EE7"/>
    <w:rsid w:val="00F7198F"/>
    <w:rsid w:val="00F81380"/>
    <w:rsid w:val="00F830B9"/>
    <w:rsid w:val="00F8432F"/>
    <w:rsid w:val="00F85437"/>
    <w:rsid w:val="00F8656C"/>
    <w:rsid w:val="00F94FD6"/>
    <w:rsid w:val="00F979F0"/>
    <w:rsid w:val="00FA123C"/>
    <w:rsid w:val="00FA2679"/>
    <w:rsid w:val="00FA3F2F"/>
    <w:rsid w:val="00FA762F"/>
    <w:rsid w:val="00FB06F0"/>
    <w:rsid w:val="00FB0B39"/>
    <w:rsid w:val="00FB3B9A"/>
    <w:rsid w:val="00FB3DB1"/>
    <w:rsid w:val="00FC24D5"/>
    <w:rsid w:val="00FC693F"/>
    <w:rsid w:val="00FC7674"/>
    <w:rsid w:val="00FD337D"/>
    <w:rsid w:val="00FD5F9F"/>
    <w:rsid w:val="00FD736D"/>
    <w:rsid w:val="00FD7EE6"/>
    <w:rsid w:val="00FE44E7"/>
    <w:rsid w:val="00FE4592"/>
    <w:rsid w:val="00FF0AD2"/>
    <w:rsid w:val="00FF4EA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79BE09"/>
  <w15:docId w15:val="{DBB8C0D1-6D6F-4BF6-806F-033D43595A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2329"/>
    <w:rPr>
      <w:rFonts w:ascii="Times New Roman" w:hAnsi="Times New Roman"/>
      <w:sz w:val="24"/>
    </w:rPr>
  </w:style>
  <w:style w:type="paragraph" w:styleId="Heading1">
    <w:name w:val="heading 1"/>
    <w:basedOn w:val="Normal"/>
    <w:next w:val="Normal"/>
    <w:link w:val="Heading1Char"/>
    <w:uiPriority w:val="9"/>
    <w:qFormat/>
    <w:rsid w:val="00EB049F"/>
    <w:pPr>
      <w:keepNext/>
      <w:keepLines/>
      <w:spacing w:before="480" w:after="0"/>
      <w:outlineLvl w:val="0"/>
    </w:pPr>
    <w:rPr>
      <w:rFonts w:asciiTheme="minorHAnsi" w:eastAsiaTheme="majorEastAsia" w:hAnsiTheme="minorHAnsi" w:cstheme="minorHAnsi"/>
      <w:b/>
      <w:bCs/>
      <w:color w:val="000000" w:themeColor="text1"/>
      <w:sz w:val="28"/>
      <w:szCs w:val="28"/>
    </w:rPr>
  </w:style>
  <w:style w:type="paragraph" w:styleId="Heading2">
    <w:name w:val="heading 2"/>
    <w:basedOn w:val="Normal"/>
    <w:next w:val="Normal"/>
    <w:link w:val="Heading2Char"/>
    <w:uiPriority w:val="9"/>
    <w:unhideWhenUsed/>
    <w:qFormat/>
    <w:rsid w:val="00C52329"/>
    <w:pPr>
      <w:keepNext/>
      <w:keepLines/>
      <w:spacing w:before="200" w:after="0"/>
      <w:outlineLvl w:val="1"/>
    </w:pPr>
    <w:rPr>
      <w:rFonts w:asciiTheme="majorHAnsi" w:eastAsiaTheme="majorEastAsia" w:hAnsiTheme="majorHAnsi" w:cstheme="majorBidi"/>
      <w:b/>
      <w:bCs/>
      <w:color w:val="000000" w:themeColor="text1"/>
      <w:sz w:val="26"/>
      <w:szCs w:val="26"/>
    </w:rPr>
  </w:style>
  <w:style w:type="paragraph" w:styleId="Heading3">
    <w:name w:val="heading 3"/>
    <w:basedOn w:val="Normal"/>
    <w:next w:val="Normal"/>
    <w:link w:val="Heading3Char"/>
    <w:autoRedefine/>
    <w:uiPriority w:val="9"/>
    <w:unhideWhenUsed/>
    <w:qFormat/>
    <w:rsid w:val="005A396C"/>
    <w:pPr>
      <w:keepNext/>
      <w:keepLines/>
      <w:spacing w:after="0" w:line="240" w:lineRule="auto"/>
      <w:ind w:left="567"/>
      <w:outlineLvl w:val="2"/>
    </w:pPr>
    <w:rPr>
      <w:rFonts w:ascii="Arial" w:eastAsiaTheme="majorEastAsia" w:hAnsi="Arial" w:cs="Arial"/>
      <w:i/>
      <w:iCs/>
      <w:color w:val="000000" w:themeColor="text1"/>
      <w:sz w:val="22"/>
      <w:lang w:val="fr-FR"/>
    </w:rPr>
  </w:style>
  <w:style w:type="paragraph" w:styleId="Heading4">
    <w:name w:val="heading 4"/>
    <w:basedOn w:val="Normal"/>
    <w:next w:val="Normal"/>
    <w:link w:val="Heading4Char"/>
    <w:uiPriority w:val="9"/>
    <w:unhideWhenUsed/>
    <w:qFormat/>
    <w:rsid w:val="00D63BF0"/>
    <w:pPr>
      <w:keepNext/>
      <w:keepLines/>
      <w:spacing w:before="200" w:after="0"/>
      <w:outlineLvl w:val="3"/>
    </w:pPr>
    <w:rPr>
      <w:rFonts w:ascii="Arial" w:eastAsiaTheme="majorEastAsia" w:hAnsi="Arial" w:cs="Arial"/>
      <w:b/>
      <w:bCs/>
      <w:i/>
      <w:iCs/>
      <w:color w:val="000000" w:themeColor="text1"/>
      <w:sz w:val="22"/>
    </w:rPr>
  </w:style>
  <w:style w:type="paragraph" w:styleId="Heading5">
    <w:name w:val="heading 5"/>
    <w:basedOn w:val="Normal"/>
    <w:next w:val="Normal"/>
    <w:link w:val="Heading5Char"/>
    <w:uiPriority w:val="9"/>
    <w:semiHidden/>
    <w:unhideWhenUsed/>
    <w:qFormat/>
    <w:rsid w:val="00C52329"/>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52329"/>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52329"/>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52329"/>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C52329"/>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link w:val="NoSpacingChar"/>
    <w:uiPriority w:val="1"/>
    <w:qFormat/>
    <w:rsid w:val="00C52329"/>
    <w:pPr>
      <w:spacing w:after="0" w:line="240" w:lineRule="auto"/>
    </w:pPr>
    <w:rPr>
      <w:rFonts w:ascii="Times New Roman" w:hAnsi="Times New Roman"/>
      <w:sz w:val="24"/>
    </w:rPr>
  </w:style>
  <w:style w:type="character" w:customStyle="1" w:styleId="Heading1Char">
    <w:name w:val="Heading 1 Char"/>
    <w:basedOn w:val="DefaultParagraphFont"/>
    <w:link w:val="Heading1"/>
    <w:uiPriority w:val="9"/>
    <w:rsid w:val="00C52329"/>
    <w:rPr>
      <w:rFonts w:eastAsiaTheme="majorEastAsia" w:cstheme="minorHAnsi"/>
      <w:b/>
      <w:bCs/>
      <w:color w:val="000000" w:themeColor="text1"/>
      <w:sz w:val="28"/>
      <w:szCs w:val="28"/>
    </w:rPr>
  </w:style>
  <w:style w:type="character" w:customStyle="1" w:styleId="Heading2Char">
    <w:name w:val="Heading 2 Char"/>
    <w:basedOn w:val="DefaultParagraphFont"/>
    <w:link w:val="Heading2"/>
    <w:uiPriority w:val="9"/>
    <w:rsid w:val="00C52329"/>
    <w:rPr>
      <w:rFonts w:asciiTheme="majorHAnsi" w:eastAsiaTheme="majorEastAsia" w:hAnsiTheme="majorHAnsi" w:cstheme="majorBidi"/>
      <w:b/>
      <w:bCs/>
      <w:color w:val="000000" w:themeColor="text1"/>
      <w:sz w:val="26"/>
      <w:szCs w:val="26"/>
    </w:rPr>
  </w:style>
  <w:style w:type="character" w:customStyle="1" w:styleId="Heading3Char">
    <w:name w:val="Heading 3 Char"/>
    <w:basedOn w:val="DefaultParagraphFont"/>
    <w:link w:val="Heading3"/>
    <w:uiPriority w:val="9"/>
    <w:rsid w:val="005A396C"/>
    <w:rPr>
      <w:rFonts w:ascii="Arial" w:eastAsiaTheme="majorEastAsia" w:hAnsi="Arial" w:cs="Arial"/>
      <w:i/>
      <w:iCs/>
      <w:color w:val="000000" w:themeColor="text1"/>
      <w:lang w:val="fr-FR"/>
    </w:rPr>
  </w:style>
  <w:style w:type="paragraph" w:styleId="Title">
    <w:name w:val="Title"/>
    <w:basedOn w:val="Normal"/>
    <w:next w:val="Normal"/>
    <w:link w:val="TitleChar"/>
    <w:uiPriority w:val="10"/>
    <w:qFormat/>
    <w:rsid w:val="00C52329"/>
    <w:pPr>
      <w:pBdr>
        <w:bottom w:val="single" w:sz="8" w:space="4" w:color="4F81BD" w:themeColor="accent1"/>
      </w:pBdr>
      <w:spacing w:after="300" w:line="240" w:lineRule="auto"/>
      <w:contextualSpacing/>
    </w:pPr>
    <w:rPr>
      <w:rFonts w:asciiTheme="majorHAnsi" w:eastAsiaTheme="majorEastAsia" w:hAnsiTheme="majorHAnsi" w:cstheme="majorBidi"/>
      <w:color w:val="000000" w:themeColor="text1"/>
      <w:spacing w:val="5"/>
      <w:kern w:val="28"/>
      <w:sz w:val="52"/>
      <w:szCs w:val="52"/>
    </w:rPr>
  </w:style>
  <w:style w:type="character" w:customStyle="1" w:styleId="TitleChar">
    <w:name w:val="Title Char"/>
    <w:basedOn w:val="DefaultParagraphFont"/>
    <w:link w:val="Title"/>
    <w:uiPriority w:val="10"/>
    <w:rsid w:val="00C52329"/>
    <w:rPr>
      <w:rFonts w:asciiTheme="majorHAnsi" w:eastAsiaTheme="majorEastAsia" w:hAnsiTheme="majorHAnsi" w:cstheme="majorBidi"/>
      <w:color w:val="000000" w:themeColor="text1"/>
      <w:spacing w:val="5"/>
      <w:kern w:val="28"/>
      <w:sz w:val="52"/>
      <w:szCs w:val="52"/>
    </w:rPr>
  </w:style>
  <w:style w:type="paragraph" w:styleId="Subtitle">
    <w:name w:val="Subtitle"/>
    <w:basedOn w:val="Normal"/>
    <w:next w:val="Normal"/>
    <w:link w:val="SubtitleChar"/>
    <w:uiPriority w:val="11"/>
    <w:qFormat/>
    <w:rsid w:val="00C52329"/>
    <w:pPr>
      <w:numPr>
        <w:ilvl w:val="1"/>
      </w:numPr>
    </w:pPr>
    <w:rPr>
      <w:rFonts w:asciiTheme="majorHAnsi" w:eastAsiaTheme="majorEastAsia" w:hAnsiTheme="majorHAnsi" w:cstheme="majorBidi"/>
      <w:i/>
      <w:iCs/>
      <w:color w:val="000000" w:themeColor="text1"/>
      <w:spacing w:val="15"/>
      <w:szCs w:val="24"/>
    </w:rPr>
  </w:style>
  <w:style w:type="character" w:customStyle="1" w:styleId="SubtitleChar">
    <w:name w:val="Subtitle Char"/>
    <w:basedOn w:val="DefaultParagraphFont"/>
    <w:link w:val="Subtitle"/>
    <w:uiPriority w:val="11"/>
    <w:rsid w:val="00C52329"/>
    <w:rPr>
      <w:rFonts w:asciiTheme="majorHAnsi" w:eastAsiaTheme="majorEastAsia" w:hAnsiTheme="majorHAnsi" w:cstheme="majorBidi"/>
      <w:i/>
      <w:iCs/>
      <w:color w:val="000000" w:themeColor="text1"/>
      <w:spacing w:val="15"/>
      <w:sz w:val="24"/>
      <w:szCs w:val="24"/>
    </w:rPr>
  </w:style>
  <w:style w:type="paragraph" w:styleId="ListParagraph">
    <w:name w:val="List Paragraph"/>
    <w:basedOn w:val="Normal"/>
    <w:link w:val="ListParagraphChar"/>
    <w:uiPriority w:val="34"/>
    <w:qFormat/>
    <w:rsid w:val="00C52329"/>
    <w:pPr>
      <w:ind w:left="720"/>
      <w:contextualSpacing/>
    </w:pPr>
  </w:style>
  <w:style w:type="paragraph" w:styleId="BodyText">
    <w:name w:val="Body Text"/>
    <w:basedOn w:val="Normal"/>
    <w:link w:val="BodyTextChar"/>
    <w:uiPriority w:val="99"/>
    <w:unhideWhenUsed/>
    <w:qFormat/>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C52329"/>
    <w:rPr>
      <w:i/>
      <w:iCs/>
      <w:color w:val="000000" w:themeColor="text1"/>
    </w:rPr>
  </w:style>
  <w:style w:type="character" w:customStyle="1" w:styleId="QuoteChar">
    <w:name w:val="Quote Char"/>
    <w:basedOn w:val="DefaultParagraphFont"/>
    <w:link w:val="Quote"/>
    <w:uiPriority w:val="29"/>
    <w:rsid w:val="00C52329"/>
    <w:rPr>
      <w:i/>
      <w:iCs/>
      <w:color w:val="000000" w:themeColor="text1"/>
    </w:rPr>
  </w:style>
  <w:style w:type="character" w:customStyle="1" w:styleId="Heading4Char">
    <w:name w:val="Heading 4 Char"/>
    <w:basedOn w:val="DefaultParagraphFont"/>
    <w:link w:val="Heading4"/>
    <w:uiPriority w:val="9"/>
    <w:rsid w:val="00C52329"/>
    <w:rPr>
      <w:rFonts w:ascii="Arial" w:eastAsiaTheme="majorEastAsia" w:hAnsi="Arial" w:cs="Arial"/>
      <w:b/>
      <w:bCs/>
      <w:i/>
      <w:iCs/>
      <w:color w:val="000000" w:themeColor="text1"/>
    </w:rPr>
  </w:style>
  <w:style w:type="character" w:customStyle="1" w:styleId="Heading5Char">
    <w:name w:val="Heading 5 Char"/>
    <w:basedOn w:val="DefaultParagraphFont"/>
    <w:link w:val="Heading5"/>
    <w:uiPriority w:val="9"/>
    <w:semiHidden/>
    <w:rsid w:val="00C52329"/>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C52329"/>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C52329"/>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C52329"/>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C52329"/>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C52329"/>
    <w:pPr>
      <w:spacing w:line="240" w:lineRule="auto"/>
    </w:pPr>
    <w:rPr>
      <w:b/>
      <w:bCs/>
      <w:color w:val="4F81BD" w:themeColor="accent1"/>
      <w:sz w:val="18"/>
      <w:szCs w:val="18"/>
    </w:rPr>
  </w:style>
  <w:style w:type="character" w:styleId="Strong">
    <w:name w:val="Strong"/>
    <w:basedOn w:val="DefaultParagraphFont"/>
    <w:uiPriority w:val="22"/>
    <w:qFormat/>
    <w:rsid w:val="00C52329"/>
    <w:rPr>
      <w:b/>
      <w:bCs/>
    </w:rPr>
  </w:style>
  <w:style w:type="character" w:styleId="Emphasis">
    <w:name w:val="Emphasis"/>
    <w:basedOn w:val="DefaultParagraphFont"/>
    <w:uiPriority w:val="20"/>
    <w:qFormat/>
    <w:rsid w:val="00C52329"/>
    <w:rPr>
      <w:i/>
      <w:iCs/>
    </w:rPr>
  </w:style>
  <w:style w:type="paragraph" w:styleId="IntenseQuote">
    <w:name w:val="Intense Quote"/>
    <w:basedOn w:val="Normal"/>
    <w:next w:val="Normal"/>
    <w:link w:val="IntenseQuoteChar"/>
    <w:uiPriority w:val="30"/>
    <w:qFormat/>
    <w:rsid w:val="00C52329"/>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C52329"/>
    <w:rPr>
      <w:b/>
      <w:bCs/>
      <w:i/>
      <w:iCs/>
      <w:color w:val="4F81BD" w:themeColor="accent1"/>
    </w:rPr>
  </w:style>
  <w:style w:type="character" w:styleId="SubtleEmphasis">
    <w:name w:val="Subtle Emphasis"/>
    <w:basedOn w:val="DefaultParagraphFont"/>
    <w:uiPriority w:val="19"/>
    <w:qFormat/>
    <w:rsid w:val="00C52329"/>
    <w:rPr>
      <w:i/>
      <w:iCs/>
      <w:color w:val="808080" w:themeColor="text1" w:themeTint="7F"/>
    </w:rPr>
  </w:style>
  <w:style w:type="character" w:styleId="IntenseEmphasis">
    <w:name w:val="Intense Emphasis"/>
    <w:basedOn w:val="DefaultParagraphFont"/>
    <w:uiPriority w:val="21"/>
    <w:qFormat/>
    <w:rsid w:val="00C52329"/>
    <w:rPr>
      <w:b/>
      <w:bCs/>
      <w:i/>
      <w:iCs/>
      <w:color w:val="4F81BD" w:themeColor="accent1"/>
    </w:rPr>
  </w:style>
  <w:style w:type="character" w:styleId="SubtleReference">
    <w:name w:val="Subtle Reference"/>
    <w:basedOn w:val="DefaultParagraphFont"/>
    <w:uiPriority w:val="31"/>
    <w:qFormat/>
    <w:rsid w:val="00C52329"/>
    <w:rPr>
      <w:smallCaps/>
      <w:color w:val="C0504D" w:themeColor="accent2"/>
      <w:u w:val="single"/>
    </w:rPr>
  </w:style>
  <w:style w:type="character" w:styleId="IntenseReference">
    <w:name w:val="Intense Reference"/>
    <w:basedOn w:val="DefaultParagraphFont"/>
    <w:uiPriority w:val="32"/>
    <w:qFormat/>
    <w:rsid w:val="00C52329"/>
    <w:rPr>
      <w:b/>
      <w:bCs/>
      <w:smallCaps/>
      <w:color w:val="C0504D" w:themeColor="accent2"/>
      <w:spacing w:val="5"/>
      <w:u w:val="single"/>
    </w:rPr>
  </w:style>
  <w:style w:type="character" w:styleId="BookTitle">
    <w:name w:val="Book Title"/>
    <w:basedOn w:val="DefaultParagraphFont"/>
    <w:uiPriority w:val="33"/>
    <w:qFormat/>
    <w:rsid w:val="00C52329"/>
    <w:rPr>
      <w:b/>
      <w:bCs/>
      <w:smallCaps/>
      <w:spacing w:val="5"/>
    </w:rPr>
  </w:style>
  <w:style w:type="paragraph" w:styleId="TOCHeading">
    <w:name w:val="TOC Heading"/>
    <w:basedOn w:val="Heading1"/>
    <w:next w:val="Normal"/>
    <w:uiPriority w:val="39"/>
    <w:unhideWhenUsed/>
    <w:qFormat/>
    <w:rsid w:val="00C52329"/>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59345C"/>
    <w:pPr>
      <w:spacing w:before="100" w:beforeAutospacing="1" w:after="100" w:afterAutospacing="1" w:line="240" w:lineRule="auto"/>
    </w:pPr>
    <w:rPr>
      <w:rFonts w:eastAsia="Times New Roman" w:cs="Times New Roman"/>
      <w:szCs w:val="24"/>
    </w:rPr>
  </w:style>
  <w:style w:type="character" w:styleId="Hyperlink">
    <w:name w:val="Hyperlink"/>
    <w:basedOn w:val="DefaultParagraphFont"/>
    <w:uiPriority w:val="99"/>
    <w:unhideWhenUsed/>
    <w:rsid w:val="00E77F7F"/>
    <w:rPr>
      <w:color w:val="0000FF" w:themeColor="hyperlink"/>
      <w:u w:val="single"/>
    </w:rPr>
  </w:style>
  <w:style w:type="character" w:customStyle="1" w:styleId="UnresolvedMention1">
    <w:name w:val="Unresolved Mention1"/>
    <w:basedOn w:val="DefaultParagraphFont"/>
    <w:uiPriority w:val="99"/>
    <w:semiHidden/>
    <w:unhideWhenUsed/>
    <w:rsid w:val="00E77F7F"/>
    <w:rPr>
      <w:color w:val="605E5C"/>
      <w:shd w:val="clear" w:color="auto" w:fill="E1DFDD"/>
    </w:rPr>
  </w:style>
  <w:style w:type="character" w:styleId="CommentReference">
    <w:name w:val="annotation reference"/>
    <w:basedOn w:val="DefaultParagraphFont"/>
    <w:uiPriority w:val="99"/>
    <w:semiHidden/>
    <w:unhideWhenUsed/>
    <w:rsid w:val="00211125"/>
    <w:rPr>
      <w:sz w:val="16"/>
      <w:szCs w:val="16"/>
    </w:rPr>
  </w:style>
  <w:style w:type="paragraph" w:styleId="CommentText">
    <w:name w:val="annotation text"/>
    <w:basedOn w:val="Normal"/>
    <w:link w:val="CommentTextChar"/>
    <w:uiPriority w:val="99"/>
    <w:unhideWhenUsed/>
    <w:rsid w:val="00211125"/>
    <w:pPr>
      <w:spacing w:line="240" w:lineRule="auto"/>
    </w:pPr>
    <w:rPr>
      <w:sz w:val="20"/>
      <w:szCs w:val="20"/>
    </w:rPr>
  </w:style>
  <w:style w:type="character" w:customStyle="1" w:styleId="CommentTextChar">
    <w:name w:val="Comment Text Char"/>
    <w:basedOn w:val="DefaultParagraphFont"/>
    <w:link w:val="CommentText"/>
    <w:uiPriority w:val="99"/>
    <w:rsid w:val="0021112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211125"/>
    <w:rPr>
      <w:b/>
      <w:bCs/>
    </w:rPr>
  </w:style>
  <w:style w:type="character" w:customStyle="1" w:styleId="CommentSubjectChar">
    <w:name w:val="Comment Subject Char"/>
    <w:basedOn w:val="CommentTextChar"/>
    <w:link w:val="CommentSubject"/>
    <w:uiPriority w:val="99"/>
    <w:semiHidden/>
    <w:rsid w:val="00211125"/>
    <w:rPr>
      <w:rFonts w:ascii="Times New Roman" w:hAnsi="Times New Roman"/>
      <w:b/>
      <w:bCs/>
      <w:sz w:val="20"/>
      <w:szCs w:val="20"/>
    </w:rPr>
  </w:style>
  <w:style w:type="character" w:customStyle="1" w:styleId="relative">
    <w:name w:val="relative"/>
    <w:basedOn w:val="DefaultParagraphFont"/>
    <w:rsid w:val="00E35162"/>
  </w:style>
  <w:style w:type="paragraph" w:customStyle="1" w:styleId="not-prose">
    <w:name w:val="not-prose"/>
    <w:basedOn w:val="Normal"/>
    <w:rsid w:val="00E35162"/>
    <w:pPr>
      <w:spacing w:before="100" w:beforeAutospacing="1" w:after="100" w:afterAutospacing="1" w:line="240" w:lineRule="auto"/>
    </w:pPr>
    <w:rPr>
      <w:rFonts w:eastAsia="Times New Roman" w:cs="Times New Roman"/>
      <w:szCs w:val="24"/>
    </w:rPr>
  </w:style>
  <w:style w:type="paragraph" w:customStyle="1" w:styleId="paragraph">
    <w:name w:val="paragraph"/>
    <w:basedOn w:val="Normal"/>
    <w:rsid w:val="00F05C94"/>
    <w:pPr>
      <w:spacing w:before="100" w:beforeAutospacing="1" w:after="100" w:afterAutospacing="1" w:line="240" w:lineRule="auto"/>
    </w:pPr>
    <w:rPr>
      <w:rFonts w:eastAsia="Times New Roman" w:cs="Times New Roman"/>
      <w:szCs w:val="24"/>
    </w:rPr>
  </w:style>
  <w:style w:type="character" w:customStyle="1" w:styleId="normaltextrun">
    <w:name w:val="normaltextrun"/>
    <w:basedOn w:val="DefaultParagraphFont"/>
    <w:rsid w:val="00F05C94"/>
  </w:style>
  <w:style w:type="character" w:customStyle="1" w:styleId="eop">
    <w:name w:val="eop"/>
    <w:basedOn w:val="DefaultParagraphFont"/>
    <w:rsid w:val="00F05C94"/>
  </w:style>
  <w:style w:type="paragraph" w:styleId="FootnoteText">
    <w:name w:val="footnote text"/>
    <w:basedOn w:val="Normal"/>
    <w:link w:val="FootnoteTextChar"/>
    <w:uiPriority w:val="99"/>
    <w:semiHidden/>
    <w:unhideWhenUsed/>
    <w:rsid w:val="00F05C94"/>
    <w:pPr>
      <w:spacing w:after="0" w:line="240" w:lineRule="auto"/>
    </w:pPr>
    <w:rPr>
      <w:rFonts w:asciiTheme="minorHAnsi" w:eastAsiaTheme="minorHAnsi" w:hAnsiTheme="minorHAnsi"/>
      <w:kern w:val="2"/>
      <w:sz w:val="20"/>
      <w:szCs w:val="20"/>
    </w:rPr>
  </w:style>
  <w:style w:type="character" w:customStyle="1" w:styleId="FootnoteTextChar">
    <w:name w:val="Footnote Text Char"/>
    <w:basedOn w:val="DefaultParagraphFont"/>
    <w:link w:val="FootnoteText"/>
    <w:uiPriority w:val="99"/>
    <w:semiHidden/>
    <w:rsid w:val="00F05C94"/>
    <w:rPr>
      <w:rFonts w:eastAsiaTheme="minorHAnsi"/>
      <w:kern w:val="2"/>
      <w:sz w:val="20"/>
      <w:szCs w:val="20"/>
    </w:rPr>
  </w:style>
  <w:style w:type="character" w:styleId="FootnoteReference">
    <w:name w:val="footnote reference"/>
    <w:basedOn w:val="DefaultParagraphFont"/>
    <w:uiPriority w:val="99"/>
    <w:semiHidden/>
    <w:unhideWhenUsed/>
    <w:rsid w:val="00F05C94"/>
    <w:rPr>
      <w:vertAlign w:val="superscript"/>
    </w:rPr>
  </w:style>
  <w:style w:type="paragraph" w:styleId="HTMLPreformatted">
    <w:name w:val="HTML Preformatted"/>
    <w:basedOn w:val="Normal"/>
    <w:link w:val="HTMLPreformattedChar"/>
    <w:uiPriority w:val="99"/>
    <w:semiHidden/>
    <w:unhideWhenUsed/>
    <w:rsid w:val="00F05C94"/>
    <w:pPr>
      <w:spacing w:after="0" w:line="240" w:lineRule="auto"/>
    </w:pPr>
    <w:rPr>
      <w:rFonts w:ascii="Consolas" w:eastAsiaTheme="minorHAnsi" w:hAnsi="Consolas"/>
      <w:kern w:val="2"/>
      <w:sz w:val="20"/>
      <w:szCs w:val="20"/>
    </w:rPr>
  </w:style>
  <w:style w:type="character" w:customStyle="1" w:styleId="HTMLPreformattedChar">
    <w:name w:val="HTML Preformatted Char"/>
    <w:basedOn w:val="DefaultParagraphFont"/>
    <w:link w:val="HTMLPreformatted"/>
    <w:uiPriority w:val="99"/>
    <w:semiHidden/>
    <w:rsid w:val="00F05C94"/>
    <w:rPr>
      <w:rFonts w:ascii="Consolas" w:eastAsiaTheme="minorHAnsi" w:hAnsi="Consolas"/>
      <w:kern w:val="2"/>
      <w:sz w:val="20"/>
      <w:szCs w:val="20"/>
    </w:rPr>
  </w:style>
  <w:style w:type="paragraph" w:customStyle="1" w:styleId="Bodytexttesis">
    <w:name w:val="Body text tesis"/>
    <w:basedOn w:val="BodyTextIndent"/>
    <w:rsid w:val="00F05C94"/>
    <w:pPr>
      <w:spacing w:after="0" w:line="360" w:lineRule="auto"/>
      <w:ind w:left="0" w:firstLine="720"/>
      <w:jc w:val="both"/>
    </w:pPr>
    <w:rPr>
      <w:rFonts w:ascii="Times New Roman" w:eastAsia="Times" w:hAnsi="Times New Roman" w:cs="Times New Roman"/>
      <w:kern w:val="0"/>
      <w:szCs w:val="20"/>
      <w:lang w:eastAsia="pt-BR"/>
    </w:rPr>
  </w:style>
  <w:style w:type="paragraph" w:styleId="BodyTextIndent">
    <w:name w:val="Body Text Indent"/>
    <w:basedOn w:val="Normal"/>
    <w:link w:val="BodyTextIndentChar"/>
    <w:uiPriority w:val="99"/>
    <w:semiHidden/>
    <w:unhideWhenUsed/>
    <w:rsid w:val="00F05C94"/>
    <w:pPr>
      <w:spacing w:after="120" w:line="278" w:lineRule="auto"/>
      <w:ind w:left="360"/>
    </w:pPr>
    <w:rPr>
      <w:rFonts w:asciiTheme="minorHAnsi" w:eastAsiaTheme="minorHAnsi" w:hAnsiTheme="minorHAnsi"/>
      <w:kern w:val="2"/>
      <w:szCs w:val="24"/>
    </w:rPr>
  </w:style>
  <w:style w:type="character" w:customStyle="1" w:styleId="BodyTextIndentChar">
    <w:name w:val="Body Text Indent Char"/>
    <w:basedOn w:val="DefaultParagraphFont"/>
    <w:link w:val="BodyTextIndent"/>
    <w:uiPriority w:val="99"/>
    <w:semiHidden/>
    <w:rsid w:val="00F05C94"/>
    <w:rPr>
      <w:rFonts w:eastAsiaTheme="minorHAnsi"/>
      <w:kern w:val="2"/>
      <w:sz w:val="24"/>
      <w:szCs w:val="24"/>
    </w:rPr>
  </w:style>
  <w:style w:type="paragraph" w:styleId="Revision">
    <w:name w:val="Revision"/>
    <w:hidden/>
    <w:uiPriority w:val="99"/>
    <w:semiHidden/>
    <w:rsid w:val="00F05C94"/>
    <w:pPr>
      <w:spacing w:after="0" w:line="240" w:lineRule="auto"/>
    </w:pPr>
    <w:rPr>
      <w:rFonts w:eastAsiaTheme="minorHAnsi"/>
      <w:kern w:val="2"/>
      <w:sz w:val="24"/>
      <w:szCs w:val="24"/>
    </w:rPr>
  </w:style>
  <w:style w:type="character" w:styleId="FollowedHyperlink">
    <w:name w:val="FollowedHyperlink"/>
    <w:basedOn w:val="DefaultParagraphFont"/>
    <w:uiPriority w:val="99"/>
    <w:semiHidden/>
    <w:unhideWhenUsed/>
    <w:rsid w:val="00F05C94"/>
    <w:rPr>
      <w:color w:val="800080" w:themeColor="followedHyperlink"/>
      <w:u w:val="single"/>
    </w:rPr>
  </w:style>
  <w:style w:type="paragraph" w:styleId="Bibliography">
    <w:name w:val="Bibliography"/>
    <w:basedOn w:val="Normal"/>
    <w:next w:val="Normal"/>
    <w:uiPriority w:val="37"/>
    <w:unhideWhenUsed/>
    <w:rsid w:val="00F05C94"/>
    <w:pPr>
      <w:spacing w:after="0" w:line="240" w:lineRule="auto"/>
    </w:pPr>
    <w:rPr>
      <w:rFonts w:eastAsia="Times New Roman" w:cs="Times New Roman"/>
      <w:szCs w:val="24"/>
    </w:rPr>
  </w:style>
  <w:style w:type="paragraph" w:styleId="TOC1">
    <w:name w:val="toc 1"/>
    <w:basedOn w:val="Normal"/>
    <w:next w:val="Normal"/>
    <w:autoRedefine/>
    <w:uiPriority w:val="39"/>
    <w:unhideWhenUsed/>
    <w:rsid w:val="00A113E3"/>
    <w:pPr>
      <w:spacing w:before="120" w:after="120"/>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A113E3"/>
    <w:pPr>
      <w:spacing w:after="0"/>
      <w:ind w:left="240"/>
    </w:pPr>
    <w:rPr>
      <w:rFonts w:asciiTheme="minorHAnsi" w:hAnsiTheme="minorHAnsi" w:cstheme="minorHAnsi"/>
      <w:smallCaps/>
      <w:sz w:val="20"/>
      <w:szCs w:val="20"/>
    </w:rPr>
  </w:style>
  <w:style w:type="paragraph" w:styleId="TOC3">
    <w:name w:val="toc 3"/>
    <w:basedOn w:val="Normal"/>
    <w:next w:val="Normal"/>
    <w:autoRedefine/>
    <w:uiPriority w:val="39"/>
    <w:unhideWhenUsed/>
    <w:rsid w:val="00A113E3"/>
    <w:pPr>
      <w:spacing w:after="0"/>
      <w:ind w:left="480"/>
    </w:pPr>
    <w:rPr>
      <w:rFonts w:asciiTheme="minorHAnsi" w:hAnsiTheme="minorHAnsi" w:cstheme="minorHAnsi"/>
      <w:i/>
      <w:iCs/>
      <w:sz w:val="20"/>
      <w:szCs w:val="20"/>
    </w:rPr>
  </w:style>
  <w:style w:type="paragraph" w:styleId="TOC4">
    <w:name w:val="toc 4"/>
    <w:basedOn w:val="Normal"/>
    <w:next w:val="Normal"/>
    <w:autoRedefine/>
    <w:uiPriority w:val="39"/>
    <w:semiHidden/>
    <w:unhideWhenUsed/>
    <w:rsid w:val="00A113E3"/>
    <w:pPr>
      <w:spacing w:after="0"/>
      <w:ind w:left="720"/>
    </w:pPr>
    <w:rPr>
      <w:rFonts w:asciiTheme="minorHAnsi" w:hAnsiTheme="minorHAnsi" w:cstheme="minorHAnsi"/>
      <w:sz w:val="18"/>
      <w:szCs w:val="18"/>
    </w:rPr>
  </w:style>
  <w:style w:type="paragraph" w:styleId="TOC5">
    <w:name w:val="toc 5"/>
    <w:basedOn w:val="Normal"/>
    <w:next w:val="Normal"/>
    <w:autoRedefine/>
    <w:uiPriority w:val="39"/>
    <w:semiHidden/>
    <w:unhideWhenUsed/>
    <w:rsid w:val="00A113E3"/>
    <w:pPr>
      <w:spacing w:after="0"/>
      <w:ind w:left="960"/>
    </w:pPr>
    <w:rPr>
      <w:rFonts w:asciiTheme="minorHAnsi" w:hAnsiTheme="minorHAnsi" w:cstheme="minorHAnsi"/>
      <w:sz w:val="18"/>
      <w:szCs w:val="18"/>
    </w:rPr>
  </w:style>
  <w:style w:type="paragraph" w:styleId="TOC6">
    <w:name w:val="toc 6"/>
    <w:basedOn w:val="Normal"/>
    <w:next w:val="Normal"/>
    <w:autoRedefine/>
    <w:uiPriority w:val="39"/>
    <w:semiHidden/>
    <w:unhideWhenUsed/>
    <w:rsid w:val="00A113E3"/>
    <w:pPr>
      <w:spacing w:after="0"/>
      <w:ind w:left="1200"/>
    </w:pPr>
    <w:rPr>
      <w:rFonts w:asciiTheme="minorHAnsi" w:hAnsiTheme="minorHAnsi" w:cstheme="minorHAnsi"/>
      <w:sz w:val="18"/>
      <w:szCs w:val="18"/>
    </w:rPr>
  </w:style>
  <w:style w:type="paragraph" w:styleId="TOC7">
    <w:name w:val="toc 7"/>
    <w:basedOn w:val="Normal"/>
    <w:next w:val="Normal"/>
    <w:autoRedefine/>
    <w:uiPriority w:val="39"/>
    <w:semiHidden/>
    <w:unhideWhenUsed/>
    <w:rsid w:val="00A113E3"/>
    <w:pPr>
      <w:spacing w:after="0"/>
      <w:ind w:left="1440"/>
    </w:pPr>
    <w:rPr>
      <w:rFonts w:asciiTheme="minorHAnsi" w:hAnsiTheme="minorHAnsi" w:cstheme="minorHAnsi"/>
      <w:sz w:val="18"/>
      <w:szCs w:val="18"/>
    </w:rPr>
  </w:style>
  <w:style w:type="paragraph" w:styleId="TOC8">
    <w:name w:val="toc 8"/>
    <w:basedOn w:val="Normal"/>
    <w:next w:val="Normal"/>
    <w:autoRedefine/>
    <w:uiPriority w:val="39"/>
    <w:semiHidden/>
    <w:unhideWhenUsed/>
    <w:rsid w:val="00A113E3"/>
    <w:pPr>
      <w:spacing w:after="0"/>
      <w:ind w:left="1680"/>
    </w:pPr>
    <w:rPr>
      <w:rFonts w:asciiTheme="minorHAnsi" w:hAnsiTheme="minorHAnsi" w:cstheme="minorHAnsi"/>
      <w:sz w:val="18"/>
      <w:szCs w:val="18"/>
    </w:rPr>
  </w:style>
  <w:style w:type="paragraph" w:styleId="TOC9">
    <w:name w:val="toc 9"/>
    <w:basedOn w:val="Normal"/>
    <w:next w:val="Normal"/>
    <w:autoRedefine/>
    <w:uiPriority w:val="39"/>
    <w:semiHidden/>
    <w:unhideWhenUsed/>
    <w:rsid w:val="00A113E3"/>
    <w:pPr>
      <w:spacing w:after="0"/>
      <w:ind w:left="1920"/>
    </w:pPr>
    <w:rPr>
      <w:rFonts w:asciiTheme="minorHAnsi" w:hAnsiTheme="minorHAnsi" w:cstheme="minorHAnsi"/>
      <w:sz w:val="18"/>
      <w:szCs w:val="18"/>
    </w:rPr>
  </w:style>
  <w:style w:type="character" w:customStyle="1" w:styleId="NoSpacingChar">
    <w:name w:val="No Spacing Char"/>
    <w:basedOn w:val="DefaultParagraphFont"/>
    <w:link w:val="NoSpacing"/>
    <w:uiPriority w:val="1"/>
    <w:rsid w:val="0008197A"/>
    <w:rPr>
      <w:rFonts w:ascii="Times New Roman" w:hAnsi="Times New Roman"/>
      <w:sz w:val="24"/>
    </w:rPr>
  </w:style>
  <w:style w:type="character" w:styleId="PageNumber">
    <w:name w:val="page number"/>
    <w:basedOn w:val="DefaultParagraphFont"/>
    <w:uiPriority w:val="99"/>
    <w:semiHidden/>
    <w:unhideWhenUsed/>
    <w:rsid w:val="006C1525"/>
  </w:style>
  <w:style w:type="character" w:customStyle="1" w:styleId="Mention1">
    <w:name w:val="Mention1"/>
    <w:basedOn w:val="DefaultParagraphFont"/>
    <w:uiPriority w:val="99"/>
    <w:unhideWhenUsed/>
    <w:rsid w:val="00371E80"/>
    <w:rPr>
      <w:color w:val="2B579A"/>
      <w:shd w:val="clear" w:color="auto" w:fill="E1DFDD"/>
    </w:rPr>
  </w:style>
  <w:style w:type="paragraph" w:customStyle="1" w:styleId="Firstnumbering">
    <w:name w:val="First numbering"/>
    <w:basedOn w:val="ListParagraph"/>
    <w:link w:val="FirstnumberingChar"/>
    <w:qFormat/>
    <w:rsid w:val="00C80CCF"/>
    <w:pPr>
      <w:numPr>
        <w:numId w:val="19"/>
      </w:numPr>
      <w:spacing w:after="0" w:line="240" w:lineRule="auto"/>
      <w:ind w:left="567" w:hanging="567"/>
      <w:contextualSpacing w:val="0"/>
    </w:pPr>
    <w:rPr>
      <w:rFonts w:ascii="Arial" w:eastAsiaTheme="minorHAnsi" w:hAnsi="Arial"/>
      <w:sz w:val="22"/>
      <w:lang w:val="en-GB"/>
    </w:rPr>
  </w:style>
  <w:style w:type="paragraph" w:customStyle="1" w:styleId="Secondnumbering">
    <w:name w:val="Second numbering"/>
    <w:basedOn w:val="Firstnumbering"/>
    <w:link w:val="SecondnumberingChar"/>
    <w:qFormat/>
    <w:rsid w:val="00C80CCF"/>
    <w:pPr>
      <w:numPr>
        <w:numId w:val="20"/>
      </w:numPr>
    </w:pPr>
  </w:style>
  <w:style w:type="character" w:customStyle="1" w:styleId="SecondnumberingChar">
    <w:name w:val="Second numbering Char"/>
    <w:basedOn w:val="DefaultParagraphFont"/>
    <w:link w:val="Secondnumbering"/>
    <w:rsid w:val="00C80CCF"/>
    <w:rPr>
      <w:rFonts w:ascii="Arial" w:eastAsiaTheme="minorHAnsi" w:hAnsi="Arial"/>
      <w:lang w:val="en-GB"/>
    </w:rPr>
  </w:style>
  <w:style w:type="paragraph" w:customStyle="1" w:styleId="msonormal0">
    <w:name w:val="msonormal"/>
    <w:basedOn w:val="Normal"/>
    <w:rsid w:val="00ED41F7"/>
    <w:pPr>
      <w:spacing w:before="100" w:beforeAutospacing="1" w:after="100" w:afterAutospacing="1" w:line="240" w:lineRule="auto"/>
    </w:pPr>
    <w:rPr>
      <w:rFonts w:eastAsia="Times New Roman" w:cs="Times New Roman"/>
      <w:szCs w:val="24"/>
      <w:lang w:eastAsia="en-GB"/>
    </w:rPr>
  </w:style>
  <w:style w:type="paragraph" w:customStyle="1" w:styleId="xl63">
    <w:name w:val="xl63"/>
    <w:basedOn w:val="Normal"/>
    <w:rsid w:val="00ED41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b/>
      <w:bCs/>
      <w:szCs w:val="24"/>
      <w:lang w:eastAsia="en-GB"/>
    </w:rPr>
  </w:style>
  <w:style w:type="paragraph" w:customStyle="1" w:styleId="xl64">
    <w:name w:val="xl64"/>
    <w:basedOn w:val="Normal"/>
    <w:rsid w:val="00ED41F7"/>
    <w:pPr>
      <w:spacing w:before="100" w:beforeAutospacing="1" w:after="100" w:afterAutospacing="1" w:line="240" w:lineRule="auto"/>
      <w:textAlignment w:val="top"/>
    </w:pPr>
    <w:rPr>
      <w:rFonts w:eastAsia="Times New Roman" w:cs="Times New Roman"/>
      <w:szCs w:val="24"/>
      <w:lang w:eastAsia="en-GB"/>
    </w:rPr>
  </w:style>
  <w:style w:type="paragraph" w:styleId="BalloonText">
    <w:name w:val="Balloon Text"/>
    <w:basedOn w:val="Normal"/>
    <w:link w:val="BalloonTextChar"/>
    <w:uiPriority w:val="99"/>
    <w:semiHidden/>
    <w:unhideWhenUsed/>
    <w:rsid w:val="00FA3F2F"/>
    <w:pPr>
      <w:spacing w:after="0" w:line="240" w:lineRule="auto"/>
    </w:pPr>
    <w:rPr>
      <w:rFonts w:ascii="Segoe UI" w:eastAsiaTheme="minorHAnsi" w:hAnsi="Segoe UI" w:cs="Segoe UI"/>
      <w:sz w:val="18"/>
      <w:szCs w:val="18"/>
      <w:lang w:val="en-GB"/>
    </w:rPr>
  </w:style>
  <w:style w:type="character" w:customStyle="1" w:styleId="BalloonTextChar">
    <w:name w:val="Balloon Text Char"/>
    <w:basedOn w:val="DefaultParagraphFont"/>
    <w:link w:val="BalloonText"/>
    <w:uiPriority w:val="99"/>
    <w:semiHidden/>
    <w:rsid w:val="00FA3F2F"/>
    <w:rPr>
      <w:rFonts w:ascii="Segoe UI" w:eastAsiaTheme="minorHAnsi" w:hAnsi="Segoe UI" w:cs="Segoe UI"/>
      <w:sz w:val="18"/>
      <w:szCs w:val="18"/>
      <w:lang w:val="en-GB"/>
    </w:rPr>
  </w:style>
  <w:style w:type="character" w:customStyle="1" w:styleId="ListParagraphChar">
    <w:name w:val="List Paragraph Char"/>
    <w:basedOn w:val="DefaultParagraphFont"/>
    <w:link w:val="ListParagraph"/>
    <w:uiPriority w:val="34"/>
    <w:rsid w:val="00FA3F2F"/>
    <w:rPr>
      <w:rFonts w:ascii="Times New Roman" w:hAnsi="Times New Roman"/>
      <w:sz w:val="24"/>
    </w:rPr>
  </w:style>
  <w:style w:type="character" w:customStyle="1" w:styleId="FirstnumberingChar">
    <w:name w:val="First numbering Char"/>
    <w:basedOn w:val="ListParagraphChar"/>
    <w:link w:val="Firstnumbering"/>
    <w:rsid w:val="00FA3F2F"/>
    <w:rPr>
      <w:rFonts w:ascii="Arial" w:eastAsiaTheme="minorHAnsi" w:hAnsi="Arial"/>
      <w:sz w:val="24"/>
      <w:lang w:val="en-GB"/>
    </w:rPr>
  </w:style>
  <w:style w:type="paragraph" w:customStyle="1" w:styleId="Thirdnumberingi">
    <w:name w:val="Third numbering i)"/>
    <w:basedOn w:val="Secondnumbering"/>
    <w:link w:val="ThirdnumberingiChar"/>
    <w:qFormat/>
    <w:rsid w:val="00FA3F2F"/>
    <w:pPr>
      <w:numPr>
        <w:numId w:val="26"/>
      </w:numPr>
    </w:pPr>
  </w:style>
  <w:style w:type="paragraph" w:customStyle="1" w:styleId="FourthnumberingA">
    <w:name w:val="Fourth numbering A."/>
    <w:basedOn w:val="Thirdnumberingi"/>
    <w:link w:val="FourthnumberingAChar"/>
    <w:qFormat/>
    <w:rsid w:val="00FA3F2F"/>
    <w:pPr>
      <w:numPr>
        <w:numId w:val="27"/>
      </w:numPr>
    </w:pPr>
  </w:style>
  <w:style w:type="character" w:customStyle="1" w:styleId="ThirdnumberingiChar">
    <w:name w:val="Third numbering i) Char"/>
    <w:basedOn w:val="SecondnumberingChar"/>
    <w:link w:val="Thirdnumberingi"/>
    <w:rsid w:val="00FA3F2F"/>
    <w:rPr>
      <w:rFonts w:ascii="Arial" w:eastAsiaTheme="minorHAnsi" w:hAnsi="Arial"/>
      <w:lang w:val="en-GB"/>
    </w:rPr>
  </w:style>
  <w:style w:type="paragraph" w:customStyle="1" w:styleId="Title1">
    <w:name w:val="Title1"/>
    <w:basedOn w:val="Normal"/>
    <w:link w:val="TITLEChar0"/>
    <w:qFormat/>
    <w:rsid w:val="00FA3F2F"/>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after="0" w:line="240" w:lineRule="auto"/>
      <w:jc w:val="center"/>
      <w:textAlignment w:val="baseline"/>
      <w:outlineLvl w:val="1"/>
    </w:pPr>
    <w:rPr>
      <w:rFonts w:ascii="Arial" w:eastAsia="Times New Roman" w:hAnsi="Arial" w:cs="Arial"/>
      <w:b/>
      <w:caps/>
      <w:sz w:val="22"/>
      <w:lang w:val="en-GB"/>
    </w:rPr>
  </w:style>
  <w:style w:type="character" w:customStyle="1" w:styleId="FourthnumberingAChar">
    <w:name w:val="Fourth numbering A. Char"/>
    <w:basedOn w:val="ThirdnumberingiChar"/>
    <w:link w:val="FourthnumberingA"/>
    <w:rsid w:val="00FA3F2F"/>
    <w:rPr>
      <w:rFonts w:ascii="Arial" w:eastAsiaTheme="minorHAnsi" w:hAnsi="Arial"/>
      <w:lang w:val="en-GB"/>
    </w:rPr>
  </w:style>
  <w:style w:type="character" w:customStyle="1" w:styleId="TITLEChar0">
    <w:name w:val="TITLE Char"/>
    <w:basedOn w:val="DefaultParagraphFont"/>
    <w:link w:val="Title1"/>
    <w:rsid w:val="00FA3F2F"/>
    <w:rPr>
      <w:rFonts w:ascii="Arial" w:eastAsia="Times New Roman" w:hAnsi="Arial" w:cs="Arial"/>
      <w:b/>
      <w:caps/>
      <w:lang w:val="en-GB"/>
    </w:rPr>
  </w:style>
  <w:style w:type="paragraph" w:styleId="EndnoteText">
    <w:name w:val="endnote text"/>
    <w:basedOn w:val="Normal"/>
    <w:link w:val="EndnoteTextChar"/>
    <w:uiPriority w:val="99"/>
    <w:semiHidden/>
    <w:unhideWhenUsed/>
    <w:rsid w:val="00FA3F2F"/>
    <w:pPr>
      <w:spacing w:after="0" w:line="240" w:lineRule="auto"/>
    </w:pPr>
    <w:rPr>
      <w:rFonts w:ascii="Arial" w:eastAsiaTheme="minorHAnsi" w:hAnsi="Arial"/>
      <w:sz w:val="20"/>
      <w:szCs w:val="20"/>
      <w:lang w:val="en-GB"/>
    </w:rPr>
  </w:style>
  <w:style w:type="character" w:customStyle="1" w:styleId="EndnoteTextChar">
    <w:name w:val="Endnote Text Char"/>
    <w:basedOn w:val="DefaultParagraphFont"/>
    <w:link w:val="EndnoteText"/>
    <w:uiPriority w:val="99"/>
    <w:semiHidden/>
    <w:rsid w:val="00FA3F2F"/>
    <w:rPr>
      <w:rFonts w:ascii="Arial" w:eastAsiaTheme="minorHAnsi" w:hAnsi="Arial"/>
      <w:sz w:val="20"/>
      <w:szCs w:val="20"/>
      <w:lang w:val="en-GB"/>
    </w:rPr>
  </w:style>
  <w:style w:type="character" w:styleId="EndnoteReference">
    <w:name w:val="endnote reference"/>
    <w:basedOn w:val="DefaultParagraphFont"/>
    <w:uiPriority w:val="99"/>
    <w:semiHidden/>
    <w:unhideWhenUsed/>
    <w:rsid w:val="00FA3F2F"/>
    <w:rPr>
      <w:vertAlign w:val="superscript"/>
    </w:rPr>
  </w:style>
  <w:style w:type="character" w:styleId="Mention">
    <w:name w:val="Mention"/>
    <w:basedOn w:val="DefaultParagraphFont"/>
    <w:uiPriority w:val="99"/>
    <w:unhideWhenUsed/>
    <w:rsid w:val="005969CE"/>
    <w:rPr>
      <w:color w:val="2B579A"/>
      <w:shd w:val="clear" w:color="auto" w:fill="E1DFDD"/>
    </w:rPr>
  </w:style>
  <w:style w:type="character" w:styleId="UnresolvedMention">
    <w:name w:val="Unresolved Mention"/>
    <w:basedOn w:val="DefaultParagraphFont"/>
    <w:uiPriority w:val="99"/>
    <w:semiHidden/>
    <w:unhideWhenUsed/>
    <w:rsid w:val="005969C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612792">
      <w:bodyDiv w:val="1"/>
      <w:marLeft w:val="0"/>
      <w:marRight w:val="0"/>
      <w:marTop w:val="0"/>
      <w:marBottom w:val="0"/>
      <w:divBdr>
        <w:top w:val="none" w:sz="0" w:space="0" w:color="auto"/>
        <w:left w:val="none" w:sz="0" w:space="0" w:color="auto"/>
        <w:bottom w:val="none" w:sz="0" w:space="0" w:color="auto"/>
        <w:right w:val="none" w:sz="0" w:space="0" w:color="auto"/>
      </w:divBdr>
    </w:div>
    <w:div w:id="145704916">
      <w:bodyDiv w:val="1"/>
      <w:marLeft w:val="0"/>
      <w:marRight w:val="0"/>
      <w:marTop w:val="0"/>
      <w:marBottom w:val="0"/>
      <w:divBdr>
        <w:top w:val="none" w:sz="0" w:space="0" w:color="auto"/>
        <w:left w:val="none" w:sz="0" w:space="0" w:color="auto"/>
        <w:bottom w:val="none" w:sz="0" w:space="0" w:color="auto"/>
        <w:right w:val="none" w:sz="0" w:space="0" w:color="auto"/>
      </w:divBdr>
      <w:divsChild>
        <w:div w:id="1943800249">
          <w:marLeft w:val="0"/>
          <w:marRight w:val="0"/>
          <w:marTop w:val="0"/>
          <w:marBottom w:val="0"/>
          <w:divBdr>
            <w:top w:val="none" w:sz="0" w:space="0" w:color="auto"/>
            <w:left w:val="none" w:sz="0" w:space="0" w:color="auto"/>
            <w:bottom w:val="none" w:sz="0" w:space="0" w:color="auto"/>
            <w:right w:val="none" w:sz="0" w:space="0" w:color="auto"/>
          </w:divBdr>
          <w:divsChild>
            <w:div w:id="1199850547">
              <w:marLeft w:val="0"/>
              <w:marRight w:val="0"/>
              <w:marTop w:val="0"/>
              <w:marBottom w:val="0"/>
              <w:divBdr>
                <w:top w:val="none" w:sz="0" w:space="0" w:color="auto"/>
                <w:left w:val="none" w:sz="0" w:space="0" w:color="auto"/>
                <w:bottom w:val="none" w:sz="0" w:space="0" w:color="auto"/>
                <w:right w:val="none" w:sz="0" w:space="0" w:color="auto"/>
              </w:divBdr>
              <w:divsChild>
                <w:div w:id="440103936">
                  <w:marLeft w:val="0"/>
                  <w:marRight w:val="0"/>
                  <w:marTop w:val="0"/>
                  <w:marBottom w:val="0"/>
                  <w:divBdr>
                    <w:top w:val="none" w:sz="0" w:space="0" w:color="auto"/>
                    <w:left w:val="none" w:sz="0" w:space="0" w:color="auto"/>
                    <w:bottom w:val="none" w:sz="0" w:space="0" w:color="auto"/>
                    <w:right w:val="none" w:sz="0" w:space="0" w:color="auto"/>
                  </w:divBdr>
                  <w:divsChild>
                    <w:div w:id="782068761">
                      <w:marLeft w:val="0"/>
                      <w:marRight w:val="0"/>
                      <w:marTop w:val="0"/>
                      <w:marBottom w:val="0"/>
                      <w:divBdr>
                        <w:top w:val="none" w:sz="0" w:space="0" w:color="auto"/>
                        <w:left w:val="none" w:sz="0" w:space="0" w:color="auto"/>
                        <w:bottom w:val="none" w:sz="0" w:space="0" w:color="auto"/>
                        <w:right w:val="none" w:sz="0" w:space="0" w:color="auto"/>
                      </w:divBdr>
                      <w:divsChild>
                        <w:div w:id="1347369732">
                          <w:marLeft w:val="0"/>
                          <w:marRight w:val="0"/>
                          <w:marTop w:val="0"/>
                          <w:marBottom w:val="0"/>
                          <w:divBdr>
                            <w:top w:val="none" w:sz="0" w:space="0" w:color="auto"/>
                            <w:left w:val="none" w:sz="0" w:space="0" w:color="auto"/>
                            <w:bottom w:val="none" w:sz="0" w:space="0" w:color="auto"/>
                            <w:right w:val="none" w:sz="0" w:space="0" w:color="auto"/>
                          </w:divBdr>
                          <w:divsChild>
                            <w:div w:id="92461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496789">
      <w:bodyDiv w:val="1"/>
      <w:marLeft w:val="0"/>
      <w:marRight w:val="0"/>
      <w:marTop w:val="0"/>
      <w:marBottom w:val="0"/>
      <w:divBdr>
        <w:top w:val="none" w:sz="0" w:space="0" w:color="auto"/>
        <w:left w:val="none" w:sz="0" w:space="0" w:color="auto"/>
        <w:bottom w:val="none" w:sz="0" w:space="0" w:color="auto"/>
        <w:right w:val="none" w:sz="0" w:space="0" w:color="auto"/>
      </w:divBdr>
    </w:div>
    <w:div w:id="210269214">
      <w:bodyDiv w:val="1"/>
      <w:marLeft w:val="0"/>
      <w:marRight w:val="0"/>
      <w:marTop w:val="0"/>
      <w:marBottom w:val="0"/>
      <w:divBdr>
        <w:top w:val="none" w:sz="0" w:space="0" w:color="auto"/>
        <w:left w:val="none" w:sz="0" w:space="0" w:color="auto"/>
        <w:bottom w:val="none" w:sz="0" w:space="0" w:color="auto"/>
        <w:right w:val="none" w:sz="0" w:space="0" w:color="auto"/>
      </w:divBdr>
    </w:div>
    <w:div w:id="476342530">
      <w:bodyDiv w:val="1"/>
      <w:marLeft w:val="0"/>
      <w:marRight w:val="0"/>
      <w:marTop w:val="0"/>
      <w:marBottom w:val="0"/>
      <w:divBdr>
        <w:top w:val="none" w:sz="0" w:space="0" w:color="auto"/>
        <w:left w:val="none" w:sz="0" w:space="0" w:color="auto"/>
        <w:bottom w:val="none" w:sz="0" w:space="0" w:color="auto"/>
        <w:right w:val="none" w:sz="0" w:space="0" w:color="auto"/>
      </w:divBdr>
    </w:div>
    <w:div w:id="521480014">
      <w:bodyDiv w:val="1"/>
      <w:marLeft w:val="0"/>
      <w:marRight w:val="0"/>
      <w:marTop w:val="0"/>
      <w:marBottom w:val="0"/>
      <w:divBdr>
        <w:top w:val="none" w:sz="0" w:space="0" w:color="auto"/>
        <w:left w:val="none" w:sz="0" w:space="0" w:color="auto"/>
        <w:bottom w:val="none" w:sz="0" w:space="0" w:color="auto"/>
        <w:right w:val="none" w:sz="0" w:space="0" w:color="auto"/>
      </w:divBdr>
    </w:div>
    <w:div w:id="598216174">
      <w:bodyDiv w:val="1"/>
      <w:marLeft w:val="0"/>
      <w:marRight w:val="0"/>
      <w:marTop w:val="0"/>
      <w:marBottom w:val="0"/>
      <w:divBdr>
        <w:top w:val="none" w:sz="0" w:space="0" w:color="auto"/>
        <w:left w:val="none" w:sz="0" w:space="0" w:color="auto"/>
        <w:bottom w:val="none" w:sz="0" w:space="0" w:color="auto"/>
        <w:right w:val="none" w:sz="0" w:space="0" w:color="auto"/>
      </w:divBdr>
    </w:div>
    <w:div w:id="619920836">
      <w:bodyDiv w:val="1"/>
      <w:marLeft w:val="0"/>
      <w:marRight w:val="0"/>
      <w:marTop w:val="0"/>
      <w:marBottom w:val="0"/>
      <w:divBdr>
        <w:top w:val="none" w:sz="0" w:space="0" w:color="auto"/>
        <w:left w:val="none" w:sz="0" w:space="0" w:color="auto"/>
        <w:bottom w:val="none" w:sz="0" w:space="0" w:color="auto"/>
        <w:right w:val="none" w:sz="0" w:space="0" w:color="auto"/>
      </w:divBdr>
    </w:div>
    <w:div w:id="683358888">
      <w:bodyDiv w:val="1"/>
      <w:marLeft w:val="0"/>
      <w:marRight w:val="0"/>
      <w:marTop w:val="0"/>
      <w:marBottom w:val="0"/>
      <w:divBdr>
        <w:top w:val="none" w:sz="0" w:space="0" w:color="auto"/>
        <w:left w:val="none" w:sz="0" w:space="0" w:color="auto"/>
        <w:bottom w:val="none" w:sz="0" w:space="0" w:color="auto"/>
        <w:right w:val="none" w:sz="0" w:space="0" w:color="auto"/>
      </w:divBdr>
    </w:div>
    <w:div w:id="774788311">
      <w:bodyDiv w:val="1"/>
      <w:marLeft w:val="0"/>
      <w:marRight w:val="0"/>
      <w:marTop w:val="0"/>
      <w:marBottom w:val="0"/>
      <w:divBdr>
        <w:top w:val="none" w:sz="0" w:space="0" w:color="auto"/>
        <w:left w:val="none" w:sz="0" w:space="0" w:color="auto"/>
        <w:bottom w:val="none" w:sz="0" w:space="0" w:color="auto"/>
        <w:right w:val="none" w:sz="0" w:space="0" w:color="auto"/>
      </w:divBdr>
    </w:div>
    <w:div w:id="782572886">
      <w:bodyDiv w:val="1"/>
      <w:marLeft w:val="0"/>
      <w:marRight w:val="0"/>
      <w:marTop w:val="0"/>
      <w:marBottom w:val="0"/>
      <w:divBdr>
        <w:top w:val="none" w:sz="0" w:space="0" w:color="auto"/>
        <w:left w:val="none" w:sz="0" w:space="0" w:color="auto"/>
        <w:bottom w:val="none" w:sz="0" w:space="0" w:color="auto"/>
        <w:right w:val="none" w:sz="0" w:space="0" w:color="auto"/>
      </w:divBdr>
    </w:div>
    <w:div w:id="785732267">
      <w:bodyDiv w:val="1"/>
      <w:marLeft w:val="0"/>
      <w:marRight w:val="0"/>
      <w:marTop w:val="0"/>
      <w:marBottom w:val="0"/>
      <w:divBdr>
        <w:top w:val="none" w:sz="0" w:space="0" w:color="auto"/>
        <w:left w:val="none" w:sz="0" w:space="0" w:color="auto"/>
        <w:bottom w:val="none" w:sz="0" w:space="0" w:color="auto"/>
        <w:right w:val="none" w:sz="0" w:space="0" w:color="auto"/>
      </w:divBdr>
    </w:div>
    <w:div w:id="799037086">
      <w:bodyDiv w:val="1"/>
      <w:marLeft w:val="0"/>
      <w:marRight w:val="0"/>
      <w:marTop w:val="0"/>
      <w:marBottom w:val="0"/>
      <w:divBdr>
        <w:top w:val="none" w:sz="0" w:space="0" w:color="auto"/>
        <w:left w:val="none" w:sz="0" w:space="0" w:color="auto"/>
        <w:bottom w:val="none" w:sz="0" w:space="0" w:color="auto"/>
        <w:right w:val="none" w:sz="0" w:space="0" w:color="auto"/>
      </w:divBdr>
      <w:divsChild>
        <w:div w:id="285431275">
          <w:marLeft w:val="0"/>
          <w:marRight w:val="0"/>
          <w:marTop w:val="0"/>
          <w:marBottom w:val="0"/>
          <w:divBdr>
            <w:top w:val="none" w:sz="0" w:space="0" w:color="auto"/>
            <w:left w:val="none" w:sz="0" w:space="0" w:color="auto"/>
            <w:bottom w:val="none" w:sz="0" w:space="0" w:color="auto"/>
            <w:right w:val="none" w:sz="0" w:space="0" w:color="auto"/>
          </w:divBdr>
          <w:divsChild>
            <w:div w:id="1924416617">
              <w:marLeft w:val="0"/>
              <w:marRight w:val="0"/>
              <w:marTop w:val="0"/>
              <w:marBottom w:val="0"/>
              <w:divBdr>
                <w:top w:val="none" w:sz="0" w:space="0" w:color="auto"/>
                <w:left w:val="none" w:sz="0" w:space="0" w:color="auto"/>
                <w:bottom w:val="none" w:sz="0" w:space="0" w:color="auto"/>
                <w:right w:val="none" w:sz="0" w:space="0" w:color="auto"/>
              </w:divBdr>
              <w:divsChild>
                <w:div w:id="698163112">
                  <w:marLeft w:val="0"/>
                  <w:marRight w:val="0"/>
                  <w:marTop w:val="0"/>
                  <w:marBottom w:val="0"/>
                  <w:divBdr>
                    <w:top w:val="none" w:sz="0" w:space="0" w:color="auto"/>
                    <w:left w:val="none" w:sz="0" w:space="0" w:color="auto"/>
                    <w:bottom w:val="none" w:sz="0" w:space="0" w:color="auto"/>
                    <w:right w:val="none" w:sz="0" w:space="0" w:color="auto"/>
                  </w:divBdr>
                  <w:divsChild>
                    <w:div w:id="170071673">
                      <w:marLeft w:val="0"/>
                      <w:marRight w:val="0"/>
                      <w:marTop w:val="0"/>
                      <w:marBottom w:val="0"/>
                      <w:divBdr>
                        <w:top w:val="none" w:sz="0" w:space="0" w:color="auto"/>
                        <w:left w:val="none" w:sz="0" w:space="0" w:color="auto"/>
                        <w:bottom w:val="none" w:sz="0" w:space="0" w:color="auto"/>
                        <w:right w:val="none" w:sz="0" w:space="0" w:color="auto"/>
                      </w:divBdr>
                      <w:divsChild>
                        <w:div w:id="1616251928">
                          <w:marLeft w:val="0"/>
                          <w:marRight w:val="0"/>
                          <w:marTop w:val="0"/>
                          <w:marBottom w:val="0"/>
                          <w:divBdr>
                            <w:top w:val="none" w:sz="0" w:space="0" w:color="auto"/>
                            <w:left w:val="none" w:sz="0" w:space="0" w:color="auto"/>
                            <w:bottom w:val="none" w:sz="0" w:space="0" w:color="auto"/>
                            <w:right w:val="none" w:sz="0" w:space="0" w:color="auto"/>
                          </w:divBdr>
                          <w:divsChild>
                            <w:div w:id="967517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9056830">
      <w:bodyDiv w:val="1"/>
      <w:marLeft w:val="0"/>
      <w:marRight w:val="0"/>
      <w:marTop w:val="0"/>
      <w:marBottom w:val="0"/>
      <w:divBdr>
        <w:top w:val="none" w:sz="0" w:space="0" w:color="auto"/>
        <w:left w:val="none" w:sz="0" w:space="0" w:color="auto"/>
        <w:bottom w:val="none" w:sz="0" w:space="0" w:color="auto"/>
        <w:right w:val="none" w:sz="0" w:space="0" w:color="auto"/>
      </w:divBdr>
    </w:div>
    <w:div w:id="839544680">
      <w:bodyDiv w:val="1"/>
      <w:marLeft w:val="0"/>
      <w:marRight w:val="0"/>
      <w:marTop w:val="0"/>
      <w:marBottom w:val="0"/>
      <w:divBdr>
        <w:top w:val="none" w:sz="0" w:space="0" w:color="auto"/>
        <w:left w:val="none" w:sz="0" w:space="0" w:color="auto"/>
        <w:bottom w:val="none" w:sz="0" w:space="0" w:color="auto"/>
        <w:right w:val="none" w:sz="0" w:space="0" w:color="auto"/>
      </w:divBdr>
      <w:divsChild>
        <w:div w:id="1725831661">
          <w:marLeft w:val="0"/>
          <w:marRight w:val="0"/>
          <w:marTop w:val="0"/>
          <w:marBottom w:val="0"/>
          <w:divBdr>
            <w:top w:val="none" w:sz="0" w:space="0" w:color="auto"/>
            <w:left w:val="none" w:sz="0" w:space="0" w:color="auto"/>
            <w:bottom w:val="none" w:sz="0" w:space="0" w:color="auto"/>
            <w:right w:val="none" w:sz="0" w:space="0" w:color="auto"/>
          </w:divBdr>
          <w:divsChild>
            <w:div w:id="416289853">
              <w:marLeft w:val="0"/>
              <w:marRight w:val="0"/>
              <w:marTop w:val="0"/>
              <w:marBottom w:val="0"/>
              <w:divBdr>
                <w:top w:val="none" w:sz="0" w:space="0" w:color="auto"/>
                <w:left w:val="none" w:sz="0" w:space="0" w:color="auto"/>
                <w:bottom w:val="none" w:sz="0" w:space="0" w:color="auto"/>
                <w:right w:val="none" w:sz="0" w:space="0" w:color="auto"/>
              </w:divBdr>
              <w:divsChild>
                <w:div w:id="53624370">
                  <w:marLeft w:val="0"/>
                  <w:marRight w:val="0"/>
                  <w:marTop w:val="0"/>
                  <w:marBottom w:val="0"/>
                  <w:divBdr>
                    <w:top w:val="none" w:sz="0" w:space="0" w:color="auto"/>
                    <w:left w:val="none" w:sz="0" w:space="0" w:color="auto"/>
                    <w:bottom w:val="none" w:sz="0" w:space="0" w:color="auto"/>
                    <w:right w:val="none" w:sz="0" w:space="0" w:color="auto"/>
                  </w:divBdr>
                  <w:divsChild>
                    <w:div w:id="1369334938">
                      <w:marLeft w:val="0"/>
                      <w:marRight w:val="0"/>
                      <w:marTop w:val="0"/>
                      <w:marBottom w:val="0"/>
                      <w:divBdr>
                        <w:top w:val="none" w:sz="0" w:space="0" w:color="auto"/>
                        <w:left w:val="none" w:sz="0" w:space="0" w:color="auto"/>
                        <w:bottom w:val="none" w:sz="0" w:space="0" w:color="auto"/>
                        <w:right w:val="none" w:sz="0" w:space="0" w:color="auto"/>
                      </w:divBdr>
                      <w:divsChild>
                        <w:div w:id="1400588742">
                          <w:marLeft w:val="0"/>
                          <w:marRight w:val="0"/>
                          <w:marTop w:val="0"/>
                          <w:marBottom w:val="0"/>
                          <w:divBdr>
                            <w:top w:val="none" w:sz="0" w:space="0" w:color="auto"/>
                            <w:left w:val="none" w:sz="0" w:space="0" w:color="auto"/>
                            <w:bottom w:val="none" w:sz="0" w:space="0" w:color="auto"/>
                            <w:right w:val="none" w:sz="0" w:space="0" w:color="auto"/>
                          </w:divBdr>
                          <w:divsChild>
                            <w:div w:id="807170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2552293">
      <w:bodyDiv w:val="1"/>
      <w:marLeft w:val="0"/>
      <w:marRight w:val="0"/>
      <w:marTop w:val="0"/>
      <w:marBottom w:val="0"/>
      <w:divBdr>
        <w:top w:val="none" w:sz="0" w:space="0" w:color="auto"/>
        <w:left w:val="none" w:sz="0" w:space="0" w:color="auto"/>
        <w:bottom w:val="none" w:sz="0" w:space="0" w:color="auto"/>
        <w:right w:val="none" w:sz="0" w:space="0" w:color="auto"/>
      </w:divBdr>
    </w:div>
    <w:div w:id="861936412">
      <w:bodyDiv w:val="1"/>
      <w:marLeft w:val="0"/>
      <w:marRight w:val="0"/>
      <w:marTop w:val="0"/>
      <w:marBottom w:val="0"/>
      <w:divBdr>
        <w:top w:val="none" w:sz="0" w:space="0" w:color="auto"/>
        <w:left w:val="none" w:sz="0" w:space="0" w:color="auto"/>
        <w:bottom w:val="none" w:sz="0" w:space="0" w:color="auto"/>
        <w:right w:val="none" w:sz="0" w:space="0" w:color="auto"/>
      </w:divBdr>
    </w:div>
    <w:div w:id="866257526">
      <w:bodyDiv w:val="1"/>
      <w:marLeft w:val="0"/>
      <w:marRight w:val="0"/>
      <w:marTop w:val="0"/>
      <w:marBottom w:val="0"/>
      <w:divBdr>
        <w:top w:val="none" w:sz="0" w:space="0" w:color="auto"/>
        <w:left w:val="none" w:sz="0" w:space="0" w:color="auto"/>
        <w:bottom w:val="none" w:sz="0" w:space="0" w:color="auto"/>
        <w:right w:val="none" w:sz="0" w:space="0" w:color="auto"/>
      </w:divBdr>
    </w:div>
    <w:div w:id="886724808">
      <w:bodyDiv w:val="1"/>
      <w:marLeft w:val="0"/>
      <w:marRight w:val="0"/>
      <w:marTop w:val="0"/>
      <w:marBottom w:val="0"/>
      <w:divBdr>
        <w:top w:val="none" w:sz="0" w:space="0" w:color="auto"/>
        <w:left w:val="none" w:sz="0" w:space="0" w:color="auto"/>
        <w:bottom w:val="none" w:sz="0" w:space="0" w:color="auto"/>
        <w:right w:val="none" w:sz="0" w:space="0" w:color="auto"/>
      </w:divBdr>
    </w:div>
    <w:div w:id="929701432">
      <w:bodyDiv w:val="1"/>
      <w:marLeft w:val="0"/>
      <w:marRight w:val="0"/>
      <w:marTop w:val="0"/>
      <w:marBottom w:val="0"/>
      <w:divBdr>
        <w:top w:val="none" w:sz="0" w:space="0" w:color="auto"/>
        <w:left w:val="none" w:sz="0" w:space="0" w:color="auto"/>
        <w:bottom w:val="none" w:sz="0" w:space="0" w:color="auto"/>
        <w:right w:val="none" w:sz="0" w:space="0" w:color="auto"/>
      </w:divBdr>
    </w:div>
    <w:div w:id="965431148">
      <w:bodyDiv w:val="1"/>
      <w:marLeft w:val="0"/>
      <w:marRight w:val="0"/>
      <w:marTop w:val="0"/>
      <w:marBottom w:val="0"/>
      <w:divBdr>
        <w:top w:val="none" w:sz="0" w:space="0" w:color="auto"/>
        <w:left w:val="none" w:sz="0" w:space="0" w:color="auto"/>
        <w:bottom w:val="none" w:sz="0" w:space="0" w:color="auto"/>
        <w:right w:val="none" w:sz="0" w:space="0" w:color="auto"/>
      </w:divBdr>
      <w:divsChild>
        <w:div w:id="2094082536">
          <w:marLeft w:val="0"/>
          <w:marRight w:val="0"/>
          <w:marTop w:val="0"/>
          <w:marBottom w:val="0"/>
          <w:divBdr>
            <w:top w:val="none" w:sz="0" w:space="0" w:color="auto"/>
            <w:left w:val="none" w:sz="0" w:space="0" w:color="auto"/>
            <w:bottom w:val="none" w:sz="0" w:space="0" w:color="auto"/>
            <w:right w:val="none" w:sz="0" w:space="0" w:color="auto"/>
          </w:divBdr>
          <w:divsChild>
            <w:div w:id="203627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901075">
      <w:bodyDiv w:val="1"/>
      <w:marLeft w:val="0"/>
      <w:marRight w:val="0"/>
      <w:marTop w:val="0"/>
      <w:marBottom w:val="0"/>
      <w:divBdr>
        <w:top w:val="none" w:sz="0" w:space="0" w:color="auto"/>
        <w:left w:val="none" w:sz="0" w:space="0" w:color="auto"/>
        <w:bottom w:val="none" w:sz="0" w:space="0" w:color="auto"/>
        <w:right w:val="none" w:sz="0" w:space="0" w:color="auto"/>
      </w:divBdr>
    </w:div>
    <w:div w:id="1114204651">
      <w:bodyDiv w:val="1"/>
      <w:marLeft w:val="0"/>
      <w:marRight w:val="0"/>
      <w:marTop w:val="0"/>
      <w:marBottom w:val="0"/>
      <w:divBdr>
        <w:top w:val="none" w:sz="0" w:space="0" w:color="auto"/>
        <w:left w:val="none" w:sz="0" w:space="0" w:color="auto"/>
        <w:bottom w:val="none" w:sz="0" w:space="0" w:color="auto"/>
        <w:right w:val="none" w:sz="0" w:space="0" w:color="auto"/>
      </w:divBdr>
    </w:div>
    <w:div w:id="1126388730">
      <w:bodyDiv w:val="1"/>
      <w:marLeft w:val="0"/>
      <w:marRight w:val="0"/>
      <w:marTop w:val="0"/>
      <w:marBottom w:val="0"/>
      <w:divBdr>
        <w:top w:val="none" w:sz="0" w:space="0" w:color="auto"/>
        <w:left w:val="none" w:sz="0" w:space="0" w:color="auto"/>
        <w:bottom w:val="none" w:sz="0" w:space="0" w:color="auto"/>
        <w:right w:val="none" w:sz="0" w:space="0" w:color="auto"/>
      </w:divBdr>
    </w:div>
    <w:div w:id="1259368872">
      <w:bodyDiv w:val="1"/>
      <w:marLeft w:val="0"/>
      <w:marRight w:val="0"/>
      <w:marTop w:val="0"/>
      <w:marBottom w:val="0"/>
      <w:divBdr>
        <w:top w:val="none" w:sz="0" w:space="0" w:color="auto"/>
        <w:left w:val="none" w:sz="0" w:space="0" w:color="auto"/>
        <w:bottom w:val="none" w:sz="0" w:space="0" w:color="auto"/>
        <w:right w:val="none" w:sz="0" w:space="0" w:color="auto"/>
      </w:divBdr>
    </w:div>
    <w:div w:id="1313173846">
      <w:bodyDiv w:val="1"/>
      <w:marLeft w:val="0"/>
      <w:marRight w:val="0"/>
      <w:marTop w:val="0"/>
      <w:marBottom w:val="0"/>
      <w:divBdr>
        <w:top w:val="none" w:sz="0" w:space="0" w:color="auto"/>
        <w:left w:val="none" w:sz="0" w:space="0" w:color="auto"/>
        <w:bottom w:val="none" w:sz="0" w:space="0" w:color="auto"/>
        <w:right w:val="none" w:sz="0" w:space="0" w:color="auto"/>
      </w:divBdr>
    </w:div>
    <w:div w:id="1378581894">
      <w:bodyDiv w:val="1"/>
      <w:marLeft w:val="0"/>
      <w:marRight w:val="0"/>
      <w:marTop w:val="0"/>
      <w:marBottom w:val="0"/>
      <w:divBdr>
        <w:top w:val="none" w:sz="0" w:space="0" w:color="auto"/>
        <w:left w:val="none" w:sz="0" w:space="0" w:color="auto"/>
        <w:bottom w:val="none" w:sz="0" w:space="0" w:color="auto"/>
        <w:right w:val="none" w:sz="0" w:space="0" w:color="auto"/>
      </w:divBdr>
      <w:divsChild>
        <w:div w:id="1488748399">
          <w:marLeft w:val="0"/>
          <w:marRight w:val="0"/>
          <w:marTop w:val="0"/>
          <w:marBottom w:val="0"/>
          <w:divBdr>
            <w:top w:val="none" w:sz="0" w:space="0" w:color="auto"/>
            <w:left w:val="none" w:sz="0" w:space="0" w:color="auto"/>
            <w:bottom w:val="none" w:sz="0" w:space="0" w:color="auto"/>
            <w:right w:val="none" w:sz="0" w:space="0" w:color="auto"/>
          </w:divBdr>
          <w:divsChild>
            <w:div w:id="1715621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874671">
      <w:bodyDiv w:val="1"/>
      <w:marLeft w:val="0"/>
      <w:marRight w:val="0"/>
      <w:marTop w:val="0"/>
      <w:marBottom w:val="0"/>
      <w:divBdr>
        <w:top w:val="none" w:sz="0" w:space="0" w:color="auto"/>
        <w:left w:val="none" w:sz="0" w:space="0" w:color="auto"/>
        <w:bottom w:val="none" w:sz="0" w:space="0" w:color="auto"/>
        <w:right w:val="none" w:sz="0" w:space="0" w:color="auto"/>
      </w:divBdr>
    </w:div>
    <w:div w:id="1444885491">
      <w:bodyDiv w:val="1"/>
      <w:marLeft w:val="0"/>
      <w:marRight w:val="0"/>
      <w:marTop w:val="0"/>
      <w:marBottom w:val="0"/>
      <w:divBdr>
        <w:top w:val="none" w:sz="0" w:space="0" w:color="auto"/>
        <w:left w:val="none" w:sz="0" w:space="0" w:color="auto"/>
        <w:bottom w:val="none" w:sz="0" w:space="0" w:color="auto"/>
        <w:right w:val="none" w:sz="0" w:space="0" w:color="auto"/>
      </w:divBdr>
    </w:div>
    <w:div w:id="1543051741">
      <w:bodyDiv w:val="1"/>
      <w:marLeft w:val="0"/>
      <w:marRight w:val="0"/>
      <w:marTop w:val="0"/>
      <w:marBottom w:val="0"/>
      <w:divBdr>
        <w:top w:val="none" w:sz="0" w:space="0" w:color="auto"/>
        <w:left w:val="none" w:sz="0" w:space="0" w:color="auto"/>
        <w:bottom w:val="none" w:sz="0" w:space="0" w:color="auto"/>
        <w:right w:val="none" w:sz="0" w:space="0" w:color="auto"/>
      </w:divBdr>
    </w:div>
    <w:div w:id="1554921631">
      <w:bodyDiv w:val="1"/>
      <w:marLeft w:val="0"/>
      <w:marRight w:val="0"/>
      <w:marTop w:val="0"/>
      <w:marBottom w:val="0"/>
      <w:divBdr>
        <w:top w:val="none" w:sz="0" w:space="0" w:color="auto"/>
        <w:left w:val="none" w:sz="0" w:space="0" w:color="auto"/>
        <w:bottom w:val="none" w:sz="0" w:space="0" w:color="auto"/>
        <w:right w:val="none" w:sz="0" w:space="0" w:color="auto"/>
      </w:divBdr>
    </w:div>
    <w:div w:id="1603489449">
      <w:bodyDiv w:val="1"/>
      <w:marLeft w:val="0"/>
      <w:marRight w:val="0"/>
      <w:marTop w:val="0"/>
      <w:marBottom w:val="0"/>
      <w:divBdr>
        <w:top w:val="none" w:sz="0" w:space="0" w:color="auto"/>
        <w:left w:val="none" w:sz="0" w:space="0" w:color="auto"/>
        <w:bottom w:val="none" w:sz="0" w:space="0" w:color="auto"/>
        <w:right w:val="none" w:sz="0" w:space="0" w:color="auto"/>
      </w:divBdr>
    </w:div>
    <w:div w:id="1608004348">
      <w:bodyDiv w:val="1"/>
      <w:marLeft w:val="0"/>
      <w:marRight w:val="0"/>
      <w:marTop w:val="0"/>
      <w:marBottom w:val="0"/>
      <w:divBdr>
        <w:top w:val="none" w:sz="0" w:space="0" w:color="auto"/>
        <w:left w:val="none" w:sz="0" w:space="0" w:color="auto"/>
        <w:bottom w:val="none" w:sz="0" w:space="0" w:color="auto"/>
        <w:right w:val="none" w:sz="0" w:space="0" w:color="auto"/>
      </w:divBdr>
      <w:divsChild>
        <w:div w:id="824395637">
          <w:marLeft w:val="0"/>
          <w:marRight w:val="0"/>
          <w:marTop w:val="0"/>
          <w:marBottom w:val="0"/>
          <w:divBdr>
            <w:top w:val="none" w:sz="0" w:space="0" w:color="auto"/>
            <w:left w:val="none" w:sz="0" w:space="0" w:color="auto"/>
            <w:bottom w:val="none" w:sz="0" w:space="0" w:color="auto"/>
            <w:right w:val="none" w:sz="0" w:space="0" w:color="auto"/>
          </w:divBdr>
          <w:divsChild>
            <w:div w:id="1714887963">
              <w:marLeft w:val="0"/>
              <w:marRight w:val="0"/>
              <w:marTop w:val="0"/>
              <w:marBottom w:val="0"/>
              <w:divBdr>
                <w:top w:val="none" w:sz="0" w:space="0" w:color="auto"/>
                <w:left w:val="none" w:sz="0" w:space="0" w:color="auto"/>
                <w:bottom w:val="none" w:sz="0" w:space="0" w:color="auto"/>
                <w:right w:val="none" w:sz="0" w:space="0" w:color="auto"/>
              </w:divBdr>
              <w:divsChild>
                <w:div w:id="332758971">
                  <w:marLeft w:val="0"/>
                  <w:marRight w:val="0"/>
                  <w:marTop w:val="0"/>
                  <w:marBottom w:val="0"/>
                  <w:divBdr>
                    <w:top w:val="none" w:sz="0" w:space="0" w:color="auto"/>
                    <w:left w:val="none" w:sz="0" w:space="0" w:color="auto"/>
                    <w:bottom w:val="none" w:sz="0" w:space="0" w:color="auto"/>
                    <w:right w:val="none" w:sz="0" w:space="0" w:color="auto"/>
                  </w:divBdr>
                  <w:divsChild>
                    <w:div w:id="468862361">
                      <w:marLeft w:val="0"/>
                      <w:marRight w:val="0"/>
                      <w:marTop w:val="0"/>
                      <w:marBottom w:val="0"/>
                      <w:divBdr>
                        <w:top w:val="none" w:sz="0" w:space="0" w:color="auto"/>
                        <w:left w:val="none" w:sz="0" w:space="0" w:color="auto"/>
                        <w:bottom w:val="none" w:sz="0" w:space="0" w:color="auto"/>
                        <w:right w:val="none" w:sz="0" w:space="0" w:color="auto"/>
                      </w:divBdr>
                      <w:divsChild>
                        <w:div w:id="1784422319">
                          <w:marLeft w:val="0"/>
                          <w:marRight w:val="0"/>
                          <w:marTop w:val="0"/>
                          <w:marBottom w:val="0"/>
                          <w:divBdr>
                            <w:top w:val="none" w:sz="0" w:space="0" w:color="auto"/>
                            <w:left w:val="none" w:sz="0" w:space="0" w:color="auto"/>
                            <w:bottom w:val="none" w:sz="0" w:space="0" w:color="auto"/>
                            <w:right w:val="none" w:sz="0" w:space="0" w:color="auto"/>
                          </w:divBdr>
                          <w:divsChild>
                            <w:div w:id="26168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6912611">
      <w:bodyDiv w:val="1"/>
      <w:marLeft w:val="0"/>
      <w:marRight w:val="0"/>
      <w:marTop w:val="0"/>
      <w:marBottom w:val="0"/>
      <w:divBdr>
        <w:top w:val="none" w:sz="0" w:space="0" w:color="auto"/>
        <w:left w:val="none" w:sz="0" w:space="0" w:color="auto"/>
        <w:bottom w:val="none" w:sz="0" w:space="0" w:color="auto"/>
        <w:right w:val="none" w:sz="0" w:space="0" w:color="auto"/>
      </w:divBdr>
    </w:div>
    <w:div w:id="1694333146">
      <w:bodyDiv w:val="1"/>
      <w:marLeft w:val="0"/>
      <w:marRight w:val="0"/>
      <w:marTop w:val="0"/>
      <w:marBottom w:val="0"/>
      <w:divBdr>
        <w:top w:val="none" w:sz="0" w:space="0" w:color="auto"/>
        <w:left w:val="none" w:sz="0" w:space="0" w:color="auto"/>
        <w:bottom w:val="none" w:sz="0" w:space="0" w:color="auto"/>
        <w:right w:val="none" w:sz="0" w:space="0" w:color="auto"/>
      </w:divBdr>
      <w:divsChild>
        <w:div w:id="2071077966">
          <w:marLeft w:val="0"/>
          <w:marRight w:val="0"/>
          <w:marTop w:val="0"/>
          <w:marBottom w:val="0"/>
          <w:divBdr>
            <w:top w:val="none" w:sz="0" w:space="0" w:color="auto"/>
            <w:left w:val="none" w:sz="0" w:space="0" w:color="auto"/>
            <w:bottom w:val="none" w:sz="0" w:space="0" w:color="auto"/>
            <w:right w:val="none" w:sz="0" w:space="0" w:color="auto"/>
          </w:divBdr>
          <w:divsChild>
            <w:div w:id="41498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983099">
      <w:bodyDiv w:val="1"/>
      <w:marLeft w:val="0"/>
      <w:marRight w:val="0"/>
      <w:marTop w:val="0"/>
      <w:marBottom w:val="0"/>
      <w:divBdr>
        <w:top w:val="none" w:sz="0" w:space="0" w:color="auto"/>
        <w:left w:val="none" w:sz="0" w:space="0" w:color="auto"/>
        <w:bottom w:val="none" w:sz="0" w:space="0" w:color="auto"/>
        <w:right w:val="none" w:sz="0" w:space="0" w:color="auto"/>
      </w:divBdr>
    </w:div>
    <w:div w:id="1725518101">
      <w:bodyDiv w:val="1"/>
      <w:marLeft w:val="0"/>
      <w:marRight w:val="0"/>
      <w:marTop w:val="0"/>
      <w:marBottom w:val="0"/>
      <w:divBdr>
        <w:top w:val="none" w:sz="0" w:space="0" w:color="auto"/>
        <w:left w:val="none" w:sz="0" w:space="0" w:color="auto"/>
        <w:bottom w:val="none" w:sz="0" w:space="0" w:color="auto"/>
        <w:right w:val="none" w:sz="0" w:space="0" w:color="auto"/>
      </w:divBdr>
    </w:div>
    <w:div w:id="1774090018">
      <w:bodyDiv w:val="1"/>
      <w:marLeft w:val="0"/>
      <w:marRight w:val="0"/>
      <w:marTop w:val="0"/>
      <w:marBottom w:val="0"/>
      <w:divBdr>
        <w:top w:val="none" w:sz="0" w:space="0" w:color="auto"/>
        <w:left w:val="none" w:sz="0" w:space="0" w:color="auto"/>
        <w:bottom w:val="none" w:sz="0" w:space="0" w:color="auto"/>
        <w:right w:val="none" w:sz="0" w:space="0" w:color="auto"/>
      </w:divBdr>
    </w:div>
    <w:div w:id="1884712072">
      <w:bodyDiv w:val="1"/>
      <w:marLeft w:val="0"/>
      <w:marRight w:val="0"/>
      <w:marTop w:val="0"/>
      <w:marBottom w:val="0"/>
      <w:divBdr>
        <w:top w:val="none" w:sz="0" w:space="0" w:color="auto"/>
        <w:left w:val="none" w:sz="0" w:space="0" w:color="auto"/>
        <w:bottom w:val="none" w:sz="0" w:space="0" w:color="auto"/>
        <w:right w:val="none" w:sz="0" w:space="0" w:color="auto"/>
      </w:divBdr>
    </w:div>
    <w:div w:id="1923105031">
      <w:bodyDiv w:val="1"/>
      <w:marLeft w:val="0"/>
      <w:marRight w:val="0"/>
      <w:marTop w:val="0"/>
      <w:marBottom w:val="0"/>
      <w:divBdr>
        <w:top w:val="none" w:sz="0" w:space="0" w:color="auto"/>
        <w:left w:val="none" w:sz="0" w:space="0" w:color="auto"/>
        <w:bottom w:val="none" w:sz="0" w:space="0" w:color="auto"/>
        <w:right w:val="none" w:sz="0" w:space="0" w:color="auto"/>
      </w:divBdr>
    </w:div>
    <w:div w:id="1941452074">
      <w:bodyDiv w:val="1"/>
      <w:marLeft w:val="0"/>
      <w:marRight w:val="0"/>
      <w:marTop w:val="0"/>
      <w:marBottom w:val="0"/>
      <w:divBdr>
        <w:top w:val="none" w:sz="0" w:space="0" w:color="auto"/>
        <w:left w:val="none" w:sz="0" w:space="0" w:color="auto"/>
        <w:bottom w:val="none" w:sz="0" w:space="0" w:color="auto"/>
        <w:right w:val="none" w:sz="0" w:space="0" w:color="auto"/>
      </w:divBdr>
    </w:div>
    <w:div w:id="1994873776">
      <w:bodyDiv w:val="1"/>
      <w:marLeft w:val="0"/>
      <w:marRight w:val="0"/>
      <w:marTop w:val="0"/>
      <w:marBottom w:val="0"/>
      <w:divBdr>
        <w:top w:val="none" w:sz="0" w:space="0" w:color="auto"/>
        <w:left w:val="none" w:sz="0" w:space="0" w:color="auto"/>
        <w:bottom w:val="none" w:sz="0" w:space="0" w:color="auto"/>
        <w:right w:val="none" w:sz="0" w:space="0" w:color="auto"/>
      </w:divBdr>
    </w:div>
    <w:div w:id="2006008390">
      <w:bodyDiv w:val="1"/>
      <w:marLeft w:val="0"/>
      <w:marRight w:val="0"/>
      <w:marTop w:val="0"/>
      <w:marBottom w:val="0"/>
      <w:divBdr>
        <w:top w:val="none" w:sz="0" w:space="0" w:color="auto"/>
        <w:left w:val="none" w:sz="0" w:space="0" w:color="auto"/>
        <w:bottom w:val="none" w:sz="0" w:space="0" w:color="auto"/>
        <w:right w:val="none" w:sz="0" w:space="0" w:color="auto"/>
      </w:divBdr>
    </w:div>
    <w:div w:id="2014530091">
      <w:bodyDiv w:val="1"/>
      <w:marLeft w:val="0"/>
      <w:marRight w:val="0"/>
      <w:marTop w:val="0"/>
      <w:marBottom w:val="0"/>
      <w:divBdr>
        <w:top w:val="none" w:sz="0" w:space="0" w:color="auto"/>
        <w:left w:val="none" w:sz="0" w:space="0" w:color="auto"/>
        <w:bottom w:val="none" w:sz="0" w:space="0" w:color="auto"/>
        <w:right w:val="none" w:sz="0" w:space="0" w:color="auto"/>
      </w:divBdr>
    </w:div>
    <w:div w:id="2028291048">
      <w:bodyDiv w:val="1"/>
      <w:marLeft w:val="0"/>
      <w:marRight w:val="0"/>
      <w:marTop w:val="0"/>
      <w:marBottom w:val="0"/>
      <w:divBdr>
        <w:top w:val="none" w:sz="0" w:space="0" w:color="auto"/>
        <w:left w:val="none" w:sz="0" w:space="0" w:color="auto"/>
        <w:bottom w:val="none" w:sz="0" w:space="0" w:color="auto"/>
        <w:right w:val="none" w:sz="0" w:space="0" w:color="auto"/>
      </w:divBdr>
    </w:div>
    <w:div w:id="2073578303">
      <w:bodyDiv w:val="1"/>
      <w:marLeft w:val="0"/>
      <w:marRight w:val="0"/>
      <w:marTop w:val="0"/>
      <w:marBottom w:val="0"/>
      <w:divBdr>
        <w:top w:val="none" w:sz="0" w:space="0" w:color="auto"/>
        <w:left w:val="none" w:sz="0" w:space="0" w:color="auto"/>
        <w:bottom w:val="none" w:sz="0" w:space="0" w:color="auto"/>
        <w:right w:val="none" w:sz="0" w:space="0" w:color="auto"/>
      </w:divBdr>
    </w:div>
    <w:div w:id="2116248587">
      <w:bodyDiv w:val="1"/>
      <w:marLeft w:val="0"/>
      <w:marRight w:val="0"/>
      <w:marTop w:val="0"/>
      <w:marBottom w:val="0"/>
      <w:divBdr>
        <w:top w:val="none" w:sz="0" w:space="0" w:color="auto"/>
        <w:left w:val="none" w:sz="0" w:space="0" w:color="auto"/>
        <w:bottom w:val="none" w:sz="0" w:space="0" w:color="auto"/>
        <w:right w:val="none" w:sz="0" w:space="0" w:color="auto"/>
      </w:divBdr>
    </w:div>
    <w:div w:id="212180157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doi.org/10.1002/aqc.2712" TargetMode="External"/><Relationship Id="rId26" Type="http://schemas.openxmlformats.org/officeDocument/2006/relationships/hyperlink" Target="https://doi.org/10.1111/j.1467-2979.2005.00190.x" TargetMode="External"/><Relationship Id="rId39" Type="http://schemas.openxmlformats.org/officeDocument/2006/relationships/header" Target="header3.xml"/><Relationship Id="rId21" Type="http://schemas.openxmlformats.org/officeDocument/2006/relationships/hyperlink" Target="http://www.iucnredlist.org" TargetMode="External"/><Relationship Id="rId34" Type="http://schemas.openxmlformats.org/officeDocument/2006/relationships/hyperlink" Target="https://doi.org/10.1016/j.scitotenv.2019.136242" TargetMode="External"/><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cms.int/fr/node/14495" TargetMode="External"/><Relationship Id="rId20" Type="http://schemas.openxmlformats.org/officeDocument/2006/relationships/hyperlink" Target="https://doi.org/10.1017/S0030605322001260" TargetMode="External"/><Relationship Id="rId29" Type="http://schemas.openxmlformats.org/officeDocument/2006/relationships/hyperlink" Target="https://doi.org/10.3390/d15040568"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www.fishsec.org/app/uploads/2023/11/231101-ICES-Advice-on-fishing-opportunities-for-eel-2024.pdf" TargetMode="External"/><Relationship Id="rId32" Type="http://schemas.openxmlformats.org/officeDocument/2006/relationships/hyperlink" Target="https://www.cms.int/sites/default/files/document/cms_scc-sc6_crp.9.7.2_rev1_freshwater-fish_e.pdf" TargetMode="External"/><Relationship Id="rId37" Type="http://schemas.openxmlformats.org/officeDocument/2006/relationships/footer" Target="footer1.xml"/><Relationship Id="rId40" Type="http://schemas.openxmlformats.org/officeDocument/2006/relationships/hyperlink" Target="https://www.cms.int/document/freshwater-fish" TargetMode="External"/><Relationship Id="rId5" Type="http://schemas.openxmlformats.org/officeDocument/2006/relationships/numbering" Target="numbering.xml"/><Relationship Id="rId15" Type="http://schemas.openxmlformats.org/officeDocument/2006/relationships/hyperlink" Target="https://www.cms.int/document/review-freshwater-fish" TargetMode="External"/><Relationship Id="rId23" Type="http://schemas.openxmlformats.org/officeDocument/2006/relationships/hyperlink" Target="https://doi.org/10.1080/00028487.2014.925971" TargetMode="External"/><Relationship Id="rId28" Type="http://schemas.openxmlformats.org/officeDocument/2006/relationships/hyperlink" Target="https://doi.org/10.1038/s41586-024-08375-z" TargetMode="External"/><Relationship Id="rId36"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hyperlink" Target="https://doi.org/10.1017/S0030605321001150" TargetMode="External"/><Relationship Id="rId31" Type="http://schemas.openxmlformats.org/officeDocument/2006/relationships/hyperlink" Target="https://data.consilium.europa.eu/doc/document/ST-7780-2024-REV-1/en/pdf"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yperlink" Target="http://www.fishbase.org" TargetMode="External"/><Relationship Id="rId27" Type="http://schemas.openxmlformats.org/officeDocument/2006/relationships/hyperlink" Target="https://doi.org/10.1111/brv.12480" TargetMode="External"/><Relationship Id="rId30" Type="http://schemas.openxmlformats.org/officeDocument/2006/relationships/hyperlink" Target="https://doi.org/10.1002/fsh.10215" TargetMode="External"/><Relationship Id="rId35"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www.iucnredlist.org" TargetMode="External"/><Relationship Id="rId25" Type="http://schemas.openxmlformats.org/officeDocument/2006/relationships/hyperlink" Target="https://doi.org/10.1016/j.cub.2023.09.067" TargetMode="External"/><Relationship Id="rId33" Type="http://schemas.openxmlformats.org/officeDocument/2006/relationships/hyperlink" Target="https://doi.org/10.3390/d15030325" TargetMode="External"/><Relationship Id="rId38"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mes New Roman-Arial">
      <a:maj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929416AA0540C42B015682282C961AD" ma:contentTypeVersion="26" ma:contentTypeDescription="Create a new document." ma:contentTypeScope="" ma:versionID="6f186221d9cf7c9a7108dbe54f4958c9">
  <xsd:schema xmlns:xsd="http://www.w3.org/2001/XMLSchema" xmlns:xs="http://www.w3.org/2001/XMLSchema" xmlns:p="http://schemas.microsoft.com/office/2006/metadata/properties" xmlns:ns2="a7b50396-0b06-45c1-b28e-46f86d566a10" xmlns:ns3="985ec44e-1bab-4c0b-9df0-6ba128686fc9" xmlns:ns4="c15478a5-0be8-4f5d-8383-b307d5ba8bf6" targetNamespace="http://schemas.microsoft.com/office/2006/metadata/properties" ma:root="true" ma:fieldsID="6c6d4f79006ecf891092d3ae07d7f021" ns2:_="" ns3:_="" ns4:_="">
    <xsd:import namespace="a7b50396-0b06-45c1-b28e-46f86d566a10"/>
    <xsd:import namespace="985ec44e-1bab-4c0b-9df0-6ba128686fc9"/>
    <xsd:import namespace="c15478a5-0be8-4f5d-8383-b307d5ba8bf6"/>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4:SharedWithUsers" minOccurs="0"/>
                <xsd:element ref="ns4:SharedWithDetails" minOccurs="0"/>
                <xsd:element ref="ns4:TaxKeywordTaxHTField" minOccurs="0"/>
                <xsd:element ref="ns2:_Flow_SignoffStatus" minOccurs="0"/>
                <xsd:element ref="ns2:Reviewer" minOccurs="0"/>
                <xsd:element ref="ns2:MariaJoseOrtiz" minOccurs="0"/>
                <xsd:element ref="ns2:MediaServiceObjectDetectorVersions" minOccurs="0"/>
                <xsd:element ref="ns2:Notes" minOccurs="0"/>
                <xsd:element ref="ns2:Sent" minOccurs="0"/>
                <xsd:element ref="ns2:MediaServiceSearchProperties" minOccurs="0"/>
                <xsd:element ref="ns2:MediaServiceBillingMetadata" minOccurs="0"/>
                <xsd:element ref="ns2:Pre_x002d_sele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b50396-0b06-45c1-b28e-46f86d566a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dexed="true"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_Flow_SignoffStatus" ma:index="23" nillable="true" ma:displayName="Sign-off status" ma:internalName="Sign_x002d_off_x0020_status">
      <xsd:simpleType>
        <xsd:restriction base="dms:Text"/>
      </xsd:simpleType>
    </xsd:element>
    <xsd:element name="Reviewer" ma:index="24" nillable="true" ma:displayName="Reviewer" ma:format="Dropdown" ma:internalName="Reviewer">
      <xsd:simpleType>
        <xsd:restriction base="dms:Text">
          <xsd:maxLength value="255"/>
        </xsd:restriction>
      </xsd:simpleType>
    </xsd:element>
    <xsd:element name="MariaJoseOrtiz" ma:index="25" nillable="true" ma:displayName="Maria Jose Ortiz" ma:description="REVISED BY AF" ma:format="Dropdown" ma:internalName="MariaJoseOrtiz">
      <xsd:simpleType>
        <xsd:restriction base="dms:Text">
          <xsd:maxLength value="255"/>
        </xsd:restriction>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Notes" ma:index="27" nillable="true" ma:displayName="Notes" ma:format="Dropdown" ma:internalName="Notes">
      <xsd:simpleType>
        <xsd:restriction base="dms:Note">
          <xsd:maxLength value="255"/>
        </xsd:restriction>
      </xsd:simpleType>
    </xsd:element>
    <xsd:element name="Sent" ma:index="28" nillable="true" ma:displayName="Sent" ma:format="Dropdown" ma:internalName="Sent">
      <xsd:simpleType>
        <xsd:restriction base="dms:Choice">
          <xsd:enumeration value="Sent"/>
          <xsd:enumeration value="Pending"/>
        </xsd:restrictio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element name="Pre_x002d_selection" ma:index="31" nillable="true" ma:displayName="Pre-selection" ma:default="1" ma:format="Dropdown" ma:internalName="Pre_x002d_selection">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9db64542-7ae3-4878-aafe-ea4cd8782300}" ma:internalName="TaxCatchAll" ma:showField="CatchAllData" ma:web="c15478a5-0be8-4f5d-8383-b307d5ba8bf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15478a5-0be8-4f5d-8383-b307d5ba8bf6"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KeywordTaxHTField" ma:index="22" nillable="true" ma:taxonomy="true" ma:internalName="TaxKeywordTaxHTField" ma:taxonomyFieldName="TaxKeyword" ma:displayName="Enterprise Keywords" ma:fieldId="{23f27201-bee3-471e-b2e7-b64fd8b7ca38}" ma:taxonomyMulti="true" ma:sspId="78175662-8596-484a-92c7-351d01561e22"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Flow_SignoffStatus xmlns="a7b50396-0b06-45c1-b28e-46f86d566a10" xsi:nil="true"/>
    <MariaJoseOrtiz xmlns="a7b50396-0b06-45c1-b28e-46f86d566a10" xsi:nil="true"/>
    <Notes xmlns="a7b50396-0b06-45c1-b28e-46f86d566a10" xsi:nil="true"/>
    <Sent xmlns="a7b50396-0b06-45c1-b28e-46f86d566a10" xsi:nil="true"/>
    <TaxCatchAll xmlns="985ec44e-1bab-4c0b-9df0-6ba128686fc9" xsi:nil="true"/>
    <TaxKeywordTaxHTField xmlns="c15478a5-0be8-4f5d-8383-b307d5ba8bf6">
      <Terms xmlns="http://schemas.microsoft.com/office/infopath/2007/PartnerControls"/>
    </TaxKeywordTaxHTField>
    <lcf76f155ced4ddcb4097134ff3c332f xmlns="a7b50396-0b06-45c1-b28e-46f86d566a10">
      <Terms xmlns="http://schemas.microsoft.com/office/infopath/2007/PartnerControls"/>
    </lcf76f155ced4ddcb4097134ff3c332f>
    <Reviewer xmlns="a7b50396-0b06-45c1-b28e-46f86d566a10" xsi:nil="true"/>
    <Pre_x002d_selection xmlns="a7b50396-0b06-45c1-b28e-46f86d566a10">true</Pre_x002d_selection>
  </documentManagement>
</p:properties>
</file>

<file path=customXml/itemProps1.xml><?xml version="1.0" encoding="utf-8"?>
<ds:datastoreItem xmlns:ds="http://schemas.openxmlformats.org/officeDocument/2006/customXml" ds:itemID="{BDC16F28-575D-41F7-B46D-9FE550BC0B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b50396-0b06-45c1-b28e-46f86d566a10"/>
    <ds:schemaRef ds:uri="985ec44e-1bab-4c0b-9df0-6ba128686fc9"/>
    <ds:schemaRef ds:uri="c15478a5-0be8-4f5d-8383-b307d5ba8b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D072DB0-E9A6-41D6-B679-89A393C2AD8E}">
  <ds:schemaRefs>
    <ds:schemaRef ds:uri="http://schemas.openxmlformats.org/officeDocument/2006/bibliography"/>
  </ds:schemaRefs>
</ds:datastoreItem>
</file>

<file path=customXml/itemProps3.xml><?xml version="1.0" encoding="utf-8"?>
<ds:datastoreItem xmlns:ds="http://schemas.openxmlformats.org/officeDocument/2006/customXml" ds:itemID="{F5EDC15C-6BBD-4667-8385-C7B69D47BAC5}">
  <ds:schemaRefs>
    <ds:schemaRef ds:uri="http://schemas.microsoft.com/sharepoint/v3/contenttype/forms"/>
  </ds:schemaRefs>
</ds:datastoreItem>
</file>

<file path=customXml/itemProps4.xml><?xml version="1.0" encoding="utf-8"?>
<ds:datastoreItem xmlns:ds="http://schemas.openxmlformats.org/officeDocument/2006/customXml" ds:itemID="{D6825A1F-3F60-4E79-B6D6-B80F2A63C51E}">
  <ds:schemaRefs>
    <ds:schemaRef ds:uri="http://schemas.microsoft.com/office/2006/metadata/properties"/>
    <ds:schemaRef ds:uri="http://schemas.microsoft.com/office/infopath/2007/PartnerControls"/>
    <ds:schemaRef ds:uri="a7b50396-0b06-45c1-b28e-46f86d566a10"/>
    <ds:schemaRef ds:uri="985ec44e-1bab-4c0b-9df0-6ba128686fc9"/>
    <ds:schemaRef ds:uri="c15478a5-0be8-4f5d-8383-b307d5ba8bf6"/>
  </ds:schemaRefs>
</ds:datastoreItem>
</file>

<file path=docMetadata/LabelInfo.xml><?xml version="1.0" encoding="utf-8"?>
<clbl:labelList xmlns:clbl="http://schemas.microsoft.com/office/2020/mipLabelMetadata">
  <clbl:label id="{8b77875e-5908-45a0-9cb4-dec9ae074618}" enabled="1" method="Privileged" siteId="{0f9e35db-544f-4f60-bdcc-5ea416e6dc70}" removed="0"/>
</clbl:labelList>
</file>

<file path=docProps/app.xml><?xml version="1.0" encoding="utf-8"?>
<Properties xmlns="http://schemas.openxmlformats.org/officeDocument/2006/extended-properties" xmlns:vt="http://schemas.openxmlformats.org/officeDocument/2006/docPropsVTypes">
  <Template>Normal</Template>
  <TotalTime>56</TotalTime>
  <Pages>67</Pages>
  <Words>29239</Words>
  <Characters>166663</Characters>
  <Application>Microsoft Office Word</Application>
  <DocSecurity>0</DocSecurity>
  <Lines>1388</Lines>
  <Paragraphs>391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195511</CharactersWithSpaces>
  <SharedDoc>false</SharedDoc>
  <HyperlinkBase/>
  <HLinks>
    <vt:vector size="474" baseType="variant">
      <vt:variant>
        <vt:i4>2424956</vt:i4>
      </vt:variant>
      <vt:variant>
        <vt:i4>408</vt:i4>
      </vt:variant>
      <vt:variant>
        <vt:i4>0</vt:i4>
      </vt:variant>
      <vt:variant>
        <vt:i4>5</vt:i4>
      </vt:variant>
      <vt:variant>
        <vt:lpwstr>https://doi.org/10.1016/j.scitotenv.2019.136242</vt:lpwstr>
      </vt:variant>
      <vt:variant>
        <vt:lpwstr/>
      </vt:variant>
      <vt:variant>
        <vt:i4>1769480</vt:i4>
      </vt:variant>
      <vt:variant>
        <vt:i4>405</vt:i4>
      </vt:variant>
      <vt:variant>
        <vt:i4>0</vt:i4>
      </vt:variant>
      <vt:variant>
        <vt:i4>5</vt:i4>
      </vt:variant>
      <vt:variant>
        <vt:lpwstr>https://doi.org/10.3390/d15030325</vt:lpwstr>
      </vt:variant>
      <vt:variant>
        <vt:lpwstr/>
      </vt:variant>
      <vt:variant>
        <vt:i4>4653097</vt:i4>
      </vt:variant>
      <vt:variant>
        <vt:i4>402</vt:i4>
      </vt:variant>
      <vt:variant>
        <vt:i4>0</vt:i4>
      </vt:variant>
      <vt:variant>
        <vt:i4>5</vt:i4>
      </vt:variant>
      <vt:variant>
        <vt:lpwstr>https://www.cms.int/sites/default/files/document/cms_scc-sc6_crp.9.7.2_rev1_freshwater-fish_e.pdf</vt:lpwstr>
      </vt:variant>
      <vt:variant>
        <vt:lpwstr/>
      </vt:variant>
      <vt:variant>
        <vt:i4>2621474</vt:i4>
      </vt:variant>
      <vt:variant>
        <vt:i4>399</vt:i4>
      </vt:variant>
      <vt:variant>
        <vt:i4>0</vt:i4>
      </vt:variant>
      <vt:variant>
        <vt:i4>5</vt:i4>
      </vt:variant>
      <vt:variant>
        <vt:lpwstr>https://data.consilium.europa.eu/doc/document/ST-7780-2024-REV-1/en/pdf</vt:lpwstr>
      </vt:variant>
      <vt:variant>
        <vt:lpwstr/>
      </vt:variant>
      <vt:variant>
        <vt:i4>5177429</vt:i4>
      </vt:variant>
      <vt:variant>
        <vt:i4>396</vt:i4>
      </vt:variant>
      <vt:variant>
        <vt:i4>0</vt:i4>
      </vt:variant>
      <vt:variant>
        <vt:i4>5</vt:i4>
      </vt:variant>
      <vt:variant>
        <vt:lpwstr>https://doi.org/10.1002/fsh.10215</vt:lpwstr>
      </vt:variant>
      <vt:variant>
        <vt:lpwstr/>
      </vt:variant>
      <vt:variant>
        <vt:i4>2031625</vt:i4>
      </vt:variant>
      <vt:variant>
        <vt:i4>393</vt:i4>
      </vt:variant>
      <vt:variant>
        <vt:i4>0</vt:i4>
      </vt:variant>
      <vt:variant>
        <vt:i4>5</vt:i4>
      </vt:variant>
      <vt:variant>
        <vt:lpwstr>https://doi.org/10.3390/d15040568</vt:lpwstr>
      </vt:variant>
      <vt:variant>
        <vt:lpwstr/>
      </vt:variant>
      <vt:variant>
        <vt:i4>7274552</vt:i4>
      </vt:variant>
      <vt:variant>
        <vt:i4>390</vt:i4>
      </vt:variant>
      <vt:variant>
        <vt:i4>0</vt:i4>
      </vt:variant>
      <vt:variant>
        <vt:i4>5</vt:i4>
      </vt:variant>
      <vt:variant>
        <vt:lpwstr>https://doi.org/10.1038/s41586-024-08375-z</vt:lpwstr>
      </vt:variant>
      <vt:variant>
        <vt:lpwstr/>
      </vt:variant>
      <vt:variant>
        <vt:i4>4456523</vt:i4>
      </vt:variant>
      <vt:variant>
        <vt:i4>387</vt:i4>
      </vt:variant>
      <vt:variant>
        <vt:i4>0</vt:i4>
      </vt:variant>
      <vt:variant>
        <vt:i4>5</vt:i4>
      </vt:variant>
      <vt:variant>
        <vt:lpwstr>https://doi.org/10.1111/brv.12480</vt:lpwstr>
      </vt:variant>
      <vt:variant>
        <vt:lpwstr/>
      </vt:variant>
      <vt:variant>
        <vt:i4>5767185</vt:i4>
      </vt:variant>
      <vt:variant>
        <vt:i4>384</vt:i4>
      </vt:variant>
      <vt:variant>
        <vt:i4>0</vt:i4>
      </vt:variant>
      <vt:variant>
        <vt:i4>5</vt:i4>
      </vt:variant>
      <vt:variant>
        <vt:lpwstr>https://doi.org/10.1111/j.1467-2979.2005.00190.x</vt:lpwstr>
      </vt:variant>
      <vt:variant>
        <vt:lpwstr/>
      </vt:variant>
      <vt:variant>
        <vt:i4>4980752</vt:i4>
      </vt:variant>
      <vt:variant>
        <vt:i4>381</vt:i4>
      </vt:variant>
      <vt:variant>
        <vt:i4>0</vt:i4>
      </vt:variant>
      <vt:variant>
        <vt:i4>5</vt:i4>
      </vt:variant>
      <vt:variant>
        <vt:lpwstr>https://doi.org/10.1016/j.cub.2023.09.067</vt:lpwstr>
      </vt:variant>
      <vt:variant>
        <vt:lpwstr/>
      </vt:variant>
      <vt:variant>
        <vt:i4>1179735</vt:i4>
      </vt:variant>
      <vt:variant>
        <vt:i4>378</vt:i4>
      </vt:variant>
      <vt:variant>
        <vt:i4>0</vt:i4>
      </vt:variant>
      <vt:variant>
        <vt:i4>5</vt:i4>
      </vt:variant>
      <vt:variant>
        <vt:lpwstr>https://www.fishsec.org/app/uploads/2023/11/231101-ICES-Advice-on-fishing-opportunities-for-eel-2024.pdf</vt:lpwstr>
      </vt:variant>
      <vt:variant>
        <vt:lpwstr/>
      </vt:variant>
      <vt:variant>
        <vt:i4>852043</vt:i4>
      </vt:variant>
      <vt:variant>
        <vt:i4>375</vt:i4>
      </vt:variant>
      <vt:variant>
        <vt:i4>0</vt:i4>
      </vt:variant>
      <vt:variant>
        <vt:i4>5</vt:i4>
      </vt:variant>
      <vt:variant>
        <vt:lpwstr>https://doi.org/10.1080/00028487.2014.925971</vt:lpwstr>
      </vt:variant>
      <vt:variant>
        <vt:lpwstr/>
      </vt:variant>
      <vt:variant>
        <vt:i4>6029405</vt:i4>
      </vt:variant>
      <vt:variant>
        <vt:i4>372</vt:i4>
      </vt:variant>
      <vt:variant>
        <vt:i4>0</vt:i4>
      </vt:variant>
      <vt:variant>
        <vt:i4>5</vt:i4>
      </vt:variant>
      <vt:variant>
        <vt:lpwstr>http://www.fishbase.org/</vt:lpwstr>
      </vt:variant>
      <vt:variant>
        <vt:lpwstr/>
      </vt:variant>
      <vt:variant>
        <vt:i4>2228333</vt:i4>
      </vt:variant>
      <vt:variant>
        <vt:i4>369</vt:i4>
      </vt:variant>
      <vt:variant>
        <vt:i4>0</vt:i4>
      </vt:variant>
      <vt:variant>
        <vt:i4>5</vt:i4>
      </vt:variant>
      <vt:variant>
        <vt:lpwstr>http://www.iucnredlist.org/</vt:lpwstr>
      </vt:variant>
      <vt:variant>
        <vt:lpwstr/>
      </vt:variant>
      <vt:variant>
        <vt:i4>1507357</vt:i4>
      </vt:variant>
      <vt:variant>
        <vt:i4>366</vt:i4>
      </vt:variant>
      <vt:variant>
        <vt:i4>0</vt:i4>
      </vt:variant>
      <vt:variant>
        <vt:i4>5</vt:i4>
      </vt:variant>
      <vt:variant>
        <vt:lpwstr>https://doi.org/10.1017/S0030605322001260</vt:lpwstr>
      </vt:variant>
      <vt:variant>
        <vt:lpwstr/>
      </vt:variant>
      <vt:variant>
        <vt:i4>1310749</vt:i4>
      </vt:variant>
      <vt:variant>
        <vt:i4>363</vt:i4>
      </vt:variant>
      <vt:variant>
        <vt:i4>0</vt:i4>
      </vt:variant>
      <vt:variant>
        <vt:i4>5</vt:i4>
      </vt:variant>
      <vt:variant>
        <vt:lpwstr>https://doi.org/10.1017/S0030605321001150</vt:lpwstr>
      </vt:variant>
      <vt:variant>
        <vt:lpwstr/>
      </vt:variant>
      <vt:variant>
        <vt:i4>4784217</vt:i4>
      </vt:variant>
      <vt:variant>
        <vt:i4>360</vt:i4>
      </vt:variant>
      <vt:variant>
        <vt:i4>0</vt:i4>
      </vt:variant>
      <vt:variant>
        <vt:i4>5</vt:i4>
      </vt:variant>
      <vt:variant>
        <vt:lpwstr>https://doi.org/10.1002/aqc.2712</vt:lpwstr>
      </vt:variant>
      <vt:variant>
        <vt:lpwstr/>
      </vt:variant>
      <vt:variant>
        <vt:i4>2228333</vt:i4>
      </vt:variant>
      <vt:variant>
        <vt:i4>357</vt:i4>
      </vt:variant>
      <vt:variant>
        <vt:i4>0</vt:i4>
      </vt:variant>
      <vt:variant>
        <vt:i4>5</vt:i4>
      </vt:variant>
      <vt:variant>
        <vt:lpwstr>http://www.iucnredlist.org/</vt:lpwstr>
      </vt:variant>
      <vt:variant>
        <vt:lpwstr/>
      </vt:variant>
      <vt:variant>
        <vt:i4>6815798</vt:i4>
      </vt:variant>
      <vt:variant>
        <vt:i4>354</vt:i4>
      </vt:variant>
      <vt:variant>
        <vt:i4>0</vt:i4>
      </vt:variant>
      <vt:variant>
        <vt:i4>5</vt:i4>
      </vt:variant>
      <vt:variant>
        <vt:lpwstr>https://www.cms.int/document/review-freshwater-fish</vt:lpwstr>
      </vt:variant>
      <vt:variant>
        <vt:lpwstr/>
      </vt:variant>
      <vt:variant>
        <vt:i4>6815798</vt:i4>
      </vt:variant>
      <vt:variant>
        <vt:i4>351</vt:i4>
      </vt:variant>
      <vt:variant>
        <vt:i4>0</vt:i4>
      </vt:variant>
      <vt:variant>
        <vt:i4>5</vt:i4>
      </vt:variant>
      <vt:variant>
        <vt:lpwstr>https://www.cms.int/document/review-freshwater-fish</vt:lpwstr>
      </vt:variant>
      <vt:variant>
        <vt:lpwstr/>
      </vt:variant>
      <vt:variant>
        <vt:i4>1048634</vt:i4>
      </vt:variant>
      <vt:variant>
        <vt:i4>344</vt:i4>
      </vt:variant>
      <vt:variant>
        <vt:i4>0</vt:i4>
      </vt:variant>
      <vt:variant>
        <vt:i4>5</vt:i4>
      </vt:variant>
      <vt:variant>
        <vt:lpwstr/>
      </vt:variant>
      <vt:variant>
        <vt:lpwstr>_Toc209782923</vt:lpwstr>
      </vt:variant>
      <vt:variant>
        <vt:i4>1048634</vt:i4>
      </vt:variant>
      <vt:variant>
        <vt:i4>338</vt:i4>
      </vt:variant>
      <vt:variant>
        <vt:i4>0</vt:i4>
      </vt:variant>
      <vt:variant>
        <vt:i4>5</vt:i4>
      </vt:variant>
      <vt:variant>
        <vt:lpwstr/>
      </vt:variant>
      <vt:variant>
        <vt:lpwstr>_Toc209782922</vt:lpwstr>
      </vt:variant>
      <vt:variant>
        <vt:i4>1048634</vt:i4>
      </vt:variant>
      <vt:variant>
        <vt:i4>332</vt:i4>
      </vt:variant>
      <vt:variant>
        <vt:i4>0</vt:i4>
      </vt:variant>
      <vt:variant>
        <vt:i4>5</vt:i4>
      </vt:variant>
      <vt:variant>
        <vt:lpwstr/>
      </vt:variant>
      <vt:variant>
        <vt:lpwstr>_Toc209782921</vt:lpwstr>
      </vt:variant>
      <vt:variant>
        <vt:i4>1048634</vt:i4>
      </vt:variant>
      <vt:variant>
        <vt:i4>326</vt:i4>
      </vt:variant>
      <vt:variant>
        <vt:i4>0</vt:i4>
      </vt:variant>
      <vt:variant>
        <vt:i4>5</vt:i4>
      </vt:variant>
      <vt:variant>
        <vt:lpwstr/>
      </vt:variant>
      <vt:variant>
        <vt:lpwstr>_Toc209782920</vt:lpwstr>
      </vt:variant>
      <vt:variant>
        <vt:i4>1245242</vt:i4>
      </vt:variant>
      <vt:variant>
        <vt:i4>320</vt:i4>
      </vt:variant>
      <vt:variant>
        <vt:i4>0</vt:i4>
      </vt:variant>
      <vt:variant>
        <vt:i4>5</vt:i4>
      </vt:variant>
      <vt:variant>
        <vt:lpwstr/>
      </vt:variant>
      <vt:variant>
        <vt:lpwstr>_Toc209782919</vt:lpwstr>
      </vt:variant>
      <vt:variant>
        <vt:i4>1245242</vt:i4>
      </vt:variant>
      <vt:variant>
        <vt:i4>314</vt:i4>
      </vt:variant>
      <vt:variant>
        <vt:i4>0</vt:i4>
      </vt:variant>
      <vt:variant>
        <vt:i4>5</vt:i4>
      </vt:variant>
      <vt:variant>
        <vt:lpwstr/>
      </vt:variant>
      <vt:variant>
        <vt:lpwstr>_Toc209782918</vt:lpwstr>
      </vt:variant>
      <vt:variant>
        <vt:i4>1245242</vt:i4>
      </vt:variant>
      <vt:variant>
        <vt:i4>308</vt:i4>
      </vt:variant>
      <vt:variant>
        <vt:i4>0</vt:i4>
      </vt:variant>
      <vt:variant>
        <vt:i4>5</vt:i4>
      </vt:variant>
      <vt:variant>
        <vt:lpwstr/>
      </vt:variant>
      <vt:variant>
        <vt:lpwstr>_Toc209782917</vt:lpwstr>
      </vt:variant>
      <vt:variant>
        <vt:i4>1245242</vt:i4>
      </vt:variant>
      <vt:variant>
        <vt:i4>302</vt:i4>
      </vt:variant>
      <vt:variant>
        <vt:i4>0</vt:i4>
      </vt:variant>
      <vt:variant>
        <vt:i4>5</vt:i4>
      </vt:variant>
      <vt:variant>
        <vt:lpwstr/>
      </vt:variant>
      <vt:variant>
        <vt:lpwstr>_Toc209782916</vt:lpwstr>
      </vt:variant>
      <vt:variant>
        <vt:i4>1245242</vt:i4>
      </vt:variant>
      <vt:variant>
        <vt:i4>296</vt:i4>
      </vt:variant>
      <vt:variant>
        <vt:i4>0</vt:i4>
      </vt:variant>
      <vt:variant>
        <vt:i4>5</vt:i4>
      </vt:variant>
      <vt:variant>
        <vt:lpwstr/>
      </vt:variant>
      <vt:variant>
        <vt:lpwstr>_Toc209782915</vt:lpwstr>
      </vt:variant>
      <vt:variant>
        <vt:i4>1245242</vt:i4>
      </vt:variant>
      <vt:variant>
        <vt:i4>290</vt:i4>
      </vt:variant>
      <vt:variant>
        <vt:i4>0</vt:i4>
      </vt:variant>
      <vt:variant>
        <vt:i4>5</vt:i4>
      </vt:variant>
      <vt:variant>
        <vt:lpwstr/>
      </vt:variant>
      <vt:variant>
        <vt:lpwstr>_Toc209782914</vt:lpwstr>
      </vt:variant>
      <vt:variant>
        <vt:i4>1245242</vt:i4>
      </vt:variant>
      <vt:variant>
        <vt:i4>284</vt:i4>
      </vt:variant>
      <vt:variant>
        <vt:i4>0</vt:i4>
      </vt:variant>
      <vt:variant>
        <vt:i4>5</vt:i4>
      </vt:variant>
      <vt:variant>
        <vt:lpwstr/>
      </vt:variant>
      <vt:variant>
        <vt:lpwstr>_Toc209782913</vt:lpwstr>
      </vt:variant>
      <vt:variant>
        <vt:i4>1245242</vt:i4>
      </vt:variant>
      <vt:variant>
        <vt:i4>278</vt:i4>
      </vt:variant>
      <vt:variant>
        <vt:i4>0</vt:i4>
      </vt:variant>
      <vt:variant>
        <vt:i4>5</vt:i4>
      </vt:variant>
      <vt:variant>
        <vt:lpwstr/>
      </vt:variant>
      <vt:variant>
        <vt:lpwstr>_Toc209782912</vt:lpwstr>
      </vt:variant>
      <vt:variant>
        <vt:i4>1245242</vt:i4>
      </vt:variant>
      <vt:variant>
        <vt:i4>272</vt:i4>
      </vt:variant>
      <vt:variant>
        <vt:i4>0</vt:i4>
      </vt:variant>
      <vt:variant>
        <vt:i4>5</vt:i4>
      </vt:variant>
      <vt:variant>
        <vt:lpwstr/>
      </vt:variant>
      <vt:variant>
        <vt:lpwstr>_Toc209782911</vt:lpwstr>
      </vt:variant>
      <vt:variant>
        <vt:i4>1245242</vt:i4>
      </vt:variant>
      <vt:variant>
        <vt:i4>266</vt:i4>
      </vt:variant>
      <vt:variant>
        <vt:i4>0</vt:i4>
      </vt:variant>
      <vt:variant>
        <vt:i4>5</vt:i4>
      </vt:variant>
      <vt:variant>
        <vt:lpwstr/>
      </vt:variant>
      <vt:variant>
        <vt:lpwstr>_Toc209782910</vt:lpwstr>
      </vt:variant>
      <vt:variant>
        <vt:i4>1179706</vt:i4>
      </vt:variant>
      <vt:variant>
        <vt:i4>260</vt:i4>
      </vt:variant>
      <vt:variant>
        <vt:i4>0</vt:i4>
      </vt:variant>
      <vt:variant>
        <vt:i4>5</vt:i4>
      </vt:variant>
      <vt:variant>
        <vt:lpwstr/>
      </vt:variant>
      <vt:variant>
        <vt:lpwstr>_Toc209782909</vt:lpwstr>
      </vt:variant>
      <vt:variant>
        <vt:i4>1179706</vt:i4>
      </vt:variant>
      <vt:variant>
        <vt:i4>254</vt:i4>
      </vt:variant>
      <vt:variant>
        <vt:i4>0</vt:i4>
      </vt:variant>
      <vt:variant>
        <vt:i4>5</vt:i4>
      </vt:variant>
      <vt:variant>
        <vt:lpwstr/>
      </vt:variant>
      <vt:variant>
        <vt:lpwstr>_Toc209782908</vt:lpwstr>
      </vt:variant>
      <vt:variant>
        <vt:i4>1179706</vt:i4>
      </vt:variant>
      <vt:variant>
        <vt:i4>248</vt:i4>
      </vt:variant>
      <vt:variant>
        <vt:i4>0</vt:i4>
      </vt:variant>
      <vt:variant>
        <vt:i4>5</vt:i4>
      </vt:variant>
      <vt:variant>
        <vt:lpwstr/>
      </vt:variant>
      <vt:variant>
        <vt:lpwstr>_Toc209782907</vt:lpwstr>
      </vt:variant>
      <vt:variant>
        <vt:i4>1179706</vt:i4>
      </vt:variant>
      <vt:variant>
        <vt:i4>242</vt:i4>
      </vt:variant>
      <vt:variant>
        <vt:i4>0</vt:i4>
      </vt:variant>
      <vt:variant>
        <vt:i4>5</vt:i4>
      </vt:variant>
      <vt:variant>
        <vt:lpwstr/>
      </vt:variant>
      <vt:variant>
        <vt:lpwstr>_Toc209782906</vt:lpwstr>
      </vt:variant>
      <vt:variant>
        <vt:i4>1179706</vt:i4>
      </vt:variant>
      <vt:variant>
        <vt:i4>236</vt:i4>
      </vt:variant>
      <vt:variant>
        <vt:i4>0</vt:i4>
      </vt:variant>
      <vt:variant>
        <vt:i4>5</vt:i4>
      </vt:variant>
      <vt:variant>
        <vt:lpwstr/>
      </vt:variant>
      <vt:variant>
        <vt:lpwstr>_Toc209782905</vt:lpwstr>
      </vt:variant>
      <vt:variant>
        <vt:i4>1179706</vt:i4>
      </vt:variant>
      <vt:variant>
        <vt:i4>230</vt:i4>
      </vt:variant>
      <vt:variant>
        <vt:i4>0</vt:i4>
      </vt:variant>
      <vt:variant>
        <vt:i4>5</vt:i4>
      </vt:variant>
      <vt:variant>
        <vt:lpwstr/>
      </vt:variant>
      <vt:variant>
        <vt:lpwstr>_Toc209782904</vt:lpwstr>
      </vt:variant>
      <vt:variant>
        <vt:i4>1179706</vt:i4>
      </vt:variant>
      <vt:variant>
        <vt:i4>224</vt:i4>
      </vt:variant>
      <vt:variant>
        <vt:i4>0</vt:i4>
      </vt:variant>
      <vt:variant>
        <vt:i4>5</vt:i4>
      </vt:variant>
      <vt:variant>
        <vt:lpwstr/>
      </vt:variant>
      <vt:variant>
        <vt:lpwstr>_Toc209782903</vt:lpwstr>
      </vt:variant>
      <vt:variant>
        <vt:i4>1179706</vt:i4>
      </vt:variant>
      <vt:variant>
        <vt:i4>218</vt:i4>
      </vt:variant>
      <vt:variant>
        <vt:i4>0</vt:i4>
      </vt:variant>
      <vt:variant>
        <vt:i4>5</vt:i4>
      </vt:variant>
      <vt:variant>
        <vt:lpwstr/>
      </vt:variant>
      <vt:variant>
        <vt:lpwstr>_Toc209782902</vt:lpwstr>
      </vt:variant>
      <vt:variant>
        <vt:i4>1179706</vt:i4>
      </vt:variant>
      <vt:variant>
        <vt:i4>212</vt:i4>
      </vt:variant>
      <vt:variant>
        <vt:i4>0</vt:i4>
      </vt:variant>
      <vt:variant>
        <vt:i4>5</vt:i4>
      </vt:variant>
      <vt:variant>
        <vt:lpwstr/>
      </vt:variant>
      <vt:variant>
        <vt:lpwstr>_Toc209782901</vt:lpwstr>
      </vt:variant>
      <vt:variant>
        <vt:i4>1179706</vt:i4>
      </vt:variant>
      <vt:variant>
        <vt:i4>206</vt:i4>
      </vt:variant>
      <vt:variant>
        <vt:i4>0</vt:i4>
      </vt:variant>
      <vt:variant>
        <vt:i4>5</vt:i4>
      </vt:variant>
      <vt:variant>
        <vt:lpwstr/>
      </vt:variant>
      <vt:variant>
        <vt:lpwstr>_Toc209782900</vt:lpwstr>
      </vt:variant>
      <vt:variant>
        <vt:i4>1769531</vt:i4>
      </vt:variant>
      <vt:variant>
        <vt:i4>200</vt:i4>
      </vt:variant>
      <vt:variant>
        <vt:i4>0</vt:i4>
      </vt:variant>
      <vt:variant>
        <vt:i4>5</vt:i4>
      </vt:variant>
      <vt:variant>
        <vt:lpwstr/>
      </vt:variant>
      <vt:variant>
        <vt:lpwstr>_Toc209782899</vt:lpwstr>
      </vt:variant>
      <vt:variant>
        <vt:i4>1769531</vt:i4>
      </vt:variant>
      <vt:variant>
        <vt:i4>194</vt:i4>
      </vt:variant>
      <vt:variant>
        <vt:i4>0</vt:i4>
      </vt:variant>
      <vt:variant>
        <vt:i4>5</vt:i4>
      </vt:variant>
      <vt:variant>
        <vt:lpwstr/>
      </vt:variant>
      <vt:variant>
        <vt:lpwstr>_Toc209782898</vt:lpwstr>
      </vt:variant>
      <vt:variant>
        <vt:i4>1769531</vt:i4>
      </vt:variant>
      <vt:variant>
        <vt:i4>188</vt:i4>
      </vt:variant>
      <vt:variant>
        <vt:i4>0</vt:i4>
      </vt:variant>
      <vt:variant>
        <vt:i4>5</vt:i4>
      </vt:variant>
      <vt:variant>
        <vt:lpwstr/>
      </vt:variant>
      <vt:variant>
        <vt:lpwstr>_Toc209782897</vt:lpwstr>
      </vt:variant>
      <vt:variant>
        <vt:i4>1769531</vt:i4>
      </vt:variant>
      <vt:variant>
        <vt:i4>182</vt:i4>
      </vt:variant>
      <vt:variant>
        <vt:i4>0</vt:i4>
      </vt:variant>
      <vt:variant>
        <vt:i4>5</vt:i4>
      </vt:variant>
      <vt:variant>
        <vt:lpwstr/>
      </vt:variant>
      <vt:variant>
        <vt:lpwstr>_Toc209782896</vt:lpwstr>
      </vt:variant>
      <vt:variant>
        <vt:i4>1769531</vt:i4>
      </vt:variant>
      <vt:variant>
        <vt:i4>176</vt:i4>
      </vt:variant>
      <vt:variant>
        <vt:i4>0</vt:i4>
      </vt:variant>
      <vt:variant>
        <vt:i4>5</vt:i4>
      </vt:variant>
      <vt:variant>
        <vt:lpwstr/>
      </vt:variant>
      <vt:variant>
        <vt:lpwstr>_Toc209782895</vt:lpwstr>
      </vt:variant>
      <vt:variant>
        <vt:i4>1769531</vt:i4>
      </vt:variant>
      <vt:variant>
        <vt:i4>170</vt:i4>
      </vt:variant>
      <vt:variant>
        <vt:i4>0</vt:i4>
      </vt:variant>
      <vt:variant>
        <vt:i4>5</vt:i4>
      </vt:variant>
      <vt:variant>
        <vt:lpwstr/>
      </vt:variant>
      <vt:variant>
        <vt:lpwstr>_Toc209782894</vt:lpwstr>
      </vt:variant>
      <vt:variant>
        <vt:i4>1769531</vt:i4>
      </vt:variant>
      <vt:variant>
        <vt:i4>164</vt:i4>
      </vt:variant>
      <vt:variant>
        <vt:i4>0</vt:i4>
      </vt:variant>
      <vt:variant>
        <vt:i4>5</vt:i4>
      </vt:variant>
      <vt:variant>
        <vt:lpwstr/>
      </vt:variant>
      <vt:variant>
        <vt:lpwstr>_Toc209782893</vt:lpwstr>
      </vt:variant>
      <vt:variant>
        <vt:i4>1769531</vt:i4>
      </vt:variant>
      <vt:variant>
        <vt:i4>158</vt:i4>
      </vt:variant>
      <vt:variant>
        <vt:i4>0</vt:i4>
      </vt:variant>
      <vt:variant>
        <vt:i4>5</vt:i4>
      </vt:variant>
      <vt:variant>
        <vt:lpwstr/>
      </vt:variant>
      <vt:variant>
        <vt:lpwstr>_Toc209782892</vt:lpwstr>
      </vt:variant>
      <vt:variant>
        <vt:i4>1769531</vt:i4>
      </vt:variant>
      <vt:variant>
        <vt:i4>152</vt:i4>
      </vt:variant>
      <vt:variant>
        <vt:i4>0</vt:i4>
      </vt:variant>
      <vt:variant>
        <vt:i4>5</vt:i4>
      </vt:variant>
      <vt:variant>
        <vt:lpwstr/>
      </vt:variant>
      <vt:variant>
        <vt:lpwstr>_Toc209782891</vt:lpwstr>
      </vt:variant>
      <vt:variant>
        <vt:i4>1769531</vt:i4>
      </vt:variant>
      <vt:variant>
        <vt:i4>146</vt:i4>
      </vt:variant>
      <vt:variant>
        <vt:i4>0</vt:i4>
      </vt:variant>
      <vt:variant>
        <vt:i4>5</vt:i4>
      </vt:variant>
      <vt:variant>
        <vt:lpwstr/>
      </vt:variant>
      <vt:variant>
        <vt:lpwstr>_Toc209782890</vt:lpwstr>
      </vt:variant>
      <vt:variant>
        <vt:i4>1703995</vt:i4>
      </vt:variant>
      <vt:variant>
        <vt:i4>140</vt:i4>
      </vt:variant>
      <vt:variant>
        <vt:i4>0</vt:i4>
      </vt:variant>
      <vt:variant>
        <vt:i4>5</vt:i4>
      </vt:variant>
      <vt:variant>
        <vt:lpwstr/>
      </vt:variant>
      <vt:variant>
        <vt:lpwstr>_Toc209782889</vt:lpwstr>
      </vt:variant>
      <vt:variant>
        <vt:i4>1703995</vt:i4>
      </vt:variant>
      <vt:variant>
        <vt:i4>134</vt:i4>
      </vt:variant>
      <vt:variant>
        <vt:i4>0</vt:i4>
      </vt:variant>
      <vt:variant>
        <vt:i4>5</vt:i4>
      </vt:variant>
      <vt:variant>
        <vt:lpwstr/>
      </vt:variant>
      <vt:variant>
        <vt:lpwstr>_Toc209782888</vt:lpwstr>
      </vt:variant>
      <vt:variant>
        <vt:i4>1703995</vt:i4>
      </vt:variant>
      <vt:variant>
        <vt:i4>128</vt:i4>
      </vt:variant>
      <vt:variant>
        <vt:i4>0</vt:i4>
      </vt:variant>
      <vt:variant>
        <vt:i4>5</vt:i4>
      </vt:variant>
      <vt:variant>
        <vt:lpwstr/>
      </vt:variant>
      <vt:variant>
        <vt:lpwstr>_Toc209782887</vt:lpwstr>
      </vt:variant>
      <vt:variant>
        <vt:i4>1703995</vt:i4>
      </vt:variant>
      <vt:variant>
        <vt:i4>122</vt:i4>
      </vt:variant>
      <vt:variant>
        <vt:i4>0</vt:i4>
      </vt:variant>
      <vt:variant>
        <vt:i4>5</vt:i4>
      </vt:variant>
      <vt:variant>
        <vt:lpwstr/>
      </vt:variant>
      <vt:variant>
        <vt:lpwstr>_Toc209782886</vt:lpwstr>
      </vt:variant>
      <vt:variant>
        <vt:i4>1703995</vt:i4>
      </vt:variant>
      <vt:variant>
        <vt:i4>116</vt:i4>
      </vt:variant>
      <vt:variant>
        <vt:i4>0</vt:i4>
      </vt:variant>
      <vt:variant>
        <vt:i4>5</vt:i4>
      </vt:variant>
      <vt:variant>
        <vt:lpwstr/>
      </vt:variant>
      <vt:variant>
        <vt:lpwstr>_Toc209782885</vt:lpwstr>
      </vt:variant>
      <vt:variant>
        <vt:i4>1703995</vt:i4>
      </vt:variant>
      <vt:variant>
        <vt:i4>110</vt:i4>
      </vt:variant>
      <vt:variant>
        <vt:i4>0</vt:i4>
      </vt:variant>
      <vt:variant>
        <vt:i4>5</vt:i4>
      </vt:variant>
      <vt:variant>
        <vt:lpwstr/>
      </vt:variant>
      <vt:variant>
        <vt:lpwstr>_Toc209782884</vt:lpwstr>
      </vt:variant>
      <vt:variant>
        <vt:i4>1703995</vt:i4>
      </vt:variant>
      <vt:variant>
        <vt:i4>104</vt:i4>
      </vt:variant>
      <vt:variant>
        <vt:i4>0</vt:i4>
      </vt:variant>
      <vt:variant>
        <vt:i4>5</vt:i4>
      </vt:variant>
      <vt:variant>
        <vt:lpwstr/>
      </vt:variant>
      <vt:variant>
        <vt:lpwstr>_Toc209782883</vt:lpwstr>
      </vt:variant>
      <vt:variant>
        <vt:i4>1703995</vt:i4>
      </vt:variant>
      <vt:variant>
        <vt:i4>98</vt:i4>
      </vt:variant>
      <vt:variant>
        <vt:i4>0</vt:i4>
      </vt:variant>
      <vt:variant>
        <vt:i4>5</vt:i4>
      </vt:variant>
      <vt:variant>
        <vt:lpwstr/>
      </vt:variant>
      <vt:variant>
        <vt:lpwstr>_Toc209782882</vt:lpwstr>
      </vt:variant>
      <vt:variant>
        <vt:i4>1703995</vt:i4>
      </vt:variant>
      <vt:variant>
        <vt:i4>92</vt:i4>
      </vt:variant>
      <vt:variant>
        <vt:i4>0</vt:i4>
      </vt:variant>
      <vt:variant>
        <vt:i4>5</vt:i4>
      </vt:variant>
      <vt:variant>
        <vt:lpwstr/>
      </vt:variant>
      <vt:variant>
        <vt:lpwstr>_Toc209782881</vt:lpwstr>
      </vt:variant>
      <vt:variant>
        <vt:i4>1703995</vt:i4>
      </vt:variant>
      <vt:variant>
        <vt:i4>86</vt:i4>
      </vt:variant>
      <vt:variant>
        <vt:i4>0</vt:i4>
      </vt:variant>
      <vt:variant>
        <vt:i4>5</vt:i4>
      </vt:variant>
      <vt:variant>
        <vt:lpwstr/>
      </vt:variant>
      <vt:variant>
        <vt:lpwstr>_Toc209782880</vt:lpwstr>
      </vt:variant>
      <vt:variant>
        <vt:i4>1376315</vt:i4>
      </vt:variant>
      <vt:variant>
        <vt:i4>80</vt:i4>
      </vt:variant>
      <vt:variant>
        <vt:i4>0</vt:i4>
      </vt:variant>
      <vt:variant>
        <vt:i4>5</vt:i4>
      </vt:variant>
      <vt:variant>
        <vt:lpwstr/>
      </vt:variant>
      <vt:variant>
        <vt:lpwstr>_Toc209782879</vt:lpwstr>
      </vt:variant>
      <vt:variant>
        <vt:i4>1376315</vt:i4>
      </vt:variant>
      <vt:variant>
        <vt:i4>74</vt:i4>
      </vt:variant>
      <vt:variant>
        <vt:i4>0</vt:i4>
      </vt:variant>
      <vt:variant>
        <vt:i4>5</vt:i4>
      </vt:variant>
      <vt:variant>
        <vt:lpwstr/>
      </vt:variant>
      <vt:variant>
        <vt:lpwstr>_Toc209782878</vt:lpwstr>
      </vt:variant>
      <vt:variant>
        <vt:i4>1376315</vt:i4>
      </vt:variant>
      <vt:variant>
        <vt:i4>68</vt:i4>
      </vt:variant>
      <vt:variant>
        <vt:i4>0</vt:i4>
      </vt:variant>
      <vt:variant>
        <vt:i4>5</vt:i4>
      </vt:variant>
      <vt:variant>
        <vt:lpwstr/>
      </vt:variant>
      <vt:variant>
        <vt:lpwstr>_Toc209782877</vt:lpwstr>
      </vt:variant>
      <vt:variant>
        <vt:i4>1376315</vt:i4>
      </vt:variant>
      <vt:variant>
        <vt:i4>62</vt:i4>
      </vt:variant>
      <vt:variant>
        <vt:i4>0</vt:i4>
      </vt:variant>
      <vt:variant>
        <vt:i4>5</vt:i4>
      </vt:variant>
      <vt:variant>
        <vt:lpwstr/>
      </vt:variant>
      <vt:variant>
        <vt:lpwstr>_Toc209782876</vt:lpwstr>
      </vt:variant>
      <vt:variant>
        <vt:i4>1376315</vt:i4>
      </vt:variant>
      <vt:variant>
        <vt:i4>56</vt:i4>
      </vt:variant>
      <vt:variant>
        <vt:i4>0</vt:i4>
      </vt:variant>
      <vt:variant>
        <vt:i4>5</vt:i4>
      </vt:variant>
      <vt:variant>
        <vt:lpwstr/>
      </vt:variant>
      <vt:variant>
        <vt:lpwstr>_Toc209782875</vt:lpwstr>
      </vt:variant>
      <vt:variant>
        <vt:i4>1376315</vt:i4>
      </vt:variant>
      <vt:variant>
        <vt:i4>50</vt:i4>
      </vt:variant>
      <vt:variant>
        <vt:i4>0</vt:i4>
      </vt:variant>
      <vt:variant>
        <vt:i4>5</vt:i4>
      </vt:variant>
      <vt:variant>
        <vt:lpwstr/>
      </vt:variant>
      <vt:variant>
        <vt:lpwstr>_Toc209782874</vt:lpwstr>
      </vt:variant>
      <vt:variant>
        <vt:i4>1376315</vt:i4>
      </vt:variant>
      <vt:variant>
        <vt:i4>44</vt:i4>
      </vt:variant>
      <vt:variant>
        <vt:i4>0</vt:i4>
      </vt:variant>
      <vt:variant>
        <vt:i4>5</vt:i4>
      </vt:variant>
      <vt:variant>
        <vt:lpwstr/>
      </vt:variant>
      <vt:variant>
        <vt:lpwstr>_Toc209782873</vt:lpwstr>
      </vt:variant>
      <vt:variant>
        <vt:i4>1376315</vt:i4>
      </vt:variant>
      <vt:variant>
        <vt:i4>38</vt:i4>
      </vt:variant>
      <vt:variant>
        <vt:i4>0</vt:i4>
      </vt:variant>
      <vt:variant>
        <vt:i4>5</vt:i4>
      </vt:variant>
      <vt:variant>
        <vt:lpwstr/>
      </vt:variant>
      <vt:variant>
        <vt:lpwstr>_Toc209782872</vt:lpwstr>
      </vt:variant>
      <vt:variant>
        <vt:i4>1376315</vt:i4>
      </vt:variant>
      <vt:variant>
        <vt:i4>32</vt:i4>
      </vt:variant>
      <vt:variant>
        <vt:i4>0</vt:i4>
      </vt:variant>
      <vt:variant>
        <vt:i4>5</vt:i4>
      </vt:variant>
      <vt:variant>
        <vt:lpwstr/>
      </vt:variant>
      <vt:variant>
        <vt:lpwstr>_Toc209782871</vt:lpwstr>
      </vt:variant>
      <vt:variant>
        <vt:i4>1376315</vt:i4>
      </vt:variant>
      <vt:variant>
        <vt:i4>26</vt:i4>
      </vt:variant>
      <vt:variant>
        <vt:i4>0</vt:i4>
      </vt:variant>
      <vt:variant>
        <vt:i4>5</vt:i4>
      </vt:variant>
      <vt:variant>
        <vt:lpwstr/>
      </vt:variant>
      <vt:variant>
        <vt:lpwstr>_Toc209782870</vt:lpwstr>
      </vt:variant>
      <vt:variant>
        <vt:i4>1310779</vt:i4>
      </vt:variant>
      <vt:variant>
        <vt:i4>20</vt:i4>
      </vt:variant>
      <vt:variant>
        <vt:i4>0</vt:i4>
      </vt:variant>
      <vt:variant>
        <vt:i4>5</vt:i4>
      </vt:variant>
      <vt:variant>
        <vt:lpwstr/>
      </vt:variant>
      <vt:variant>
        <vt:lpwstr>_Toc209782869</vt:lpwstr>
      </vt:variant>
      <vt:variant>
        <vt:i4>1310779</vt:i4>
      </vt:variant>
      <vt:variant>
        <vt:i4>14</vt:i4>
      </vt:variant>
      <vt:variant>
        <vt:i4>0</vt:i4>
      </vt:variant>
      <vt:variant>
        <vt:i4>5</vt:i4>
      </vt:variant>
      <vt:variant>
        <vt:lpwstr/>
      </vt:variant>
      <vt:variant>
        <vt:lpwstr>_Toc209782868</vt:lpwstr>
      </vt:variant>
      <vt:variant>
        <vt:i4>1310779</vt:i4>
      </vt:variant>
      <vt:variant>
        <vt:i4>8</vt:i4>
      </vt:variant>
      <vt:variant>
        <vt:i4>0</vt:i4>
      </vt:variant>
      <vt:variant>
        <vt:i4>5</vt:i4>
      </vt:variant>
      <vt:variant>
        <vt:lpwstr/>
      </vt:variant>
      <vt:variant>
        <vt:lpwstr>_Toc209782867</vt:lpwstr>
      </vt:variant>
      <vt:variant>
        <vt:i4>1310779</vt:i4>
      </vt:variant>
      <vt:variant>
        <vt:i4>2</vt:i4>
      </vt:variant>
      <vt:variant>
        <vt:i4>0</vt:i4>
      </vt:variant>
      <vt:variant>
        <vt:i4>5</vt:i4>
      </vt:variant>
      <vt:variant>
        <vt:lpwstr/>
      </vt:variant>
      <vt:variant>
        <vt:lpwstr>_Toc209782866</vt:lpwstr>
      </vt:variant>
      <vt:variant>
        <vt:i4>1769576</vt:i4>
      </vt:variant>
      <vt:variant>
        <vt:i4>0</vt:i4>
      </vt:variant>
      <vt:variant>
        <vt:i4>0</vt:i4>
      </vt:variant>
      <vt:variant>
        <vt:i4>5</vt:i4>
      </vt:variant>
      <vt:variant>
        <vt:lpwstr>mailto:louisa.breimann@un.org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python-docx</dc:creator>
  <dc:description>generated by python-docx</dc:description>
  <cp:lastModifiedBy>Paola Quesada</cp:lastModifiedBy>
  <cp:revision>52</cp:revision>
  <cp:lastPrinted>2025-11-19T15:00:00Z</cp:lastPrinted>
  <dcterms:created xsi:type="dcterms:W3CDTF">2025-11-19T11:08:00Z</dcterms:created>
  <dcterms:modified xsi:type="dcterms:W3CDTF">2025-11-19T15:00:00Z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0x0101009929416AA0540C42B015682282C961AD</vt:lpwstr>
  </property>
  <property fmtid="{D5CDD505-2E9C-101B-9397-08002B2CF9AE}" pid="3" name="TaxKeyword">
    <vt:lpwstr/>
  </property>
  <property fmtid="{D5CDD505-2E9C-101B-9397-08002B2CF9AE}" pid="4" name="MediaServiceImageTags">
    <vt:lpwstr/>
  </property>
  <property fmtid="{D5CDD505-2E9C-101B-9397-08002B2CF9AE}" pid="5" name="docLang">
    <vt:lpwstr>en</vt:lpwstr>
  </property>
</Properties>
</file>