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3CCC" w14:textId="77777777" w:rsidR="00643E0F" w:rsidRPr="00EC2A58" w:rsidRDefault="00643E0F" w:rsidP="00643E0F">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643E0F" w:rsidRPr="003A226C" w14:paraId="67BA1C0B" w14:textId="77777777" w:rsidTr="00EB328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F81002" w14:textId="77777777" w:rsidR="00643E0F" w:rsidRPr="00EC2A58" w:rsidRDefault="00643E0F" w:rsidP="00EB328F">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C58F7F3" wp14:editId="0C2D091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F8B1BE2" w14:textId="77777777" w:rsidR="00643E0F" w:rsidRPr="00EC2A58" w:rsidRDefault="00643E0F" w:rsidP="00EB328F">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6B969F1" w14:textId="77777777" w:rsidR="00643E0F" w:rsidRPr="00EC2A58" w:rsidRDefault="00643E0F" w:rsidP="00EB328F">
            <w:pPr>
              <w:keepNext/>
              <w:widowControl w:val="0"/>
              <w:suppressAutoHyphens/>
              <w:autoSpaceDE w:val="0"/>
              <w:autoSpaceDN w:val="0"/>
              <w:ind w:left="-108"/>
              <w:textAlignment w:val="baseline"/>
              <w:outlineLvl w:val="1"/>
              <w:rPr>
                <w:rFonts w:eastAsia="Times New Roman" w:cs="Arial"/>
                <w:sz w:val="12"/>
                <w:szCs w:val="12"/>
                <w:lang w:val="fr-FR"/>
              </w:rPr>
            </w:pPr>
          </w:p>
          <w:p w14:paraId="72222F45"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47C5969"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17EE7FC"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C969C65" w14:textId="2EBBFF3A" w:rsidR="00643E0F" w:rsidRPr="00AF3AEC" w:rsidRDefault="00643E0F" w:rsidP="00EB328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3A226C">
              <w:rPr>
                <w:rFonts w:eastAsia="Arial" w:cs="Arial"/>
                <w:lang w:val="fr-FR"/>
              </w:rPr>
              <w:t>25.5</w:t>
            </w:r>
          </w:p>
          <w:p w14:paraId="08FA8D1C" w14:textId="7BE6A698" w:rsidR="00643E0F" w:rsidRPr="00AF3AEC" w:rsidRDefault="003A226C" w:rsidP="00EB328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11 septembre</w:t>
            </w:r>
            <w:r w:rsidR="00643E0F" w:rsidRPr="00AF3AEC">
              <w:rPr>
                <w:rFonts w:eastAsia="Arial" w:cs="Arial"/>
                <w:lang w:val="fr-FR"/>
              </w:rPr>
              <w:t xml:space="preserve"> 2025</w:t>
            </w:r>
          </w:p>
          <w:p w14:paraId="0F042A6A" w14:textId="77777777" w:rsidR="00643E0F" w:rsidRPr="00FC4F18" w:rsidRDefault="00643E0F" w:rsidP="00EB328F">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2DDBE3AC" w14:textId="77777777" w:rsidR="00643E0F" w:rsidRPr="00FC4F18" w:rsidRDefault="00643E0F" w:rsidP="00EB328F">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69D2B4AD" w14:textId="77777777" w:rsidR="00643E0F" w:rsidRPr="00EC2A58" w:rsidRDefault="00643E0F" w:rsidP="00643E0F">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536A3327" w14:textId="77777777" w:rsidR="00643E0F" w:rsidRPr="00EC2A58" w:rsidRDefault="00643E0F" w:rsidP="00643E0F">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C3944FF" w14:textId="77777777" w:rsidR="00643E0F" w:rsidRPr="00EC2A58" w:rsidRDefault="00643E0F" w:rsidP="00643E0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C18BEB5" w14:textId="42184370" w:rsidR="00643E0F" w:rsidRPr="00EC2A58" w:rsidRDefault="00643E0F" w:rsidP="00643E0F">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3A226C">
        <w:rPr>
          <w:rFonts w:eastAsia="Arial" w:cs="Arial"/>
          <w:iCs/>
          <w:lang w:val="fr-FR"/>
        </w:rPr>
        <w:t>25.5</w:t>
      </w:r>
      <w:r w:rsidRPr="00EC2A58">
        <w:rPr>
          <w:rFonts w:eastAsia="Arial" w:cs="Arial"/>
          <w:iCs/>
          <w:lang w:val="fr-FR"/>
        </w:rPr>
        <w:t xml:space="preserve"> de l’ordre du jour</w:t>
      </w:r>
    </w:p>
    <w:bookmarkEnd w:id="1"/>
    <w:p w14:paraId="535B0903" w14:textId="77777777" w:rsidR="007F08AF" w:rsidRDefault="007F08AF">
      <w:pPr>
        <w:widowControl w:val="0"/>
        <w:suppressAutoHyphens/>
        <w:autoSpaceDE w:val="0"/>
        <w:autoSpaceDN w:val="0"/>
        <w:textAlignment w:val="baseline"/>
        <w:rPr>
          <w:rFonts w:eastAsia="Times New Roman" w:cs="Arial"/>
          <w:lang w:val="fr-FR"/>
        </w:rPr>
      </w:pPr>
    </w:p>
    <w:p w14:paraId="5ADC39D5" w14:textId="77777777" w:rsidR="003A226C" w:rsidRPr="00E43B72" w:rsidRDefault="003A226C">
      <w:pPr>
        <w:widowControl w:val="0"/>
        <w:suppressAutoHyphens/>
        <w:autoSpaceDE w:val="0"/>
        <w:autoSpaceDN w:val="0"/>
        <w:textAlignment w:val="baseline"/>
        <w:rPr>
          <w:rFonts w:eastAsia="Times New Roman" w:cs="Arial"/>
          <w:lang w:val="fr-FR"/>
        </w:rPr>
      </w:pPr>
    </w:p>
    <w:p w14:paraId="66759C44" w14:textId="77777777" w:rsidR="007F08AF" w:rsidRPr="00E43B72"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E43B72">
        <w:rPr>
          <w:rFonts w:eastAsia="Times New Roman" w:cs="Arial"/>
          <w:b/>
          <w:bCs/>
          <w:lang w:val="fr-FR"/>
        </w:rPr>
        <w:t>TORTUES MARINES</w:t>
      </w:r>
    </w:p>
    <w:p w14:paraId="48F8D749" w14:textId="77777777" w:rsidR="007F08AF" w:rsidRPr="00E43B72" w:rsidRDefault="00000000">
      <w:pPr>
        <w:widowControl w:val="0"/>
        <w:suppressAutoHyphens/>
        <w:autoSpaceDE w:val="0"/>
        <w:autoSpaceDN w:val="0"/>
        <w:jc w:val="center"/>
        <w:textAlignment w:val="baseline"/>
        <w:rPr>
          <w:rFonts w:ascii="Calibri" w:eastAsia="Calibri" w:hAnsi="Calibri" w:cs="Times New Roman"/>
          <w:lang w:val="fr-FR"/>
        </w:rPr>
      </w:pPr>
      <w:r w:rsidRPr="00E43B72">
        <w:rPr>
          <w:rFonts w:eastAsia="Times New Roman" w:cs="Arial"/>
          <w:i/>
          <w:lang w:val="fr-FR"/>
        </w:rPr>
        <w:t>(Préparé par le Secrétariat)</w:t>
      </w:r>
    </w:p>
    <w:p w14:paraId="0D67EBA8" w14:textId="77777777" w:rsidR="007F08AF" w:rsidRPr="00E43B72" w:rsidRDefault="007F08AF">
      <w:pPr>
        <w:rPr>
          <w:rFonts w:cs="Arial"/>
          <w:i/>
          <w:sz w:val="21"/>
          <w:szCs w:val="21"/>
          <w:lang w:val="fr-FR"/>
        </w:rPr>
      </w:pPr>
    </w:p>
    <w:p w14:paraId="66C8413A" w14:textId="77777777" w:rsidR="007F08AF" w:rsidRPr="00E43B72" w:rsidRDefault="00000000">
      <w:pPr>
        <w:widowControl w:val="0"/>
        <w:suppressAutoHyphens/>
        <w:autoSpaceDE w:val="0"/>
        <w:autoSpaceDN w:val="0"/>
        <w:textAlignment w:val="baseline"/>
        <w:rPr>
          <w:rFonts w:ascii="Calibri" w:eastAsia="Calibri" w:hAnsi="Calibri" w:cs="Times New Roman"/>
          <w:lang w:val="fr-FR"/>
        </w:rPr>
      </w:pPr>
      <w:r w:rsidRPr="00E43B72">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2ACF53A6">
                <wp:simplePos x="0" y="0"/>
                <wp:positionH relativeFrom="column">
                  <wp:posOffset>953770</wp:posOffset>
                </wp:positionH>
                <wp:positionV relativeFrom="paragraph">
                  <wp:posOffset>112395</wp:posOffset>
                </wp:positionV>
                <wp:extent cx="4629150" cy="20955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95500"/>
                        </a:xfrm>
                        <a:prstGeom prst="rect">
                          <a:avLst/>
                        </a:prstGeom>
                        <a:solidFill>
                          <a:srgbClr val="FFFFFF"/>
                        </a:solidFill>
                        <a:ln w="3172">
                          <a:solidFill>
                            <a:srgbClr val="000000"/>
                          </a:solidFill>
                          <a:prstDash val="solid"/>
                        </a:ln>
                      </wps:spPr>
                      <wps:txbx>
                        <w:txbxContent>
                          <w:p w14:paraId="1510CF52" w14:textId="42EC256A" w:rsidR="007F08AF" w:rsidRDefault="00000000">
                            <w:pPr>
                              <w:rPr>
                                <w:rFonts w:cs="Arial"/>
                                <w:lang w:val="fr-FR"/>
                              </w:rPr>
                            </w:pPr>
                            <w:r>
                              <w:rPr>
                                <w:rFonts w:cs="Arial"/>
                                <w:lang w:val="fr-FR"/>
                              </w:rPr>
                              <w:t>Résumé</w:t>
                            </w:r>
                            <w:r w:rsidR="00C421BB">
                              <w:rPr>
                                <w:rFonts w:cs="Arial"/>
                                <w:lang w:val="fr-FR"/>
                              </w:rPr>
                              <w:t> </w:t>
                            </w:r>
                            <w:r>
                              <w:rPr>
                                <w:rFonts w:cs="Arial"/>
                                <w:lang w:val="fr-FR"/>
                              </w:rPr>
                              <w:t>:</w:t>
                            </w:r>
                          </w:p>
                          <w:p w14:paraId="40EE3B34" w14:textId="77777777" w:rsidR="007F08AF" w:rsidRDefault="007F08AF">
                            <w:pPr>
                              <w:jc w:val="both"/>
                              <w:rPr>
                                <w:rFonts w:cs="Arial"/>
                                <w:lang w:val="fr-FR"/>
                              </w:rPr>
                            </w:pPr>
                          </w:p>
                          <w:p w14:paraId="0E621F7F" w14:textId="28093088" w:rsidR="007F08AF" w:rsidRDefault="00000000">
                            <w:pPr>
                              <w:jc w:val="both"/>
                              <w:rPr>
                                <w:rFonts w:cs="Arial"/>
                                <w:lang w:val="fr-FR"/>
                              </w:rPr>
                            </w:pPr>
                            <w:r>
                              <w:rPr>
                                <w:rFonts w:cs="Arial"/>
                                <w:lang w:val="fr-FR"/>
                              </w:rPr>
                              <w:t>Le présent document fait état des avancées dans la mise en œuvre des Décisions</w:t>
                            </w:r>
                            <w:r w:rsidR="00C421BB">
                              <w:rPr>
                                <w:rFonts w:cs="Arial"/>
                                <w:lang w:val="fr-FR"/>
                              </w:rPr>
                              <w:t> </w:t>
                            </w:r>
                            <w:r>
                              <w:rPr>
                                <w:rFonts w:cs="Arial"/>
                                <w:lang w:val="fr-FR"/>
                              </w:rPr>
                              <w:t xml:space="preserve">14.93–14.95 </w:t>
                            </w:r>
                            <w:r>
                              <w:rPr>
                                <w:rFonts w:cs="Arial"/>
                                <w:i/>
                                <w:iCs/>
                                <w:lang w:val="fr-FR"/>
                              </w:rPr>
                              <w:t>Tortues marines</w:t>
                            </w:r>
                            <w:r>
                              <w:rPr>
                                <w:rFonts w:cs="Arial"/>
                                <w:lang w:val="fr-FR"/>
                              </w:rPr>
                              <w:t xml:space="preserve"> et des Décisions</w:t>
                            </w:r>
                            <w:r w:rsidR="00C421BB">
                              <w:rPr>
                                <w:rFonts w:cs="Arial"/>
                                <w:lang w:val="fr-FR"/>
                              </w:rPr>
                              <w:t> </w:t>
                            </w:r>
                            <w:r>
                              <w:rPr>
                                <w:rFonts w:cs="Arial"/>
                                <w:lang w:val="fr-FR"/>
                              </w:rPr>
                              <w:t xml:space="preserve">14.96–14.100 </w:t>
                            </w:r>
                            <w:bookmarkStart w:id="2" w:name="_Toc161996043"/>
                            <w:r>
                              <w:rPr>
                                <w:i/>
                                <w:iCs/>
                                <w:lang w:val="fr-FR"/>
                              </w:rPr>
                              <w:t>Plan d</w:t>
                            </w:r>
                            <w:r w:rsidR="00C2697F">
                              <w:rPr>
                                <w:i/>
                                <w:iCs/>
                                <w:lang w:val="fr-FR"/>
                              </w:rPr>
                              <w:t>’</w:t>
                            </w:r>
                            <w:r>
                              <w:rPr>
                                <w:i/>
                                <w:iCs/>
                                <w:lang w:val="fr-FR"/>
                              </w:rPr>
                              <w:t>action par espèce pour la tortue imbriquée (Eretmochelys imbricata) en Asie du Sud-Est et dans la région du Pacifique ouest</w:t>
                            </w:r>
                            <w:bookmarkEnd w:id="2"/>
                            <w:r>
                              <w:rPr>
                                <w:i/>
                                <w:iCs/>
                                <w:lang w:val="fr-FR"/>
                              </w:rPr>
                              <w:t>.</w:t>
                            </w:r>
                            <w:r>
                              <w:rPr>
                                <w:rFonts w:cs="Arial"/>
                                <w:lang w:val="fr-FR"/>
                              </w:rPr>
                              <w:t xml:space="preserve"> Le document propose l</w:t>
                            </w:r>
                            <w:r w:rsidR="00C2697F">
                              <w:rPr>
                                <w:rFonts w:cs="Arial"/>
                                <w:lang w:val="fr-FR"/>
                              </w:rPr>
                              <w:t>’</w:t>
                            </w:r>
                            <w:r>
                              <w:rPr>
                                <w:rFonts w:cs="Arial"/>
                                <w:lang w:val="fr-FR"/>
                              </w:rPr>
                              <w:t xml:space="preserve">adoption de décisions. </w:t>
                            </w:r>
                          </w:p>
                          <w:p w14:paraId="655F0A4D" w14:textId="77777777" w:rsidR="007F08AF" w:rsidRDefault="007F08AF">
                            <w:pPr>
                              <w:jc w:val="both"/>
                              <w:rPr>
                                <w:rFonts w:cs="Arial"/>
                                <w:lang w:val="fr-FR"/>
                              </w:rPr>
                            </w:pPr>
                          </w:p>
                          <w:p w14:paraId="0A1B0A89" w14:textId="56EAF9D2" w:rsidR="007F08AF" w:rsidRDefault="00000000">
                            <w:pPr>
                              <w:jc w:val="both"/>
                              <w:rPr>
                                <w:rFonts w:cs="Arial"/>
                                <w:lang w:val="fr-FR"/>
                              </w:rPr>
                            </w:pPr>
                            <w:r>
                              <w:rPr>
                                <w:rFonts w:cs="Arial"/>
                                <w:lang w:val="fr-FR"/>
                              </w:rPr>
                              <w:t>Le projet de décisions ci-joint contribuerait à la réalisation des Cibles</w:t>
                            </w:r>
                            <w:r w:rsidR="00C421BB">
                              <w:rPr>
                                <w:rFonts w:cs="Arial"/>
                                <w:lang w:val="fr-FR"/>
                              </w:rPr>
                              <w:t> </w:t>
                            </w:r>
                            <w:r>
                              <w:rPr>
                                <w:rFonts w:cs="Arial"/>
                                <w:lang w:val="fr-FR"/>
                              </w:rPr>
                              <w:t>1.3, 2.1–2.3,</w:t>
                            </w:r>
                            <w:r>
                              <w:rPr>
                                <w:rFonts w:cs="Arial"/>
                                <w:b/>
                                <w:lang w:val="fr-FR"/>
                              </w:rPr>
                              <w:t xml:space="preserve"> </w:t>
                            </w:r>
                            <w:r>
                              <w:rPr>
                                <w:rFonts w:cs="Arial"/>
                                <w:lang w:val="fr-FR"/>
                              </w:rPr>
                              <w:t>4.1, 3.1–3.5, et 6.4 du Plan stratégique de Samarcande pour les espèces migratrices</w:t>
                            </w:r>
                            <w:r w:rsidR="00C421BB">
                              <w:rPr>
                                <w:rFonts w:cs="Arial"/>
                                <w:lang w:val="fr-FR"/>
                              </w:rPr>
                              <w:t> </w:t>
                            </w:r>
                            <w:r>
                              <w:rPr>
                                <w:rFonts w:cs="Arial"/>
                                <w:lang w:val="fr-FR"/>
                              </w:rPr>
                              <w:t>2024</w:t>
                            </w:r>
                            <w:bookmarkStart w:id="3" w:name="_Hlk207955211"/>
                            <w:r>
                              <w:rPr>
                                <w:rFonts w:cs="Arial"/>
                                <w:lang w:val="fr-FR"/>
                              </w:rPr>
                              <w:t>–</w:t>
                            </w:r>
                            <w:bookmarkEnd w:id="3"/>
                            <w:r>
                              <w:rPr>
                                <w:rFonts w:cs="Arial"/>
                                <w:lang w:val="fr-FR"/>
                              </w:rPr>
                              <w:t>2032.</w:t>
                            </w:r>
                          </w:p>
                          <w:p w14:paraId="4A6FE616" w14:textId="77777777" w:rsidR="007F08AF" w:rsidRDefault="007F08AF">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8.85pt;width:364.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" strokeweight=".08811mm">
                <v:textbox>
                  <w:txbxContent>
                    <w:p w14:paraId="1510CF52" w14:textId="42EC256A" w:rsidR="007F08AF" w:rsidRDefault="00000000">
                      <w:pPr>
                        <w:rPr>
                          <w:rFonts w:cs="Arial"/>
                          <w:lang w:val="fr-FR"/>
                        </w:rPr>
                      </w:pPr>
                      <w:r>
                        <w:rPr>
                          <w:rFonts w:cs="Arial"/>
                          <w:lang w:val="fr-FR"/>
                        </w:rPr>
                        <w:t>Résumé</w:t>
                      </w:r>
                      <w:r w:rsidR="00C421BB">
                        <w:rPr>
                          <w:rFonts w:cs="Arial"/>
                          <w:lang w:val="fr-FR"/>
                        </w:rPr>
                        <w:t> </w:t>
                      </w:r>
                      <w:r>
                        <w:rPr>
                          <w:rFonts w:cs="Arial"/>
                          <w:lang w:val="fr-FR"/>
                        </w:rPr>
                        <w:t>:</w:t>
                      </w:r>
                    </w:p>
                    <w:p w14:paraId="40EE3B34" w14:textId="77777777" w:rsidR="007F08AF" w:rsidRDefault="007F08AF">
                      <w:pPr>
                        <w:jc w:val="both"/>
                        <w:rPr>
                          <w:rFonts w:cs="Arial"/>
                          <w:lang w:val="fr-FR"/>
                        </w:rPr>
                      </w:pPr>
                    </w:p>
                    <w:p w14:paraId="0E621F7F" w14:textId="28093088" w:rsidR="007F08AF" w:rsidRDefault="00000000">
                      <w:pPr>
                        <w:jc w:val="both"/>
                        <w:rPr>
                          <w:rFonts w:cs="Arial"/>
                          <w:lang w:val="fr-FR"/>
                        </w:rPr>
                      </w:pPr>
                      <w:r>
                        <w:rPr>
                          <w:rFonts w:cs="Arial"/>
                          <w:lang w:val="fr-FR"/>
                        </w:rPr>
                        <w:t>Le présent document fait état des avancées dans la mise en œuvre des Décisions</w:t>
                      </w:r>
                      <w:r w:rsidR="00C421BB">
                        <w:rPr>
                          <w:rFonts w:cs="Arial"/>
                          <w:lang w:val="fr-FR"/>
                        </w:rPr>
                        <w:t> </w:t>
                      </w:r>
                      <w:r>
                        <w:rPr>
                          <w:rFonts w:cs="Arial"/>
                          <w:lang w:val="fr-FR"/>
                        </w:rPr>
                        <w:t xml:space="preserve">14.93–14.95 </w:t>
                      </w:r>
                      <w:r>
                        <w:rPr>
                          <w:rFonts w:cs="Arial"/>
                          <w:i/>
                          <w:iCs/>
                          <w:lang w:val="fr-FR"/>
                        </w:rPr>
                        <w:t>Tortues marines</w:t>
                      </w:r>
                      <w:r>
                        <w:rPr>
                          <w:rFonts w:cs="Arial"/>
                          <w:lang w:val="fr-FR"/>
                        </w:rPr>
                        <w:t xml:space="preserve"> et des Décisions</w:t>
                      </w:r>
                      <w:r w:rsidR="00C421BB">
                        <w:rPr>
                          <w:rFonts w:cs="Arial"/>
                          <w:lang w:val="fr-FR"/>
                        </w:rPr>
                        <w:t> </w:t>
                      </w:r>
                      <w:r>
                        <w:rPr>
                          <w:rFonts w:cs="Arial"/>
                          <w:lang w:val="fr-FR"/>
                        </w:rPr>
                        <w:t xml:space="preserve">14.96–14.100 </w:t>
                      </w:r>
                      <w:bookmarkStart w:id="4" w:name="_Toc161996043"/>
                      <w:r>
                        <w:rPr>
                          <w:i/>
                          <w:iCs/>
                          <w:lang w:val="fr-FR"/>
                        </w:rPr>
                        <w:t>Plan d</w:t>
                      </w:r>
                      <w:r w:rsidR="00C2697F">
                        <w:rPr>
                          <w:i/>
                          <w:iCs/>
                          <w:lang w:val="fr-FR"/>
                        </w:rPr>
                        <w:t>’</w:t>
                      </w:r>
                      <w:r>
                        <w:rPr>
                          <w:i/>
                          <w:iCs/>
                          <w:lang w:val="fr-FR"/>
                        </w:rPr>
                        <w:t>action par espèce pour la tortue imbriquée (Eretmochelys imbricata) en Asie du Sud-Est et dans la région du Pacifique ouest</w:t>
                      </w:r>
                      <w:bookmarkEnd w:id="4"/>
                      <w:r>
                        <w:rPr>
                          <w:i/>
                          <w:iCs/>
                          <w:lang w:val="fr-FR"/>
                        </w:rPr>
                        <w:t>.</w:t>
                      </w:r>
                      <w:r>
                        <w:rPr>
                          <w:rFonts w:cs="Arial"/>
                          <w:lang w:val="fr-FR"/>
                        </w:rPr>
                        <w:t xml:space="preserve"> Le document propose l</w:t>
                      </w:r>
                      <w:r w:rsidR="00C2697F">
                        <w:rPr>
                          <w:rFonts w:cs="Arial"/>
                          <w:lang w:val="fr-FR"/>
                        </w:rPr>
                        <w:t>’</w:t>
                      </w:r>
                      <w:r>
                        <w:rPr>
                          <w:rFonts w:cs="Arial"/>
                          <w:lang w:val="fr-FR"/>
                        </w:rPr>
                        <w:t xml:space="preserve">adoption de décisions. </w:t>
                      </w:r>
                    </w:p>
                    <w:p w14:paraId="655F0A4D" w14:textId="77777777" w:rsidR="007F08AF" w:rsidRDefault="007F08AF">
                      <w:pPr>
                        <w:jc w:val="both"/>
                        <w:rPr>
                          <w:rFonts w:cs="Arial"/>
                          <w:lang w:val="fr-FR"/>
                        </w:rPr>
                      </w:pPr>
                    </w:p>
                    <w:p w14:paraId="0A1B0A89" w14:textId="56EAF9D2" w:rsidR="007F08AF" w:rsidRDefault="00000000">
                      <w:pPr>
                        <w:jc w:val="both"/>
                        <w:rPr>
                          <w:rFonts w:cs="Arial"/>
                          <w:lang w:val="fr-FR"/>
                        </w:rPr>
                      </w:pPr>
                      <w:r>
                        <w:rPr>
                          <w:rFonts w:cs="Arial"/>
                          <w:lang w:val="fr-FR"/>
                        </w:rPr>
                        <w:t>Le projet de décisions ci-joint contribuerait à la réalisation des Cibles</w:t>
                      </w:r>
                      <w:r w:rsidR="00C421BB">
                        <w:rPr>
                          <w:rFonts w:cs="Arial"/>
                          <w:lang w:val="fr-FR"/>
                        </w:rPr>
                        <w:t> </w:t>
                      </w:r>
                      <w:r>
                        <w:rPr>
                          <w:rFonts w:cs="Arial"/>
                          <w:lang w:val="fr-FR"/>
                        </w:rPr>
                        <w:t>1.3, 2.1–2.3,</w:t>
                      </w:r>
                      <w:r>
                        <w:rPr>
                          <w:rFonts w:cs="Arial"/>
                          <w:b/>
                          <w:lang w:val="fr-FR"/>
                        </w:rPr>
                        <w:t xml:space="preserve"> </w:t>
                      </w:r>
                      <w:r>
                        <w:rPr>
                          <w:rFonts w:cs="Arial"/>
                          <w:lang w:val="fr-FR"/>
                        </w:rPr>
                        <w:t>4.1, 3.1–3.5, et 6.4 du Plan stratégique de Samarcande pour les espèces migratrices</w:t>
                      </w:r>
                      <w:r w:rsidR="00C421BB">
                        <w:rPr>
                          <w:rFonts w:cs="Arial"/>
                          <w:lang w:val="fr-FR"/>
                        </w:rPr>
                        <w:t> </w:t>
                      </w:r>
                      <w:r>
                        <w:rPr>
                          <w:rFonts w:cs="Arial"/>
                          <w:lang w:val="fr-FR"/>
                        </w:rPr>
                        <w:t>2024</w:t>
                      </w:r>
                      <w:bookmarkStart w:id="5" w:name="_Hlk207955211"/>
                      <w:r>
                        <w:rPr>
                          <w:rFonts w:cs="Arial"/>
                          <w:lang w:val="fr-FR"/>
                        </w:rPr>
                        <w:t>–</w:t>
                      </w:r>
                      <w:bookmarkEnd w:id="5"/>
                      <w:r>
                        <w:rPr>
                          <w:rFonts w:cs="Arial"/>
                          <w:lang w:val="fr-FR"/>
                        </w:rPr>
                        <w:t>2032.</w:t>
                      </w:r>
                    </w:p>
                    <w:p w14:paraId="4A6FE616" w14:textId="77777777" w:rsidR="007F08AF" w:rsidRDefault="007F08AF">
                      <w:pPr>
                        <w:rPr>
                          <w:rFonts w:cs="Arial"/>
                          <w:lang w:val="fr-FR"/>
                        </w:rPr>
                      </w:pPr>
                    </w:p>
                  </w:txbxContent>
                </v:textbox>
              </v:shape>
            </w:pict>
          </mc:Fallback>
        </mc:AlternateContent>
      </w:r>
    </w:p>
    <w:p w14:paraId="41DABC4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F76956F"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34FBDC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52F8DD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C60A309"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125B5069"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54289234"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337DA85D"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6B0B898"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4A6A3FD"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37EE1C05"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44B5B01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930B4F4"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C9AA545"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43C31D7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F4EFA96"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3F00C7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B1BA92B" w14:textId="77777777" w:rsidR="007F08AF" w:rsidRPr="00E43B72" w:rsidRDefault="007F08AF">
      <w:pPr>
        <w:widowControl w:val="0"/>
        <w:tabs>
          <w:tab w:val="left" w:pos="7245"/>
        </w:tabs>
        <w:suppressAutoHyphens/>
        <w:autoSpaceDE w:val="0"/>
        <w:autoSpaceDN w:val="0"/>
        <w:textAlignment w:val="baseline"/>
        <w:rPr>
          <w:rFonts w:eastAsia="Times New Roman" w:cs="Arial"/>
          <w:sz w:val="21"/>
          <w:szCs w:val="21"/>
          <w:lang w:val="fr-FR"/>
        </w:rPr>
      </w:pPr>
    </w:p>
    <w:p w14:paraId="5F35B255" w14:textId="77777777" w:rsidR="007F08AF" w:rsidRPr="00E43B72" w:rsidRDefault="007F08AF">
      <w:pPr>
        <w:widowControl w:val="0"/>
        <w:suppressAutoHyphens/>
        <w:autoSpaceDE w:val="0"/>
        <w:autoSpaceDN w:val="0"/>
        <w:textAlignment w:val="baseline"/>
        <w:rPr>
          <w:rFonts w:eastAsia="Times New Roman" w:cs="Arial"/>
          <w:lang w:val="fr-FR"/>
        </w:rPr>
      </w:pPr>
    </w:p>
    <w:p w14:paraId="2A074D4F" w14:textId="77777777" w:rsidR="007F08AF" w:rsidRPr="00E43B72" w:rsidRDefault="007F08AF">
      <w:pPr>
        <w:widowControl w:val="0"/>
        <w:suppressAutoHyphens/>
        <w:autoSpaceDE w:val="0"/>
        <w:autoSpaceDN w:val="0"/>
        <w:textAlignment w:val="baseline"/>
        <w:rPr>
          <w:rFonts w:eastAsia="Times New Roman" w:cs="Arial"/>
          <w:lang w:val="fr-FR"/>
        </w:rPr>
      </w:pPr>
    </w:p>
    <w:p w14:paraId="752D8EC9" w14:textId="77777777" w:rsidR="007F08AF" w:rsidRPr="00E43B72" w:rsidRDefault="007F08AF">
      <w:pPr>
        <w:rPr>
          <w:lang w:val="fr-FR"/>
        </w:rPr>
      </w:pPr>
    </w:p>
    <w:p w14:paraId="6FCBB2F9" w14:textId="77777777" w:rsidR="007F08AF" w:rsidRPr="00E43B72" w:rsidRDefault="007F08AF">
      <w:pPr>
        <w:rPr>
          <w:lang w:val="fr-FR"/>
        </w:rPr>
      </w:pPr>
    </w:p>
    <w:p w14:paraId="749DE155" w14:textId="77777777" w:rsidR="007F08AF" w:rsidRPr="00E43B72" w:rsidRDefault="007F08AF">
      <w:pPr>
        <w:rPr>
          <w:lang w:val="fr-FR"/>
        </w:rPr>
      </w:pPr>
    </w:p>
    <w:p w14:paraId="4822061F" w14:textId="77777777" w:rsidR="007F08AF" w:rsidRPr="00E43B72" w:rsidRDefault="007F08AF">
      <w:pPr>
        <w:rPr>
          <w:lang w:val="fr-FR"/>
        </w:rPr>
        <w:sectPr w:rsidR="007F08AF" w:rsidRPr="00E43B72">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5C51AB3A" w14:textId="77777777" w:rsidR="007F08AF" w:rsidRPr="00E43B72" w:rsidRDefault="00000000">
      <w:pPr>
        <w:pStyle w:val="Title1"/>
        <w:rPr>
          <w:lang w:val="fr-FR"/>
        </w:rPr>
      </w:pPr>
      <w:r w:rsidRPr="00E43B72">
        <w:rPr>
          <w:lang w:val="fr-FR"/>
        </w:rPr>
        <w:lastRenderedPageBreak/>
        <w:t>TORTUES MARINES</w:t>
      </w:r>
    </w:p>
    <w:p w14:paraId="4422B35A" w14:textId="77777777" w:rsidR="007F08AF" w:rsidRPr="00E43B72" w:rsidRDefault="007F08AF">
      <w:pPr>
        <w:rPr>
          <w:lang w:val="fr-FR"/>
        </w:rPr>
      </w:pPr>
    </w:p>
    <w:p w14:paraId="02475107" w14:textId="77777777" w:rsidR="007F08AF" w:rsidRPr="00E43B72" w:rsidRDefault="007F08AF">
      <w:pPr>
        <w:suppressAutoHyphens/>
        <w:autoSpaceDN w:val="0"/>
        <w:textAlignment w:val="baseline"/>
        <w:rPr>
          <w:rFonts w:eastAsia="Calibri" w:cs="Arial"/>
          <w:lang w:val="fr-FR"/>
        </w:rPr>
      </w:pPr>
    </w:p>
    <w:p w14:paraId="04FC180B" w14:textId="77777777" w:rsidR="007F08AF" w:rsidRPr="00E43B72" w:rsidRDefault="00000000">
      <w:pPr>
        <w:suppressAutoHyphens/>
        <w:autoSpaceDN w:val="0"/>
        <w:textAlignment w:val="baseline"/>
        <w:rPr>
          <w:rFonts w:eastAsia="Calibri" w:cs="Arial"/>
          <w:u w:val="single"/>
          <w:lang w:val="fr-FR"/>
        </w:rPr>
      </w:pPr>
      <w:r w:rsidRPr="00E43B72">
        <w:rPr>
          <w:rFonts w:eastAsia="Calibri" w:cs="Arial"/>
          <w:u w:val="single"/>
          <w:lang w:val="fr-FR"/>
        </w:rPr>
        <w:t>Contexte</w:t>
      </w:r>
    </w:p>
    <w:p w14:paraId="56330EB3" w14:textId="77777777" w:rsidR="007F08AF" w:rsidRPr="00E43B72" w:rsidRDefault="007F08AF">
      <w:pPr>
        <w:rPr>
          <w:lang w:val="fr-FR"/>
        </w:rPr>
      </w:pPr>
    </w:p>
    <w:p w14:paraId="7FC7DC67" w14:textId="1B4069D3" w:rsidR="007F08AF" w:rsidRPr="00E43B72" w:rsidRDefault="00000000" w:rsidP="00BA512F">
      <w:pPr>
        <w:widowControl w:val="0"/>
        <w:numPr>
          <w:ilvl w:val="0"/>
          <w:numId w:val="4"/>
        </w:numPr>
        <w:autoSpaceDE w:val="0"/>
        <w:autoSpaceDN w:val="0"/>
        <w:adjustRightInd w:val="0"/>
        <w:ind w:left="567" w:hanging="567"/>
        <w:jc w:val="both"/>
        <w:rPr>
          <w:lang w:val="fr-FR"/>
        </w:rPr>
      </w:pPr>
      <w:r w:rsidRPr="00E43B72">
        <w:rPr>
          <w:lang w:val="fr-FR"/>
        </w:rPr>
        <w:t>Il existe actuellement deux Mémorandums d</w:t>
      </w:r>
      <w:r w:rsidR="00C2697F" w:rsidRPr="00E43B72">
        <w:rPr>
          <w:lang w:val="fr-FR"/>
        </w:rPr>
        <w:t>’</w:t>
      </w:r>
      <w:r w:rsidRPr="00E43B72">
        <w:rPr>
          <w:lang w:val="fr-FR"/>
        </w:rPr>
        <w:t>entente (MdE) au titre de la CMS qui répondent aux besoins de conservation des tortues marines dans un contexte régional. Il s</w:t>
      </w:r>
      <w:r w:rsidR="00C2697F" w:rsidRPr="00E43B72">
        <w:rPr>
          <w:lang w:val="fr-FR"/>
        </w:rPr>
        <w:t>’</w:t>
      </w:r>
      <w:r w:rsidRPr="00E43B72">
        <w:rPr>
          <w:lang w:val="fr-FR"/>
        </w:rPr>
        <w:t>agit du Mémorandum d</w:t>
      </w:r>
      <w:r w:rsidR="00C2697F" w:rsidRPr="00E43B72">
        <w:rPr>
          <w:lang w:val="fr-FR"/>
        </w:rPr>
        <w:t>’</w:t>
      </w:r>
      <w:r w:rsidRPr="00E43B72">
        <w:rPr>
          <w:lang w:val="fr-FR"/>
        </w:rPr>
        <w:t>accord sur les mesures de conservation pour les tortues marines de la côte atlantique de l</w:t>
      </w:r>
      <w:r w:rsidR="00C2697F" w:rsidRPr="00E43B72">
        <w:rPr>
          <w:lang w:val="fr-FR"/>
        </w:rPr>
        <w:t>’</w:t>
      </w:r>
      <w:r w:rsidRPr="00E43B72">
        <w:rPr>
          <w:lang w:val="fr-FR"/>
        </w:rPr>
        <w:t>Afrique (</w:t>
      </w:r>
      <w:hyperlink r:id="rId17" w:history="1">
        <w:r w:rsidR="007F08AF" w:rsidRPr="00E43B72">
          <w:rPr>
            <w:rStyle w:val="Hyperlink"/>
            <w:lang w:val="fr-FR"/>
          </w:rPr>
          <w:t>Abidjan/MdA Tortues Atlantiques)</w:t>
        </w:r>
      </w:hyperlink>
      <w:r w:rsidRPr="00E43B72">
        <w:rPr>
          <w:lang w:val="fr-FR"/>
        </w:rPr>
        <w:t>, 1999), et le Mémorandum d</w:t>
      </w:r>
      <w:r w:rsidR="00C2697F" w:rsidRPr="00E43B72">
        <w:rPr>
          <w:lang w:val="fr-FR"/>
        </w:rPr>
        <w:t>’</w:t>
      </w:r>
      <w:r w:rsidRPr="00E43B72">
        <w:rPr>
          <w:lang w:val="fr-FR"/>
        </w:rPr>
        <w:t>entente sur la conservation et la gestion des tortues marines et de leurs habitats dans l</w:t>
      </w:r>
      <w:r w:rsidR="00C2697F" w:rsidRPr="00E43B72">
        <w:rPr>
          <w:lang w:val="fr-FR"/>
        </w:rPr>
        <w:t>’</w:t>
      </w:r>
      <w:r w:rsidRPr="00E43B72">
        <w:rPr>
          <w:lang w:val="fr-FR"/>
        </w:rPr>
        <w:t>océan indien et l</w:t>
      </w:r>
      <w:r w:rsidR="00C2697F" w:rsidRPr="00E43B72">
        <w:rPr>
          <w:lang w:val="fr-FR"/>
        </w:rPr>
        <w:t>’</w:t>
      </w:r>
      <w:r w:rsidRPr="00E43B72">
        <w:rPr>
          <w:lang w:val="fr-FR"/>
        </w:rPr>
        <w:t>Asie du Sud-Est (</w:t>
      </w:r>
      <w:hyperlink r:id="rId18" w:history="1">
        <w:r w:rsidR="007F08AF" w:rsidRPr="00E43B72">
          <w:rPr>
            <w:rStyle w:val="Hyperlink"/>
            <w:lang w:val="fr-FR"/>
          </w:rPr>
          <w:t>MdE sur les tortues marines de l’IOSEA</w:t>
        </w:r>
      </w:hyperlink>
      <w:r w:rsidRPr="00E43B72">
        <w:rPr>
          <w:lang w:val="fr-FR"/>
        </w:rPr>
        <w:t xml:space="preserve">, 2001). </w:t>
      </w:r>
    </w:p>
    <w:p w14:paraId="315F6836" w14:textId="77777777" w:rsidR="007F08AF" w:rsidRPr="00E43B72" w:rsidRDefault="007F08AF">
      <w:pPr>
        <w:widowControl w:val="0"/>
        <w:autoSpaceDE w:val="0"/>
        <w:autoSpaceDN w:val="0"/>
        <w:adjustRightInd w:val="0"/>
        <w:ind w:left="567"/>
        <w:jc w:val="both"/>
        <w:rPr>
          <w:lang w:val="fr-FR"/>
        </w:rPr>
      </w:pPr>
    </w:p>
    <w:p w14:paraId="342D9EC8" w14:textId="3FD5C686" w:rsidR="007F08AF" w:rsidRPr="00E43B72" w:rsidRDefault="00000000" w:rsidP="00BA512F">
      <w:pPr>
        <w:widowControl w:val="0"/>
        <w:numPr>
          <w:ilvl w:val="0"/>
          <w:numId w:val="4"/>
        </w:numPr>
        <w:autoSpaceDE w:val="0"/>
        <w:autoSpaceDN w:val="0"/>
        <w:adjustRightInd w:val="0"/>
        <w:ind w:left="567" w:hanging="567"/>
        <w:jc w:val="both"/>
        <w:rPr>
          <w:lang w:val="fr-FR"/>
        </w:rPr>
      </w:pPr>
      <w:r w:rsidRPr="00E43B72">
        <w:rPr>
          <w:lang w:val="fr-FR"/>
        </w:rPr>
        <w:t>En outre, les Parties à la CMS ont adopté deux Plans d</w:t>
      </w:r>
      <w:r w:rsidR="00C2697F" w:rsidRPr="00E43B72">
        <w:rPr>
          <w:lang w:val="fr-FR"/>
        </w:rPr>
        <w:t>’</w:t>
      </w:r>
      <w:r w:rsidRPr="00E43B72">
        <w:rPr>
          <w:lang w:val="fr-FR"/>
        </w:rPr>
        <w:t>action par espèce, l</w:t>
      </w:r>
      <w:r w:rsidR="00C2697F" w:rsidRPr="00E43B72">
        <w:rPr>
          <w:lang w:val="fr-FR"/>
        </w:rPr>
        <w:t>’</w:t>
      </w:r>
      <w:r w:rsidRPr="00E43B72">
        <w:rPr>
          <w:lang w:val="fr-FR"/>
        </w:rPr>
        <w:t xml:space="preserve">un pour la </w:t>
      </w:r>
      <w:r w:rsidRPr="00E43B72">
        <w:rPr>
          <w:color w:val="000000" w:themeColor="text1"/>
          <w:lang w:val="fr-FR"/>
        </w:rPr>
        <w:t xml:space="preserve">tortue Caouanne </w:t>
      </w:r>
      <w:r w:rsidRPr="00E43B72">
        <w:rPr>
          <w:lang w:val="fr-FR"/>
        </w:rPr>
        <w:t>(</w:t>
      </w:r>
      <w:r w:rsidRPr="00E43B72">
        <w:rPr>
          <w:i/>
          <w:iCs/>
          <w:lang w:val="fr-FR"/>
        </w:rPr>
        <w:t>Caretta caretta</w:t>
      </w:r>
      <w:r w:rsidRPr="00E43B72">
        <w:rPr>
          <w:lang w:val="fr-FR"/>
        </w:rPr>
        <w:t>) dans l</w:t>
      </w:r>
      <w:r w:rsidR="00C2697F" w:rsidRPr="00E43B72">
        <w:rPr>
          <w:lang w:val="fr-FR"/>
        </w:rPr>
        <w:t>’</w:t>
      </w:r>
      <w:r w:rsidRPr="00E43B72">
        <w:rPr>
          <w:lang w:val="fr-FR"/>
        </w:rPr>
        <w:t>océan Pacifique Sud (</w:t>
      </w:r>
      <w:hyperlink r:id="rId19">
        <w:r w:rsidR="007F08AF" w:rsidRPr="00E43B72">
          <w:rPr>
            <w:rStyle w:val="Hyperlink"/>
            <w:lang w:val="fr-FR"/>
          </w:rPr>
          <w:t>Résolution 11.21</w:t>
        </w:r>
      </w:hyperlink>
      <w:r w:rsidRPr="00E43B72">
        <w:rPr>
          <w:lang w:val="fr-FR"/>
        </w:rPr>
        <w:t>, 2014), et l</w:t>
      </w:r>
      <w:r w:rsidR="00C2697F" w:rsidRPr="00E43B72">
        <w:rPr>
          <w:lang w:val="fr-FR"/>
        </w:rPr>
        <w:t>’</w:t>
      </w:r>
      <w:r w:rsidRPr="00E43B72">
        <w:rPr>
          <w:lang w:val="fr-FR"/>
        </w:rPr>
        <w:t xml:space="preserve">autre pour la </w:t>
      </w:r>
      <w:r w:rsidRPr="00E43B72">
        <w:rPr>
          <w:color w:val="000000" w:themeColor="text1"/>
          <w:lang w:val="fr-FR"/>
        </w:rPr>
        <w:t xml:space="preserve">tortue imbriquée </w:t>
      </w:r>
      <w:r w:rsidRPr="00E43B72">
        <w:rPr>
          <w:lang w:val="fr-FR"/>
        </w:rPr>
        <w:t>(</w:t>
      </w:r>
      <w:r w:rsidRPr="00E43B72">
        <w:rPr>
          <w:i/>
          <w:iCs/>
          <w:lang w:val="fr-FR"/>
        </w:rPr>
        <w:t>Eretmochelys imbricata</w:t>
      </w:r>
      <w:r w:rsidRPr="00E43B72">
        <w:rPr>
          <w:lang w:val="fr-FR"/>
        </w:rPr>
        <w:t>) en Asie du Sud-Est et dans l</w:t>
      </w:r>
      <w:r w:rsidR="00C2697F" w:rsidRPr="00E43B72">
        <w:rPr>
          <w:lang w:val="fr-FR"/>
        </w:rPr>
        <w:t>’</w:t>
      </w:r>
      <w:r w:rsidRPr="00E43B72">
        <w:rPr>
          <w:lang w:val="fr-FR"/>
        </w:rPr>
        <w:t>océan Pacifique ouest (</w:t>
      </w:r>
      <w:hyperlink r:id="rId20">
        <w:r w:rsidR="007F08AF" w:rsidRPr="00E43B72">
          <w:rPr>
            <w:rStyle w:val="Hyperlink"/>
            <w:lang w:val="fr-FR"/>
          </w:rPr>
          <w:t>Résolution 14.11</w:t>
        </w:r>
      </w:hyperlink>
      <w:r w:rsidRPr="00E43B72">
        <w:rPr>
          <w:lang w:val="fr-FR"/>
        </w:rPr>
        <w:t>, 2024).</w:t>
      </w:r>
    </w:p>
    <w:p w14:paraId="55313D37" w14:textId="77777777" w:rsidR="007F08AF" w:rsidRPr="00E43B72" w:rsidRDefault="007F08AF">
      <w:pPr>
        <w:widowControl w:val="0"/>
        <w:autoSpaceDE w:val="0"/>
        <w:autoSpaceDN w:val="0"/>
        <w:adjustRightInd w:val="0"/>
        <w:ind w:left="567"/>
        <w:jc w:val="both"/>
        <w:rPr>
          <w:lang w:val="fr-FR"/>
        </w:rPr>
      </w:pPr>
    </w:p>
    <w:p w14:paraId="5D0649A9" w14:textId="33C8F7EB" w:rsidR="007F08AF" w:rsidRPr="00E43B72" w:rsidRDefault="00000000" w:rsidP="00BA512F">
      <w:pPr>
        <w:widowControl w:val="0"/>
        <w:numPr>
          <w:ilvl w:val="0"/>
          <w:numId w:val="4"/>
        </w:numPr>
        <w:autoSpaceDE w:val="0"/>
        <w:autoSpaceDN w:val="0"/>
        <w:adjustRightInd w:val="0"/>
        <w:spacing w:after="80"/>
        <w:ind w:left="567" w:hanging="567"/>
        <w:jc w:val="both"/>
        <w:rPr>
          <w:lang w:val="fr-FR"/>
        </w:rPr>
      </w:pPr>
      <w:r w:rsidRPr="00E43B72">
        <w:rPr>
          <w:lang w:val="fr-FR"/>
        </w:rPr>
        <w:t>Le présent document contient les sections suivantes, chacune relative aux décisions correspondantes de la COP14</w:t>
      </w:r>
      <w:r w:rsidR="00C421BB" w:rsidRPr="00E43B72">
        <w:rPr>
          <w:lang w:val="fr-FR"/>
        </w:rPr>
        <w:t> :</w:t>
      </w:r>
    </w:p>
    <w:p w14:paraId="5544BAB3" w14:textId="77777777" w:rsidR="007F08AF" w:rsidRPr="00E43B72" w:rsidRDefault="00000000" w:rsidP="00BA512F">
      <w:pPr>
        <w:pStyle w:val="ListParagraph"/>
        <w:numPr>
          <w:ilvl w:val="0"/>
          <w:numId w:val="11"/>
        </w:numPr>
        <w:suppressAutoHyphens/>
        <w:autoSpaceDN w:val="0"/>
        <w:spacing w:after="80"/>
        <w:ind w:left="993" w:hanging="426"/>
        <w:contextualSpacing w:val="0"/>
        <w:textAlignment w:val="baseline"/>
        <w:rPr>
          <w:rFonts w:eastAsia="Calibri" w:cs="Arial"/>
          <w:lang w:val="fr-FR"/>
        </w:rPr>
      </w:pPr>
      <w:r w:rsidRPr="00E43B72">
        <w:rPr>
          <w:rFonts w:eastAsia="Calibri" w:cs="Arial"/>
          <w:lang w:val="fr-FR"/>
        </w:rPr>
        <w:t>Tortues marines</w:t>
      </w:r>
    </w:p>
    <w:p w14:paraId="48BB4ADB" w14:textId="2F5BDB11" w:rsidR="007F08AF" w:rsidRPr="00E43B72" w:rsidRDefault="00000000" w:rsidP="00BA512F">
      <w:pPr>
        <w:pStyle w:val="ListParagraph"/>
        <w:numPr>
          <w:ilvl w:val="0"/>
          <w:numId w:val="11"/>
        </w:numPr>
        <w:suppressAutoHyphens/>
        <w:autoSpaceDN w:val="0"/>
        <w:ind w:left="993" w:hanging="426"/>
        <w:contextualSpacing w:val="0"/>
        <w:textAlignment w:val="baseline"/>
        <w:rPr>
          <w:rFonts w:eastAsia="Calibri" w:cs="Arial"/>
          <w:lang w:val="fr-FR"/>
        </w:rPr>
      </w:pPr>
      <w:r w:rsidRPr="00E43B72">
        <w:rPr>
          <w:rFonts w:eastAsia="Calibri" w:cs="Arial"/>
          <w:lang w:val="fr-FR"/>
        </w:rPr>
        <w:t>Plan d</w:t>
      </w:r>
      <w:r w:rsidR="00C2697F" w:rsidRPr="00E43B72">
        <w:rPr>
          <w:rFonts w:eastAsia="Calibri" w:cs="Arial"/>
          <w:lang w:val="fr-FR"/>
        </w:rPr>
        <w:t>’</w:t>
      </w:r>
      <w:r w:rsidRPr="00E43B72">
        <w:rPr>
          <w:rFonts w:eastAsia="Calibri" w:cs="Arial"/>
          <w:lang w:val="fr-FR"/>
        </w:rPr>
        <w:t>action par espèce pour la Tortue imbriquée (</w:t>
      </w:r>
      <w:r w:rsidRPr="00E43B72">
        <w:rPr>
          <w:rFonts w:eastAsia="Calibri" w:cs="Arial"/>
          <w:i/>
          <w:iCs/>
          <w:lang w:val="fr-FR"/>
        </w:rPr>
        <w:t>Eretmochelys imbricata</w:t>
      </w:r>
      <w:r w:rsidRPr="00E43B72">
        <w:rPr>
          <w:rFonts w:eastAsia="Calibri" w:cs="Arial"/>
          <w:lang w:val="fr-FR"/>
        </w:rPr>
        <w:t>) en Asie du Sud-Est et dans la région du Pacifique ouest</w:t>
      </w:r>
    </w:p>
    <w:p w14:paraId="543387A1" w14:textId="77777777" w:rsidR="007F08AF" w:rsidRPr="00E43B72" w:rsidRDefault="007F08AF">
      <w:pPr>
        <w:widowControl w:val="0"/>
        <w:autoSpaceDE w:val="0"/>
        <w:autoSpaceDN w:val="0"/>
        <w:adjustRightInd w:val="0"/>
        <w:jc w:val="both"/>
        <w:rPr>
          <w:lang w:val="fr-FR"/>
        </w:rPr>
      </w:pPr>
    </w:p>
    <w:p w14:paraId="57E6FDAF" w14:textId="77777777" w:rsidR="007F08AF" w:rsidRPr="00E43B72" w:rsidRDefault="00000000" w:rsidP="00BA512F">
      <w:pPr>
        <w:pStyle w:val="ListParagraph"/>
        <w:widowControl w:val="0"/>
        <w:numPr>
          <w:ilvl w:val="0"/>
          <w:numId w:val="12"/>
        </w:numPr>
        <w:autoSpaceDE w:val="0"/>
        <w:autoSpaceDN w:val="0"/>
        <w:adjustRightInd w:val="0"/>
        <w:ind w:left="567" w:hanging="567"/>
        <w:jc w:val="both"/>
        <w:rPr>
          <w:u w:val="single"/>
          <w:lang w:val="fr-FR"/>
        </w:rPr>
      </w:pPr>
      <w:r w:rsidRPr="00E43B72">
        <w:rPr>
          <w:u w:val="single"/>
          <w:lang w:val="fr-FR"/>
        </w:rPr>
        <w:t>Tortues marines</w:t>
      </w:r>
    </w:p>
    <w:p w14:paraId="539F0661" w14:textId="77777777" w:rsidR="007F08AF" w:rsidRPr="00E43B72" w:rsidRDefault="007F08AF">
      <w:pPr>
        <w:widowControl w:val="0"/>
        <w:autoSpaceDE w:val="0"/>
        <w:autoSpaceDN w:val="0"/>
        <w:adjustRightInd w:val="0"/>
        <w:ind w:left="567"/>
        <w:jc w:val="both"/>
        <w:rPr>
          <w:rFonts w:cs="Arial"/>
          <w:lang w:val="fr-FR"/>
        </w:rPr>
      </w:pPr>
    </w:p>
    <w:p w14:paraId="16C48EFB" w14:textId="7EC30997" w:rsidR="007F08AF" w:rsidRPr="00E43B72" w:rsidRDefault="00000000" w:rsidP="00BA512F">
      <w:pPr>
        <w:widowControl w:val="0"/>
        <w:numPr>
          <w:ilvl w:val="0"/>
          <w:numId w:val="5"/>
        </w:numPr>
        <w:autoSpaceDE w:val="0"/>
        <w:autoSpaceDN w:val="0"/>
        <w:adjustRightInd w:val="0"/>
        <w:ind w:left="567" w:hanging="567"/>
        <w:jc w:val="both"/>
        <w:rPr>
          <w:rFonts w:cs="Arial"/>
          <w:lang w:val="fr-FR"/>
        </w:rPr>
      </w:pPr>
      <w:r w:rsidRPr="00E43B72">
        <w:rPr>
          <w:rFonts w:cs="Arial"/>
          <w:lang w:val="fr-FR"/>
        </w:rPr>
        <w:t>Les décisions suivantes ont été adoptées par la COP14 à cet égard</w:t>
      </w:r>
      <w:r w:rsidR="00C421BB" w:rsidRPr="00E43B72">
        <w:rPr>
          <w:rFonts w:cs="Arial"/>
          <w:lang w:val="fr-FR"/>
        </w:rPr>
        <w:t> :</w:t>
      </w:r>
    </w:p>
    <w:p w14:paraId="0DAE0190" w14:textId="77777777" w:rsidR="007F08AF" w:rsidRPr="00E43B72" w:rsidRDefault="007F08AF">
      <w:pPr>
        <w:widowControl w:val="0"/>
        <w:autoSpaceDE w:val="0"/>
        <w:autoSpaceDN w:val="0"/>
        <w:adjustRightInd w:val="0"/>
        <w:ind w:left="567"/>
        <w:rPr>
          <w:rFonts w:cs="Arial"/>
          <w:b/>
          <w:i/>
          <w:sz w:val="21"/>
          <w:szCs w:val="21"/>
          <w:lang w:val="fr-FR"/>
        </w:rPr>
      </w:pPr>
    </w:p>
    <w:p w14:paraId="7B8FC515" w14:textId="5588BC4D" w:rsidR="00F11558" w:rsidRPr="008C70E8" w:rsidRDefault="00000000" w:rsidP="008C70E8">
      <w:pPr>
        <w:ind w:left="851"/>
        <w:rPr>
          <w:rFonts w:cs="Arial"/>
          <w:bCs/>
          <w:iCs/>
          <w:sz w:val="20"/>
          <w:szCs w:val="20"/>
          <w:lang w:val="fr-FR"/>
        </w:rPr>
      </w:pPr>
      <w:r w:rsidRPr="008C70E8">
        <w:rPr>
          <w:rFonts w:cs="Arial"/>
          <w:b/>
          <w:i/>
          <w:sz w:val="20"/>
          <w:szCs w:val="20"/>
          <w:lang w:val="fr-FR"/>
        </w:rPr>
        <w:t xml:space="preserve">14.93 </w:t>
      </w:r>
      <w:r w:rsidR="00F11558" w:rsidRPr="008C70E8">
        <w:rPr>
          <w:rFonts w:cs="Arial"/>
          <w:b/>
          <w:i/>
          <w:sz w:val="20"/>
          <w:szCs w:val="20"/>
          <w:lang w:val="fr-FR"/>
        </w:rPr>
        <w:t>À l’adresse des Parties</w:t>
      </w:r>
    </w:p>
    <w:p w14:paraId="007EEB51" w14:textId="3AD3D1FB" w:rsidR="007F08AF" w:rsidRPr="008C70E8" w:rsidRDefault="007F08AF" w:rsidP="008C70E8">
      <w:pPr>
        <w:widowControl w:val="0"/>
        <w:autoSpaceDE w:val="0"/>
        <w:autoSpaceDN w:val="0"/>
        <w:adjustRightInd w:val="0"/>
        <w:ind w:left="851"/>
        <w:rPr>
          <w:rFonts w:cs="Arial"/>
          <w:i/>
          <w:sz w:val="20"/>
          <w:szCs w:val="20"/>
          <w:lang w:val="fr-FR"/>
        </w:rPr>
      </w:pPr>
    </w:p>
    <w:p w14:paraId="1049A325" w14:textId="0570DA6C" w:rsidR="007F08AF" w:rsidRPr="008C70E8" w:rsidRDefault="00F11558" w:rsidP="008C70E8">
      <w:pPr>
        <w:widowControl w:val="0"/>
        <w:autoSpaceDE w:val="0"/>
        <w:autoSpaceDN w:val="0"/>
        <w:adjustRightInd w:val="0"/>
        <w:ind w:left="851"/>
        <w:jc w:val="both"/>
        <w:rPr>
          <w:rFonts w:cs="Arial"/>
          <w:i/>
          <w:sz w:val="20"/>
          <w:szCs w:val="20"/>
          <w:lang w:val="fr-FR"/>
        </w:rPr>
      </w:pPr>
      <w:r w:rsidRPr="008C70E8">
        <w:rPr>
          <w:rFonts w:cs="Arial"/>
          <w:i/>
          <w:sz w:val="20"/>
          <w:szCs w:val="20"/>
          <w:lang w:val="fr-FR"/>
        </w:rPr>
        <w:t>Les Parties sont encouragées à fournir un financement au Secrétariat afin d’obtenir l’expertise externe nécessaire à l’élaboration d’un examen de projet et de recommandations pour examen par le Conseil scientifique comme prévu dans la Décision 14.94.</w:t>
      </w:r>
    </w:p>
    <w:p w14:paraId="4151ECDA" w14:textId="77777777" w:rsidR="00F11558" w:rsidRPr="008C70E8" w:rsidRDefault="00F11558" w:rsidP="008C70E8">
      <w:pPr>
        <w:widowControl w:val="0"/>
        <w:autoSpaceDE w:val="0"/>
        <w:autoSpaceDN w:val="0"/>
        <w:adjustRightInd w:val="0"/>
        <w:ind w:left="851"/>
        <w:jc w:val="both"/>
        <w:rPr>
          <w:rFonts w:cs="Arial"/>
          <w:i/>
          <w:sz w:val="20"/>
          <w:szCs w:val="20"/>
          <w:lang w:val="fr-FR"/>
        </w:rPr>
      </w:pPr>
    </w:p>
    <w:p w14:paraId="74047A5F" w14:textId="00A47DE0" w:rsidR="007F08AF" w:rsidRPr="008C70E8" w:rsidRDefault="00000000" w:rsidP="008C70E8">
      <w:pPr>
        <w:widowControl w:val="0"/>
        <w:autoSpaceDE w:val="0"/>
        <w:autoSpaceDN w:val="0"/>
        <w:adjustRightInd w:val="0"/>
        <w:ind w:left="851"/>
        <w:jc w:val="both"/>
        <w:rPr>
          <w:rFonts w:cs="Arial"/>
          <w:b/>
          <w:i/>
          <w:sz w:val="20"/>
          <w:szCs w:val="20"/>
          <w:lang w:val="fr-FR"/>
        </w:rPr>
      </w:pPr>
      <w:r w:rsidRPr="008C70E8">
        <w:rPr>
          <w:rFonts w:cs="Arial"/>
          <w:b/>
          <w:i/>
          <w:sz w:val="20"/>
          <w:szCs w:val="20"/>
          <w:lang w:val="fr-FR"/>
        </w:rPr>
        <w:t xml:space="preserve">14.94 </w:t>
      </w:r>
      <w:r w:rsidR="00F11558" w:rsidRPr="008C70E8">
        <w:rPr>
          <w:rFonts w:cs="Arial"/>
          <w:b/>
          <w:i/>
          <w:sz w:val="20"/>
          <w:szCs w:val="20"/>
          <w:lang w:val="fr-FR"/>
        </w:rPr>
        <w:t>À l’adresse du Conseil scientifique</w:t>
      </w:r>
    </w:p>
    <w:p w14:paraId="6AD79259" w14:textId="77777777" w:rsidR="007F08AF" w:rsidRPr="008C70E8" w:rsidRDefault="007F08AF">
      <w:pPr>
        <w:widowControl w:val="0"/>
        <w:autoSpaceDE w:val="0"/>
        <w:autoSpaceDN w:val="0"/>
        <w:adjustRightInd w:val="0"/>
        <w:ind w:left="709"/>
        <w:jc w:val="both"/>
        <w:rPr>
          <w:rFonts w:cs="Arial"/>
          <w:b/>
          <w:i/>
          <w:sz w:val="20"/>
          <w:szCs w:val="20"/>
          <w:lang w:val="fr-FR"/>
        </w:rPr>
      </w:pPr>
    </w:p>
    <w:p w14:paraId="69BAE6D0" w14:textId="2B47C064" w:rsidR="00F11558" w:rsidRPr="008C70E8" w:rsidRDefault="00F11558" w:rsidP="008C70E8">
      <w:pPr>
        <w:ind w:left="851"/>
        <w:rPr>
          <w:rFonts w:cs="Arial"/>
          <w:i/>
          <w:sz w:val="20"/>
          <w:szCs w:val="20"/>
          <w:lang w:val="fr-FR"/>
        </w:rPr>
      </w:pPr>
      <w:r w:rsidRPr="008C70E8">
        <w:rPr>
          <w:rFonts w:cs="Arial"/>
          <w:i/>
          <w:sz w:val="20"/>
          <w:szCs w:val="20"/>
          <w:lang w:val="fr-FR"/>
        </w:rPr>
        <w:t>Le Conseil scientifique est prié, sous réserve de la disponibilité des ressources :</w:t>
      </w:r>
    </w:p>
    <w:p w14:paraId="2576F401" w14:textId="77777777" w:rsidR="00F11558" w:rsidRPr="001479BD" w:rsidRDefault="00F11558" w:rsidP="001479BD">
      <w:pPr>
        <w:ind w:left="851" w:hanging="318"/>
        <w:jc w:val="both"/>
        <w:rPr>
          <w:rFonts w:cs="Arial"/>
          <w:i/>
          <w:iCs/>
          <w:sz w:val="20"/>
          <w:szCs w:val="20"/>
          <w:lang w:val="fr-FR"/>
        </w:rPr>
      </w:pPr>
    </w:p>
    <w:p w14:paraId="23322944" w14:textId="0B16C117" w:rsidR="00F11558" w:rsidRPr="001479BD" w:rsidRDefault="00F11558" w:rsidP="008A601A">
      <w:pPr>
        <w:numPr>
          <w:ilvl w:val="0"/>
          <w:numId w:val="18"/>
        </w:numPr>
        <w:suppressAutoHyphens/>
        <w:adjustRightInd w:val="0"/>
        <w:spacing w:after="80"/>
        <w:ind w:left="1276" w:hanging="425"/>
        <w:jc w:val="both"/>
        <w:rPr>
          <w:rFonts w:cs="Arial"/>
          <w:i/>
          <w:iCs/>
          <w:sz w:val="20"/>
          <w:szCs w:val="20"/>
          <w:lang w:val="fr-FR"/>
        </w:rPr>
      </w:pPr>
      <w:r w:rsidRPr="001479BD">
        <w:rPr>
          <w:rFonts w:cs="Arial"/>
          <w:i/>
          <w:iCs/>
          <w:sz w:val="20"/>
          <w:szCs w:val="20"/>
          <w:lang w:val="fr-FR"/>
        </w:rPr>
        <w:t xml:space="preserve">d’examiner, dans la mesure du possible en collaboration avec le Mémorandum d’entente sur la conservation et la gestion des tortues marines et de leurs habitats dans l’Océan Indien et l’Asie du sud-est (MdE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 les menaces de la pollution par le plastique et de la pollution lumineuse sur les jeunes après l’éclosion, et l’identification d’habitats qui résistent aux changements climatiques, car ces habitats auront besoin de mesures de conservation plus vigoureuses au fil du temps ; et </w:t>
      </w:r>
    </w:p>
    <w:p w14:paraId="5665DC96" w14:textId="77777777" w:rsidR="00F11558" w:rsidRPr="001479BD" w:rsidRDefault="00F11558" w:rsidP="001479BD">
      <w:pPr>
        <w:numPr>
          <w:ilvl w:val="0"/>
          <w:numId w:val="18"/>
        </w:numPr>
        <w:suppressAutoHyphens/>
        <w:adjustRightInd w:val="0"/>
        <w:ind w:left="1276" w:hanging="425"/>
        <w:contextualSpacing/>
        <w:jc w:val="both"/>
        <w:rPr>
          <w:rFonts w:cs="Arial"/>
          <w:i/>
          <w:iCs/>
          <w:sz w:val="20"/>
          <w:szCs w:val="20"/>
          <w:lang w:val="fr-FR"/>
        </w:rPr>
      </w:pPr>
      <w:r w:rsidRPr="001479BD">
        <w:rPr>
          <w:rFonts w:cs="Arial"/>
          <w:i/>
          <w:iCs/>
          <w:sz w:val="20"/>
          <w:szCs w:val="20"/>
          <w:lang w:val="fr-FR"/>
        </w:rPr>
        <w:t>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et réunir les options existantes et innovantes en matière de gestion susceptibles d’atténuer les effets des changements climatiques, notamment les projets de rafraichissement et de remise en état des plages, pour présentation à la 15</w:t>
      </w:r>
      <w:r w:rsidRPr="001479BD">
        <w:rPr>
          <w:rFonts w:cs="Arial"/>
          <w:i/>
          <w:iCs/>
          <w:sz w:val="20"/>
          <w:szCs w:val="20"/>
          <w:vertAlign w:val="superscript"/>
          <w:lang w:val="fr-FR"/>
        </w:rPr>
        <w:t>e</w:t>
      </w:r>
      <w:r w:rsidRPr="001479BD">
        <w:rPr>
          <w:rFonts w:cs="Arial"/>
          <w:i/>
          <w:iCs/>
          <w:sz w:val="20"/>
          <w:szCs w:val="20"/>
          <w:lang w:val="fr-FR"/>
        </w:rPr>
        <w:t xml:space="preserve"> session de la Conférence des Parties.</w:t>
      </w:r>
    </w:p>
    <w:p w14:paraId="377658A2" w14:textId="23FFD1B8" w:rsidR="007F08AF" w:rsidRPr="00E43B72" w:rsidRDefault="007F08AF">
      <w:pPr>
        <w:widowControl w:val="0"/>
        <w:autoSpaceDE w:val="0"/>
        <w:autoSpaceDN w:val="0"/>
        <w:adjustRightInd w:val="0"/>
        <w:ind w:left="709"/>
        <w:jc w:val="both"/>
        <w:rPr>
          <w:rFonts w:cs="Arial"/>
          <w:i/>
          <w:sz w:val="20"/>
          <w:szCs w:val="20"/>
          <w:lang w:val="fr-FR"/>
        </w:rPr>
      </w:pPr>
    </w:p>
    <w:p w14:paraId="5233188A" w14:textId="29E41AA7" w:rsidR="007F08AF" w:rsidRPr="00DF4FE6" w:rsidRDefault="00000000">
      <w:pPr>
        <w:widowControl w:val="0"/>
        <w:autoSpaceDE w:val="0"/>
        <w:autoSpaceDN w:val="0"/>
        <w:adjustRightInd w:val="0"/>
        <w:ind w:left="709"/>
        <w:jc w:val="both"/>
        <w:rPr>
          <w:rFonts w:cs="Arial"/>
          <w:b/>
          <w:i/>
          <w:sz w:val="20"/>
          <w:szCs w:val="20"/>
          <w:lang w:val="fr-FR"/>
        </w:rPr>
      </w:pPr>
      <w:r w:rsidRPr="00DF4FE6">
        <w:rPr>
          <w:rFonts w:cs="Arial"/>
          <w:b/>
          <w:i/>
          <w:sz w:val="20"/>
          <w:szCs w:val="20"/>
          <w:lang w:val="fr-FR"/>
        </w:rPr>
        <w:lastRenderedPageBreak/>
        <w:t xml:space="preserve">14.95 </w:t>
      </w:r>
      <w:r w:rsidR="00F11558" w:rsidRPr="00DF4FE6">
        <w:rPr>
          <w:rFonts w:cs="Arial"/>
          <w:b/>
          <w:i/>
          <w:sz w:val="20"/>
          <w:szCs w:val="20"/>
          <w:lang w:val="fr-FR"/>
        </w:rPr>
        <w:t>À l’adresse du Secrétariat</w:t>
      </w:r>
    </w:p>
    <w:p w14:paraId="0D41503C" w14:textId="77777777" w:rsidR="007F08AF" w:rsidRPr="00DF4FE6" w:rsidRDefault="007F08AF">
      <w:pPr>
        <w:widowControl w:val="0"/>
        <w:autoSpaceDE w:val="0"/>
        <w:autoSpaceDN w:val="0"/>
        <w:adjustRightInd w:val="0"/>
        <w:ind w:left="709"/>
        <w:jc w:val="both"/>
        <w:rPr>
          <w:rFonts w:cs="Arial"/>
          <w:b/>
          <w:i/>
          <w:sz w:val="20"/>
          <w:szCs w:val="20"/>
          <w:lang w:val="fr-FR"/>
        </w:rPr>
      </w:pPr>
    </w:p>
    <w:p w14:paraId="02A3688B" w14:textId="77777777" w:rsidR="00F11558" w:rsidRPr="00DF4FE6" w:rsidRDefault="00F11558" w:rsidP="00DF4FE6">
      <w:pPr>
        <w:ind w:left="851"/>
        <w:jc w:val="both"/>
        <w:rPr>
          <w:rFonts w:cs="Arial"/>
          <w:i/>
          <w:iCs/>
          <w:sz w:val="20"/>
          <w:szCs w:val="20"/>
          <w:lang w:val="fr-FR"/>
        </w:rPr>
      </w:pPr>
      <w:r w:rsidRPr="00DF4FE6">
        <w:rPr>
          <w:rFonts w:cs="Arial"/>
          <w:i/>
          <w:iCs/>
          <w:sz w:val="20"/>
          <w:szCs w:val="20"/>
          <w:lang w:val="fr-FR"/>
        </w:rPr>
        <w:t>Le Secrétariat, sous réserve de la disponibilité de ressources externes :</w:t>
      </w:r>
    </w:p>
    <w:p w14:paraId="51EE3EE3" w14:textId="77777777" w:rsidR="00F11558" w:rsidRPr="00DF4FE6" w:rsidRDefault="00F11558" w:rsidP="00DF4FE6">
      <w:pPr>
        <w:ind w:left="851" w:hanging="318"/>
        <w:jc w:val="both"/>
        <w:rPr>
          <w:rFonts w:cs="Arial"/>
          <w:i/>
          <w:iCs/>
          <w:sz w:val="20"/>
          <w:szCs w:val="20"/>
          <w:lang w:val="fr-FR"/>
        </w:rPr>
      </w:pPr>
    </w:p>
    <w:p w14:paraId="6C0CF44F" w14:textId="20381ECC" w:rsidR="00F11558" w:rsidRPr="006A32DE" w:rsidRDefault="00F11558" w:rsidP="006A32DE">
      <w:pPr>
        <w:numPr>
          <w:ilvl w:val="0"/>
          <w:numId w:val="19"/>
        </w:numPr>
        <w:suppressAutoHyphens/>
        <w:adjustRightInd w:val="0"/>
        <w:spacing w:after="80"/>
        <w:ind w:left="1276" w:hanging="425"/>
        <w:jc w:val="both"/>
        <w:rPr>
          <w:rFonts w:cs="Arial"/>
          <w:i/>
          <w:iCs/>
          <w:sz w:val="20"/>
          <w:szCs w:val="20"/>
          <w:lang w:val="fr-FR"/>
        </w:rPr>
      </w:pPr>
      <w:r w:rsidRPr="00DF4FE6">
        <w:rPr>
          <w:rFonts w:cs="Arial"/>
          <w:i/>
          <w:iCs/>
          <w:sz w:val="20"/>
          <w:szCs w:val="20"/>
          <w:lang w:val="fr-FR"/>
        </w:rPr>
        <w:t>facilite l’examen à entreprendre par le Conseil scientifique en obtenant le financement et l’expertise externe nécessaires à l’élaboration des projets à soumettre à l’examen du Conseil scientifique ; et</w:t>
      </w:r>
    </w:p>
    <w:p w14:paraId="20AEA118" w14:textId="1A629249" w:rsidR="007F08AF" w:rsidRPr="006A32DE" w:rsidRDefault="00F11558" w:rsidP="006A32DE">
      <w:pPr>
        <w:numPr>
          <w:ilvl w:val="0"/>
          <w:numId w:val="19"/>
        </w:numPr>
        <w:suppressAutoHyphens/>
        <w:adjustRightInd w:val="0"/>
        <w:ind w:left="1276" w:hanging="425"/>
        <w:jc w:val="both"/>
        <w:rPr>
          <w:rFonts w:cs="Arial"/>
          <w:i/>
          <w:iCs/>
          <w:sz w:val="20"/>
          <w:szCs w:val="20"/>
          <w:lang w:val="fr-FR"/>
        </w:rPr>
      </w:pPr>
      <w:r w:rsidRPr="00DF4FE6">
        <w:rPr>
          <w:rFonts w:cs="Arial"/>
          <w:i/>
          <w:iCs/>
          <w:sz w:val="20"/>
          <w:szCs w:val="20"/>
          <w:lang w:val="fr-FR"/>
        </w:rPr>
        <w:t>présente un rapport au Conseil scientifique lors de la 7</w:t>
      </w:r>
      <w:r w:rsidRPr="00DF4FE6">
        <w:rPr>
          <w:rFonts w:cs="Arial"/>
          <w:i/>
          <w:iCs/>
          <w:sz w:val="20"/>
          <w:szCs w:val="20"/>
          <w:vertAlign w:val="superscript"/>
          <w:lang w:val="fr-FR"/>
        </w:rPr>
        <w:t>e</w:t>
      </w:r>
      <w:r w:rsidRPr="00DF4FE6">
        <w:rPr>
          <w:rFonts w:cs="Arial"/>
          <w:i/>
          <w:iCs/>
          <w:sz w:val="20"/>
          <w:szCs w:val="20"/>
          <w:lang w:val="fr-FR"/>
        </w:rPr>
        <w:t> réunion de son comité de session sur les progrès réalisés dans la mise en œuvre de la présente décision.</w:t>
      </w:r>
    </w:p>
    <w:p w14:paraId="6666E2F8" w14:textId="77777777" w:rsidR="007F08AF" w:rsidRPr="00E43B72" w:rsidRDefault="007F08AF">
      <w:pPr>
        <w:rPr>
          <w:rFonts w:cs="Arial"/>
          <w:u w:val="single"/>
          <w:lang w:val="fr-FR"/>
        </w:rPr>
      </w:pPr>
    </w:p>
    <w:p w14:paraId="141E285A" w14:textId="77777777" w:rsidR="007F08AF" w:rsidRPr="00E43B72" w:rsidRDefault="00000000">
      <w:pPr>
        <w:rPr>
          <w:rFonts w:cs="Arial"/>
          <w:iCs/>
          <w:u w:val="single"/>
          <w:lang w:val="fr-FR"/>
        </w:rPr>
      </w:pPr>
      <w:r w:rsidRPr="00E43B72">
        <w:rPr>
          <w:rFonts w:cs="Arial"/>
          <w:iCs/>
          <w:u w:val="single"/>
          <w:lang w:val="fr-FR"/>
        </w:rPr>
        <w:t xml:space="preserve">Examen des données scientifiques sur la conservation des tortues marines et les menaces qui pèsent sur elles, dans un contexte régional et spécifique à chaque espèce </w:t>
      </w:r>
    </w:p>
    <w:p w14:paraId="63FEB985" w14:textId="77777777" w:rsidR="007F08AF" w:rsidRPr="00E43B72" w:rsidRDefault="007F08AF">
      <w:pPr>
        <w:rPr>
          <w:rFonts w:cs="Arial"/>
          <w:u w:val="single"/>
          <w:lang w:val="fr-FR"/>
        </w:rPr>
      </w:pPr>
    </w:p>
    <w:p w14:paraId="3E1FFF54" w14:textId="7B20601F"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En raison du raccourcissement de la période intersessions et de l</w:t>
      </w:r>
      <w:r w:rsidR="00C2697F" w:rsidRPr="00E43B72">
        <w:rPr>
          <w:rFonts w:cs="Arial"/>
          <w:color w:val="000000" w:themeColor="text1"/>
          <w:lang w:val="fr-FR"/>
        </w:rPr>
        <w:t>’</w:t>
      </w:r>
      <w:r w:rsidRPr="00E43B72">
        <w:rPr>
          <w:rFonts w:cs="Arial"/>
          <w:color w:val="000000" w:themeColor="text1"/>
          <w:lang w:val="fr-FR"/>
        </w:rPr>
        <w:t>insuffisance des ressources financières, la Décision</w:t>
      </w:r>
      <w:r w:rsidR="00C421BB" w:rsidRPr="00E43B72">
        <w:rPr>
          <w:rFonts w:cs="Arial"/>
          <w:color w:val="000000" w:themeColor="text1"/>
          <w:lang w:val="fr-FR"/>
        </w:rPr>
        <w:t> </w:t>
      </w:r>
      <w:r w:rsidRPr="00E43B72">
        <w:rPr>
          <w:rFonts w:cs="Arial"/>
          <w:color w:val="000000" w:themeColor="text1"/>
          <w:lang w:val="fr-FR"/>
        </w:rPr>
        <w:t>14.94</w:t>
      </w:r>
      <w:r w:rsidR="00C421BB" w:rsidRPr="00E43B72">
        <w:rPr>
          <w:rFonts w:cs="Arial"/>
          <w:color w:val="000000" w:themeColor="text1"/>
          <w:lang w:val="fr-FR"/>
        </w:rPr>
        <w:t> </w:t>
      </w:r>
      <w:r w:rsidRPr="00E43B72">
        <w:rPr>
          <w:rFonts w:cs="Arial"/>
          <w:color w:val="000000" w:themeColor="text1"/>
          <w:lang w:val="fr-FR"/>
        </w:rPr>
        <w:t>(a) n</w:t>
      </w:r>
      <w:r w:rsidR="00C2697F" w:rsidRPr="00E43B72">
        <w:rPr>
          <w:rFonts w:cs="Arial"/>
          <w:color w:val="000000" w:themeColor="text1"/>
          <w:lang w:val="fr-FR"/>
        </w:rPr>
        <w:t>’</w:t>
      </w:r>
      <w:r w:rsidRPr="00E43B72">
        <w:rPr>
          <w:rFonts w:cs="Arial"/>
          <w:color w:val="000000" w:themeColor="text1"/>
          <w:lang w:val="fr-FR"/>
        </w:rPr>
        <w:t>a pas encore été mise en œuvre de manière détaillée. Cependant, plusieurs ressources utiles ont été récemment mises au point indépendamment de la CMS</w:t>
      </w:r>
      <w:r w:rsidR="00C421BB" w:rsidRPr="00E43B72">
        <w:rPr>
          <w:rFonts w:cs="Arial"/>
          <w:color w:val="000000" w:themeColor="text1"/>
          <w:lang w:val="fr-FR"/>
        </w:rPr>
        <w:t> ;</w:t>
      </w:r>
      <w:r w:rsidRPr="00E43B72">
        <w:rPr>
          <w:rFonts w:cs="Arial"/>
          <w:color w:val="000000" w:themeColor="text1"/>
          <w:lang w:val="fr-FR"/>
        </w:rPr>
        <w:t xml:space="preserve"> </w:t>
      </w:r>
      <w:r w:rsidR="006A32DE" w:rsidRPr="00E43B72">
        <w:rPr>
          <w:rFonts w:cs="Arial"/>
          <w:color w:val="000000" w:themeColor="text1"/>
          <w:lang w:val="fr-FR"/>
        </w:rPr>
        <w:t>elles peuvent</w:t>
      </w:r>
      <w:r w:rsidRPr="00E43B72">
        <w:rPr>
          <w:rFonts w:cs="Arial"/>
          <w:color w:val="000000" w:themeColor="text1"/>
          <w:lang w:val="fr-FR"/>
        </w:rPr>
        <w:t xml:space="preserve"> partiellement ou entièrement répondre à la demande des Parties visant à obtenir un examen régional et spécifique aux espèces des menaces et des priorités de conservation pour les tortues marines.</w:t>
      </w:r>
    </w:p>
    <w:p w14:paraId="6C931573"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61AAD81C" w14:textId="1546C34F"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 Groupe de spécialistes des tortues marines (MTSG) de l</w:t>
      </w:r>
      <w:r w:rsidR="00C2697F" w:rsidRPr="00E43B72">
        <w:rPr>
          <w:rFonts w:cs="Arial"/>
          <w:lang w:val="fr-FR"/>
        </w:rPr>
        <w:t>’</w:t>
      </w:r>
      <w:r w:rsidRPr="00E43B72">
        <w:rPr>
          <w:rFonts w:cs="Arial"/>
          <w:lang w:val="fr-FR"/>
        </w:rPr>
        <w:t>Union internationale pour la conservation de la nature (UICN) surveille en permanence l</w:t>
      </w:r>
      <w:r w:rsidR="00C2697F" w:rsidRPr="00E43B72">
        <w:rPr>
          <w:rFonts w:cs="Arial"/>
          <w:lang w:val="fr-FR"/>
        </w:rPr>
        <w:t>’</w:t>
      </w:r>
      <w:r w:rsidRPr="00E43B72">
        <w:rPr>
          <w:rFonts w:cs="Arial"/>
          <w:lang w:val="fr-FR"/>
        </w:rPr>
        <w:t>état des tortues marines aux niveaux régional et mondial. Les travaux de ce groupe portent entre autres sur l</w:t>
      </w:r>
      <w:r w:rsidR="00C2697F" w:rsidRPr="00E43B72">
        <w:rPr>
          <w:rFonts w:cs="Arial"/>
          <w:lang w:val="fr-FR"/>
        </w:rPr>
        <w:t>’</w:t>
      </w:r>
      <w:r w:rsidRPr="00E43B72">
        <w:rPr>
          <w:rFonts w:cs="Arial"/>
          <w:lang w:val="fr-FR"/>
        </w:rPr>
        <w:t>évaluation de la manière dont les populations réagissent aux menaces émergentes.</w:t>
      </w:r>
    </w:p>
    <w:p w14:paraId="72318369"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708B39CB" w14:textId="3B1164EE"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 xml:space="preserve">Dans une évaluation globale récente, </w:t>
      </w:r>
      <w:hyperlink r:id="rId21" w:history="1">
        <w:r w:rsidR="007F08AF" w:rsidRPr="00E43B72">
          <w:rPr>
            <w:rStyle w:val="Hyperlink"/>
            <w:rFonts w:cs="Arial"/>
            <w:i/>
            <w:iCs/>
            <w:lang w:val="fr-FR"/>
          </w:rPr>
          <w:t>Updated global conservation status and priorities for marine turtles [mise à jour de l’évaluation de l’état de conservation mondial et des priorités pour les tortues marines]</w:t>
        </w:r>
      </w:hyperlink>
      <w:r w:rsidRPr="00E43B72">
        <w:rPr>
          <w:lang w:val="fr-FR"/>
        </w:rPr>
        <w:t xml:space="preserve">, </w:t>
      </w:r>
      <w:r w:rsidRPr="00E43B72">
        <w:rPr>
          <w:rFonts w:cs="Arial"/>
          <w:color w:val="000000" w:themeColor="text1"/>
          <w:lang w:val="fr-FR"/>
        </w:rPr>
        <w:t xml:space="preserve">Wallace et al. (2025) </w:t>
      </w:r>
      <w:r w:rsidRPr="00E43B72">
        <w:rPr>
          <w:rFonts w:cs="Arial"/>
          <w:lang w:val="fr-FR"/>
        </w:rPr>
        <w:t>ont passé en revue les progrès liés à l</w:t>
      </w:r>
      <w:r w:rsidR="00C2697F" w:rsidRPr="00E43B72">
        <w:rPr>
          <w:rFonts w:cs="Arial"/>
          <w:lang w:val="fr-FR"/>
        </w:rPr>
        <w:t>’</w:t>
      </w:r>
      <w:r w:rsidRPr="00E43B72">
        <w:rPr>
          <w:rFonts w:cs="Arial"/>
          <w:lang w:val="fr-FR"/>
        </w:rPr>
        <w:t xml:space="preserve">état de conservation des tortues marines et à la protection de leur habitat. </w:t>
      </w:r>
      <w:r w:rsidRPr="00E43B72">
        <w:rPr>
          <w:rFonts w:cs="Arial"/>
          <w:color w:val="000000" w:themeColor="text1"/>
          <w:lang w:val="fr-FR"/>
        </w:rPr>
        <w:t>Cette évaluation vient actualiser les données de l</w:t>
      </w:r>
      <w:r w:rsidR="00C2697F" w:rsidRPr="00E43B72">
        <w:rPr>
          <w:rFonts w:cs="Arial"/>
          <w:color w:val="000000" w:themeColor="text1"/>
          <w:lang w:val="fr-FR"/>
        </w:rPr>
        <w:t>’</w:t>
      </w:r>
      <w:r w:rsidRPr="00E43B72">
        <w:rPr>
          <w:rFonts w:cs="Arial"/>
          <w:color w:val="000000" w:themeColor="text1"/>
          <w:lang w:val="fr-FR"/>
        </w:rPr>
        <w:t xml:space="preserve">évaluation mondiale initiale de 2011 sur les populations de tortues de mer et évalue le risque, les menaces et la capacité de conservation de chaque </w:t>
      </w:r>
      <w:hyperlink r:id="rId22" w:history="1">
        <w:r w:rsidR="007F08AF" w:rsidRPr="00E43B72">
          <w:rPr>
            <w:rStyle w:val="Hyperlink"/>
            <w:rFonts w:cs="Arial"/>
            <w:lang w:val="fr-FR"/>
          </w:rPr>
          <w:t>Unité de gestion régionale</w:t>
        </w:r>
      </w:hyperlink>
      <w:r w:rsidRPr="00E43B72">
        <w:rPr>
          <w:rFonts w:cs="Arial"/>
          <w:color w:val="000000" w:themeColor="text1"/>
          <w:lang w:val="fr-FR"/>
        </w:rPr>
        <w:t xml:space="preserve"> (UGR). Le </w:t>
      </w:r>
      <w:hyperlink r:id="rId23" w:history="1">
        <w:r w:rsidR="007F08AF" w:rsidRPr="00E43B72">
          <w:rPr>
            <w:rStyle w:val="Hyperlink"/>
            <w:rFonts w:cs="Arial"/>
            <w:i/>
            <w:iCs/>
            <w:lang w:val="fr-FR"/>
          </w:rPr>
          <w:t xml:space="preserve">Conservation Priorities Portfolio 2.0 </w:t>
        </w:r>
        <w:r w:rsidR="007F08AF" w:rsidRPr="00E43B72">
          <w:rPr>
            <w:rStyle w:val="Hyperlink"/>
            <w:rFonts w:cs="Arial"/>
            <w:lang w:val="fr-FR"/>
          </w:rPr>
          <w:t>(CPP)</w:t>
        </w:r>
      </w:hyperlink>
      <w:r w:rsidRPr="00E43B72">
        <w:rPr>
          <w:lang w:val="fr-FR"/>
        </w:rPr>
        <w:t>,</w:t>
      </w:r>
      <w:r w:rsidRPr="00E43B72">
        <w:rPr>
          <w:rFonts w:cs="Arial"/>
          <w:color w:val="000000" w:themeColor="text1"/>
          <w:lang w:val="fr-FR"/>
        </w:rPr>
        <w:t xml:space="preserve"> élaboré dans le cadre de l</w:t>
      </w:r>
      <w:r w:rsidR="00C2697F" w:rsidRPr="00E43B72">
        <w:rPr>
          <w:rFonts w:cs="Arial"/>
          <w:color w:val="000000" w:themeColor="text1"/>
          <w:lang w:val="fr-FR"/>
        </w:rPr>
        <w:t>’</w:t>
      </w:r>
      <w:r w:rsidRPr="00E43B72">
        <w:rPr>
          <w:rFonts w:cs="Arial"/>
          <w:color w:val="000000" w:themeColor="text1"/>
          <w:lang w:val="fr-FR"/>
        </w:rPr>
        <w:t>article, intègre des critères tels que les tendances démographiques, l</w:t>
      </w:r>
      <w:r w:rsidR="00C2697F" w:rsidRPr="00E43B72">
        <w:rPr>
          <w:rFonts w:cs="Arial"/>
          <w:color w:val="000000" w:themeColor="text1"/>
          <w:lang w:val="fr-FR"/>
        </w:rPr>
        <w:t>’</w:t>
      </w:r>
      <w:r w:rsidRPr="00E43B72">
        <w:rPr>
          <w:rFonts w:cs="Arial"/>
          <w:color w:val="000000" w:themeColor="text1"/>
          <w:lang w:val="fr-FR"/>
        </w:rPr>
        <w:t>abondance de la nidification, la diversité génétique ainsi que les menaces telles que les prises accessoires, les changements climatiques et les captures illégales. De plus, des facteurs relatifs à la capacité de conservation, tels que l</w:t>
      </w:r>
      <w:r w:rsidR="00C2697F" w:rsidRPr="00E43B72">
        <w:rPr>
          <w:rFonts w:cs="Arial"/>
          <w:color w:val="000000" w:themeColor="text1"/>
          <w:lang w:val="fr-FR"/>
        </w:rPr>
        <w:t>’</w:t>
      </w:r>
      <w:r w:rsidRPr="00E43B72">
        <w:rPr>
          <w:rFonts w:cs="Arial"/>
          <w:color w:val="000000" w:themeColor="text1"/>
          <w:lang w:val="fr-FR"/>
        </w:rPr>
        <w:t>application des lois, la coordination et le contexte socioéconomique, ont été évalués. Le CPP est accompagné d</w:t>
      </w:r>
      <w:r w:rsidR="00C2697F" w:rsidRPr="00E43B72">
        <w:rPr>
          <w:rFonts w:cs="Arial"/>
          <w:color w:val="000000" w:themeColor="text1"/>
          <w:lang w:val="fr-FR"/>
        </w:rPr>
        <w:t>’</w:t>
      </w:r>
      <w:r w:rsidRPr="00E43B72">
        <w:rPr>
          <w:rFonts w:cs="Arial"/>
          <w:color w:val="000000" w:themeColor="text1"/>
          <w:lang w:val="fr-FR"/>
        </w:rPr>
        <w:t xml:space="preserve">un </w:t>
      </w:r>
      <w:hyperlink r:id="rId24" w:history="1">
        <w:r w:rsidR="007F08AF" w:rsidRPr="00E43B72">
          <w:rPr>
            <w:rStyle w:val="Hyperlink"/>
            <w:rFonts w:cs="Arial"/>
            <w:lang w:val="fr-FR"/>
          </w:rPr>
          <w:t>tableau de bord</w:t>
        </w:r>
      </w:hyperlink>
      <w:r w:rsidRPr="00E43B72">
        <w:rPr>
          <w:rFonts w:cs="Arial"/>
          <w:color w:val="000000" w:themeColor="text1"/>
          <w:lang w:val="fr-FR"/>
        </w:rPr>
        <w:t xml:space="preserve"> interactif en ligne qui permet aux utilisateurs d</w:t>
      </w:r>
      <w:r w:rsidR="00C2697F" w:rsidRPr="00E43B72">
        <w:rPr>
          <w:rFonts w:cs="Arial"/>
          <w:color w:val="000000" w:themeColor="text1"/>
          <w:lang w:val="fr-FR"/>
        </w:rPr>
        <w:t>’</w:t>
      </w:r>
      <w:r w:rsidRPr="00E43B72">
        <w:rPr>
          <w:rFonts w:cs="Arial"/>
          <w:color w:val="000000" w:themeColor="text1"/>
          <w:lang w:val="fr-FR"/>
        </w:rPr>
        <w:t>examiner les niveaux de menace et les besoins prioritaires dans les différentes régions. Le tableau de bord est actuellement disponible uniquement en langue anglaise. Des versions dans d</w:t>
      </w:r>
      <w:r w:rsidR="00C2697F" w:rsidRPr="00E43B72">
        <w:rPr>
          <w:rFonts w:cs="Arial"/>
          <w:color w:val="000000" w:themeColor="text1"/>
          <w:lang w:val="fr-FR"/>
        </w:rPr>
        <w:t>’</w:t>
      </w:r>
      <w:r w:rsidRPr="00E43B72">
        <w:rPr>
          <w:rFonts w:cs="Arial"/>
          <w:color w:val="000000" w:themeColor="text1"/>
          <w:lang w:val="fr-FR"/>
        </w:rPr>
        <w:t>autres langues pourraient être élaborées à l</w:t>
      </w:r>
      <w:r w:rsidR="00C2697F" w:rsidRPr="00E43B72">
        <w:rPr>
          <w:rFonts w:cs="Arial"/>
          <w:color w:val="000000" w:themeColor="text1"/>
          <w:lang w:val="fr-FR"/>
        </w:rPr>
        <w:t>’</w:t>
      </w:r>
      <w:r w:rsidRPr="00E43B72">
        <w:rPr>
          <w:rFonts w:cs="Arial"/>
          <w:color w:val="000000" w:themeColor="text1"/>
          <w:lang w:val="fr-FR"/>
        </w:rPr>
        <w:t>avenir, en fonction des ressources disponibles.</w:t>
      </w:r>
    </w:p>
    <w:p w14:paraId="28351B41" w14:textId="77777777" w:rsidR="007F08AF" w:rsidRPr="00E43B72" w:rsidRDefault="007F08AF">
      <w:pPr>
        <w:widowControl w:val="0"/>
        <w:autoSpaceDE w:val="0"/>
        <w:autoSpaceDN w:val="0"/>
        <w:adjustRightInd w:val="0"/>
        <w:jc w:val="both"/>
        <w:rPr>
          <w:lang w:val="fr-FR"/>
        </w:rPr>
      </w:pPr>
    </w:p>
    <w:p w14:paraId="186365DB" w14:textId="77777777" w:rsidR="007F08AF" w:rsidRPr="00E43B72" w:rsidRDefault="00000000">
      <w:pPr>
        <w:widowControl w:val="0"/>
        <w:autoSpaceDE w:val="0"/>
        <w:autoSpaceDN w:val="0"/>
        <w:adjustRightInd w:val="0"/>
        <w:ind w:left="170" w:firstLine="397"/>
        <w:rPr>
          <w:rFonts w:cs="Arial"/>
          <w:color w:val="000000" w:themeColor="text1"/>
          <w:lang w:val="fr-FR"/>
        </w:rPr>
      </w:pPr>
      <w:r w:rsidRPr="00E43B72">
        <w:rPr>
          <w:rFonts w:cs="Arial"/>
          <w:noProof/>
          <w:color w:val="000000" w:themeColor="text1"/>
          <w:lang w:val="fr-FR"/>
        </w:rPr>
        <w:lastRenderedPageBreak/>
        <w:drawing>
          <wp:inline distT="0" distB="0" distL="0" distR="0" wp14:anchorId="4E0C34C3" wp14:editId="20E58F01">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384742D9" w14:textId="7E628B89" w:rsidR="007F08AF" w:rsidRPr="00E43B72" w:rsidRDefault="00000000">
      <w:pPr>
        <w:ind w:left="567"/>
        <w:rPr>
          <w:rFonts w:cs="Arial"/>
          <w:i/>
          <w:iCs/>
          <w:color w:val="000000" w:themeColor="text1"/>
          <w:sz w:val="20"/>
          <w:szCs w:val="20"/>
          <w:lang w:val="fr-FR"/>
        </w:rPr>
      </w:pPr>
      <w:r w:rsidRPr="00E43B72">
        <w:rPr>
          <w:rFonts w:cs="Arial"/>
          <w:i/>
          <w:iCs/>
          <w:color w:val="000000" w:themeColor="text1"/>
          <w:sz w:val="20"/>
          <w:szCs w:val="20"/>
          <w:lang w:val="fr-FR"/>
        </w:rPr>
        <w:t>Illustration</w:t>
      </w:r>
      <w:r w:rsidR="00C421BB" w:rsidRPr="00E43B72">
        <w:rPr>
          <w:rFonts w:cs="Arial"/>
          <w:i/>
          <w:iCs/>
          <w:color w:val="000000" w:themeColor="text1"/>
          <w:sz w:val="20"/>
          <w:szCs w:val="20"/>
          <w:lang w:val="fr-FR"/>
        </w:rPr>
        <w:t> :</w:t>
      </w:r>
      <w:r w:rsidRPr="00E43B72">
        <w:rPr>
          <w:rFonts w:cs="Arial"/>
          <w:i/>
          <w:iCs/>
          <w:color w:val="000000" w:themeColor="text1"/>
          <w:sz w:val="20"/>
          <w:szCs w:val="20"/>
          <w:lang w:val="fr-FR"/>
        </w:rPr>
        <w:t xml:space="preserve"> Capture d</w:t>
      </w:r>
      <w:r w:rsidR="00C2697F" w:rsidRPr="00E43B72">
        <w:rPr>
          <w:rFonts w:cs="Arial"/>
          <w:i/>
          <w:iCs/>
          <w:color w:val="000000" w:themeColor="text1"/>
          <w:sz w:val="20"/>
          <w:szCs w:val="20"/>
          <w:lang w:val="fr-FR"/>
        </w:rPr>
        <w:t>’</w:t>
      </w:r>
      <w:r w:rsidRPr="00E43B72">
        <w:rPr>
          <w:rFonts w:cs="Arial"/>
          <w:i/>
          <w:iCs/>
          <w:color w:val="000000" w:themeColor="text1"/>
          <w:sz w:val="20"/>
          <w:szCs w:val="20"/>
          <w:lang w:val="fr-FR"/>
        </w:rPr>
        <w:t>écran du tableau de bord CPP – Priorités de conservation pour les tortues marines (</w:t>
      </w:r>
      <w:hyperlink r:id="rId26" w:history="1">
        <w:r w:rsidR="007F08AF" w:rsidRPr="00E43B72">
          <w:rPr>
            <w:rStyle w:val="Hyperlink"/>
            <w:rFonts w:cs="Arial"/>
            <w:i/>
            <w:iCs/>
            <w:sz w:val="20"/>
            <w:szCs w:val="20"/>
            <w:lang w:val="fr-FR"/>
          </w:rPr>
          <w:t>https://www.seaturtlestatus.org/cpp-dashboard</w:t>
        </w:r>
      </w:hyperlink>
      <w:r w:rsidRPr="00E43B72">
        <w:rPr>
          <w:rFonts w:cs="Arial"/>
          <w:i/>
          <w:iCs/>
          <w:color w:val="000000" w:themeColor="text1"/>
          <w:sz w:val="20"/>
          <w:szCs w:val="20"/>
          <w:lang w:val="fr-FR"/>
        </w:rPr>
        <w:t>)</w:t>
      </w:r>
    </w:p>
    <w:p w14:paraId="20DC52D4" w14:textId="77777777" w:rsidR="007F08AF" w:rsidRPr="00E43B72" w:rsidRDefault="007F08AF">
      <w:pPr>
        <w:pStyle w:val="ListParagraph"/>
        <w:contextualSpacing w:val="0"/>
        <w:rPr>
          <w:rFonts w:cs="Arial"/>
          <w:color w:val="000000" w:themeColor="text1"/>
          <w:lang w:val="fr-FR"/>
        </w:rPr>
      </w:pPr>
    </w:p>
    <w:p w14:paraId="3F625A3E" w14:textId="4381D7B6"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Il ressort des conclusions que les menaces ont diminué pour plus de la moitié (53</w:t>
      </w:r>
      <w:r w:rsidR="00253807" w:rsidRPr="00E43B72">
        <w:rPr>
          <w:rFonts w:cs="Arial"/>
          <w:lang w:val="fr-FR"/>
        </w:rPr>
        <w:t> </w:t>
      </w:r>
      <w:r w:rsidRPr="00E43B72">
        <w:rPr>
          <w:rFonts w:cs="Arial"/>
          <w:lang w:val="fr-FR"/>
        </w:rPr>
        <w:t>%) de toutes les unités de gestion des tortues marines. En outre, 40</w:t>
      </w:r>
      <w:r w:rsidR="00253807" w:rsidRPr="00E43B72">
        <w:rPr>
          <w:rFonts w:cs="Arial"/>
          <w:lang w:val="fr-FR"/>
        </w:rPr>
        <w:t> </w:t>
      </w:r>
      <w:r w:rsidRPr="00E43B72">
        <w:rPr>
          <w:rFonts w:cs="Arial"/>
          <w:lang w:val="fr-FR"/>
        </w:rPr>
        <w:t xml:space="preserve">% des populations sont désormais considérées comme évoluant dans des conditions à faible risque et à faible menace. Dans ce contexte, </w:t>
      </w:r>
      <w:r w:rsidRPr="00E43B72">
        <w:rPr>
          <w:rStyle w:val="Emphasis"/>
          <w:rFonts w:eastAsiaTheme="majorEastAsia" w:cs="Arial"/>
          <w:i w:val="0"/>
          <w:lang w:val="fr-FR"/>
        </w:rPr>
        <w:t>le risque</w:t>
      </w:r>
      <w:r w:rsidRPr="00E43B72">
        <w:rPr>
          <w:rFonts w:cs="Arial"/>
          <w:lang w:val="fr-FR"/>
        </w:rPr>
        <w:t xml:space="preserve"> fait référence à des facteurs tels que l</w:t>
      </w:r>
      <w:r w:rsidR="00C2697F" w:rsidRPr="00E43B72">
        <w:rPr>
          <w:rFonts w:cs="Arial"/>
          <w:lang w:val="fr-FR"/>
        </w:rPr>
        <w:t>’</w:t>
      </w:r>
      <w:r w:rsidRPr="00E43B72">
        <w:rPr>
          <w:rFonts w:cs="Arial"/>
          <w:lang w:val="fr-FR"/>
        </w:rPr>
        <w:t xml:space="preserve">abondance, les tendances démographiques et la diversité génétique, tandis que les </w:t>
      </w:r>
      <w:r w:rsidRPr="00E43B72">
        <w:rPr>
          <w:rStyle w:val="Emphasis"/>
          <w:rFonts w:eastAsiaTheme="majorEastAsia" w:cs="Arial"/>
          <w:i w:val="0"/>
          <w:lang w:val="fr-FR"/>
        </w:rPr>
        <w:t>menaces</w:t>
      </w:r>
      <w:r w:rsidRPr="00E43B72">
        <w:rPr>
          <w:rFonts w:cs="Arial"/>
          <w:lang w:val="fr-FR"/>
        </w:rPr>
        <w:t xml:space="preserve"> englobent des pressions telles que la pollution, les aménagements du littoral et les changements climatiques. Environ 28</w:t>
      </w:r>
      <w:r w:rsidR="00253807" w:rsidRPr="00E43B72">
        <w:rPr>
          <w:rFonts w:cs="Arial"/>
          <w:lang w:val="fr-FR"/>
        </w:rPr>
        <w:t> </w:t>
      </w:r>
      <w:r w:rsidRPr="00E43B72">
        <w:rPr>
          <w:rFonts w:cs="Arial"/>
          <w:lang w:val="fr-FR"/>
        </w:rPr>
        <w:t>% des populations de tortues marines, principalement celles de l</w:t>
      </w:r>
      <w:r w:rsidR="00C2697F" w:rsidRPr="00E43B72">
        <w:rPr>
          <w:rFonts w:cs="Arial"/>
          <w:lang w:val="fr-FR"/>
        </w:rPr>
        <w:t>’</w:t>
      </w:r>
      <w:r w:rsidRPr="00E43B72">
        <w:rPr>
          <w:rFonts w:cs="Arial"/>
          <w:lang w:val="fr-FR"/>
        </w:rPr>
        <w:t>océan Pacifique, notamment les tortues luth, présentent des signes de déclin.</w:t>
      </w:r>
    </w:p>
    <w:p w14:paraId="3B2CE473" w14:textId="77777777" w:rsidR="007F08AF" w:rsidRPr="00E43B72" w:rsidRDefault="007F08AF">
      <w:pPr>
        <w:widowControl w:val="0"/>
        <w:autoSpaceDE w:val="0"/>
        <w:autoSpaceDN w:val="0"/>
        <w:adjustRightInd w:val="0"/>
        <w:ind w:left="567"/>
        <w:jc w:val="both"/>
        <w:rPr>
          <w:rFonts w:cs="Arial"/>
          <w:lang w:val="fr-FR"/>
        </w:rPr>
      </w:pPr>
    </w:p>
    <w:p w14:paraId="4444E725" w14:textId="4BC1DB5D"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 xml:space="preserve">À titre de ressource supplémentaire, le </w:t>
      </w:r>
      <w:hyperlink r:id="rId27" w:history="1">
        <w:r w:rsidR="007F08AF" w:rsidRPr="00E43B72">
          <w:rPr>
            <w:rStyle w:val="Hyperlink"/>
            <w:rFonts w:cs="Arial"/>
            <w:i/>
            <w:iCs/>
            <w:lang w:val="fr-FR"/>
          </w:rPr>
          <w:t>20e Rapport sur l’état des tortues marines dans le monde</w:t>
        </w:r>
      </w:hyperlink>
      <w:r w:rsidRPr="00E43B72">
        <w:rPr>
          <w:rFonts w:cs="Arial"/>
          <w:i/>
          <w:iCs/>
          <w:color w:val="000000" w:themeColor="text1"/>
          <w:lang w:val="fr-FR"/>
        </w:rPr>
        <w:t xml:space="preserve"> </w:t>
      </w:r>
      <w:r w:rsidRPr="00E43B72">
        <w:rPr>
          <w:rFonts w:cs="Arial"/>
          <w:color w:val="000000" w:themeColor="text1"/>
          <w:lang w:val="fr-FR"/>
        </w:rPr>
        <w:t>offre un aperçu exhaustif de l</w:t>
      </w:r>
      <w:r w:rsidR="00C2697F" w:rsidRPr="00E43B72">
        <w:rPr>
          <w:rFonts w:cs="Arial"/>
          <w:color w:val="000000" w:themeColor="text1"/>
          <w:lang w:val="fr-FR"/>
        </w:rPr>
        <w:t>’</w:t>
      </w:r>
      <w:r w:rsidRPr="00E43B72">
        <w:rPr>
          <w:rFonts w:cs="Arial"/>
          <w:color w:val="000000" w:themeColor="text1"/>
          <w:lang w:val="fr-FR"/>
        </w:rPr>
        <w:t>état de conservation des tortues marines, s</w:t>
      </w:r>
      <w:r w:rsidR="00C2697F" w:rsidRPr="00E43B72">
        <w:rPr>
          <w:rFonts w:cs="Arial"/>
          <w:color w:val="000000" w:themeColor="text1"/>
          <w:lang w:val="fr-FR"/>
        </w:rPr>
        <w:t>’</w:t>
      </w:r>
      <w:r w:rsidRPr="00E43B72">
        <w:rPr>
          <w:rFonts w:cs="Arial"/>
          <w:color w:val="000000" w:themeColor="text1"/>
          <w:lang w:val="fr-FR"/>
        </w:rPr>
        <w:t>appuyant sur les données fournies par plus de 300</w:t>
      </w:r>
      <w:r w:rsidR="00253807" w:rsidRPr="00E43B72">
        <w:rPr>
          <w:rFonts w:cs="Arial"/>
          <w:color w:val="000000" w:themeColor="text1"/>
          <w:lang w:val="fr-FR"/>
        </w:rPr>
        <w:t> </w:t>
      </w:r>
      <w:r w:rsidRPr="00E43B72">
        <w:rPr>
          <w:rFonts w:cs="Arial"/>
          <w:color w:val="000000" w:themeColor="text1"/>
          <w:lang w:val="fr-FR"/>
        </w:rPr>
        <w:t>contributeurs répartis dans 80</w:t>
      </w:r>
      <w:r w:rsidR="00253807" w:rsidRPr="00E43B72">
        <w:rPr>
          <w:rFonts w:cs="Arial"/>
          <w:color w:val="000000" w:themeColor="text1"/>
          <w:lang w:val="fr-FR"/>
        </w:rPr>
        <w:t> </w:t>
      </w:r>
      <w:r w:rsidRPr="00E43B72">
        <w:rPr>
          <w:rFonts w:cs="Arial"/>
          <w:color w:val="000000" w:themeColor="text1"/>
          <w:lang w:val="fr-FR"/>
        </w:rPr>
        <w:t>pays. Il présente des informations récentes concernant les sites de nidification, les tendances démographiques et les niveaux de protection des espèces, ainsi que des cartes de répartition actuelles pour les sept espèces de tortues marines. Le rapport met en lumière les principales menaces actuelles tout en soulignant les actions de conservation qui ont porté leurs fruits. Il est important de noter qu</w:t>
      </w:r>
      <w:r w:rsidR="00C2697F" w:rsidRPr="00E43B72">
        <w:rPr>
          <w:rFonts w:cs="Arial"/>
          <w:color w:val="000000" w:themeColor="text1"/>
          <w:lang w:val="fr-FR"/>
        </w:rPr>
        <w:t>’</w:t>
      </w:r>
      <w:r w:rsidRPr="00E43B72">
        <w:rPr>
          <w:rFonts w:cs="Arial"/>
          <w:color w:val="000000" w:themeColor="text1"/>
          <w:lang w:val="fr-FR"/>
        </w:rPr>
        <w:t>il associe les résultats scientifiques à des projets d</w:t>
      </w:r>
      <w:r w:rsidR="00C2697F" w:rsidRPr="00E43B72">
        <w:rPr>
          <w:rFonts w:cs="Arial"/>
          <w:color w:val="000000" w:themeColor="text1"/>
          <w:lang w:val="fr-FR"/>
        </w:rPr>
        <w:t>’</w:t>
      </w:r>
      <w:r w:rsidRPr="00E43B72">
        <w:rPr>
          <w:rFonts w:cs="Arial"/>
          <w:color w:val="000000" w:themeColor="text1"/>
          <w:lang w:val="fr-FR"/>
        </w:rPr>
        <w:t>études et à des outils visuels, offrant à la fois un aperçu stratégique des progrès réalisés et un appel à une action ciblée afin de traiter les défis qui subsistent.</w:t>
      </w:r>
    </w:p>
    <w:p w14:paraId="22644857" w14:textId="77777777" w:rsidR="007F08AF" w:rsidRPr="00E43B72" w:rsidRDefault="007F08AF">
      <w:pPr>
        <w:widowControl w:val="0"/>
        <w:autoSpaceDE w:val="0"/>
        <w:autoSpaceDN w:val="0"/>
        <w:adjustRightInd w:val="0"/>
        <w:jc w:val="both"/>
        <w:rPr>
          <w:rFonts w:cs="Arial"/>
          <w:color w:val="000000" w:themeColor="text1"/>
          <w:lang w:val="fr-FR"/>
        </w:rPr>
      </w:pPr>
    </w:p>
    <w:p w14:paraId="7C37F989" w14:textId="2F17D0D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Les membres du Comité consultatif du MdE sur les tortues marines de l</w:t>
      </w:r>
      <w:r w:rsidR="00C2697F" w:rsidRPr="00E43B72">
        <w:rPr>
          <w:rFonts w:cs="Arial"/>
          <w:lang w:val="fr-FR"/>
        </w:rPr>
        <w:t>’</w:t>
      </w:r>
      <w:r w:rsidRPr="00E43B72">
        <w:rPr>
          <w:rFonts w:cs="Arial"/>
          <w:lang w:val="fr-FR"/>
        </w:rPr>
        <w:t>IOSEA ont résumé les résultats en ce qui concerne les mandats spécifiques donnés par la COP14, comme indiqué dans les paragraphes suivants.</w:t>
      </w:r>
    </w:p>
    <w:p w14:paraId="0A6CE500" w14:textId="77777777" w:rsidR="007F08AF" w:rsidRPr="00E43B72" w:rsidRDefault="007F08AF">
      <w:pPr>
        <w:widowControl w:val="0"/>
        <w:autoSpaceDE w:val="0"/>
        <w:autoSpaceDN w:val="0"/>
        <w:adjustRightInd w:val="0"/>
        <w:jc w:val="both"/>
        <w:rPr>
          <w:rFonts w:cs="Arial"/>
          <w:lang w:val="fr-FR"/>
        </w:rPr>
      </w:pPr>
    </w:p>
    <w:p w14:paraId="0E99D797" w14:textId="77777777" w:rsidR="007F08AF" w:rsidRPr="00E43B72" w:rsidRDefault="00000000">
      <w:pPr>
        <w:widowControl w:val="0"/>
        <w:autoSpaceDE w:val="0"/>
        <w:autoSpaceDN w:val="0"/>
        <w:adjustRightInd w:val="0"/>
        <w:jc w:val="both"/>
        <w:rPr>
          <w:rFonts w:cs="Arial"/>
          <w:u w:val="single"/>
          <w:lang w:val="fr-FR"/>
        </w:rPr>
      </w:pPr>
      <w:r w:rsidRPr="00E43B72">
        <w:rPr>
          <w:rFonts w:cs="Arial"/>
          <w:u w:val="single"/>
          <w:lang w:val="fr-FR"/>
        </w:rPr>
        <w:lastRenderedPageBreak/>
        <w:t>Incidences des menaces sur les tortues juvéniles</w:t>
      </w:r>
    </w:p>
    <w:p w14:paraId="3EF0843D" w14:textId="77777777" w:rsidR="007F08AF" w:rsidRPr="00E43B72" w:rsidRDefault="007F08AF">
      <w:pPr>
        <w:widowControl w:val="0"/>
        <w:autoSpaceDE w:val="0"/>
        <w:autoSpaceDN w:val="0"/>
        <w:adjustRightInd w:val="0"/>
        <w:jc w:val="both"/>
        <w:rPr>
          <w:rFonts w:cs="Arial"/>
          <w:lang w:val="fr-FR"/>
        </w:rPr>
      </w:pPr>
    </w:p>
    <w:p w14:paraId="2C0DDD78" w14:textId="6AC25901"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Les incidences des menaces sur les tortues juvéniles sont moins bien comprises que celles sur les stades de vie tels que les œufs et les tortues en période de nidification. Cette étape de vie comprend une longue phase de dispersion et de nutrition en milieu pélagique (en haute mer), pouvant s</w:t>
      </w:r>
      <w:r w:rsidR="00C2697F" w:rsidRPr="00E43B72">
        <w:rPr>
          <w:rFonts w:cs="Arial"/>
          <w:lang w:val="fr-FR"/>
        </w:rPr>
        <w:t>’</w:t>
      </w:r>
      <w:r w:rsidRPr="00E43B72">
        <w:rPr>
          <w:rFonts w:cs="Arial"/>
          <w:lang w:val="fr-FR"/>
        </w:rPr>
        <w:t>étendre sur une décennie. Après l</w:t>
      </w:r>
      <w:r w:rsidR="00C2697F" w:rsidRPr="00E43B72">
        <w:rPr>
          <w:rFonts w:cs="Arial"/>
          <w:lang w:val="fr-FR"/>
        </w:rPr>
        <w:t>’</w:t>
      </w:r>
      <w:r w:rsidRPr="00E43B72">
        <w:rPr>
          <w:rFonts w:cs="Arial"/>
          <w:lang w:val="fr-FR"/>
        </w:rPr>
        <w:t>éclosion, les tortues juvéniles entament leur voyage depuis la côte, dérivent à travers les gyres océaniques et finissent par revenir dans les habitats côtiers. Par conséquent, elles sont exposées à des vulnérabilités différentes de celles des juvéniles, des subadultes et des adultes des zones néritiques (côtières). Un résumé des menaces qui pèsent sur les tortues juvéniles figure à l</w:t>
      </w:r>
      <w:r w:rsidR="00C2697F" w:rsidRPr="00E43B72">
        <w:rPr>
          <w:rFonts w:cs="Arial"/>
          <w:lang w:val="fr-FR"/>
        </w:rPr>
        <w:t>’</w:t>
      </w:r>
      <w:r w:rsidRPr="00E43B72">
        <w:rPr>
          <w:rFonts w:cs="Arial"/>
          <w:lang w:val="fr-FR"/>
        </w:rPr>
        <w:t>Annexe</w:t>
      </w:r>
      <w:r w:rsidR="00253807" w:rsidRPr="00E43B72">
        <w:rPr>
          <w:rFonts w:cs="Arial"/>
          <w:lang w:val="fr-FR"/>
        </w:rPr>
        <w:t> </w:t>
      </w:r>
      <w:r w:rsidRPr="00E43B72">
        <w:rPr>
          <w:rFonts w:cs="Arial"/>
          <w:lang w:val="fr-FR"/>
        </w:rPr>
        <w:t>1. La plupart de ces menaces océaniques pèsent directement sur chaque tortue après éclosion.</w:t>
      </w:r>
    </w:p>
    <w:p w14:paraId="2AF61F1C" w14:textId="77777777" w:rsidR="007F08AF" w:rsidRPr="00E43B72" w:rsidRDefault="007F08AF">
      <w:pPr>
        <w:widowControl w:val="0"/>
        <w:autoSpaceDE w:val="0"/>
        <w:autoSpaceDN w:val="0"/>
        <w:adjustRightInd w:val="0"/>
        <w:jc w:val="both"/>
        <w:rPr>
          <w:rFonts w:cs="Arial"/>
          <w:lang w:val="fr-FR"/>
        </w:rPr>
      </w:pPr>
    </w:p>
    <w:p w14:paraId="3F1438D5" w14:textId="77777777" w:rsidR="007F08AF" w:rsidRPr="00E43B72" w:rsidRDefault="00000000">
      <w:pPr>
        <w:widowControl w:val="0"/>
        <w:autoSpaceDE w:val="0"/>
        <w:autoSpaceDN w:val="0"/>
        <w:adjustRightInd w:val="0"/>
        <w:jc w:val="both"/>
        <w:rPr>
          <w:rFonts w:cs="Arial"/>
          <w:u w:val="single"/>
          <w:lang w:val="fr-FR"/>
        </w:rPr>
      </w:pPr>
      <w:r w:rsidRPr="00E43B72">
        <w:rPr>
          <w:rFonts w:cs="Arial"/>
          <w:u w:val="single"/>
          <w:lang w:val="fr-FR"/>
        </w:rPr>
        <w:t>Effets des changements climatiques sur les tortues marines et leurs plages de nidification</w:t>
      </w:r>
    </w:p>
    <w:p w14:paraId="05D51E0C" w14:textId="77777777" w:rsidR="007F08AF" w:rsidRPr="00E43B72" w:rsidRDefault="007F08AF">
      <w:pPr>
        <w:widowControl w:val="0"/>
        <w:autoSpaceDE w:val="0"/>
        <w:autoSpaceDN w:val="0"/>
        <w:adjustRightInd w:val="0"/>
        <w:jc w:val="both"/>
        <w:rPr>
          <w:rFonts w:cs="Arial"/>
          <w:lang w:val="fr-FR"/>
        </w:rPr>
      </w:pPr>
    </w:p>
    <w:p w14:paraId="5BEE5D97" w14:textId="662E401C"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Si la protection des tortues marines individuelles, notamment sur les plages de nidification, a contribué à la reconstitution des populations, l</w:t>
      </w:r>
      <w:r w:rsidR="00C2697F" w:rsidRPr="00E43B72">
        <w:rPr>
          <w:rFonts w:cs="Arial"/>
          <w:lang w:val="fr-FR"/>
        </w:rPr>
        <w:t>’</w:t>
      </w:r>
      <w:r w:rsidRPr="00E43B72">
        <w:rPr>
          <w:rFonts w:cs="Arial"/>
          <w:lang w:val="fr-FR"/>
        </w:rPr>
        <w:t>attention s</w:t>
      </w:r>
      <w:r w:rsidR="00C2697F" w:rsidRPr="00E43B72">
        <w:rPr>
          <w:rFonts w:cs="Arial"/>
          <w:lang w:val="fr-FR"/>
        </w:rPr>
        <w:t>’</w:t>
      </w:r>
      <w:r w:rsidRPr="00E43B72">
        <w:rPr>
          <w:rFonts w:cs="Arial"/>
          <w:lang w:val="fr-FR"/>
        </w:rPr>
        <w:t>est récemment davantage portée sur la préservation de l</w:t>
      </w:r>
      <w:r w:rsidR="00C2697F" w:rsidRPr="00E43B72">
        <w:rPr>
          <w:rFonts w:cs="Arial"/>
          <w:lang w:val="fr-FR"/>
        </w:rPr>
        <w:t>’</w:t>
      </w:r>
      <w:r w:rsidRPr="00E43B72">
        <w:rPr>
          <w:rFonts w:cs="Arial"/>
          <w:lang w:val="fr-FR"/>
        </w:rPr>
        <w:t>ensemble des habitats des plages de sable, y compris l</w:t>
      </w:r>
      <w:r w:rsidR="00C2697F" w:rsidRPr="00E43B72">
        <w:rPr>
          <w:rFonts w:cs="Arial"/>
          <w:lang w:val="fr-FR"/>
        </w:rPr>
        <w:t>’</w:t>
      </w:r>
      <w:r w:rsidRPr="00E43B72">
        <w:rPr>
          <w:rFonts w:cs="Arial"/>
          <w:lang w:val="fr-FR"/>
        </w:rPr>
        <w:t>arrière-plage et les dunes. Lors de la 9</w:t>
      </w:r>
      <w:r w:rsidRPr="00E43B72">
        <w:rPr>
          <w:rFonts w:cs="Arial"/>
          <w:vertAlign w:val="superscript"/>
          <w:lang w:val="fr-FR"/>
        </w:rPr>
        <w:t>e</w:t>
      </w:r>
      <w:r w:rsidRPr="00E43B72">
        <w:rPr>
          <w:rFonts w:cs="Arial"/>
          <w:lang w:val="fr-FR"/>
        </w:rPr>
        <w:t xml:space="preserve"> Réunion des Signataires (MOS9), le Comité consultatif du Mémorandum d</w:t>
      </w:r>
      <w:r w:rsidR="00C2697F" w:rsidRPr="00E43B72">
        <w:rPr>
          <w:rFonts w:cs="Arial"/>
          <w:lang w:val="fr-FR"/>
        </w:rPr>
        <w:t>’</w:t>
      </w:r>
      <w:r w:rsidRPr="00E43B72">
        <w:rPr>
          <w:rFonts w:cs="Arial"/>
          <w:lang w:val="fr-FR"/>
        </w:rPr>
        <w:t xml:space="preserve">entente a présenté le document </w:t>
      </w:r>
      <w:hyperlink r:id="rId28">
        <w:r w:rsidR="007F08AF" w:rsidRPr="00E43B72">
          <w:rPr>
            <w:rStyle w:val="Hyperlink"/>
            <w:rFonts w:cs="Arial"/>
            <w:lang w:val="fr-FR"/>
          </w:rPr>
          <w:t>CMS/IOSEA/MOS9/Doc.8.2</w:t>
        </w:r>
      </w:hyperlink>
      <w:r w:rsidRPr="00E43B72">
        <w:rPr>
          <w:rFonts w:cs="Arial"/>
          <w:lang w:val="fr-FR"/>
        </w:rPr>
        <w:t xml:space="preserve"> </w:t>
      </w:r>
      <w:r w:rsidRPr="00E43B72">
        <w:rPr>
          <w:rFonts w:cs="Arial"/>
          <w:i/>
          <w:iCs/>
          <w:lang w:val="fr-FR"/>
        </w:rPr>
        <w:t>Gestion des plages et pratiques des écloseries</w:t>
      </w:r>
      <w:r w:rsidRPr="00E43B72">
        <w:rPr>
          <w:rFonts w:cs="Arial"/>
          <w:lang w:val="fr-FR"/>
        </w:rPr>
        <w:t>, soulignant les principes des meilleures pratiques, notamment la période pendant laquelle les écloseries peuvent favoriser la reconstitution.</w:t>
      </w:r>
    </w:p>
    <w:p w14:paraId="628962A3" w14:textId="77777777" w:rsidR="007F08AF" w:rsidRPr="00E43B72" w:rsidRDefault="007F08AF">
      <w:pPr>
        <w:widowControl w:val="0"/>
        <w:autoSpaceDE w:val="0"/>
        <w:autoSpaceDN w:val="0"/>
        <w:adjustRightInd w:val="0"/>
        <w:jc w:val="both"/>
        <w:rPr>
          <w:rFonts w:cs="Arial"/>
          <w:lang w:val="fr-FR"/>
        </w:rPr>
      </w:pPr>
    </w:p>
    <w:p w14:paraId="4B99FFED" w14:textId="51248CB9"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Les répercussions des changements climatiques sur les tortues marines et les plages de nidification demeurent encore insuffisamment documentés. Elles incluent notamment les extrêmes thermiques — en particulier l</w:t>
      </w:r>
      <w:r w:rsidR="00C2697F" w:rsidRPr="00E43B72">
        <w:rPr>
          <w:rFonts w:cs="Arial"/>
          <w:lang w:val="fr-FR"/>
        </w:rPr>
        <w:t>’</w:t>
      </w:r>
      <w:r w:rsidRPr="00E43B72">
        <w:rPr>
          <w:rFonts w:cs="Arial"/>
          <w:lang w:val="fr-FR"/>
        </w:rPr>
        <w:t>élévation des températures —, la montée du niveau de la mer entraînant l</w:t>
      </w:r>
      <w:r w:rsidR="00C2697F" w:rsidRPr="00E43B72">
        <w:rPr>
          <w:rFonts w:cs="Arial"/>
          <w:lang w:val="fr-FR"/>
        </w:rPr>
        <w:t>’</w:t>
      </w:r>
      <w:r w:rsidRPr="00E43B72">
        <w:rPr>
          <w:rFonts w:cs="Arial"/>
          <w:lang w:val="fr-FR"/>
        </w:rPr>
        <w:t>érosion ou l</w:t>
      </w:r>
      <w:r w:rsidR="00C2697F" w:rsidRPr="00E43B72">
        <w:rPr>
          <w:rFonts w:cs="Arial"/>
          <w:lang w:val="fr-FR"/>
        </w:rPr>
        <w:t>’</w:t>
      </w:r>
      <w:r w:rsidRPr="00E43B72">
        <w:rPr>
          <w:rFonts w:cs="Arial"/>
          <w:lang w:val="fr-FR"/>
        </w:rPr>
        <w:t>inondation des nids, la modification des dynamiques prédateur-proie ainsi que l</w:t>
      </w:r>
      <w:r w:rsidR="00C2697F" w:rsidRPr="00E43B72">
        <w:rPr>
          <w:rFonts w:cs="Arial"/>
          <w:lang w:val="fr-FR"/>
        </w:rPr>
        <w:t>’</w:t>
      </w:r>
      <w:r w:rsidRPr="00E43B72">
        <w:rPr>
          <w:rFonts w:cs="Arial"/>
          <w:lang w:val="fr-FR"/>
        </w:rPr>
        <w:t>émergence de maladies. En outre, l</w:t>
      </w:r>
      <w:r w:rsidR="00C2697F" w:rsidRPr="00E43B72">
        <w:rPr>
          <w:rFonts w:cs="Arial"/>
          <w:lang w:val="fr-FR"/>
        </w:rPr>
        <w:t>’</w:t>
      </w:r>
      <w:r w:rsidRPr="00E43B72">
        <w:rPr>
          <w:rFonts w:cs="Arial"/>
          <w:lang w:val="fr-FR"/>
        </w:rPr>
        <w:t>extraction de sable et l</w:t>
      </w:r>
      <w:r w:rsidR="00C2697F" w:rsidRPr="00E43B72">
        <w:rPr>
          <w:rFonts w:cs="Arial"/>
          <w:lang w:val="fr-FR"/>
        </w:rPr>
        <w:t>’</w:t>
      </w:r>
      <w:r w:rsidRPr="00E43B72">
        <w:rPr>
          <w:rFonts w:cs="Arial"/>
          <w:lang w:val="fr-FR"/>
        </w:rPr>
        <w:t xml:space="preserve">aménagement du littoral ont directement dégradé les habitats des plages et réduit leur résistance aux facteurs de stress climatiques. </w:t>
      </w:r>
    </w:p>
    <w:p w14:paraId="6DFBF279" w14:textId="77777777" w:rsidR="007F08AF" w:rsidRPr="00E43B72" w:rsidRDefault="007F08AF">
      <w:pPr>
        <w:widowControl w:val="0"/>
        <w:autoSpaceDE w:val="0"/>
        <w:autoSpaceDN w:val="0"/>
        <w:adjustRightInd w:val="0"/>
        <w:jc w:val="both"/>
        <w:rPr>
          <w:rFonts w:cs="Arial"/>
          <w:lang w:val="fr-FR"/>
        </w:rPr>
      </w:pPr>
    </w:p>
    <w:p w14:paraId="759201D1" w14:textId="1149A91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eastAsia="Times New Roman" w:cs="Arial"/>
          <w:lang w:val="fr-FR"/>
        </w:rPr>
        <w:t>Les plages sont de plus en plus reconnues comme des méta-écosystèmes — des habitats hautement interconnectés, reliés aux dunes, aux zones de surf, aux rivières, aux estuaires, aux marais salants, aux mangroves, aux herbiers marins et à d</w:t>
      </w:r>
      <w:r w:rsidR="00C2697F" w:rsidRPr="00E43B72">
        <w:rPr>
          <w:rFonts w:eastAsia="Times New Roman" w:cs="Arial"/>
          <w:lang w:val="fr-FR"/>
        </w:rPr>
        <w:t>’</w:t>
      </w:r>
      <w:r w:rsidRPr="00E43B72">
        <w:rPr>
          <w:rFonts w:eastAsia="Times New Roman" w:cs="Arial"/>
          <w:lang w:val="fr-FR"/>
        </w:rPr>
        <w:t>autres habitats voisins. Elles emmagasinent et transportent des sédiments, des nutriments et d</w:t>
      </w:r>
      <w:r w:rsidR="00C2697F" w:rsidRPr="00E43B72">
        <w:rPr>
          <w:rFonts w:eastAsia="Times New Roman" w:cs="Arial"/>
          <w:lang w:val="fr-FR"/>
        </w:rPr>
        <w:t>’</w:t>
      </w:r>
      <w:r w:rsidRPr="00E43B72">
        <w:rPr>
          <w:rFonts w:eastAsia="Times New Roman" w:cs="Arial"/>
          <w:lang w:val="fr-FR"/>
        </w:rPr>
        <w:t>autres matériaux, et atténuent les effets des changements climatiques et de l</w:t>
      </w:r>
      <w:r w:rsidR="00C2697F" w:rsidRPr="00E43B72">
        <w:rPr>
          <w:rFonts w:eastAsia="Times New Roman" w:cs="Arial"/>
          <w:lang w:val="fr-FR"/>
        </w:rPr>
        <w:t>’</w:t>
      </w:r>
      <w:r w:rsidRPr="00E43B72">
        <w:rPr>
          <w:rFonts w:eastAsia="Times New Roman" w:cs="Arial"/>
          <w:lang w:val="fr-FR"/>
        </w:rPr>
        <w:t>acidification des océans. Les perturbations de l</w:t>
      </w:r>
      <w:r w:rsidR="00C2697F" w:rsidRPr="00E43B72">
        <w:rPr>
          <w:rFonts w:eastAsia="Times New Roman" w:cs="Arial"/>
          <w:lang w:val="fr-FR"/>
        </w:rPr>
        <w:t>’</w:t>
      </w:r>
      <w:r w:rsidRPr="00E43B72">
        <w:rPr>
          <w:rFonts w:eastAsia="Times New Roman" w:cs="Arial"/>
          <w:lang w:val="fr-FR"/>
        </w:rPr>
        <w:t>écoulement naturel de l</w:t>
      </w:r>
      <w:r w:rsidR="00C2697F" w:rsidRPr="00E43B72">
        <w:rPr>
          <w:rFonts w:eastAsia="Times New Roman" w:cs="Arial"/>
          <w:lang w:val="fr-FR"/>
        </w:rPr>
        <w:t>’</w:t>
      </w:r>
      <w:r w:rsidRPr="00E43B72">
        <w:rPr>
          <w:rFonts w:eastAsia="Times New Roman" w:cs="Arial"/>
          <w:lang w:val="fr-FR"/>
        </w:rPr>
        <w:t>eau, ainsi que du bilan et du transport des sédiments, peuvent rompre ces connexions écologiques, ce qui a des répercussions négatives sur les plages de nidification et sur l</w:t>
      </w:r>
      <w:r w:rsidR="00C2697F" w:rsidRPr="00E43B72">
        <w:rPr>
          <w:rFonts w:eastAsia="Times New Roman" w:cs="Arial"/>
          <w:lang w:val="fr-FR"/>
        </w:rPr>
        <w:t>’</w:t>
      </w:r>
      <w:r w:rsidRPr="00E43B72">
        <w:rPr>
          <w:rFonts w:eastAsia="Times New Roman" w:cs="Arial"/>
          <w:lang w:val="fr-FR"/>
        </w:rPr>
        <w:t>ensemble du système côtier.</w:t>
      </w:r>
    </w:p>
    <w:p w14:paraId="7D5CA47C"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661F2919" w14:textId="17712358"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color w:val="000000" w:themeColor="text1"/>
          <w:lang w:val="fr-FR"/>
        </w:rPr>
        <w:t xml:space="preserve">En réponse à la Décision 14.94, qui a été réitérée dans le </w:t>
      </w:r>
      <w:hyperlink r:id="rId29" w:history="1">
        <w:r w:rsidR="007F08AF" w:rsidRPr="00E43B72">
          <w:rPr>
            <w:rStyle w:val="Hyperlink"/>
            <w:rFonts w:cs="Arial"/>
            <w:lang w:val="fr-FR"/>
          </w:rPr>
          <w:t>Programme de travail 2024-2028</w:t>
        </w:r>
      </w:hyperlink>
      <w:r w:rsidRPr="00E43B72">
        <w:rPr>
          <w:rFonts w:cs="Arial"/>
          <w:color w:val="000000" w:themeColor="text1"/>
          <w:lang w:val="fr-FR"/>
        </w:rPr>
        <w:t xml:space="preserve"> du MdE sur les tortues marines de l</w:t>
      </w:r>
      <w:r w:rsidR="00C2697F" w:rsidRPr="00E43B72">
        <w:rPr>
          <w:rFonts w:cs="Arial"/>
          <w:color w:val="000000" w:themeColor="text1"/>
          <w:lang w:val="fr-FR"/>
        </w:rPr>
        <w:t>’</w:t>
      </w:r>
      <w:r w:rsidRPr="00E43B72">
        <w:rPr>
          <w:rFonts w:cs="Arial"/>
          <w:color w:val="000000" w:themeColor="text1"/>
          <w:lang w:val="fr-FR"/>
        </w:rPr>
        <w:t xml:space="preserve">IOSEA, et </w:t>
      </w:r>
      <w:r w:rsidRPr="00E43B72">
        <w:rPr>
          <w:rFonts w:eastAsia="Times New Roman" w:cs="Arial"/>
          <w:lang w:val="fr-FR"/>
        </w:rPr>
        <w:t>à la lumière des pressions croissantes des changements climatiques et de l</w:t>
      </w:r>
      <w:r w:rsidR="00C2697F" w:rsidRPr="00E43B72">
        <w:rPr>
          <w:rFonts w:eastAsia="Times New Roman" w:cs="Arial"/>
          <w:lang w:val="fr-FR"/>
        </w:rPr>
        <w:t>’</w:t>
      </w:r>
      <w:r w:rsidRPr="00E43B72">
        <w:rPr>
          <w:rFonts w:eastAsia="Times New Roman" w:cs="Arial"/>
          <w:lang w:val="fr-FR"/>
        </w:rPr>
        <w:t>augmentation de l</w:t>
      </w:r>
      <w:r w:rsidR="00C2697F" w:rsidRPr="00E43B72">
        <w:rPr>
          <w:rFonts w:eastAsia="Times New Roman" w:cs="Arial"/>
          <w:lang w:val="fr-FR"/>
        </w:rPr>
        <w:t>’</w:t>
      </w:r>
      <w:r w:rsidRPr="00E43B72">
        <w:rPr>
          <w:rFonts w:eastAsia="Times New Roman" w:cs="Arial"/>
          <w:lang w:val="fr-FR"/>
        </w:rPr>
        <w:t xml:space="preserve">aménagement du littoral, </w:t>
      </w:r>
      <w:r w:rsidRPr="00E43B72">
        <w:rPr>
          <w:rFonts w:cs="Arial"/>
          <w:color w:val="000000" w:themeColor="text1"/>
          <w:lang w:val="fr-FR"/>
        </w:rPr>
        <w:t>un Groupe directeur sur la gestion des plages de nidification a été formé à la fin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2024. Dirigé par les membres du Comité consultatif du MdE, il se compose de conseillers scientifiques de la CMS et d</w:t>
      </w:r>
      <w:r w:rsidR="00C2697F" w:rsidRPr="00E43B72">
        <w:rPr>
          <w:rFonts w:cs="Arial"/>
          <w:color w:val="000000" w:themeColor="text1"/>
          <w:lang w:val="fr-FR"/>
        </w:rPr>
        <w:t>’</w:t>
      </w:r>
      <w:r w:rsidRPr="00E43B72">
        <w:rPr>
          <w:rFonts w:cs="Arial"/>
          <w:color w:val="000000" w:themeColor="text1"/>
          <w:lang w:val="fr-FR"/>
        </w:rPr>
        <w:t xml:space="preserve">experts externes. </w:t>
      </w:r>
    </w:p>
    <w:p w14:paraId="54788E41" w14:textId="77777777" w:rsidR="007F08AF" w:rsidRPr="00E43B72" w:rsidRDefault="007F08AF">
      <w:pPr>
        <w:widowControl w:val="0"/>
        <w:autoSpaceDE w:val="0"/>
        <w:autoSpaceDN w:val="0"/>
        <w:adjustRightInd w:val="0"/>
        <w:ind w:left="567"/>
        <w:jc w:val="both"/>
        <w:rPr>
          <w:rFonts w:cs="Arial"/>
          <w:lang w:val="fr-FR"/>
        </w:rPr>
      </w:pPr>
    </w:p>
    <w:p w14:paraId="2FF63C37" w14:textId="4561BB77"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color w:val="000000" w:themeColor="text1"/>
          <w:lang w:val="fr-FR"/>
        </w:rPr>
        <w:t xml:space="preserve">Le Groupe directeur </w:t>
      </w:r>
      <w:r w:rsidRPr="00E43B72">
        <w:rPr>
          <w:rFonts w:eastAsia="Times New Roman" w:cs="Arial"/>
          <w:lang w:val="fr-FR"/>
        </w:rPr>
        <w:t>formulera des recommandations fondées sur des données probantes, en s</w:t>
      </w:r>
      <w:r w:rsidR="00C2697F" w:rsidRPr="00E43B72">
        <w:rPr>
          <w:rFonts w:eastAsia="Times New Roman" w:cs="Arial"/>
          <w:lang w:val="fr-FR"/>
        </w:rPr>
        <w:t>’</w:t>
      </w:r>
      <w:r w:rsidRPr="00E43B72">
        <w:rPr>
          <w:rFonts w:eastAsia="Times New Roman" w:cs="Arial"/>
          <w:lang w:val="fr-FR"/>
        </w:rPr>
        <w:t>appuyant sur des exemples concrets, afin d</w:t>
      </w:r>
      <w:r w:rsidR="00C2697F" w:rsidRPr="00E43B72">
        <w:rPr>
          <w:rFonts w:eastAsia="Times New Roman" w:cs="Arial"/>
          <w:lang w:val="fr-FR"/>
        </w:rPr>
        <w:t>’</w:t>
      </w:r>
      <w:r w:rsidRPr="00E43B72">
        <w:rPr>
          <w:rFonts w:eastAsia="Times New Roman" w:cs="Arial"/>
          <w:lang w:val="fr-FR"/>
        </w:rPr>
        <w:t>orienter la prise de décision pour la protection des plages de nidification des tortues marines. Ces lignes directrices soutiendront également d</w:t>
      </w:r>
      <w:r w:rsidR="00C2697F" w:rsidRPr="00E43B72">
        <w:rPr>
          <w:rFonts w:eastAsia="Times New Roman" w:cs="Arial"/>
          <w:lang w:val="fr-FR"/>
        </w:rPr>
        <w:t>’</w:t>
      </w:r>
      <w:r w:rsidRPr="00E43B72">
        <w:rPr>
          <w:rFonts w:eastAsia="Times New Roman" w:cs="Arial"/>
          <w:lang w:val="fr-FR"/>
        </w:rPr>
        <w:t>autres espèces migratrices qui dépendent des habitats côtiers composés de sédiments meubles, tels que les oiseaux de rivage et les cétacés</w:t>
      </w:r>
      <w:r w:rsidRPr="00E43B72">
        <w:rPr>
          <w:rFonts w:cs="Arial"/>
          <w:color w:val="000000" w:themeColor="text1"/>
          <w:lang w:val="fr-FR"/>
        </w:rPr>
        <w:t xml:space="preserve">. Les orientations existantes sont disponibles sous la cote </w:t>
      </w:r>
      <w:hyperlink r:id="rId30" w:history="1">
        <w:r w:rsidR="007F08AF" w:rsidRPr="00E80443">
          <w:rPr>
            <w:rStyle w:val="Hyperlink"/>
            <w:rFonts w:cs="Arial"/>
            <w:lang w:val="fr-FR"/>
          </w:rPr>
          <w:t>UNEP/CMS/COP15/Inf.25.5a</w:t>
        </w:r>
      </w:hyperlink>
      <w:r w:rsidRPr="00E43B72">
        <w:rPr>
          <w:rFonts w:cs="Arial"/>
          <w:color w:val="000000" w:themeColor="text1"/>
          <w:lang w:val="fr-FR"/>
        </w:rPr>
        <w:t xml:space="preserve">. Un </w:t>
      </w:r>
      <w:r w:rsidRPr="00E43B72">
        <w:rPr>
          <w:rFonts w:cs="Arial"/>
          <w:color w:val="000000" w:themeColor="text1"/>
          <w:lang w:val="fr-FR"/>
        </w:rPr>
        <w:lastRenderedPageBreak/>
        <w:t>atelier d</w:t>
      </w:r>
      <w:r w:rsidR="00C2697F" w:rsidRPr="00E43B72">
        <w:rPr>
          <w:rFonts w:cs="Arial"/>
          <w:color w:val="000000" w:themeColor="text1"/>
          <w:lang w:val="fr-FR"/>
        </w:rPr>
        <w:t>’</w:t>
      </w:r>
      <w:r w:rsidRPr="00E43B72">
        <w:rPr>
          <w:rFonts w:cs="Arial"/>
          <w:color w:val="000000" w:themeColor="text1"/>
          <w:lang w:val="fr-FR"/>
        </w:rPr>
        <w:t>experts est prévu pour la fin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2025 ou le début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 xml:space="preserve">2026, et ses </w:t>
      </w:r>
      <w:r w:rsidRPr="00E43B72">
        <w:rPr>
          <w:rFonts w:eastAsia="Times New Roman" w:cs="Arial"/>
          <w:lang w:val="fr-FR"/>
        </w:rPr>
        <w:t>résultats seront présentés lors de la 10</w:t>
      </w:r>
      <w:r w:rsidRPr="00E43B72">
        <w:rPr>
          <w:rFonts w:eastAsia="Times New Roman" w:cs="Arial"/>
          <w:vertAlign w:val="superscript"/>
          <w:lang w:val="fr-FR"/>
        </w:rPr>
        <w:t>e</w:t>
      </w:r>
      <w:r w:rsidRPr="00E43B72">
        <w:rPr>
          <w:rFonts w:eastAsia="Times New Roman" w:cs="Arial"/>
          <w:lang w:val="fr-FR"/>
        </w:rPr>
        <w:t xml:space="preserve"> réunion des signataires du MdE sur les tortues marines de l</w:t>
      </w:r>
      <w:r w:rsidR="00C2697F" w:rsidRPr="00E43B72">
        <w:rPr>
          <w:rFonts w:eastAsia="Times New Roman" w:cs="Arial"/>
          <w:lang w:val="fr-FR"/>
        </w:rPr>
        <w:t>’</w:t>
      </w:r>
      <w:r w:rsidRPr="00E43B72">
        <w:rPr>
          <w:rFonts w:eastAsia="Times New Roman" w:cs="Arial"/>
          <w:lang w:val="fr-FR"/>
        </w:rPr>
        <w:t>IOSEA (MOS10), qui devrait se tenir en 2028. Un résumé des thèmes d</w:t>
      </w:r>
      <w:r w:rsidR="00C2697F" w:rsidRPr="00E43B72">
        <w:rPr>
          <w:rFonts w:eastAsia="Times New Roman" w:cs="Arial"/>
          <w:lang w:val="fr-FR"/>
        </w:rPr>
        <w:t>’</w:t>
      </w:r>
      <w:r w:rsidRPr="00E43B72">
        <w:rPr>
          <w:rFonts w:eastAsia="Times New Roman" w:cs="Arial"/>
          <w:lang w:val="fr-FR"/>
        </w:rPr>
        <w:t>investigation actuels est présenté à l</w:t>
      </w:r>
      <w:r w:rsidR="00C2697F" w:rsidRPr="00E43B72">
        <w:rPr>
          <w:rFonts w:eastAsia="Times New Roman" w:cs="Arial"/>
          <w:lang w:val="fr-FR"/>
        </w:rPr>
        <w:t>’</w:t>
      </w:r>
      <w:r w:rsidRPr="00E43B72">
        <w:rPr>
          <w:rFonts w:eastAsia="Times New Roman" w:cs="Arial"/>
          <w:color w:val="000000" w:themeColor="text1"/>
          <w:lang w:val="fr-FR"/>
        </w:rPr>
        <w:t>Annexe 2.</w:t>
      </w:r>
    </w:p>
    <w:p w14:paraId="1470D357" w14:textId="77777777" w:rsidR="007F08AF" w:rsidRPr="00E43B72" w:rsidRDefault="007F08AF">
      <w:pPr>
        <w:rPr>
          <w:rFonts w:cs="Arial"/>
          <w:color w:val="000000" w:themeColor="text1"/>
          <w:lang w:val="fr-FR"/>
        </w:rPr>
      </w:pPr>
    </w:p>
    <w:p w14:paraId="47685D6A" w14:textId="77777777" w:rsidR="007F08AF" w:rsidRPr="00E43B72" w:rsidRDefault="00000000">
      <w:pPr>
        <w:rPr>
          <w:rFonts w:cs="Arial"/>
          <w:color w:val="000000" w:themeColor="text1"/>
          <w:u w:val="single"/>
          <w:lang w:val="fr-FR"/>
        </w:rPr>
      </w:pPr>
      <w:r w:rsidRPr="00E43B72">
        <w:rPr>
          <w:rFonts w:cs="Arial"/>
          <w:color w:val="000000" w:themeColor="text1"/>
          <w:u w:val="single"/>
          <w:lang w:val="fr-FR"/>
        </w:rPr>
        <w:t>Aires importantes pour les tortues marines</w:t>
      </w:r>
    </w:p>
    <w:p w14:paraId="09D476D0" w14:textId="77777777" w:rsidR="007F08AF" w:rsidRPr="00E43B72" w:rsidRDefault="007F08AF">
      <w:pPr>
        <w:rPr>
          <w:rFonts w:cs="Arial"/>
          <w:color w:val="000000" w:themeColor="text1"/>
          <w:lang w:val="fr-FR"/>
        </w:rPr>
      </w:pPr>
    </w:p>
    <w:p w14:paraId="36DED218" w14:textId="16F3C47B"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 xml:space="preserve">Les Aires importantes pour les tortues marines (AITM) sont des sites qui revêtent une importance biologique ou culturelle pour les tortues marines, inspirés par des initiatives existantes telles que les Aires importantes pour les mammifères marins (AIMM) et les Aires importantes pour les requins et les raies (AIRR). Des projets de décisions et un projet de résolution sur les AITM sont disponibles dans le document </w:t>
      </w:r>
      <w:hyperlink r:id="rId31" w:history="1">
        <w:r w:rsidR="007F08AF" w:rsidRPr="001A20F8">
          <w:rPr>
            <w:rStyle w:val="Hyperlink"/>
            <w:rFonts w:cs="Arial"/>
            <w:lang w:val="fr-FR"/>
          </w:rPr>
          <w:t>UNEP/CMS/COP15/Doc.25.3.1</w:t>
        </w:r>
      </w:hyperlink>
      <w:r w:rsidRPr="00E43B72">
        <w:rPr>
          <w:rFonts w:cs="Arial"/>
          <w:color w:val="000000" w:themeColor="text1"/>
          <w:lang w:val="fr-FR"/>
        </w:rPr>
        <w:t xml:space="preserve"> </w:t>
      </w:r>
      <w:r w:rsidRPr="00E43B72">
        <w:rPr>
          <w:rFonts w:cs="Arial"/>
          <w:i/>
          <w:iCs/>
          <w:color w:val="000000" w:themeColor="text1"/>
          <w:lang w:val="fr-FR"/>
        </w:rPr>
        <w:t>Priorités pour la conservation par zone des espèces marines migratrices</w:t>
      </w:r>
      <w:r w:rsidRPr="00E43B72">
        <w:rPr>
          <w:rFonts w:cs="Arial"/>
          <w:color w:val="000000" w:themeColor="text1"/>
          <w:lang w:val="fr-FR"/>
        </w:rPr>
        <w:t>.</w:t>
      </w:r>
    </w:p>
    <w:p w14:paraId="1D2EB5F7" w14:textId="77777777" w:rsidR="007F08AF" w:rsidRPr="00E43B72" w:rsidRDefault="007F08AF">
      <w:pPr>
        <w:widowControl w:val="0"/>
        <w:autoSpaceDE w:val="0"/>
        <w:autoSpaceDN w:val="0"/>
        <w:adjustRightInd w:val="0"/>
        <w:jc w:val="both"/>
        <w:rPr>
          <w:rFonts w:cs="Arial"/>
          <w:color w:val="000000" w:themeColor="text1"/>
          <w:lang w:val="fr-FR"/>
        </w:rPr>
      </w:pPr>
    </w:p>
    <w:p w14:paraId="24079701" w14:textId="50124B62"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À ce jour, aucune AITM n</w:t>
      </w:r>
      <w:r w:rsidR="00C2697F" w:rsidRPr="00E43B72">
        <w:rPr>
          <w:rFonts w:cs="Arial"/>
          <w:color w:val="000000" w:themeColor="text1"/>
          <w:lang w:val="fr-FR"/>
        </w:rPr>
        <w:t>’</w:t>
      </w:r>
      <w:r w:rsidRPr="00E43B72">
        <w:rPr>
          <w:rFonts w:cs="Arial"/>
          <w:color w:val="000000" w:themeColor="text1"/>
          <w:lang w:val="fr-FR"/>
        </w:rPr>
        <w:t>a été identifiée. Pour faire avancer le processus, la CMS a rejoint le partenariat «</w:t>
      </w:r>
      <w:r w:rsidR="00253807" w:rsidRPr="00E43B72">
        <w:rPr>
          <w:rFonts w:cs="Arial"/>
          <w:color w:val="000000" w:themeColor="text1"/>
          <w:lang w:val="fr-FR"/>
        </w:rPr>
        <w:t> </w:t>
      </w:r>
      <w:hyperlink r:id="rId32">
        <w:r w:rsidR="007F08AF" w:rsidRPr="00E43B72">
          <w:rPr>
            <w:rStyle w:val="Hyperlink"/>
            <w:rFonts w:cs="Arial"/>
            <w:lang w:val="fr-FR"/>
          </w:rPr>
          <w:t>Blue Corridors for Turtles</w:t>
        </w:r>
      </w:hyperlink>
      <w:r w:rsidR="00253807" w:rsidRPr="00E43B72">
        <w:rPr>
          <w:rFonts w:cs="Arial"/>
          <w:color w:val="000000" w:themeColor="text1"/>
          <w:lang w:val="fr-FR"/>
        </w:rPr>
        <w:t> </w:t>
      </w:r>
      <w:r w:rsidRPr="00E43B72">
        <w:rPr>
          <w:rFonts w:cs="Arial"/>
          <w:color w:val="000000" w:themeColor="text1"/>
          <w:lang w:val="fr-FR"/>
        </w:rPr>
        <w:t>». Lancée en 2025, cette initiative a pour objectif d</w:t>
      </w:r>
      <w:r w:rsidR="00C2697F" w:rsidRPr="00E43B72">
        <w:rPr>
          <w:rFonts w:cs="Arial"/>
          <w:color w:val="000000" w:themeColor="text1"/>
          <w:lang w:val="fr-FR"/>
        </w:rPr>
        <w:t>’</w:t>
      </w:r>
      <w:r w:rsidRPr="00E43B72">
        <w:rPr>
          <w:rFonts w:cs="Arial"/>
          <w:color w:val="000000" w:themeColor="text1"/>
          <w:lang w:val="fr-FR"/>
        </w:rPr>
        <w:t>identifier et d</w:t>
      </w:r>
      <w:r w:rsidR="00C2697F" w:rsidRPr="00E43B72">
        <w:rPr>
          <w:rFonts w:cs="Arial"/>
          <w:color w:val="000000" w:themeColor="text1"/>
          <w:lang w:val="fr-FR"/>
        </w:rPr>
        <w:t>’</w:t>
      </w:r>
      <w:r w:rsidRPr="00E43B72">
        <w:rPr>
          <w:rFonts w:cs="Arial"/>
          <w:color w:val="000000" w:themeColor="text1"/>
          <w:lang w:val="fr-FR"/>
        </w:rPr>
        <w:t>établir des AITM en intégrant les données sur les déplacements et la génétique des sept espèces de tortues marines. La CMS et ses partenaires s</w:t>
      </w:r>
      <w:r w:rsidR="00C2697F" w:rsidRPr="00E43B72">
        <w:rPr>
          <w:rFonts w:cs="Arial"/>
          <w:color w:val="000000" w:themeColor="text1"/>
          <w:lang w:val="fr-FR"/>
        </w:rPr>
        <w:t>’</w:t>
      </w:r>
      <w:r w:rsidRPr="00E43B72">
        <w:rPr>
          <w:rFonts w:cs="Arial"/>
          <w:color w:val="000000" w:themeColor="text1"/>
          <w:lang w:val="fr-FR"/>
        </w:rPr>
        <w:t>efforcent de faciliter les ateliers d</w:t>
      </w:r>
      <w:r w:rsidR="00C2697F" w:rsidRPr="00E43B72">
        <w:rPr>
          <w:rFonts w:cs="Arial"/>
          <w:color w:val="000000" w:themeColor="text1"/>
          <w:lang w:val="fr-FR"/>
        </w:rPr>
        <w:t>’</w:t>
      </w:r>
      <w:r w:rsidRPr="00E43B72">
        <w:rPr>
          <w:rFonts w:cs="Arial"/>
          <w:color w:val="000000" w:themeColor="text1"/>
          <w:lang w:val="fr-FR"/>
        </w:rPr>
        <w:t>experts et les analyses de données spatiales afin de soutenir l</w:t>
      </w:r>
      <w:r w:rsidR="00C2697F" w:rsidRPr="00E43B72">
        <w:rPr>
          <w:rFonts w:cs="Arial"/>
          <w:color w:val="000000" w:themeColor="text1"/>
          <w:lang w:val="fr-FR"/>
        </w:rPr>
        <w:t>’</w:t>
      </w:r>
      <w:r w:rsidRPr="00E43B72">
        <w:rPr>
          <w:rFonts w:cs="Arial"/>
          <w:color w:val="000000" w:themeColor="text1"/>
          <w:lang w:val="fr-FR"/>
        </w:rPr>
        <w:t>identification et la hiérarchisation des AITM en tant que fondement pour la conservation transfrontalière et l</w:t>
      </w:r>
      <w:r w:rsidR="00C2697F" w:rsidRPr="00E43B72">
        <w:rPr>
          <w:rFonts w:cs="Arial"/>
          <w:color w:val="000000" w:themeColor="text1"/>
          <w:lang w:val="fr-FR"/>
        </w:rPr>
        <w:t>’</w:t>
      </w:r>
      <w:r w:rsidRPr="00E43B72">
        <w:rPr>
          <w:rFonts w:cs="Arial"/>
          <w:color w:val="000000" w:themeColor="text1"/>
          <w:lang w:val="fr-FR"/>
        </w:rPr>
        <w:t>élaboration de politiques.</w:t>
      </w:r>
    </w:p>
    <w:p w14:paraId="5238C5C6" w14:textId="77777777" w:rsidR="007F08AF" w:rsidRPr="00E43B72" w:rsidRDefault="007F08AF">
      <w:pPr>
        <w:widowControl w:val="0"/>
        <w:autoSpaceDE w:val="0"/>
        <w:autoSpaceDN w:val="0"/>
        <w:adjustRightInd w:val="0"/>
        <w:jc w:val="both"/>
        <w:rPr>
          <w:rFonts w:cs="Arial"/>
          <w:color w:val="000000" w:themeColor="text1"/>
          <w:lang w:val="fr-FR"/>
        </w:rPr>
      </w:pPr>
    </w:p>
    <w:p w14:paraId="6708108C" w14:textId="0302E74D" w:rsidR="007F08AF" w:rsidRPr="00E43B72" w:rsidRDefault="00000000">
      <w:pPr>
        <w:widowControl w:val="0"/>
        <w:autoSpaceDE w:val="0"/>
        <w:autoSpaceDN w:val="0"/>
        <w:adjustRightInd w:val="0"/>
        <w:jc w:val="both"/>
        <w:rPr>
          <w:rFonts w:cs="Arial"/>
          <w:color w:val="000000" w:themeColor="text1"/>
          <w:u w:val="single"/>
          <w:lang w:val="fr-FR"/>
        </w:rPr>
      </w:pPr>
      <w:r w:rsidRPr="00E43B72">
        <w:rPr>
          <w:rFonts w:cs="Arial"/>
          <w:color w:val="000000" w:themeColor="text1"/>
          <w:u w:val="single"/>
          <w:lang w:val="fr-FR"/>
        </w:rPr>
        <w:t>Mesures d</w:t>
      </w:r>
      <w:r w:rsidR="00C2697F" w:rsidRPr="00E43B72">
        <w:rPr>
          <w:rFonts w:cs="Arial"/>
          <w:color w:val="000000" w:themeColor="text1"/>
          <w:u w:val="single"/>
          <w:lang w:val="fr-FR"/>
        </w:rPr>
        <w:t>’</w:t>
      </w:r>
      <w:r w:rsidRPr="00E43B72">
        <w:rPr>
          <w:rFonts w:cs="Arial"/>
          <w:color w:val="000000" w:themeColor="text1"/>
          <w:u w:val="single"/>
          <w:lang w:val="fr-FR"/>
        </w:rPr>
        <w:t>atténuation des prises accessoires de tortues marines</w:t>
      </w:r>
    </w:p>
    <w:p w14:paraId="3B6FBFF9" w14:textId="77777777" w:rsidR="007F08AF" w:rsidRPr="00E43B72" w:rsidRDefault="007F08AF">
      <w:pPr>
        <w:widowControl w:val="0"/>
        <w:autoSpaceDE w:val="0"/>
        <w:autoSpaceDN w:val="0"/>
        <w:adjustRightInd w:val="0"/>
        <w:jc w:val="both"/>
        <w:rPr>
          <w:rFonts w:cs="Arial"/>
          <w:color w:val="000000" w:themeColor="text1"/>
          <w:lang w:val="fr-FR"/>
        </w:rPr>
      </w:pPr>
    </w:p>
    <w:p w14:paraId="492489A0" w14:textId="3BCD8F34" w:rsidR="007F08AF" w:rsidRPr="00E43B72" w:rsidRDefault="00000000" w:rsidP="00BA512F">
      <w:pPr>
        <w:pStyle w:val="ListParagraph"/>
        <w:numPr>
          <w:ilvl w:val="0"/>
          <w:numId w:val="4"/>
        </w:numPr>
        <w:ind w:left="567" w:hanging="567"/>
        <w:jc w:val="both"/>
        <w:rPr>
          <w:rFonts w:cs="Arial"/>
          <w:lang w:val="fr-FR"/>
        </w:rPr>
      </w:pPr>
      <w:r w:rsidRPr="00E43B72">
        <w:rPr>
          <w:rFonts w:cs="Arial"/>
          <w:lang w:val="fr-FR"/>
        </w:rPr>
        <w:t>Une étude des mesures d</w:t>
      </w:r>
      <w:r w:rsidR="00C2697F" w:rsidRPr="00E43B72">
        <w:rPr>
          <w:rFonts w:cs="Arial"/>
          <w:lang w:val="fr-FR"/>
        </w:rPr>
        <w:t>’</w:t>
      </w:r>
      <w:r w:rsidRPr="00E43B72">
        <w:rPr>
          <w:rFonts w:cs="Arial"/>
          <w:lang w:val="fr-FR"/>
        </w:rPr>
        <w:t xml:space="preserve">atténuation des prises accessoires de tortues a été menée au titre de la </w:t>
      </w:r>
      <w:r w:rsidR="00253807" w:rsidRPr="00E43B72">
        <w:rPr>
          <w:rFonts w:cs="Arial"/>
          <w:lang w:val="fr-FR"/>
        </w:rPr>
        <w:t>D</w:t>
      </w:r>
      <w:r w:rsidRPr="00E43B72">
        <w:rPr>
          <w:rFonts w:cs="Arial"/>
          <w:lang w:val="fr-FR"/>
        </w:rPr>
        <w:t>écision</w:t>
      </w:r>
      <w:r w:rsidR="00253807" w:rsidRPr="00E43B72">
        <w:rPr>
          <w:rFonts w:cs="Arial"/>
          <w:lang w:val="fr-FR"/>
        </w:rPr>
        <w:t> </w:t>
      </w:r>
      <w:r w:rsidRPr="00E43B72">
        <w:rPr>
          <w:rFonts w:cs="Arial"/>
          <w:lang w:val="fr-FR"/>
        </w:rPr>
        <w:t xml:space="preserve">14.33 (b), et un résumé ainsi que des recommandations sont disponibles dans le document </w:t>
      </w:r>
      <w:hyperlink r:id="rId33" w:history="1">
        <w:r w:rsidR="007F08AF" w:rsidRPr="00F57FAC">
          <w:rPr>
            <w:rStyle w:val="Hyperlink"/>
            <w:rFonts w:cs="Arial"/>
            <w:lang w:val="fr-FR"/>
          </w:rPr>
          <w:t>UNEP/CMS/COP15/Doc.25.1.1</w:t>
        </w:r>
      </w:hyperlink>
      <w:r w:rsidRPr="00E43B72">
        <w:rPr>
          <w:rFonts w:cs="Arial"/>
          <w:lang w:val="fr-FR"/>
        </w:rPr>
        <w:t xml:space="preserve"> </w:t>
      </w:r>
      <w:r w:rsidRPr="00E43B72">
        <w:rPr>
          <w:rFonts w:cs="Arial"/>
          <w:i/>
          <w:lang w:val="fr-FR"/>
        </w:rPr>
        <w:t xml:space="preserve">Prises accessoires et </w:t>
      </w:r>
      <w:r w:rsidRPr="00E43B72">
        <w:rPr>
          <w:rFonts w:cs="Arial"/>
          <w:i/>
          <w:iCs/>
          <w:lang w:val="fr-FR"/>
        </w:rPr>
        <w:t>autres</w:t>
      </w:r>
      <w:r w:rsidRPr="00E43B72">
        <w:rPr>
          <w:rFonts w:cs="Arial"/>
          <w:i/>
          <w:lang w:val="fr-FR"/>
        </w:rPr>
        <w:t xml:space="preserve"> mortalités causées par les activités de pêche</w:t>
      </w:r>
      <w:r w:rsidRPr="00E43B72">
        <w:rPr>
          <w:rFonts w:cs="Arial"/>
          <w:lang w:val="fr-FR"/>
        </w:rPr>
        <w:t>. Elle a évalué les mesures d</w:t>
      </w:r>
      <w:r w:rsidR="00C2697F" w:rsidRPr="00E43B72">
        <w:rPr>
          <w:rFonts w:cs="Arial"/>
          <w:lang w:val="fr-FR"/>
        </w:rPr>
        <w:t>’</w:t>
      </w:r>
      <w:r w:rsidRPr="00E43B72">
        <w:rPr>
          <w:rFonts w:cs="Arial"/>
          <w:lang w:val="fr-FR"/>
        </w:rPr>
        <w:t>atténuation des prises accessoires, tant techniques qu</w:t>
      </w:r>
      <w:r w:rsidR="00C2697F" w:rsidRPr="00E43B72">
        <w:rPr>
          <w:rFonts w:cs="Arial"/>
          <w:lang w:val="fr-FR"/>
        </w:rPr>
        <w:t>’</w:t>
      </w:r>
      <w:r w:rsidRPr="00E43B72">
        <w:rPr>
          <w:rFonts w:cs="Arial"/>
          <w:lang w:val="fr-FR"/>
        </w:rPr>
        <w:t>opérationnelles, pour quatre grands types d</w:t>
      </w:r>
      <w:r w:rsidR="00C2697F" w:rsidRPr="00E43B72">
        <w:rPr>
          <w:rFonts w:cs="Arial"/>
          <w:lang w:val="fr-FR"/>
        </w:rPr>
        <w:t>’</w:t>
      </w:r>
      <w:r w:rsidRPr="00E43B72">
        <w:rPr>
          <w:rFonts w:cs="Arial"/>
          <w:lang w:val="fr-FR"/>
        </w:rPr>
        <w:t>engins — chalut, senne coulissante, filet fixe et filet maillant, et pêche à la palangre — en s</w:t>
      </w:r>
      <w:r w:rsidR="00C2697F" w:rsidRPr="00E43B72">
        <w:rPr>
          <w:rFonts w:cs="Arial"/>
          <w:lang w:val="fr-FR"/>
        </w:rPr>
        <w:t>’</w:t>
      </w:r>
      <w:r w:rsidRPr="00E43B72">
        <w:rPr>
          <w:rFonts w:cs="Arial"/>
          <w:lang w:val="fr-FR"/>
        </w:rPr>
        <w:t>appuyant sur la littérature examinée par des pairs et la littérature grise. L</w:t>
      </w:r>
      <w:r w:rsidR="00C2697F" w:rsidRPr="00E43B72">
        <w:rPr>
          <w:rFonts w:cs="Arial"/>
          <w:lang w:val="fr-FR"/>
        </w:rPr>
        <w:t>’</w:t>
      </w:r>
      <w:r w:rsidRPr="00E43B72">
        <w:rPr>
          <w:rFonts w:cs="Arial"/>
          <w:lang w:val="fr-FR"/>
        </w:rPr>
        <w:t xml:space="preserve">étude complète est disponible sous la cote </w:t>
      </w:r>
      <w:hyperlink r:id="rId34" w:history="1">
        <w:r w:rsidR="007F08AF" w:rsidRPr="00C344E3">
          <w:rPr>
            <w:rStyle w:val="Hyperlink"/>
            <w:rFonts w:cs="Arial"/>
            <w:lang w:val="fr-FR"/>
          </w:rPr>
          <w:t>UNEP/CMS/COP15/Inf.25.1.1</w:t>
        </w:r>
      </w:hyperlink>
      <w:r w:rsidRPr="00E43B72">
        <w:rPr>
          <w:rFonts w:cs="Arial"/>
          <w:lang w:val="fr-FR"/>
        </w:rPr>
        <w:t>.</w:t>
      </w:r>
    </w:p>
    <w:p w14:paraId="19C0949F" w14:textId="77777777" w:rsidR="007F08AF" w:rsidRPr="00E43B72" w:rsidRDefault="007F08AF">
      <w:pPr>
        <w:rPr>
          <w:rFonts w:cs="Arial"/>
          <w:lang w:val="fr-FR"/>
        </w:rPr>
      </w:pPr>
    </w:p>
    <w:p w14:paraId="0C1254E8" w14:textId="633CC16D" w:rsidR="007F08AF" w:rsidRPr="00E43B72" w:rsidRDefault="00000000" w:rsidP="00BA512F">
      <w:pPr>
        <w:pStyle w:val="ListParagraph"/>
        <w:numPr>
          <w:ilvl w:val="0"/>
          <w:numId w:val="4"/>
        </w:numPr>
        <w:ind w:left="567" w:hanging="567"/>
        <w:jc w:val="both"/>
        <w:rPr>
          <w:color w:val="000000" w:themeColor="text1"/>
          <w:lang w:val="fr-FR"/>
        </w:rPr>
      </w:pPr>
      <w:r w:rsidRPr="00E43B72">
        <w:rPr>
          <w:lang w:val="fr-FR"/>
        </w:rPr>
        <w:t>Dans l</w:t>
      </w:r>
      <w:r w:rsidR="00C2697F" w:rsidRPr="00E43B72">
        <w:rPr>
          <w:lang w:val="fr-FR"/>
        </w:rPr>
        <w:t>’</w:t>
      </w:r>
      <w:r w:rsidRPr="00E43B72">
        <w:rPr>
          <w:lang w:val="fr-FR"/>
        </w:rPr>
        <w:t>ensemble, l</w:t>
      </w:r>
      <w:r w:rsidR="00C2697F" w:rsidRPr="00E43B72">
        <w:rPr>
          <w:lang w:val="fr-FR"/>
        </w:rPr>
        <w:t>’</w:t>
      </w:r>
      <w:r w:rsidRPr="00E43B72">
        <w:rPr>
          <w:lang w:val="fr-FR"/>
        </w:rPr>
        <w:t>étude confirme que la réduction efficace des prises accessoires de tortues est spécifique à chaque pêcherie, comme cela a été constaté pour l</w:t>
      </w:r>
      <w:r w:rsidR="00C2697F" w:rsidRPr="00E43B72">
        <w:rPr>
          <w:lang w:val="fr-FR"/>
        </w:rPr>
        <w:t>’</w:t>
      </w:r>
      <w:r w:rsidRPr="00E43B72">
        <w:rPr>
          <w:lang w:val="fr-FR"/>
        </w:rPr>
        <w:t>atténuation des prises accessoires d</w:t>
      </w:r>
      <w:r w:rsidR="00C2697F" w:rsidRPr="00E43B72">
        <w:rPr>
          <w:lang w:val="fr-FR"/>
        </w:rPr>
        <w:t>’</w:t>
      </w:r>
      <w:r w:rsidRPr="00E43B72">
        <w:rPr>
          <w:lang w:val="fr-FR"/>
        </w:rPr>
        <w:t>autres espèces non ciblées, notamment les oiseaux de mer, les mammifères marins et les requins. Les mesures qui sont particulièrement efficaces dans une région ou pour un type d</w:t>
      </w:r>
      <w:r w:rsidR="00C2697F" w:rsidRPr="00E43B72">
        <w:rPr>
          <w:lang w:val="fr-FR"/>
        </w:rPr>
        <w:t>’</w:t>
      </w:r>
      <w:r w:rsidRPr="00E43B72">
        <w:rPr>
          <w:lang w:val="fr-FR"/>
        </w:rPr>
        <w:t>engin spécifique peuvent être inefficaces ou peu pratiques dans d</w:t>
      </w:r>
      <w:r w:rsidR="00C2697F" w:rsidRPr="00E43B72">
        <w:rPr>
          <w:lang w:val="fr-FR"/>
        </w:rPr>
        <w:t>’</w:t>
      </w:r>
      <w:r w:rsidRPr="00E43B72">
        <w:rPr>
          <w:lang w:val="fr-FR"/>
        </w:rPr>
        <w:t>autres contextes. La mise en œuvre efficace et la pérennité des actions de conservation reposent sur des approches contextualisées et scientifiquement étayées, intégrant la collaboration intersectorielle des parties prenantes, l</w:t>
      </w:r>
      <w:r w:rsidR="00C2697F" w:rsidRPr="00E43B72">
        <w:rPr>
          <w:lang w:val="fr-FR"/>
        </w:rPr>
        <w:t>’</w:t>
      </w:r>
      <w:r w:rsidRPr="00E43B72">
        <w:rPr>
          <w:lang w:val="fr-FR"/>
        </w:rPr>
        <w:t>application rigoureuse des cadres juridiques ainsi que le renforcement des capacités par la formation.</w:t>
      </w:r>
    </w:p>
    <w:p w14:paraId="36500426" w14:textId="77777777" w:rsidR="007F08AF" w:rsidRPr="00E43B72" w:rsidRDefault="007F08AF">
      <w:pPr>
        <w:rPr>
          <w:rFonts w:cs="Arial"/>
          <w:caps/>
          <w:lang w:val="fr-FR"/>
        </w:rPr>
      </w:pPr>
    </w:p>
    <w:p w14:paraId="36BC04AA" w14:textId="11D328F8" w:rsidR="007F08AF" w:rsidRPr="00E43B72" w:rsidRDefault="00000000" w:rsidP="00BA512F">
      <w:pPr>
        <w:pStyle w:val="ListParagraph"/>
        <w:numPr>
          <w:ilvl w:val="0"/>
          <w:numId w:val="12"/>
        </w:numPr>
        <w:suppressAutoHyphens/>
        <w:autoSpaceDN w:val="0"/>
        <w:ind w:left="567" w:hanging="567"/>
        <w:textAlignment w:val="baseline"/>
        <w:rPr>
          <w:rFonts w:eastAsia="Times New Roman" w:cs="Arial"/>
          <w:caps/>
          <w:u w:val="single"/>
          <w:lang w:val="fr-FR"/>
        </w:rPr>
      </w:pPr>
      <w:r w:rsidRPr="00E43B72">
        <w:rPr>
          <w:rFonts w:eastAsia="Times New Roman" w:cs="Arial"/>
          <w:u w:val="single"/>
          <w:lang w:val="fr-FR"/>
        </w:rPr>
        <w:t>Plan d</w:t>
      </w:r>
      <w:r w:rsidR="00C2697F" w:rsidRPr="00E43B72">
        <w:rPr>
          <w:rFonts w:eastAsia="Times New Roman" w:cs="Arial"/>
          <w:u w:val="single"/>
          <w:lang w:val="fr-FR"/>
        </w:rPr>
        <w:t>’</w:t>
      </w:r>
      <w:r w:rsidRPr="00E43B72">
        <w:rPr>
          <w:rFonts w:eastAsia="Times New Roman" w:cs="Arial"/>
          <w:u w:val="single"/>
          <w:lang w:val="fr-FR"/>
        </w:rPr>
        <w:t>action par espèce pour la Tortue imbriquée (</w:t>
      </w:r>
      <w:r w:rsidRPr="00E43B72">
        <w:rPr>
          <w:rFonts w:eastAsia="Times New Roman" w:cs="Arial"/>
          <w:i/>
          <w:u w:val="single"/>
          <w:lang w:val="fr-FR"/>
        </w:rPr>
        <w:t>Eretmochelys imbricata</w:t>
      </w:r>
      <w:r w:rsidRPr="00E43B72">
        <w:rPr>
          <w:rFonts w:eastAsia="Times New Roman" w:cs="Arial"/>
          <w:u w:val="single"/>
          <w:lang w:val="fr-FR"/>
        </w:rPr>
        <w:t>) en Asie du Sud-Est et dans la région du Pacifique ouest</w:t>
      </w:r>
    </w:p>
    <w:p w14:paraId="660BC5F2" w14:textId="77777777" w:rsidR="007F08AF" w:rsidRPr="00E43B72" w:rsidRDefault="007F08AF">
      <w:pPr>
        <w:rPr>
          <w:lang w:val="fr-FR"/>
        </w:rPr>
      </w:pPr>
    </w:p>
    <w:p w14:paraId="6CB5CD19" w14:textId="2B1A68A6" w:rsidR="007F08AF" w:rsidRPr="00E43B72" w:rsidRDefault="00000000" w:rsidP="00BA512F">
      <w:pPr>
        <w:widowControl w:val="0"/>
        <w:numPr>
          <w:ilvl w:val="0"/>
          <w:numId w:val="4"/>
        </w:numPr>
        <w:autoSpaceDE w:val="0"/>
        <w:autoSpaceDN w:val="0"/>
        <w:adjustRightInd w:val="0"/>
        <w:ind w:left="567" w:hanging="567"/>
        <w:jc w:val="both"/>
        <w:rPr>
          <w:color w:val="000000" w:themeColor="text1"/>
          <w:lang w:val="fr-FR"/>
        </w:rPr>
      </w:pPr>
      <w:r w:rsidRPr="00E43B72">
        <w:rPr>
          <w:rFonts w:cs="Arial"/>
          <w:color w:val="000000" w:themeColor="text1"/>
          <w:lang w:val="fr-FR"/>
        </w:rPr>
        <w:t>En février</w:t>
      </w:r>
      <w:r w:rsidR="00253807" w:rsidRPr="00E43B72">
        <w:rPr>
          <w:rFonts w:cs="Arial"/>
          <w:color w:val="000000" w:themeColor="text1"/>
          <w:lang w:val="fr-FR"/>
        </w:rPr>
        <w:t> </w:t>
      </w:r>
      <w:r w:rsidRPr="00E43B72">
        <w:rPr>
          <w:rFonts w:cs="Arial"/>
          <w:color w:val="000000" w:themeColor="text1"/>
          <w:lang w:val="fr-FR"/>
        </w:rPr>
        <w:t xml:space="preserve">2024, les Parties à la CMS ont adopté la </w:t>
      </w:r>
      <w:hyperlink r:id="rId35" w:history="1">
        <w:r w:rsidR="007F08AF" w:rsidRPr="00E43B72">
          <w:rPr>
            <w:rStyle w:val="Hyperlink"/>
            <w:rFonts w:cs="Arial"/>
            <w:lang w:val="fr-FR"/>
          </w:rPr>
          <w:t>Résolution 14.11</w:t>
        </w:r>
      </w:hyperlink>
      <w:r w:rsidRPr="00E43B72">
        <w:rPr>
          <w:rFonts w:cs="Arial"/>
          <w:lang w:val="fr-FR"/>
        </w:rPr>
        <w:t xml:space="preserve"> </w:t>
      </w:r>
      <w:r w:rsidRPr="00E43B72">
        <w:rPr>
          <w:rFonts w:cs="Arial"/>
          <w:i/>
          <w:iCs/>
          <w:lang w:val="fr-FR"/>
        </w:rPr>
        <w:t>Plan d</w:t>
      </w:r>
      <w:r w:rsidR="00C2697F" w:rsidRPr="00E43B72">
        <w:rPr>
          <w:rFonts w:cs="Arial"/>
          <w:i/>
          <w:iCs/>
          <w:lang w:val="fr-FR"/>
        </w:rPr>
        <w:t>’</w:t>
      </w:r>
      <w:r w:rsidRPr="00E43B72">
        <w:rPr>
          <w:rFonts w:cs="Arial"/>
          <w:i/>
          <w:iCs/>
          <w:lang w:val="fr-FR"/>
        </w:rPr>
        <w:t>action par espèce pour la tortue imbriquée (Eretmochelys imbricata) en Asie du Sud-Est et dans la région de l</w:t>
      </w:r>
      <w:r w:rsidR="00C2697F" w:rsidRPr="00E43B72">
        <w:rPr>
          <w:rFonts w:cs="Arial"/>
          <w:i/>
          <w:iCs/>
          <w:lang w:val="fr-FR"/>
        </w:rPr>
        <w:t>’</w:t>
      </w:r>
      <w:r w:rsidRPr="00E43B72">
        <w:rPr>
          <w:rFonts w:cs="Arial"/>
          <w:i/>
          <w:iCs/>
          <w:lang w:val="fr-FR"/>
        </w:rPr>
        <w:t>océan Pacifique ouest</w:t>
      </w:r>
      <w:r w:rsidRPr="00E43B72">
        <w:rPr>
          <w:rFonts w:cs="Arial"/>
          <w:lang w:val="fr-FR"/>
        </w:rPr>
        <w:t>.</w:t>
      </w:r>
      <w:r w:rsidRPr="00E43B72">
        <w:rPr>
          <w:rFonts w:cs="Arial"/>
          <w:color w:val="000000" w:themeColor="text1"/>
          <w:lang w:val="fr-FR"/>
        </w:rPr>
        <w:t xml:space="preserve"> Le Plan d</w:t>
      </w:r>
      <w:r w:rsidR="00C2697F" w:rsidRPr="00E43B72">
        <w:rPr>
          <w:rFonts w:cs="Arial"/>
          <w:color w:val="000000" w:themeColor="text1"/>
          <w:lang w:val="fr-FR"/>
        </w:rPr>
        <w:t>’</w:t>
      </w:r>
      <w:r w:rsidRPr="00E43B72">
        <w:rPr>
          <w:rFonts w:cs="Arial"/>
          <w:color w:val="000000" w:themeColor="text1"/>
          <w:lang w:val="fr-FR"/>
        </w:rPr>
        <w:t>action par espèce aborde spécifiquement les menaces liées aux prélèvements et au commerce. En juin</w:t>
      </w:r>
      <w:r w:rsidR="00253807" w:rsidRPr="00E43B72">
        <w:rPr>
          <w:rFonts w:cs="Arial"/>
          <w:color w:val="000000" w:themeColor="text1"/>
          <w:lang w:val="fr-FR"/>
        </w:rPr>
        <w:t> </w:t>
      </w:r>
      <w:r w:rsidRPr="00E43B72">
        <w:rPr>
          <w:rFonts w:cs="Arial"/>
          <w:color w:val="000000" w:themeColor="text1"/>
          <w:lang w:val="fr-FR"/>
        </w:rPr>
        <w:t>2024, la 9</w:t>
      </w:r>
      <w:r w:rsidRPr="00E43B72">
        <w:rPr>
          <w:rFonts w:cs="Arial"/>
          <w:color w:val="000000" w:themeColor="text1"/>
          <w:vertAlign w:val="superscript"/>
          <w:lang w:val="fr-FR"/>
        </w:rPr>
        <w:t>e</w:t>
      </w:r>
      <w:r w:rsidRPr="00E43B72">
        <w:rPr>
          <w:rFonts w:cs="Arial"/>
          <w:color w:val="000000" w:themeColor="text1"/>
          <w:lang w:val="fr-FR"/>
        </w:rPr>
        <w:t xml:space="preserve"> Réunion des États signataires du MdE sur les tortues marines de l</w:t>
      </w:r>
      <w:r w:rsidR="00C2697F" w:rsidRPr="00E43B72">
        <w:rPr>
          <w:rFonts w:cs="Arial"/>
          <w:color w:val="000000" w:themeColor="text1"/>
          <w:lang w:val="fr-FR"/>
        </w:rPr>
        <w:t>’</w:t>
      </w:r>
      <w:r w:rsidRPr="00E43B72">
        <w:rPr>
          <w:rFonts w:cs="Arial"/>
          <w:color w:val="000000" w:themeColor="text1"/>
          <w:lang w:val="fr-FR"/>
        </w:rPr>
        <w:t>IOSEA (MOS9) a également adopté le Plan d</w:t>
      </w:r>
      <w:r w:rsidR="00C2697F" w:rsidRPr="00E43B72">
        <w:rPr>
          <w:rFonts w:cs="Arial"/>
          <w:color w:val="000000" w:themeColor="text1"/>
          <w:lang w:val="fr-FR"/>
        </w:rPr>
        <w:t>’</w:t>
      </w:r>
      <w:r w:rsidRPr="00E43B72">
        <w:rPr>
          <w:rFonts w:cs="Arial"/>
          <w:color w:val="000000" w:themeColor="text1"/>
          <w:lang w:val="fr-FR"/>
        </w:rPr>
        <w:t>action par espèce (</w:t>
      </w:r>
      <w:hyperlink r:id="rId36" w:history="1">
        <w:r w:rsidR="007F08AF" w:rsidRPr="00E43B72">
          <w:rPr>
            <w:rStyle w:val="Hyperlink"/>
            <w:rFonts w:cs="Arial"/>
            <w:lang w:val="fr-FR"/>
          </w:rPr>
          <w:t>CMS/IOSEA/MOS9/Outcome 9.3</w:t>
        </w:r>
      </w:hyperlink>
      <w:r w:rsidRPr="00E43B72">
        <w:rPr>
          <w:rFonts w:cs="Arial"/>
          <w:color w:val="000000" w:themeColor="text1"/>
          <w:lang w:val="fr-FR"/>
        </w:rPr>
        <w:t>), ce qui signifie que 16 des 33</w:t>
      </w:r>
      <w:r w:rsidR="00253807" w:rsidRPr="00E43B72">
        <w:rPr>
          <w:rFonts w:cs="Arial"/>
          <w:color w:val="000000" w:themeColor="text1"/>
          <w:lang w:val="fr-FR"/>
        </w:rPr>
        <w:t> </w:t>
      </w:r>
      <w:r w:rsidRPr="00E43B72">
        <w:rPr>
          <w:rFonts w:cs="Arial"/>
          <w:color w:val="000000" w:themeColor="text1"/>
          <w:lang w:val="fr-FR"/>
        </w:rPr>
        <w:t>États de l</w:t>
      </w:r>
      <w:r w:rsidR="00C2697F" w:rsidRPr="00E43B72">
        <w:rPr>
          <w:rFonts w:cs="Arial"/>
          <w:color w:val="000000" w:themeColor="text1"/>
          <w:lang w:val="fr-FR"/>
        </w:rPr>
        <w:t>’</w:t>
      </w:r>
      <w:r w:rsidRPr="00E43B72">
        <w:rPr>
          <w:rFonts w:cs="Arial"/>
          <w:color w:val="000000" w:themeColor="text1"/>
          <w:lang w:val="fr-FR"/>
        </w:rPr>
        <w:t>aire de répartition l</w:t>
      </w:r>
      <w:r w:rsidR="00C2697F" w:rsidRPr="00E43B72">
        <w:rPr>
          <w:rFonts w:cs="Arial"/>
          <w:color w:val="000000" w:themeColor="text1"/>
          <w:lang w:val="fr-FR"/>
        </w:rPr>
        <w:t>’</w:t>
      </w:r>
      <w:r w:rsidRPr="00E43B72">
        <w:rPr>
          <w:rFonts w:cs="Arial"/>
          <w:color w:val="000000" w:themeColor="text1"/>
          <w:lang w:val="fr-FR"/>
        </w:rPr>
        <w:t>ont adopté à ce jour.</w:t>
      </w:r>
    </w:p>
    <w:p w14:paraId="158A1F69" w14:textId="77777777" w:rsidR="007F08AF" w:rsidRPr="00E43B72" w:rsidRDefault="007F08AF">
      <w:pPr>
        <w:widowControl w:val="0"/>
        <w:autoSpaceDE w:val="0"/>
        <w:autoSpaceDN w:val="0"/>
        <w:adjustRightInd w:val="0"/>
        <w:jc w:val="both"/>
        <w:rPr>
          <w:lang w:val="fr-FR"/>
        </w:rPr>
      </w:pPr>
    </w:p>
    <w:p w14:paraId="6EE3C533" w14:textId="207F7AC2" w:rsidR="007F08AF" w:rsidRPr="00E43B72" w:rsidRDefault="00000000" w:rsidP="00BA512F">
      <w:pPr>
        <w:widowControl w:val="0"/>
        <w:numPr>
          <w:ilvl w:val="0"/>
          <w:numId w:val="5"/>
        </w:numPr>
        <w:autoSpaceDE w:val="0"/>
        <w:autoSpaceDN w:val="0"/>
        <w:adjustRightInd w:val="0"/>
        <w:ind w:left="567" w:hanging="567"/>
        <w:jc w:val="both"/>
        <w:rPr>
          <w:rFonts w:cs="Arial"/>
          <w:lang w:val="fr-FR"/>
        </w:rPr>
      </w:pPr>
      <w:r w:rsidRPr="00E43B72">
        <w:rPr>
          <w:rFonts w:cs="Arial"/>
          <w:lang w:val="fr-FR"/>
        </w:rPr>
        <w:t>Les décisions suivantes ont été adoptées par la COP14 à cet égard</w:t>
      </w:r>
      <w:r w:rsidR="00C421BB" w:rsidRPr="00E43B72">
        <w:rPr>
          <w:rFonts w:cs="Arial"/>
          <w:lang w:val="fr-FR"/>
        </w:rPr>
        <w:t> :</w:t>
      </w:r>
    </w:p>
    <w:p w14:paraId="33112F5D" w14:textId="77777777" w:rsidR="007F08AF" w:rsidRPr="00E43B72" w:rsidRDefault="007F08AF">
      <w:pPr>
        <w:widowControl w:val="0"/>
        <w:autoSpaceDE w:val="0"/>
        <w:autoSpaceDN w:val="0"/>
        <w:adjustRightInd w:val="0"/>
        <w:ind w:left="567"/>
        <w:rPr>
          <w:rFonts w:cs="Arial"/>
          <w:b/>
          <w:i/>
          <w:sz w:val="21"/>
          <w:szCs w:val="21"/>
          <w:lang w:val="fr-FR"/>
        </w:rPr>
      </w:pPr>
    </w:p>
    <w:p w14:paraId="5453125C" w14:textId="77777777" w:rsidR="00F11558" w:rsidRPr="00DA4BB9" w:rsidRDefault="00000000" w:rsidP="00DA4BB9">
      <w:pPr>
        <w:widowControl w:val="0"/>
        <w:autoSpaceDE w:val="0"/>
        <w:autoSpaceDN w:val="0"/>
        <w:adjustRightInd w:val="0"/>
        <w:ind w:left="851"/>
        <w:jc w:val="both"/>
        <w:rPr>
          <w:rFonts w:cs="Arial"/>
          <w:i/>
          <w:iCs/>
          <w:sz w:val="20"/>
          <w:szCs w:val="20"/>
          <w:lang w:val="fr-FR"/>
        </w:rPr>
      </w:pPr>
      <w:r w:rsidRPr="00DA4BB9">
        <w:rPr>
          <w:rFonts w:cs="Arial"/>
          <w:b/>
          <w:i/>
          <w:sz w:val="20"/>
          <w:szCs w:val="20"/>
          <w:lang w:val="fr-FR"/>
        </w:rPr>
        <w:t>14.</w:t>
      </w:r>
      <w:r w:rsidRPr="00DA4BB9">
        <w:rPr>
          <w:rFonts w:cs="Arial"/>
          <w:b/>
          <w:bCs/>
          <w:i/>
          <w:iCs/>
          <w:sz w:val="20"/>
          <w:szCs w:val="20"/>
          <w:lang w:val="fr-FR"/>
        </w:rPr>
        <w:t xml:space="preserve">96 </w:t>
      </w:r>
      <w:r w:rsidR="00F11558" w:rsidRPr="00DA4BB9">
        <w:rPr>
          <w:rFonts w:cs="Arial"/>
          <w:b/>
          <w:bCs/>
          <w:i/>
          <w:iCs/>
          <w:sz w:val="20"/>
          <w:szCs w:val="20"/>
          <w:lang w:val="fr-FR"/>
        </w:rPr>
        <w:t>À l’adresse des Parties qui sont des États de l'aire de répartition du Plan d'action par espèce</w:t>
      </w:r>
      <w:r w:rsidR="00F11558" w:rsidRPr="00DA4BB9">
        <w:rPr>
          <w:rFonts w:cs="Arial"/>
          <w:i/>
          <w:iCs/>
          <w:sz w:val="20"/>
          <w:szCs w:val="20"/>
          <w:lang w:val="fr-FR"/>
        </w:rPr>
        <w:t xml:space="preserve"> </w:t>
      </w:r>
    </w:p>
    <w:p w14:paraId="4634DD38" w14:textId="77777777" w:rsidR="00DA4BB9" w:rsidRDefault="00DA4BB9" w:rsidP="00DA4BB9">
      <w:pPr>
        <w:ind w:left="851"/>
        <w:rPr>
          <w:rFonts w:cs="Arial"/>
          <w:i/>
          <w:iCs/>
          <w:sz w:val="20"/>
          <w:szCs w:val="20"/>
          <w:lang w:val="fr-FR"/>
        </w:rPr>
      </w:pPr>
    </w:p>
    <w:p w14:paraId="11F42CF7" w14:textId="70354214" w:rsidR="00F11558" w:rsidRPr="00DA4BB9" w:rsidRDefault="00F11558" w:rsidP="00DA4BB9">
      <w:pPr>
        <w:ind w:left="851"/>
        <w:rPr>
          <w:rFonts w:cs="Arial"/>
          <w:i/>
          <w:iCs/>
          <w:sz w:val="20"/>
          <w:szCs w:val="20"/>
          <w:lang w:val="fr-FR"/>
        </w:rPr>
      </w:pPr>
      <w:r w:rsidRPr="00DA4BB9">
        <w:rPr>
          <w:rFonts w:cs="Arial"/>
          <w:i/>
          <w:iCs/>
          <w:sz w:val="20"/>
          <w:szCs w:val="20"/>
          <w:lang w:val="fr-FR"/>
        </w:rPr>
        <w:t xml:space="preserve">Les Parties </w:t>
      </w:r>
      <w:bookmarkStart w:id="8" w:name="_Hlk133498544"/>
      <w:r w:rsidRPr="00DA4BB9">
        <w:rPr>
          <w:rFonts w:cs="Arial"/>
          <w:i/>
          <w:iCs/>
          <w:sz w:val="20"/>
          <w:szCs w:val="20"/>
          <w:lang w:val="fr-FR"/>
        </w:rPr>
        <w:t xml:space="preserve">qui sont des États de l'aire de répartition du Plan d'action par espèce </w:t>
      </w:r>
      <w:bookmarkEnd w:id="8"/>
      <w:r w:rsidRPr="00DA4BB9">
        <w:rPr>
          <w:rFonts w:cs="Arial"/>
          <w:i/>
          <w:iCs/>
          <w:sz w:val="20"/>
          <w:szCs w:val="20"/>
          <w:lang w:val="fr-FR"/>
        </w:rPr>
        <w:t>sont priées de :</w:t>
      </w:r>
    </w:p>
    <w:p w14:paraId="2E108768" w14:textId="77777777" w:rsidR="007F08AF" w:rsidRPr="00DA4BB9" w:rsidRDefault="007F08AF" w:rsidP="00DA4BB9">
      <w:pPr>
        <w:widowControl w:val="0"/>
        <w:autoSpaceDE w:val="0"/>
        <w:autoSpaceDN w:val="0"/>
        <w:adjustRightInd w:val="0"/>
        <w:ind w:left="851"/>
        <w:jc w:val="both"/>
        <w:rPr>
          <w:rFonts w:cs="Arial"/>
          <w:i/>
          <w:iCs/>
          <w:sz w:val="20"/>
          <w:szCs w:val="20"/>
          <w:lang w:val="fr-FR"/>
        </w:rPr>
      </w:pPr>
    </w:p>
    <w:p w14:paraId="476E9E93" w14:textId="77777777" w:rsidR="00F11558" w:rsidRPr="00DA4BB9" w:rsidRDefault="00F11558" w:rsidP="00FA2E8E">
      <w:pPr>
        <w:numPr>
          <w:ilvl w:val="0"/>
          <w:numId w:val="20"/>
        </w:numPr>
        <w:suppressAutoHyphens/>
        <w:adjustRightInd w:val="0"/>
        <w:spacing w:after="80"/>
        <w:ind w:left="1276" w:hanging="425"/>
        <w:jc w:val="both"/>
        <w:rPr>
          <w:rFonts w:cs="Arial"/>
          <w:i/>
          <w:iCs/>
          <w:sz w:val="20"/>
          <w:szCs w:val="20"/>
          <w:lang w:val="fr-FR"/>
        </w:rPr>
      </w:pPr>
      <w:r w:rsidRPr="00DA4BB9">
        <w:rPr>
          <w:rFonts w:cs="Arial"/>
          <w:i/>
          <w:iCs/>
          <w:sz w:val="20"/>
          <w:szCs w:val="20"/>
          <w:lang w:val="fr-FR"/>
        </w:rPr>
        <w:t xml:space="preserve">comme prévu dans le document CMS/IOSEA/Hawksbill-SSAP/Doc.8 Suggestions pour une structure de gouvernance destinée à soutenir la mise en œuvre du plan d'action par espèce, </w:t>
      </w:r>
    </w:p>
    <w:p w14:paraId="79C6571F" w14:textId="77777777" w:rsidR="00F11558" w:rsidRPr="00DA4BB9"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nommer un représentant du gouvernement national (point focal) et un expert national par État de l'aire de répartition pour siéger au Groupe directeur, et soutenir les activités du Groupe directeur, notamment en fournissant des rapports réguliers sur la mise en œuvre du plan d'action par espèce ;</w:t>
      </w:r>
    </w:p>
    <w:p w14:paraId="49094BC7" w14:textId="77777777" w:rsidR="00F11558" w:rsidRPr="00DA4BB9"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créer des groupes de travail nationaux composés de points focaux nationaux, de parties prenantes locales et de scientifiques, en particulier ceux qui participeront à la mise en œuvre des actions ;</w:t>
      </w:r>
    </w:p>
    <w:p w14:paraId="7A073A89" w14:textId="6EBC34CE" w:rsidR="00F11558" w:rsidRPr="00FA2E8E"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élaborer un plan de travail national axé sur les actions prioritaires pertinentes pour leur pays ou territoire ;</w:t>
      </w:r>
    </w:p>
    <w:p w14:paraId="5BA97A0C" w14:textId="2DD7DCAB" w:rsidR="00F11558" w:rsidRPr="00FA2E8E" w:rsidRDefault="00F11558" w:rsidP="00FA2E8E">
      <w:pPr>
        <w:numPr>
          <w:ilvl w:val="0"/>
          <w:numId w:val="20"/>
        </w:numPr>
        <w:suppressAutoHyphens/>
        <w:adjustRightInd w:val="0"/>
        <w:spacing w:after="80"/>
        <w:ind w:left="1276" w:hanging="425"/>
        <w:jc w:val="both"/>
        <w:rPr>
          <w:rFonts w:cs="Arial"/>
          <w:i/>
          <w:iCs/>
          <w:sz w:val="20"/>
          <w:szCs w:val="20"/>
          <w:lang w:val="fr-FR"/>
        </w:rPr>
      </w:pPr>
      <w:r w:rsidRPr="00DA4BB9">
        <w:rPr>
          <w:rFonts w:cs="Arial"/>
          <w:i/>
          <w:iCs/>
          <w:sz w:val="20"/>
          <w:szCs w:val="20"/>
          <w:lang w:val="fr-FR"/>
        </w:rPr>
        <w:t>entreprendre en priorité, sous réserve de la disponibilité des ressources, les actions essentielles et hautement prioritaires du Plan d'action par espèce, et prendre en compte les actions pertinentes de priorité moyenne dans la planification nationale ; et</w:t>
      </w:r>
    </w:p>
    <w:p w14:paraId="64F22137" w14:textId="753CF782" w:rsidR="007F08AF" w:rsidRDefault="00F11558" w:rsidP="00DA4BB9">
      <w:pPr>
        <w:widowControl w:val="0"/>
        <w:autoSpaceDE w:val="0"/>
        <w:autoSpaceDN w:val="0"/>
        <w:adjustRightInd w:val="0"/>
        <w:ind w:left="1276" w:hanging="425"/>
        <w:jc w:val="both"/>
        <w:rPr>
          <w:rFonts w:cs="Arial"/>
          <w:i/>
          <w:iCs/>
          <w:sz w:val="20"/>
          <w:szCs w:val="20"/>
          <w:lang w:val="fr-FR"/>
        </w:rPr>
      </w:pPr>
      <w:r w:rsidRPr="00DA4BB9">
        <w:rPr>
          <w:rFonts w:cs="Arial"/>
          <w:i/>
          <w:iCs/>
          <w:sz w:val="20"/>
          <w:szCs w:val="20"/>
          <w:lang w:val="fr-FR"/>
        </w:rPr>
        <w:t>c) encourager activement les États de l'aire de répartition non parties à adopter le plan d'action par espèce pour leur usage.</w:t>
      </w:r>
    </w:p>
    <w:p w14:paraId="1F1D5162" w14:textId="77777777" w:rsidR="00FA2E8E" w:rsidRPr="00E43B72" w:rsidRDefault="00FA2E8E" w:rsidP="00DA4BB9">
      <w:pPr>
        <w:widowControl w:val="0"/>
        <w:autoSpaceDE w:val="0"/>
        <w:autoSpaceDN w:val="0"/>
        <w:adjustRightInd w:val="0"/>
        <w:ind w:left="1276" w:hanging="425"/>
        <w:jc w:val="both"/>
        <w:rPr>
          <w:rFonts w:cs="Arial"/>
          <w:i/>
          <w:iCs/>
          <w:sz w:val="20"/>
          <w:szCs w:val="20"/>
          <w:lang w:val="fr-FR"/>
        </w:rPr>
      </w:pPr>
    </w:p>
    <w:p w14:paraId="37F12F0C" w14:textId="6AD970A9" w:rsidR="007F08AF" w:rsidRPr="003E3ADD" w:rsidRDefault="00000000" w:rsidP="003E3ADD">
      <w:pPr>
        <w:widowControl w:val="0"/>
        <w:autoSpaceDE w:val="0"/>
        <w:autoSpaceDN w:val="0"/>
        <w:adjustRightInd w:val="0"/>
        <w:ind w:left="851"/>
        <w:rPr>
          <w:rFonts w:cs="Arial"/>
          <w:b/>
          <w:bCs/>
          <w:i/>
          <w:iCs/>
          <w:sz w:val="20"/>
          <w:szCs w:val="20"/>
          <w:lang w:val="fr-FR"/>
        </w:rPr>
      </w:pPr>
      <w:r w:rsidRPr="003E3ADD">
        <w:rPr>
          <w:rFonts w:cs="Arial"/>
          <w:b/>
          <w:i/>
          <w:sz w:val="20"/>
          <w:szCs w:val="20"/>
          <w:lang w:val="fr-FR"/>
        </w:rPr>
        <w:t xml:space="preserve">14.97 </w:t>
      </w:r>
      <w:r w:rsidR="00A82A70" w:rsidRPr="003E3ADD">
        <w:rPr>
          <w:rFonts w:cs="Arial"/>
          <w:b/>
          <w:bCs/>
          <w:i/>
          <w:iCs/>
          <w:sz w:val="20"/>
          <w:szCs w:val="20"/>
          <w:lang w:val="fr-FR"/>
        </w:rPr>
        <w:t>À l’adresse des États de l'aire de répartition non Parties au plan d'action par espèce</w:t>
      </w:r>
    </w:p>
    <w:p w14:paraId="3AA6A0B3" w14:textId="77777777" w:rsidR="007F08AF" w:rsidRPr="003E3ADD" w:rsidRDefault="007F08AF" w:rsidP="003E3ADD">
      <w:pPr>
        <w:widowControl w:val="0"/>
        <w:autoSpaceDE w:val="0"/>
        <w:autoSpaceDN w:val="0"/>
        <w:adjustRightInd w:val="0"/>
        <w:ind w:left="851"/>
        <w:rPr>
          <w:rFonts w:cs="Arial"/>
          <w:b/>
          <w:bCs/>
          <w:i/>
          <w:iCs/>
          <w:sz w:val="20"/>
          <w:szCs w:val="20"/>
          <w:lang w:val="fr-FR"/>
        </w:rPr>
      </w:pPr>
    </w:p>
    <w:p w14:paraId="390C2616" w14:textId="1AC597FA" w:rsidR="00A82A70" w:rsidRPr="003E3ADD" w:rsidRDefault="00A82A70" w:rsidP="00903D5A">
      <w:pPr>
        <w:ind w:left="851"/>
        <w:rPr>
          <w:rFonts w:cs="Arial"/>
          <w:i/>
          <w:iCs/>
          <w:sz w:val="20"/>
          <w:szCs w:val="20"/>
          <w:lang w:val="fr-FR"/>
        </w:rPr>
      </w:pPr>
      <w:r w:rsidRPr="003E3ADD">
        <w:rPr>
          <w:rFonts w:cs="Arial"/>
          <w:i/>
          <w:iCs/>
          <w:sz w:val="20"/>
          <w:szCs w:val="20"/>
          <w:lang w:val="fr-FR"/>
        </w:rPr>
        <w:t>Les Etats de l'aire de répartition non Parties au Plan d'action par espèce sont encouragés à:</w:t>
      </w:r>
    </w:p>
    <w:p w14:paraId="256FB57E" w14:textId="1AA9BB3C" w:rsidR="007F08AF" w:rsidRPr="003E3ADD" w:rsidRDefault="007F08AF" w:rsidP="003E3ADD">
      <w:pPr>
        <w:widowControl w:val="0"/>
        <w:autoSpaceDE w:val="0"/>
        <w:autoSpaceDN w:val="0"/>
        <w:adjustRightInd w:val="0"/>
        <w:ind w:left="851"/>
        <w:jc w:val="both"/>
        <w:rPr>
          <w:rFonts w:cs="Arial"/>
          <w:i/>
          <w:iCs/>
          <w:sz w:val="20"/>
          <w:szCs w:val="20"/>
          <w:lang w:val="fr-FR"/>
        </w:rPr>
      </w:pPr>
    </w:p>
    <w:p w14:paraId="06BEA6F0" w14:textId="256492E2" w:rsidR="00A82A70" w:rsidRPr="00903D5A" w:rsidRDefault="00A82A70" w:rsidP="00903D5A">
      <w:pPr>
        <w:numPr>
          <w:ilvl w:val="0"/>
          <w:numId w:val="21"/>
        </w:numPr>
        <w:suppressAutoHyphens/>
        <w:adjustRightInd w:val="0"/>
        <w:spacing w:after="80"/>
        <w:ind w:left="1276" w:hanging="425"/>
        <w:jc w:val="both"/>
        <w:rPr>
          <w:rFonts w:cs="Arial"/>
          <w:i/>
          <w:iCs/>
          <w:sz w:val="20"/>
          <w:szCs w:val="20"/>
          <w:lang w:val="fr-FR"/>
        </w:rPr>
      </w:pPr>
      <w:r w:rsidRPr="00903D5A">
        <w:rPr>
          <w:rFonts w:cs="Arial"/>
          <w:i/>
          <w:iCs/>
          <w:sz w:val="20"/>
          <w:szCs w:val="20"/>
          <w:lang w:val="fr-FR"/>
        </w:rPr>
        <w:t>adopter le plan d'action par espèce ; et</w:t>
      </w:r>
    </w:p>
    <w:p w14:paraId="5B16FCC8" w14:textId="77777777" w:rsidR="00A82A70" w:rsidRPr="00903D5A" w:rsidRDefault="00A82A70" w:rsidP="00903D5A">
      <w:pPr>
        <w:numPr>
          <w:ilvl w:val="0"/>
          <w:numId w:val="21"/>
        </w:numPr>
        <w:suppressAutoHyphens/>
        <w:adjustRightInd w:val="0"/>
        <w:spacing w:after="80"/>
        <w:ind w:left="1276" w:hanging="425"/>
        <w:jc w:val="both"/>
        <w:rPr>
          <w:rFonts w:cs="Arial"/>
          <w:i/>
          <w:iCs/>
          <w:sz w:val="20"/>
          <w:szCs w:val="20"/>
          <w:lang w:val="fr-FR"/>
        </w:rPr>
      </w:pPr>
      <w:r w:rsidRPr="00903D5A">
        <w:rPr>
          <w:rFonts w:cs="Arial"/>
          <w:i/>
          <w:iCs/>
          <w:sz w:val="20"/>
          <w:szCs w:val="20"/>
          <w:lang w:val="fr-FR"/>
        </w:rPr>
        <w:t xml:space="preserve">une fois le plan d'action par espèce adopté, </w:t>
      </w:r>
    </w:p>
    <w:p w14:paraId="1BEC7C52" w14:textId="77777777" w:rsidR="00A82A70" w:rsidRPr="00903D5A" w:rsidRDefault="00A82A70" w:rsidP="00903D5A">
      <w:pPr>
        <w:numPr>
          <w:ilvl w:val="2"/>
          <w:numId w:val="21"/>
        </w:numPr>
        <w:suppressAutoHyphens/>
        <w:adjustRightInd w:val="0"/>
        <w:spacing w:after="80"/>
        <w:ind w:left="1701" w:hanging="283"/>
        <w:jc w:val="both"/>
        <w:rPr>
          <w:rFonts w:cs="Arial"/>
          <w:i/>
          <w:iCs/>
          <w:sz w:val="20"/>
          <w:szCs w:val="20"/>
          <w:lang w:val="fr-FR"/>
        </w:rPr>
      </w:pPr>
      <w:r w:rsidRPr="00903D5A">
        <w:rPr>
          <w:rFonts w:cs="Arial"/>
          <w:i/>
          <w:iCs/>
          <w:sz w:val="20"/>
          <w:szCs w:val="20"/>
          <w:lang w:val="fr-FR"/>
        </w:rPr>
        <w:t>nommer un représentant du gouvernement national (point focal) ainsi qu'un expert national par État de l'aire de répartition pour siéger au Groupe directeur ;</w:t>
      </w:r>
    </w:p>
    <w:p w14:paraId="5A6A0C56" w14:textId="77777777" w:rsidR="00A82A70" w:rsidRPr="00903D5A" w:rsidRDefault="00A82A70" w:rsidP="00903D5A">
      <w:pPr>
        <w:numPr>
          <w:ilvl w:val="2"/>
          <w:numId w:val="21"/>
        </w:numPr>
        <w:suppressAutoHyphens/>
        <w:adjustRightInd w:val="0"/>
        <w:spacing w:after="80"/>
        <w:ind w:left="1701" w:hanging="283"/>
        <w:jc w:val="both"/>
        <w:rPr>
          <w:rFonts w:cs="Arial"/>
          <w:i/>
          <w:iCs/>
          <w:sz w:val="20"/>
          <w:szCs w:val="20"/>
          <w:lang w:val="fr-FR"/>
        </w:rPr>
      </w:pPr>
      <w:r w:rsidRPr="00903D5A">
        <w:rPr>
          <w:rFonts w:cs="Arial"/>
          <w:i/>
          <w:iCs/>
          <w:sz w:val="20"/>
          <w:szCs w:val="20"/>
          <w:lang w:val="fr-FR"/>
        </w:rPr>
        <w:t>créer des groupes de travail nationaux composés de points focaux nationaux, de parties prenantes locales et de scientifiques, en particulier ceux qui participeront à la mise en œuvre des actions ;</w:t>
      </w:r>
    </w:p>
    <w:p w14:paraId="14B8BA67" w14:textId="09A9F8D3" w:rsidR="007F08AF" w:rsidRPr="003E3ADD" w:rsidRDefault="00A82A70" w:rsidP="00903D5A">
      <w:pPr>
        <w:pStyle w:val="ListParagraph"/>
        <w:widowControl w:val="0"/>
        <w:numPr>
          <w:ilvl w:val="2"/>
          <w:numId w:val="21"/>
        </w:numPr>
        <w:autoSpaceDE w:val="0"/>
        <w:autoSpaceDN w:val="0"/>
        <w:adjustRightInd w:val="0"/>
        <w:ind w:left="1701" w:hanging="283"/>
        <w:jc w:val="both"/>
        <w:rPr>
          <w:rFonts w:cs="Arial"/>
          <w:iCs/>
          <w:sz w:val="20"/>
          <w:szCs w:val="20"/>
          <w:lang w:val="fr-FR"/>
        </w:rPr>
      </w:pPr>
      <w:r w:rsidRPr="00903D5A">
        <w:rPr>
          <w:rFonts w:cs="Arial"/>
          <w:i/>
          <w:iCs/>
          <w:sz w:val="20"/>
          <w:szCs w:val="20"/>
          <w:lang w:val="fr-FR"/>
        </w:rPr>
        <w:t>mettre en œuvre en urgence les actions à mettre en œuvre immédiatement et dans les trois</w:t>
      </w:r>
      <w:r w:rsidRPr="003E3ADD">
        <w:rPr>
          <w:rFonts w:cs="Arial"/>
          <w:iCs/>
          <w:sz w:val="20"/>
          <w:szCs w:val="20"/>
          <w:lang w:val="fr-FR"/>
        </w:rPr>
        <w:t xml:space="preserve"> ans, et commencer à mettre en œuvre les actions dans les cinq ans.</w:t>
      </w:r>
    </w:p>
    <w:p w14:paraId="092FCBCC" w14:textId="77777777" w:rsidR="00A82A70" w:rsidRPr="003E3ADD" w:rsidRDefault="00A82A70" w:rsidP="00A82A70">
      <w:pPr>
        <w:pStyle w:val="ListParagraph"/>
        <w:widowControl w:val="0"/>
        <w:autoSpaceDE w:val="0"/>
        <w:autoSpaceDN w:val="0"/>
        <w:adjustRightInd w:val="0"/>
        <w:ind w:left="2934"/>
        <w:jc w:val="both"/>
        <w:rPr>
          <w:rFonts w:cs="Arial"/>
          <w:i/>
          <w:iCs/>
          <w:sz w:val="20"/>
          <w:szCs w:val="20"/>
          <w:lang w:val="fr-FR"/>
        </w:rPr>
      </w:pPr>
    </w:p>
    <w:p w14:paraId="0DD3C12F" w14:textId="3A3BCB0B" w:rsidR="007F08AF" w:rsidRPr="00623A33" w:rsidRDefault="00000000" w:rsidP="00623A33">
      <w:pPr>
        <w:widowControl w:val="0"/>
        <w:autoSpaceDE w:val="0"/>
        <w:autoSpaceDN w:val="0"/>
        <w:adjustRightInd w:val="0"/>
        <w:ind w:left="851"/>
        <w:jc w:val="both"/>
        <w:rPr>
          <w:rFonts w:cs="Arial"/>
          <w:b/>
          <w:i/>
          <w:sz w:val="20"/>
          <w:szCs w:val="20"/>
          <w:lang w:val="fr-FR"/>
        </w:rPr>
      </w:pPr>
      <w:r w:rsidRPr="00623A33">
        <w:rPr>
          <w:rFonts w:cs="Arial"/>
          <w:b/>
          <w:i/>
          <w:sz w:val="20"/>
          <w:szCs w:val="20"/>
          <w:lang w:val="fr-FR"/>
        </w:rPr>
        <w:t xml:space="preserve">14.98 </w:t>
      </w:r>
      <w:r w:rsidR="00A82A70" w:rsidRPr="00623A33">
        <w:rPr>
          <w:rFonts w:cs="Arial"/>
          <w:b/>
          <w:i/>
          <w:sz w:val="20"/>
          <w:szCs w:val="20"/>
          <w:lang w:val="fr-FR"/>
        </w:rPr>
        <w:t>À l’adresse des organisations intergouvernementales et non gouvernementales</w:t>
      </w:r>
    </w:p>
    <w:p w14:paraId="0FA6F1A8"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12917BBF" w14:textId="34015741" w:rsidR="007F08AF" w:rsidRPr="00623A33" w:rsidRDefault="00A82A70" w:rsidP="00623A33">
      <w:pPr>
        <w:widowControl w:val="0"/>
        <w:autoSpaceDE w:val="0"/>
        <w:autoSpaceDN w:val="0"/>
        <w:adjustRightInd w:val="0"/>
        <w:ind w:left="851"/>
        <w:jc w:val="both"/>
        <w:rPr>
          <w:rFonts w:cs="Arial"/>
          <w:i/>
          <w:sz w:val="20"/>
          <w:szCs w:val="20"/>
          <w:lang w:val="fr-FR"/>
        </w:rPr>
      </w:pPr>
      <w:r w:rsidRPr="00623A33">
        <w:rPr>
          <w:rFonts w:cs="Arial"/>
          <w:i/>
          <w:sz w:val="20"/>
          <w:szCs w:val="20"/>
          <w:lang w:val="fr-FR"/>
        </w:rPr>
        <w:t>Les organisations intergouvernementales et non gouvernementales sont encouragées à offrir un soutien financier et technique pour la mise en œuvre du Plan d'action par espèce.</w:t>
      </w:r>
    </w:p>
    <w:p w14:paraId="72450D53"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5E1D192B" w14:textId="071492A1" w:rsidR="007F08AF" w:rsidRPr="00623A33" w:rsidRDefault="00000000" w:rsidP="00623A33">
      <w:pPr>
        <w:widowControl w:val="0"/>
        <w:autoSpaceDE w:val="0"/>
        <w:autoSpaceDN w:val="0"/>
        <w:adjustRightInd w:val="0"/>
        <w:ind w:left="851"/>
        <w:jc w:val="both"/>
        <w:rPr>
          <w:rFonts w:cs="Arial"/>
          <w:b/>
          <w:i/>
          <w:sz w:val="20"/>
          <w:szCs w:val="20"/>
          <w:lang w:val="fr-FR"/>
        </w:rPr>
      </w:pPr>
      <w:r w:rsidRPr="00623A33">
        <w:rPr>
          <w:rFonts w:cs="Arial"/>
          <w:b/>
          <w:i/>
          <w:sz w:val="20"/>
          <w:szCs w:val="20"/>
          <w:lang w:val="fr-FR"/>
        </w:rPr>
        <w:t xml:space="preserve">14.99 </w:t>
      </w:r>
      <w:r w:rsidR="00A82A70" w:rsidRPr="00623A33">
        <w:rPr>
          <w:rFonts w:cs="Arial"/>
          <w:b/>
          <w:i/>
          <w:sz w:val="20"/>
          <w:szCs w:val="20"/>
          <w:lang w:val="fr-FR"/>
        </w:rPr>
        <w:t>À l’adresse du Conseil scientifique</w:t>
      </w:r>
    </w:p>
    <w:p w14:paraId="1D5B75BE"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0F787564" w14:textId="77777777" w:rsidR="00A82A70" w:rsidRPr="00623A33" w:rsidRDefault="00A82A70" w:rsidP="00623A33">
      <w:pPr>
        <w:ind w:left="1276" w:hanging="425"/>
        <w:rPr>
          <w:rFonts w:cs="Arial"/>
          <w:i/>
          <w:sz w:val="20"/>
          <w:szCs w:val="20"/>
          <w:lang w:val="fr-FR"/>
        </w:rPr>
      </w:pPr>
      <w:r w:rsidRPr="00623A33">
        <w:rPr>
          <w:rFonts w:cs="Arial"/>
          <w:i/>
          <w:sz w:val="20"/>
          <w:szCs w:val="20"/>
          <w:lang w:val="fr-FR"/>
        </w:rPr>
        <w:t>Le conseil scientifique est prié :</w:t>
      </w:r>
    </w:p>
    <w:p w14:paraId="1B3C3587" w14:textId="77777777" w:rsidR="00A82A70" w:rsidRPr="00623A33" w:rsidRDefault="00A82A70" w:rsidP="00623A33">
      <w:pPr>
        <w:ind w:left="851" w:hanging="318"/>
        <w:rPr>
          <w:rFonts w:cs="Arial"/>
          <w:i/>
          <w:sz w:val="20"/>
          <w:szCs w:val="20"/>
          <w:lang w:val="fr-FR"/>
        </w:rPr>
      </w:pPr>
    </w:p>
    <w:p w14:paraId="3B2503BA" w14:textId="14187861" w:rsidR="00A82A70" w:rsidRPr="00623A33" w:rsidRDefault="00A82A70" w:rsidP="00623A33">
      <w:pPr>
        <w:numPr>
          <w:ilvl w:val="0"/>
          <w:numId w:val="22"/>
        </w:numPr>
        <w:suppressAutoHyphens/>
        <w:adjustRightInd w:val="0"/>
        <w:spacing w:after="80"/>
        <w:ind w:left="1276" w:hanging="425"/>
        <w:jc w:val="both"/>
        <w:rPr>
          <w:rFonts w:cs="Arial"/>
          <w:i/>
          <w:sz w:val="20"/>
          <w:szCs w:val="20"/>
          <w:lang w:val="fr-FR"/>
        </w:rPr>
      </w:pPr>
      <w:r w:rsidRPr="00623A33">
        <w:rPr>
          <w:rFonts w:cs="Arial"/>
          <w:i/>
          <w:sz w:val="20"/>
          <w:szCs w:val="20"/>
          <w:lang w:val="fr-FR"/>
        </w:rPr>
        <w:t>de considérer le rapport reçu du Groupe directeur sur la mise en œuvre du Plan d'action, comme prévu dans le document CMS/IOSEA/Hawksbill-SSAP/Doc.8; et</w:t>
      </w:r>
    </w:p>
    <w:p w14:paraId="78755F81" w14:textId="3D2D7D4F" w:rsidR="007F08AF" w:rsidRPr="003E3ADD" w:rsidRDefault="00A82A70" w:rsidP="00623A33">
      <w:pPr>
        <w:pStyle w:val="ListParagraph"/>
        <w:widowControl w:val="0"/>
        <w:numPr>
          <w:ilvl w:val="0"/>
          <w:numId w:val="22"/>
        </w:numPr>
        <w:autoSpaceDE w:val="0"/>
        <w:autoSpaceDN w:val="0"/>
        <w:adjustRightInd w:val="0"/>
        <w:ind w:left="1276" w:hanging="425"/>
        <w:jc w:val="both"/>
        <w:rPr>
          <w:rFonts w:cs="Arial"/>
          <w:sz w:val="20"/>
          <w:szCs w:val="20"/>
          <w:lang w:val="fr-FR"/>
        </w:rPr>
      </w:pPr>
      <w:r w:rsidRPr="00623A33">
        <w:rPr>
          <w:rFonts w:cs="Arial"/>
          <w:i/>
          <w:sz w:val="20"/>
          <w:szCs w:val="20"/>
          <w:lang w:val="fr-FR"/>
        </w:rPr>
        <w:t>de fournir des orientations sur la poursuite de la mise en œuvre du plan d'action jusqu'à</w:t>
      </w:r>
      <w:r w:rsidRPr="003E3ADD">
        <w:rPr>
          <w:rFonts w:cs="Arial"/>
          <w:sz w:val="20"/>
          <w:szCs w:val="20"/>
          <w:lang w:val="fr-FR"/>
        </w:rPr>
        <w:t xml:space="preserve"> la COP15.</w:t>
      </w:r>
    </w:p>
    <w:p w14:paraId="34624DB4" w14:textId="77777777" w:rsidR="00A82A70" w:rsidRPr="003E3ADD" w:rsidRDefault="00A82A70" w:rsidP="00A82A70">
      <w:pPr>
        <w:pStyle w:val="ListParagraph"/>
        <w:rPr>
          <w:rFonts w:cs="Arial"/>
          <w:i/>
          <w:iCs/>
          <w:sz w:val="20"/>
          <w:szCs w:val="20"/>
          <w:lang w:val="fr-FR"/>
        </w:rPr>
      </w:pPr>
    </w:p>
    <w:p w14:paraId="63F4B0BF" w14:textId="77777777" w:rsidR="00A82A70" w:rsidRPr="00A82A70" w:rsidRDefault="00A82A70" w:rsidP="00A82A70">
      <w:pPr>
        <w:pStyle w:val="ListParagraph"/>
        <w:widowControl w:val="0"/>
        <w:autoSpaceDE w:val="0"/>
        <w:autoSpaceDN w:val="0"/>
        <w:adjustRightInd w:val="0"/>
        <w:jc w:val="both"/>
        <w:rPr>
          <w:rFonts w:cs="Arial"/>
          <w:i/>
          <w:iCs/>
          <w:sz w:val="20"/>
          <w:szCs w:val="20"/>
          <w:highlight w:val="yellow"/>
          <w:lang w:val="fr-FR"/>
        </w:rPr>
      </w:pPr>
    </w:p>
    <w:p w14:paraId="49DDC14A" w14:textId="1C9CF73A" w:rsidR="007F08AF" w:rsidRPr="00700EA5" w:rsidRDefault="00000000">
      <w:pPr>
        <w:widowControl w:val="0"/>
        <w:autoSpaceDE w:val="0"/>
        <w:autoSpaceDN w:val="0"/>
        <w:adjustRightInd w:val="0"/>
        <w:ind w:left="709"/>
        <w:jc w:val="both"/>
        <w:rPr>
          <w:rFonts w:cs="Arial"/>
          <w:b/>
          <w:iCs/>
          <w:sz w:val="20"/>
          <w:szCs w:val="20"/>
          <w:lang w:val="fr-FR"/>
        </w:rPr>
      </w:pPr>
      <w:r w:rsidRPr="00700EA5">
        <w:rPr>
          <w:rFonts w:cs="Arial"/>
          <w:b/>
          <w:iCs/>
          <w:sz w:val="20"/>
          <w:szCs w:val="20"/>
          <w:lang w:val="fr-FR"/>
        </w:rPr>
        <w:t xml:space="preserve">14.100 </w:t>
      </w:r>
      <w:r w:rsidR="00A82A70" w:rsidRPr="00700EA5">
        <w:rPr>
          <w:rFonts w:cs="Arial"/>
          <w:b/>
          <w:iCs/>
          <w:sz w:val="20"/>
          <w:szCs w:val="20"/>
          <w:lang w:val="fr-FR"/>
        </w:rPr>
        <w:t>À l’adresse du Secrétariat</w:t>
      </w:r>
    </w:p>
    <w:p w14:paraId="5B4CFD3C" w14:textId="77777777" w:rsidR="007F08AF" w:rsidRPr="00700EA5" w:rsidRDefault="007F08AF" w:rsidP="00A82A70">
      <w:pPr>
        <w:widowControl w:val="0"/>
        <w:autoSpaceDE w:val="0"/>
        <w:autoSpaceDN w:val="0"/>
        <w:adjustRightInd w:val="0"/>
        <w:ind w:left="1191"/>
        <w:jc w:val="both"/>
        <w:rPr>
          <w:rFonts w:cs="Arial"/>
          <w:b/>
          <w:iCs/>
          <w:sz w:val="20"/>
          <w:szCs w:val="20"/>
          <w:lang w:val="fr-FR"/>
        </w:rPr>
      </w:pPr>
    </w:p>
    <w:p w14:paraId="655F9D75" w14:textId="77777777" w:rsidR="00A82A70" w:rsidRPr="00700EA5" w:rsidRDefault="00A82A70" w:rsidP="00700EA5">
      <w:pPr>
        <w:ind w:left="1276" w:hanging="425"/>
        <w:rPr>
          <w:rFonts w:cs="Arial"/>
          <w:i/>
          <w:sz w:val="20"/>
          <w:szCs w:val="20"/>
          <w:lang w:val="fr-FR"/>
        </w:rPr>
      </w:pPr>
      <w:r w:rsidRPr="00700EA5">
        <w:rPr>
          <w:rFonts w:cs="Arial"/>
          <w:i/>
          <w:sz w:val="20"/>
          <w:szCs w:val="20"/>
          <w:lang w:val="fr-FR"/>
        </w:rPr>
        <w:t>Le secrétariat, sous réserve de la disponibilité de ressources externes :</w:t>
      </w:r>
    </w:p>
    <w:p w14:paraId="20287CBB" w14:textId="77777777" w:rsidR="00A82A70" w:rsidRPr="00700EA5" w:rsidRDefault="00A82A70" w:rsidP="00700EA5">
      <w:pPr>
        <w:ind w:left="1276" w:hanging="425"/>
        <w:rPr>
          <w:rFonts w:cs="Arial"/>
          <w:i/>
          <w:sz w:val="20"/>
          <w:szCs w:val="20"/>
          <w:lang w:val="fr-FR"/>
        </w:rPr>
      </w:pPr>
    </w:p>
    <w:p w14:paraId="2B48C39A" w14:textId="14707BCB"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encourage les États de l'aire de répartition non parties à adopter le plan d'action pour leur usage ;</w:t>
      </w:r>
    </w:p>
    <w:p w14:paraId="7D478725" w14:textId="33FA39DC"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soutient les États qui ont adopté le plan d'action dans sa mise en œuvre en facilitant les réunions du groupe directeur ;</w:t>
      </w:r>
    </w:p>
    <w:p w14:paraId="168327D3" w14:textId="3264236B"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élabore un formulaire de rapport permettant au groupe directeur du plan d'action et au conseil scientifique d'évaluer les progrès réalisés dans la mise en œuvre du plan d'action ; et</w:t>
      </w:r>
    </w:p>
    <w:p w14:paraId="409B9987" w14:textId="77777777" w:rsidR="00A82A70" w:rsidRPr="00700EA5" w:rsidRDefault="00A82A70" w:rsidP="00700EA5">
      <w:pPr>
        <w:numPr>
          <w:ilvl w:val="0"/>
          <w:numId w:val="23"/>
        </w:numPr>
        <w:suppressAutoHyphens/>
        <w:adjustRightInd w:val="0"/>
        <w:ind w:left="1276" w:hanging="425"/>
        <w:rPr>
          <w:rFonts w:cs="Arial"/>
          <w:i/>
          <w:sz w:val="20"/>
          <w:szCs w:val="20"/>
          <w:lang w:val="fr-FR"/>
        </w:rPr>
      </w:pPr>
      <w:r w:rsidRPr="00700EA5">
        <w:rPr>
          <w:rFonts w:cs="Arial"/>
          <w:i/>
          <w:sz w:val="20"/>
          <w:szCs w:val="20"/>
          <w:lang w:val="fr-FR"/>
        </w:rPr>
        <w:t>prépare un rapport au conseil scientifique lors de la 8</w:t>
      </w:r>
      <w:r w:rsidRPr="00700EA5">
        <w:rPr>
          <w:rFonts w:cs="Arial"/>
          <w:i/>
          <w:sz w:val="20"/>
          <w:szCs w:val="20"/>
          <w:vertAlign w:val="superscript"/>
          <w:lang w:val="fr-FR"/>
        </w:rPr>
        <w:t>ème</w:t>
      </w:r>
      <w:r w:rsidRPr="00700EA5">
        <w:rPr>
          <w:rFonts w:cs="Arial"/>
          <w:i/>
          <w:sz w:val="20"/>
          <w:szCs w:val="20"/>
          <w:lang w:val="fr-FR"/>
        </w:rPr>
        <w:t xml:space="preserve"> réunion du comité de session et de la COP15 au sujet des progrès réalisés dans la mise en œuvre du plan d'action.</w:t>
      </w:r>
    </w:p>
    <w:p w14:paraId="5EA8B629" w14:textId="77777777" w:rsidR="007F08AF" w:rsidRPr="00E43B72" w:rsidRDefault="007F08AF" w:rsidP="00700EA5">
      <w:pPr>
        <w:ind w:left="851"/>
        <w:rPr>
          <w:lang w:val="fr-FR"/>
        </w:rPr>
      </w:pPr>
    </w:p>
    <w:p w14:paraId="096128A7" w14:textId="16806FEE" w:rsidR="007F08AF" w:rsidRPr="00E43B72" w:rsidRDefault="00000000">
      <w:pPr>
        <w:rPr>
          <w:rFonts w:cs="Arial"/>
          <w:u w:val="single"/>
          <w:lang w:val="fr-FR"/>
        </w:rPr>
      </w:pPr>
      <w:r w:rsidRPr="00E43B72">
        <w:rPr>
          <w:rFonts w:cs="Arial"/>
          <w:u w:val="single"/>
          <w:lang w:val="fr-FR"/>
        </w:rPr>
        <w:t>Mise en œuvre du Plan d</w:t>
      </w:r>
      <w:r w:rsidR="00C2697F" w:rsidRPr="00E43B72">
        <w:rPr>
          <w:rFonts w:cs="Arial"/>
          <w:u w:val="single"/>
          <w:lang w:val="fr-FR"/>
        </w:rPr>
        <w:t>’</w:t>
      </w:r>
      <w:r w:rsidRPr="00E43B72">
        <w:rPr>
          <w:rFonts w:cs="Arial"/>
          <w:u w:val="single"/>
          <w:lang w:val="fr-FR"/>
        </w:rPr>
        <w:t xml:space="preserve">action par espèce pour la tortue imbriquée </w:t>
      </w:r>
    </w:p>
    <w:p w14:paraId="6F613567" w14:textId="77777777" w:rsidR="007F08AF" w:rsidRPr="00E43B72" w:rsidRDefault="007F08AF">
      <w:pPr>
        <w:rPr>
          <w:rFonts w:cs="Arial"/>
          <w:u w:val="single"/>
          <w:lang w:val="fr-FR"/>
        </w:rPr>
      </w:pPr>
    </w:p>
    <w:p w14:paraId="7F4AAD18" w14:textId="6888F36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Conformément à la Décision</w:t>
      </w:r>
      <w:r w:rsidR="00670BE4" w:rsidRPr="00E43B72">
        <w:rPr>
          <w:rFonts w:cs="Arial"/>
          <w:lang w:val="fr-FR"/>
        </w:rPr>
        <w:t> </w:t>
      </w:r>
      <w:r w:rsidRPr="00E43B72">
        <w:rPr>
          <w:rFonts w:cs="Arial"/>
          <w:lang w:val="fr-FR"/>
        </w:rPr>
        <w:t>14.96 et à la Décision</w:t>
      </w:r>
      <w:r w:rsidR="00670BE4" w:rsidRPr="00E43B72">
        <w:rPr>
          <w:rFonts w:cs="Arial"/>
          <w:lang w:val="fr-FR"/>
        </w:rPr>
        <w:t> </w:t>
      </w:r>
      <w:r w:rsidRPr="00E43B72">
        <w:rPr>
          <w:rFonts w:cs="Arial"/>
          <w:lang w:val="fr-FR"/>
        </w:rPr>
        <w:t>14.100</w:t>
      </w:r>
      <w:r w:rsidR="00670BE4" w:rsidRPr="00E43B72">
        <w:rPr>
          <w:rFonts w:cs="Arial"/>
          <w:lang w:val="fr-FR"/>
        </w:rPr>
        <w:t> </w:t>
      </w:r>
      <w:r w:rsidRPr="00E43B72">
        <w:rPr>
          <w:rFonts w:cs="Arial"/>
          <w:lang w:val="fr-FR"/>
        </w:rPr>
        <w:t>(c), le Secrétariat, avec l</w:t>
      </w:r>
      <w:r w:rsidR="00C2697F" w:rsidRPr="00E43B72">
        <w:rPr>
          <w:rFonts w:cs="Arial"/>
          <w:lang w:val="fr-FR"/>
        </w:rPr>
        <w:t>’</w:t>
      </w:r>
      <w:r w:rsidRPr="00E43B72">
        <w:rPr>
          <w:rFonts w:cs="Arial"/>
          <w:lang w:val="fr-FR"/>
        </w:rPr>
        <w:t>appui du Comité consultatif du MdE sur les tortues marines de l</w:t>
      </w:r>
      <w:r w:rsidR="00C2697F" w:rsidRPr="00E43B72">
        <w:rPr>
          <w:rFonts w:cs="Arial"/>
          <w:lang w:val="fr-FR"/>
        </w:rPr>
        <w:t>’</w:t>
      </w:r>
      <w:r w:rsidRPr="00E43B72">
        <w:rPr>
          <w:rFonts w:cs="Arial"/>
          <w:lang w:val="fr-FR"/>
        </w:rPr>
        <w:t>IOSEA, a élaboré un format de rapport simple afin de faciliter l</w:t>
      </w:r>
      <w:r w:rsidR="00C2697F" w:rsidRPr="00E43B72">
        <w:rPr>
          <w:rFonts w:cs="Arial"/>
          <w:lang w:val="fr-FR"/>
        </w:rPr>
        <w:t>’</w:t>
      </w:r>
      <w:r w:rsidRPr="00E43B72">
        <w:rPr>
          <w:rFonts w:cs="Arial"/>
          <w:lang w:val="fr-FR"/>
        </w:rPr>
        <w:t>évaluation de la mise en œuvre du Plan d</w:t>
      </w:r>
      <w:r w:rsidR="00C2697F" w:rsidRPr="00E43B72">
        <w:rPr>
          <w:rFonts w:cs="Arial"/>
          <w:lang w:val="fr-FR"/>
        </w:rPr>
        <w:t>’</w:t>
      </w:r>
      <w:r w:rsidRPr="00E43B72">
        <w:rPr>
          <w:rFonts w:cs="Arial"/>
          <w:lang w:val="fr-FR"/>
        </w:rPr>
        <w:t xml:space="preserve">action par espèce. </w:t>
      </w:r>
      <w:hyperlink r:id="rId37" w:history="1">
        <w:r w:rsidR="007F08AF" w:rsidRPr="00E43B72">
          <w:rPr>
            <w:rStyle w:val="Hyperlink"/>
            <w:rFonts w:cs="Arial"/>
            <w:lang w:val="fr-FR"/>
          </w:rPr>
          <w:t xml:space="preserve">La notification 2025/004 : </w:t>
        </w:r>
        <w:r w:rsidR="007F08AF" w:rsidRPr="00CB7A08">
          <w:rPr>
            <w:rStyle w:val="Hyperlink"/>
            <w:rFonts w:cs="Arial"/>
            <w:i/>
            <w:iCs/>
            <w:color w:val="auto"/>
            <w:u w:val="none"/>
            <w:lang w:val="fr-FR"/>
          </w:rPr>
          <w:t>Mise en œuvre du Plan d’action par</w:t>
        </w:r>
        <w:r w:rsidR="007F08AF" w:rsidRPr="00E43B72">
          <w:rPr>
            <w:rStyle w:val="Hyperlink"/>
            <w:rFonts w:cs="Arial"/>
            <w:lang w:val="fr-FR"/>
          </w:rPr>
          <w:t xml:space="preserve"> </w:t>
        </w:r>
        <w:r w:rsidR="007F08AF" w:rsidRPr="00CB7A08">
          <w:rPr>
            <w:rStyle w:val="Hyperlink"/>
            <w:rFonts w:cs="Arial"/>
            <w:i/>
            <w:iCs/>
            <w:color w:val="auto"/>
            <w:u w:val="none"/>
            <w:lang w:val="fr-FR"/>
          </w:rPr>
          <w:t>espèce pour la tortue imbriquée en Asie du Sud-Est et dans la région de l’océan Pacifique ouest</w:t>
        </w:r>
      </w:hyperlink>
      <w:r w:rsidRPr="00E43B72">
        <w:rPr>
          <w:rFonts w:cs="Arial"/>
          <w:lang w:val="fr-FR"/>
        </w:rPr>
        <w:t xml:space="preserve"> a été publiée le 3</w:t>
      </w:r>
      <w:r w:rsidR="00670BE4" w:rsidRPr="00E43B72">
        <w:rPr>
          <w:rFonts w:cs="Arial"/>
          <w:lang w:val="fr-FR"/>
        </w:rPr>
        <w:t> </w:t>
      </w:r>
      <w:r w:rsidRPr="00E43B72">
        <w:rPr>
          <w:rFonts w:cs="Arial"/>
          <w:lang w:val="fr-FR"/>
        </w:rPr>
        <w:t>février</w:t>
      </w:r>
      <w:r w:rsidR="00670BE4" w:rsidRPr="00E43B72">
        <w:rPr>
          <w:rFonts w:cs="Arial"/>
          <w:lang w:val="fr-FR"/>
        </w:rPr>
        <w:t> </w:t>
      </w:r>
      <w:r w:rsidRPr="00E43B72">
        <w:rPr>
          <w:rFonts w:cs="Arial"/>
          <w:lang w:val="fr-FR"/>
        </w:rPr>
        <w:t>2025. Elle a demandé aux Parties, qui sont des États de l</w:t>
      </w:r>
      <w:r w:rsidR="00C2697F" w:rsidRPr="00E43B72">
        <w:rPr>
          <w:rFonts w:cs="Arial"/>
          <w:lang w:val="fr-FR"/>
        </w:rPr>
        <w:t>’</w:t>
      </w:r>
      <w:r w:rsidRPr="00E43B72">
        <w:rPr>
          <w:rFonts w:cs="Arial"/>
          <w:lang w:val="fr-FR"/>
        </w:rPr>
        <w:t>aire de répartition du Plan d</w:t>
      </w:r>
      <w:r w:rsidR="00C2697F" w:rsidRPr="00E43B72">
        <w:rPr>
          <w:rFonts w:cs="Arial"/>
          <w:lang w:val="fr-FR"/>
        </w:rPr>
        <w:t>’</w:t>
      </w:r>
      <w:r w:rsidRPr="00E43B72">
        <w:rPr>
          <w:rFonts w:cs="Arial"/>
          <w:lang w:val="fr-FR"/>
        </w:rPr>
        <w:t xml:space="preserve">action par espèce, de désigner des points focaux nationaux et des experts pour le Groupe directeur de ce dernier, et a invité à soumettre des rapports nationaux de mise en œuvre en utilisant le modèle fourni. </w:t>
      </w:r>
    </w:p>
    <w:p w14:paraId="6EDF7B82" w14:textId="77777777" w:rsidR="007F08AF" w:rsidRPr="00E43B72" w:rsidRDefault="007F08AF">
      <w:pPr>
        <w:widowControl w:val="0"/>
        <w:autoSpaceDE w:val="0"/>
        <w:autoSpaceDN w:val="0"/>
        <w:adjustRightInd w:val="0"/>
        <w:jc w:val="both"/>
        <w:rPr>
          <w:rFonts w:cs="Arial"/>
          <w:lang w:val="fr-FR"/>
        </w:rPr>
      </w:pPr>
    </w:p>
    <w:p w14:paraId="0E922BEE" w14:textId="508B84B5"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En réponse, 8 des 33</w:t>
      </w:r>
      <w:r w:rsidR="00670BE4" w:rsidRPr="00E43B72">
        <w:rPr>
          <w:rFonts w:cs="Arial"/>
          <w:lang w:val="fr-FR"/>
        </w:rPr>
        <w:t> </w:t>
      </w:r>
      <w:r w:rsidRPr="00E43B72">
        <w:rPr>
          <w:rFonts w:cs="Arial"/>
          <w:lang w:val="fr-FR"/>
        </w:rPr>
        <w:t>États de l</w:t>
      </w:r>
      <w:r w:rsidR="00C2697F" w:rsidRPr="00E43B72">
        <w:rPr>
          <w:rFonts w:cs="Arial"/>
          <w:lang w:val="fr-FR"/>
        </w:rPr>
        <w:t>’</w:t>
      </w:r>
      <w:r w:rsidRPr="00E43B72">
        <w:rPr>
          <w:rFonts w:cs="Arial"/>
          <w:lang w:val="fr-FR"/>
        </w:rPr>
        <w:t>aire de répartition ont soumis des rapports nationaux sur la mise en œuvre du Plan d</w:t>
      </w:r>
      <w:r w:rsidR="00C2697F" w:rsidRPr="00E43B72">
        <w:rPr>
          <w:rFonts w:cs="Arial"/>
          <w:lang w:val="fr-FR"/>
        </w:rPr>
        <w:t>’</w:t>
      </w:r>
      <w:r w:rsidRPr="00E43B72">
        <w:rPr>
          <w:rFonts w:cs="Arial"/>
          <w:lang w:val="fr-FR"/>
        </w:rPr>
        <w:t>action par espèce pour la tortue imbriquée, en utilisant le modèle de rapport standardisé. Le Secrétariat a préparé un résumé et une analyse sur la mise en œuvre du Plan d</w:t>
      </w:r>
      <w:r w:rsidR="00C2697F" w:rsidRPr="00E43B72">
        <w:rPr>
          <w:rFonts w:cs="Arial"/>
          <w:lang w:val="fr-FR"/>
        </w:rPr>
        <w:t>’</w:t>
      </w:r>
      <w:r w:rsidRPr="00E43B72">
        <w:rPr>
          <w:rFonts w:cs="Arial"/>
          <w:lang w:val="fr-FR"/>
        </w:rPr>
        <w:t>action par espèce, qui ont été examinés par le Groupe directeur et le Comité consultatif du MdE sur les tortues marines de l</w:t>
      </w:r>
      <w:r w:rsidR="00C2697F" w:rsidRPr="00E43B72">
        <w:rPr>
          <w:rFonts w:cs="Arial"/>
          <w:lang w:val="fr-FR"/>
        </w:rPr>
        <w:t>’</w:t>
      </w:r>
      <w:r w:rsidRPr="00E43B72">
        <w:rPr>
          <w:rFonts w:cs="Arial"/>
          <w:lang w:val="fr-FR"/>
        </w:rPr>
        <w:t>IOSEA, tel qu</w:t>
      </w:r>
      <w:r w:rsidR="00C2697F" w:rsidRPr="00E43B72">
        <w:rPr>
          <w:rFonts w:cs="Arial"/>
          <w:lang w:val="fr-FR"/>
        </w:rPr>
        <w:t>’</w:t>
      </w:r>
      <w:r w:rsidRPr="00E43B72">
        <w:rPr>
          <w:rFonts w:cs="Arial"/>
          <w:lang w:val="fr-FR"/>
        </w:rPr>
        <w:t>il figure à l</w:t>
      </w:r>
      <w:r w:rsidR="00C2697F" w:rsidRPr="00E43B72">
        <w:rPr>
          <w:rFonts w:cs="Arial"/>
          <w:lang w:val="fr-FR"/>
        </w:rPr>
        <w:t>’</w:t>
      </w:r>
      <w:r w:rsidRPr="00E43B72">
        <w:rPr>
          <w:rFonts w:cs="Arial"/>
          <w:lang w:val="fr-FR"/>
        </w:rPr>
        <w:t>Annexe</w:t>
      </w:r>
      <w:r w:rsidR="00670BE4" w:rsidRPr="00E43B72">
        <w:rPr>
          <w:rFonts w:cs="Arial"/>
          <w:lang w:val="fr-FR"/>
        </w:rPr>
        <w:t> </w:t>
      </w:r>
      <w:r w:rsidRPr="00E43B72">
        <w:rPr>
          <w:rFonts w:cs="Arial"/>
          <w:lang w:val="fr-FR"/>
        </w:rPr>
        <w:t>3. L</w:t>
      </w:r>
      <w:r w:rsidR="00C2697F" w:rsidRPr="00E43B72">
        <w:rPr>
          <w:rFonts w:cs="Arial"/>
          <w:lang w:val="fr-FR"/>
        </w:rPr>
        <w:t>’</w:t>
      </w:r>
      <w:r w:rsidRPr="00E43B72">
        <w:rPr>
          <w:rFonts w:cs="Arial"/>
          <w:lang w:val="fr-FR"/>
        </w:rPr>
        <w:t xml:space="preserve">analyse complète est disponible sous la cote </w:t>
      </w:r>
      <w:hyperlink r:id="rId38" w:history="1">
        <w:r w:rsidR="007F08AF" w:rsidRPr="005B4629">
          <w:rPr>
            <w:rStyle w:val="Hyperlink"/>
            <w:rFonts w:cs="Arial"/>
            <w:lang w:val="fr-FR"/>
          </w:rPr>
          <w:t>UNEP/CMS/COP15/Inf.25.5b</w:t>
        </w:r>
      </w:hyperlink>
      <w:r w:rsidRPr="00E43B72">
        <w:rPr>
          <w:rFonts w:cs="Arial"/>
          <w:lang w:val="fr-FR"/>
        </w:rPr>
        <w:t>.</w:t>
      </w:r>
    </w:p>
    <w:p w14:paraId="18AC0D20" w14:textId="77777777" w:rsidR="007F08AF" w:rsidRPr="00E43B72" w:rsidRDefault="007F08AF">
      <w:pPr>
        <w:widowControl w:val="0"/>
        <w:autoSpaceDE w:val="0"/>
        <w:autoSpaceDN w:val="0"/>
        <w:adjustRightInd w:val="0"/>
        <w:jc w:val="both"/>
        <w:rPr>
          <w:rFonts w:cs="Arial"/>
          <w:lang w:val="fr-FR"/>
        </w:rPr>
      </w:pPr>
    </w:p>
    <w:p w14:paraId="1B8038ED" w14:textId="1FE0D672"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Bien qu</w:t>
      </w:r>
      <w:r w:rsidR="00C2697F" w:rsidRPr="00E43B72">
        <w:rPr>
          <w:rFonts w:cs="Arial"/>
          <w:lang w:val="fr-FR"/>
        </w:rPr>
        <w:t>’</w:t>
      </w:r>
      <w:r w:rsidRPr="00E43B72">
        <w:rPr>
          <w:rFonts w:cs="Arial"/>
          <w:lang w:val="fr-FR"/>
        </w:rPr>
        <w:t>il soit difficile de tirer des conclusions générales en raison d</w:t>
      </w:r>
      <w:r w:rsidR="00C2697F" w:rsidRPr="00E43B72">
        <w:rPr>
          <w:rFonts w:cs="Arial"/>
          <w:lang w:val="fr-FR"/>
        </w:rPr>
        <w:t>’</w:t>
      </w:r>
      <w:r w:rsidRPr="00E43B72">
        <w:rPr>
          <w:rFonts w:cs="Arial"/>
          <w:lang w:val="fr-FR"/>
        </w:rPr>
        <w:t>un taux de réponse inférieur à 30</w:t>
      </w:r>
      <w:r w:rsidR="00670BE4" w:rsidRPr="00E43B72">
        <w:rPr>
          <w:rFonts w:cs="Arial"/>
          <w:lang w:val="fr-FR"/>
        </w:rPr>
        <w:t> </w:t>
      </w:r>
      <w:r w:rsidRPr="00E43B72">
        <w:rPr>
          <w:rFonts w:cs="Arial"/>
          <w:lang w:val="fr-FR"/>
        </w:rPr>
        <w:t>%, le rapport révèle des progrès notables dans des domaines tels que la réforme législative, les procédures de justice pénale et les mesures d</w:t>
      </w:r>
      <w:r w:rsidR="00C2697F" w:rsidRPr="00E43B72">
        <w:rPr>
          <w:rFonts w:cs="Arial"/>
          <w:lang w:val="fr-FR"/>
        </w:rPr>
        <w:t>’</w:t>
      </w:r>
      <w:r w:rsidRPr="00E43B72">
        <w:rPr>
          <w:rFonts w:cs="Arial"/>
          <w:lang w:val="fr-FR"/>
        </w:rPr>
        <w:t xml:space="preserve">application de la loi. </w:t>
      </w:r>
    </w:p>
    <w:p w14:paraId="2114ADB2" w14:textId="77777777" w:rsidR="007F08AF" w:rsidRPr="00E43B72" w:rsidRDefault="007F08AF">
      <w:pPr>
        <w:widowControl w:val="0"/>
        <w:autoSpaceDE w:val="0"/>
        <w:autoSpaceDN w:val="0"/>
        <w:adjustRightInd w:val="0"/>
        <w:ind w:left="567"/>
        <w:jc w:val="both"/>
        <w:rPr>
          <w:rFonts w:cs="Arial"/>
          <w:lang w:val="fr-FR"/>
        </w:rPr>
      </w:pPr>
    </w:p>
    <w:p w14:paraId="31585816" w14:textId="65846529"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Dix des États de l</w:t>
      </w:r>
      <w:r w:rsidR="00C2697F" w:rsidRPr="00E43B72">
        <w:rPr>
          <w:rFonts w:cs="Arial"/>
          <w:lang w:val="fr-FR"/>
        </w:rPr>
        <w:t>’</w:t>
      </w:r>
      <w:r w:rsidRPr="00E43B72">
        <w:rPr>
          <w:rFonts w:cs="Arial"/>
          <w:lang w:val="fr-FR"/>
        </w:rPr>
        <w:t>aire de répartition ont désigné un point focal national ou un expert pour le Groupe directeur du Plan d</w:t>
      </w:r>
      <w:r w:rsidR="00C2697F" w:rsidRPr="00E43B72">
        <w:rPr>
          <w:rFonts w:cs="Arial"/>
          <w:lang w:val="fr-FR"/>
        </w:rPr>
        <w:t>’</w:t>
      </w:r>
      <w:r w:rsidRPr="00E43B72">
        <w:rPr>
          <w:rFonts w:cs="Arial"/>
          <w:lang w:val="fr-FR"/>
        </w:rPr>
        <w:t xml:space="preserve">action par espèce. </w:t>
      </w:r>
    </w:p>
    <w:p w14:paraId="25381657" w14:textId="77777777" w:rsidR="007F08AF" w:rsidRPr="00E43B72" w:rsidRDefault="007F08AF">
      <w:pPr>
        <w:rPr>
          <w:rFonts w:cs="Arial"/>
          <w:u w:val="single"/>
          <w:lang w:val="fr-FR"/>
        </w:rPr>
      </w:pPr>
    </w:p>
    <w:p w14:paraId="73BDD2FB" w14:textId="77777777" w:rsidR="007F08AF" w:rsidRPr="00E43B72" w:rsidRDefault="00000000">
      <w:pPr>
        <w:rPr>
          <w:rFonts w:cs="Arial"/>
          <w:u w:val="single"/>
          <w:lang w:val="fr-FR"/>
        </w:rPr>
      </w:pPr>
      <w:r w:rsidRPr="00E43B72">
        <w:rPr>
          <w:rFonts w:cs="Arial"/>
          <w:u w:val="single"/>
          <w:lang w:val="fr-FR"/>
        </w:rPr>
        <w:t>Discussion et analyse</w:t>
      </w:r>
    </w:p>
    <w:p w14:paraId="5453DD0B" w14:textId="77777777" w:rsidR="007F08AF" w:rsidRPr="00E43B72" w:rsidRDefault="007F08AF">
      <w:pPr>
        <w:rPr>
          <w:rFonts w:cs="Arial"/>
          <w:lang w:val="fr-FR"/>
        </w:rPr>
      </w:pPr>
    </w:p>
    <w:p w14:paraId="3053E48F" w14:textId="637661EE"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D</w:t>
      </w:r>
      <w:r w:rsidR="00C2697F" w:rsidRPr="00E43B72">
        <w:rPr>
          <w:rFonts w:cs="Arial"/>
          <w:color w:val="000000" w:themeColor="text1"/>
          <w:lang w:val="fr-FR"/>
        </w:rPr>
        <w:t>’</w:t>
      </w:r>
      <w:r w:rsidRPr="00E43B72">
        <w:rPr>
          <w:rFonts w:cs="Arial"/>
          <w:color w:val="000000" w:themeColor="text1"/>
          <w:lang w:val="fr-FR"/>
        </w:rPr>
        <w:t>après l</w:t>
      </w:r>
      <w:r w:rsidR="00C2697F" w:rsidRPr="00E43B72">
        <w:rPr>
          <w:rFonts w:cs="Arial"/>
          <w:color w:val="000000" w:themeColor="text1"/>
          <w:lang w:val="fr-FR"/>
        </w:rPr>
        <w:t>’</w:t>
      </w:r>
      <w:r w:rsidRPr="00E43B72">
        <w:rPr>
          <w:rFonts w:cs="Arial"/>
          <w:color w:val="000000" w:themeColor="text1"/>
          <w:lang w:val="fr-FR"/>
        </w:rPr>
        <w:t>évaluation globale actualisée, 24 des 48</w:t>
      </w:r>
      <w:r w:rsidR="00670BE4" w:rsidRPr="00E43B72">
        <w:rPr>
          <w:rFonts w:cs="Arial"/>
          <w:color w:val="000000" w:themeColor="text1"/>
          <w:lang w:val="fr-FR"/>
        </w:rPr>
        <w:t> </w:t>
      </w:r>
      <w:r w:rsidRPr="00E43B72">
        <w:rPr>
          <w:rFonts w:cs="Arial"/>
          <w:color w:val="000000" w:themeColor="text1"/>
          <w:lang w:val="fr-FR"/>
        </w:rPr>
        <w:t>unités de gestion régionales (UGR) ont été évaluées comme présentant un «</w:t>
      </w:r>
      <w:r w:rsidR="00670BE4" w:rsidRPr="00E43B72">
        <w:rPr>
          <w:rFonts w:cs="Arial"/>
          <w:color w:val="000000" w:themeColor="text1"/>
          <w:lang w:val="fr-FR"/>
        </w:rPr>
        <w:t> </w:t>
      </w:r>
      <w:r w:rsidRPr="00E43B72">
        <w:rPr>
          <w:rFonts w:cs="Arial"/>
          <w:color w:val="000000" w:themeColor="text1"/>
          <w:lang w:val="fr-FR"/>
        </w:rPr>
        <w:t>risque élevé</w:t>
      </w:r>
      <w:r w:rsidR="00670BE4" w:rsidRPr="00E43B72">
        <w:rPr>
          <w:rFonts w:cs="Arial"/>
          <w:color w:val="000000" w:themeColor="text1"/>
          <w:lang w:val="fr-FR"/>
        </w:rPr>
        <w:t> </w:t>
      </w:r>
      <w:r w:rsidRPr="00E43B72">
        <w:rPr>
          <w:rFonts w:cs="Arial"/>
          <w:color w:val="000000" w:themeColor="text1"/>
          <w:lang w:val="fr-FR"/>
        </w:rPr>
        <w:t>», et 14</w:t>
      </w:r>
      <w:r w:rsidR="00670BE4" w:rsidRPr="00E43B72">
        <w:rPr>
          <w:rFonts w:cs="Arial"/>
          <w:color w:val="000000" w:themeColor="text1"/>
          <w:lang w:val="fr-FR"/>
        </w:rPr>
        <w:t> </w:t>
      </w:r>
      <w:r w:rsidRPr="00E43B72">
        <w:rPr>
          <w:rFonts w:cs="Arial"/>
          <w:color w:val="000000" w:themeColor="text1"/>
          <w:lang w:val="fr-FR"/>
        </w:rPr>
        <w:t xml:space="preserve">UGR ont été évaluées comme étant soumises à un </w:t>
      </w:r>
      <w:r w:rsidR="00670BE4" w:rsidRPr="00E43B72">
        <w:rPr>
          <w:rFonts w:cs="Arial"/>
          <w:color w:val="000000" w:themeColor="text1"/>
          <w:lang w:val="fr-FR"/>
        </w:rPr>
        <w:t>« </w:t>
      </w:r>
      <w:r w:rsidRPr="00E43B72">
        <w:rPr>
          <w:rFonts w:cs="Arial"/>
          <w:color w:val="000000" w:themeColor="text1"/>
          <w:lang w:val="fr-FR"/>
        </w:rPr>
        <w:t>impact de menace élevé</w:t>
      </w:r>
      <w:r w:rsidR="00670BE4" w:rsidRPr="00E43B72">
        <w:rPr>
          <w:rFonts w:cs="Arial"/>
          <w:color w:val="000000" w:themeColor="text1"/>
          <w:lang w:val="fr-FR"/>
        </w:rPr>
        <w:t> »</w:t>
      </w:r>
      <w:r w:rsidRPr="00E43B72">
        <w:rPr>
          <w:rFonts w:cs="Arial"/>
          <w:color w:val="000000" w:themeColor="text1"/>
          <w:lang w:val="fr-FR"/>
        </w:rPr>
        <w:t>. Neuf UGR ont été simultanément classées comme présentant un risque élevé et une menace élevée, ce qui souligne la nécessité persistante d</w:t>
      </w:r>
      <w:r w:rsidR="00C2697F" w:rsidRPr="00E43B72">
        <w:rPr>
          <w:rFonts w:cs="Arial"/>
          <w:color w:val="000000" w:themeColor="text1"/>
          <w:lang w:val="fr-FR"/>
        </w:rPr>
        <w:t>’</w:t>
      </w:r>
      <w:r w:rsidRPr="00E43B72">
        <w:rPr>
          <w:rFonts w:cs="Arial"/>
          <w:color w:val="000000" w:themeColor="text1"/>
          <w:lang w:val="fr-FR"/>
        </w:rPr>
        <w:t>une intervention urgente en matière de conservation. Bien que les résultats indiquent des tendances encourageantes, notamment une amélioration de l</w:t>
      </w:r>
      <w:r w:rsidR="00C2697F" w:rsidRPr="00E43B72">
        <w:rPr>
          <w:rFonts w:cs="Arial"/>
          <w:color w:val="000000" w:themeColor="text1"/>
          <w:lang w:val="fr-FR"/>
        </w:rPr>
        <w:t>’</w:t>
      </w:r>
      <w:r w:rsidRPr="00E43B72">
        <w:rPr>
          <w:rFonts w:cs="Arial"/>
          <w:color w:val="000000" w:themeColor="text1"/>
          <w:lang w:val="fr-FR"/>
        </w:rPr>
        <w:t>abondance à long terme et une diminution de l</w:t>
      </w:r>
      <w:r w:rsidR="00C2697F" w:rsidRPr="00E43B72">
        <w:rPr>
          <w:rFonts w:cs="Arial"/>
          <w:color w:val="000000" w:themeColor="text1"/>
          <w:lang w:val="fr-FR"/>
        </w:rPr>
        <w:t>’</w:t>
      </w:r>
      <w:r w:rsidRPr="00E43B72">
        <w:rPr>
          <w:rFonts w:cs="Arial"/>
          <w:color w:val="000000" w:themeColor="text1"/>
          <w:lang w:val="fr-FR"/>
        </w:rPr>
        <w:t>indice de menace moyen dans plusieurs UGR, des défis majeurs subsistent. Les prises accessoires par les pêcheries ont été identifiées comme la menace la plus importante pour toutes les espèces et toutes les régions, et 11</w:t>
      </w:r>
      <w:r w:rsidR="00670BE4" w:rsidRPr="00E43B72">
        <w:rPr>
          <w:rFonts w:cs="Arial"/>
          <w:color w:val="000000" w:themeColor="text1"/>
          <w:lang w:val="fr-FR"/>
        </w:rPr>
        <w:t> </w:t>
      </w:r>
      <w:r w:rsidRPr="00E43B72">
        <w:rPr>
          <w:rFonts w:cs="Arial"/>
          <w:color w:val="000000" w:themeColor="text1"/>
          <w:lang w:val="fr-FR"/>
        </w:rPr>
        <w:t xml:space="preserve">UGR ont été identifiées comme </w:t>
      </w:r>
      <w:r w:rsidRPr="00E43B72">
        <w:rPr>
          <w:rFonts w:cs="Arial"/>
          <w:color w:val="000000" w:themeColor="text1"/>
          <w:lang w:val="fr-FR"/>
        </w:rPr>
        <w:lastRenderedPageBreak/>
        <w:t>ayant des besoins critiques en matière de données.</w:t>
      </w:r>
    </w:p>
    <w:p w14:paraId="1D741B91"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0A524672" w14:textId="6EEA54E8"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De nombreux axes de travail dans le cadre de la CMS et du MdE sur les tortues marines de l</w:t>
      </w:r>
      <w:r w:rsidR="00C2697F" w:rsidRPr="00E43B72">
        <w:rPr>
          <w:rFonts w:cs="Arial"/>
          <w:color w:val="000000" w:themeColor="text1"/>
          <w:lang w:val="fr-FR"/>
        </w:rPr>
        <w:t>’</w:t>
      </w:r>
      <w:r w:rsidRPr="00E43B72">
        <w:rPr>
          <w:rFonts w:cs="Arial"/>
          <w:color w:val="000000" w:themeColor="text1"/>
          <w:lang w:val="fr-FR"/>
        </w:rPr>
        <w:t>IOSEA sont mis en œuvre conjointement pour contrer ces menaces. Au nombre des exemples clés, on peut citer l</w:t>
      </w:r>
      <w:r w:rsidR="00C2697F" w:rsidRPr="00E43B72">
        <w:rPr>
          <w:rFonts w:cs="Arial"/>
          <w:color w:val="000000" w:themeColor="text1"/>
          <w:lang w:val="fr-FR"/>
        </w:rPr>
        <w:t>’</w:t>
      </w:r>
      <w:r w:rsidRPr="00E43B72">
        <w:rPr>
          <w:rFonts w:cs="Arial"/>
          <w:color w:val="000000" w:themeColor="text1"/>
          <w:lang w:val="fr-FR"/>
        </w:rPr>
        <w:t>examen des mesures d</w:t>
      </w:r>
      <w:r w:rsidR="00C2697F" w:rsidRPr="00E43B72">
        <w:rPr>
          <w:rFonts w:cs="Arial"/>
          <w:color w:val="000000" w:themeColor="text1"/>
          <w:lang w:val="fr-FR"/>
        </w:rPr>
        <w:t>’</w:t>
      </w:r>
      <w:r w:rsidRPr="00E43B72">
        <w:rPr>
          <w:rFonts w:cs="Arial"/>
          <w:color w:val="000000" w:themeColor="text1"/>
          <w:lang w:val="fr-FR"/>
        </w:rPr>
        <w:t xml:space="preserve">atténuation des prises accessoires de tortues — dont les recommandations se trouvent dans le document </w:t>
      </w:r>
      <w:hyperlink r:id="rId39" w:history="1">
        <w:r w:rsidR="007F08AF" w:rsidRPr="000200E6">
          <w:rPr>
            <w:rStyle w:val="Hyperlink"/>
            <w:rFonts w:cs="Arial"/>
            <w:lang w:val="fr-FR"/>
          </w:rPr>
          <w:t>UNEP/CMS/COP15/Doc.25.1.1</w:t>
        </w:r>
      </w:hyperlink>
      <w:r w:rsidRPr="00E43B72">
        <w:rPr>
          <w:rFonts w:cs="Arial"/>
          <w:lang w:val="fr-FR"/>
        </w:rPr>
        <w:t xml:space="preserve"> </w:t>
      </w:r>
      <w:r w:rsidRPr="00E43B72">
        <w:rPr>
          <w:rFonts w:cs="Arial"/>
          <w:i/>
          <w:iCs/>
          <w:lang w:val="fr-FR"/>
        </w:rPr>
        <w:t>Prises accessoires et autres formes de mortalité dues à la pêche</w:t>
      </w:r>
      <w:r w:rsidRPr="00E43B72">
        <w:rPr>
          <w:rFonts w:cs="Arial"/>
          <w:lang w:val="fr-FR"/>
        </w:rPr>
        <w:t xml:space="preserve"> — le travail c</w:t>
      </w:r>
      <w:r w:rsidRPr="00E43B72">
        <w:rPr>
          <w:rFonts w:cs="Arial"/>
          <w:color w:val="000000" w:themeColor="text1"/>
          <w:lang w:val="fr-FR"/>
        </w:rPr>
        <w:t>onjoint sur la gestion des plages de nidification présenté dans ce document, ainsi que le Plan d</w:t>
      </w:r>
      <w:r w:rsidR="00C2697F" w:rsidRPr="00E43B72">
        <w:rPr>
          <w:rFonts w:cs="Arial"/>
          <w:color w:val="000000" w:themeColor="text1"/>
          <w:lang w:val="fr-FR"/>
        </w:rPr>
        <w:t>’</w:t>
      </w:r>
      <w:r w:rsidRPr="00E43B72">
        <w:rPr>
          <w:rFonts w:cs="Arial"/>
          <w:color w:val="000000" w:themeColor="text1"/>
          <w:lang w:val="fr-FR"/>
        </w:rPr>
        <w:t>action par espèce conjoint pour la tortue imbriquée</w:t>
      </w:r>
      <w:r w:rsidRPr="00E43B72">
        <w:rPr>
          <w:rFonts w:eastAsia="Times New Roman" w:cs="Arial"/>
          <w:color w:val="000000"/>
          <w:lang w:val="fr-FR" w:eastAsia="en-GB"/>
        </w:rPr>
        <w:t>. Dans tous ces aspects, le Conseil scientifique de la CMS bénéficie de l</w:t>
      </w:r>
      <w:r w:rsidR="00C2697F" w:rsidRPr="00E43B72">
        <w:rPr>
          <w:rFonts w:eastAsia="Times New Roman" w:cs="Arial"/>
          <w:color w:val="000000"/>
          <w:lang w:val="fr-FR" w:eastAsia="en-GB"/>
        </w:rPr>
        <w:t>’</w:t>
      </w:r>
      <w:r w:rsidRPr="00E43B72">
        <w:rPr>
          <w:rFonts w:eastAsia="Times New Roman" w:cs="Arial"/>
          <w:color w:val="000000"/>
          <w:lang w:val="fr-FR" w:eastAsia="en-GB"/>
        </w:rPr>
        <w:t>expertise disponible dans le cadre du MdE.</w:t>
      </w:r>
    </w:p>
    <w:p w14:paraId="116542CE" w14:textId="77777777" w:rsidR="007F08AF" w:rsidRPr="00E43B72" w:rsidRDefault="007F08AF">
      <w:pPr>
        <w:widowControl w:val="0"/>
        <w:autoSpaceDE w:val="0"/>
        <w:autoSpaceDN w:val="0"/>
        <w:adjustRightInd w:val="0"/>
        <w:jc w:val="both"/>
        <w:rPr>
          <w:rFonts w:cs="Arial"/>
          <w:color w:val="000000" w:themeColor="text1"/>
          <w:lang w:val="fr-FR"/>
        </w:rPr>
      </w:pPr>
    </w:p>
    <w:p w14:paraId="74C0A5EF" w14:textId="41AAE439"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Les mandats de la COP14 ont attiré l</w:t>
      </w:r>
      <w:r w:rsidR="00C2697F" w:rsidRPr="00E43B72">
        <w:rPr>
          <w:rFonts w:cs="Arial"/>
          <w:color w:val="000000" w:themeColor="text1"/>
          <w:lang w:val="fr-FR"/>
        </w:rPr>
        <w:t>’</w:t>
      </w:r>
      <w:r w:rsidRPr="00E43B72">
        <w:rPr>
          <w:rFonts w:cs="Arial"/>
          <w:color w:val="000000" w:themeColor="text1"/>
          <w:lang w:val="fr-FR"/>
        </w:rPr>
        <w:t>attention sur certaines priorités mondiales essentielles en matière de conservation des tortues marines, notamment la protection des habitats entiers de plages de sable — arrière-plage et dunes inclus — en tant que méta-écosystèmes interconnectés. Les changements climatiques, l</w:t>
      </w:r>
      <w:r w:rsidR="00C2697F" w:rsidRPr="00E43B72">
        <w:rPr>
          <w:rFonts w:cs="Arial"/>
          <w:color w:val="000000" w:themeColor="text1"/>
          <w:lang w:val="fr-FR"/>
        </w:rPr>
        <w:t>’</w:t>
      </w:r>
      <w:r w:rsidRPr="00E43B72">
        <w:rPr>
          <w:rFonts w:cs="Arial"/>
          <w:color w:val="000000" w:themeColor="text1"/>
          <w:lang w:val="fr-FR"/>
        </w:rPr>
        <w:t>aménagement du littoral et l</w:t>
      </w:r>
      <w:r w:rsidR="00C2697F" w:rsidRPr="00E43B72">
        <w:rPr>
          <w:rFonts w:cs="Arial"/>
          <w:color w:val="000000" w:themeColor="text1"/>
          <w:lang w:val="fr-FR"/>
        </w:rPr>
        <w:t>’</w:t>
      </w:r>
      <w:r w:rsidRPr="00E43B72">
        <w:rPr>
          <w:rFonts w:cs="Arial"/>
          <w:color w:val="000000" w:themeColor="text1"/>
          <w:lang w:val="fr-FR"/>
        </w:rPr>
        <w:t>extraction de sable réduisent leur résilience, perturbent les connexions écologiques et nuisent aux plages de nidification ainsi qu</w:t>
      </w:r>
      <w:r w:rsidR="00C2697F" w:rsidRPr="00E43B72">
        <w:rPr>
          <w:rFonts w:cs="Arial"/>
          <w:color w:val="000000" w:themeColor="text1"/>
          <w:lang w:val="fr-FR"/>
        </w:rPr>
        <w:t>’</w:t>
      </w:r>
      <w:r w:rsidRPr="00E43B72">
        <w:rPr>
          <w:rFonts w:cs="Arial"/>
          <w:color w:val="000000" w:themeColor="text1"/>
          <w:lang w:val="fr-FR"/>
        </w:rPr>
        <w:t>aux systèmes côtiers plus vastes. Il est essentiel que les travaux relatifs à ce sujet important se poursuivent et que les Parties reçoivent l</w:t>
      </w:r>
      <w:r w:rsidR="00C2697F" w:rsidRPr="00E43B72">
        <w:rPr>
          <w:rFonts w:cs="Arial"/>
          <w:color w:val="000000" w:themeColor="text1"/>
          <w:lang w:val="fr-FR"/>
        </w:rPr>
        <w:t>’</w:t>
      </w:r>
      <w:r w:rsidRPr="00E43B72">
        <w:rPr>
          <w:rFonts w:cs="Arial"/>
          <w:color w:val="000000" w:themeColor="text1"/>
          <w:lang w:val="fr-FR"/>
        </w:rPr>
        <w:t>orientation nécessaire afin d</w:t>
      </w:r>
      <w:r w:rsidR="00C2697F" w:rsidRPr="00E43B72">
        <w:rPr>
          <w:rFonts w:cs="Arial"/>
          <w:color w:val="000000" w:themeColor="text1"/>
          <w:lang w:val="fr-FR"/>
        </w:rPr>
        <w:t>’</w:t>
      </w:r>
      <w:r w:rsidRPr="00E43B72">
        <w:rPr>
          <w:rFonts w:cs="Arial"/>
          <w:color w:val="000000" w:themeColor="text1"/>
          <w:lang w:val="fr-FR"/>
        </w:rPr>
        <w:t>assurer une gestion efficace des plages en tant qu</w:t>
      </w:r>
      <w:r w:rsidR="00C2697F" w:rsidRPr="00E43B72">
        <w:rPr>
          <w:rFonts w:cs="Arial"/>
          <w:color w:val="000000" w:themeColor="text1"/>
          <w:lang w:val="fr-FR"/>
        </w:rPr>
        <w:t>’</w:t>
      </w:r>
      <w:r w:rsidRPr="00E43B72">
        <w:rPr>
          <w:rFonts w:cs="Arial"/>
          <w:color w:val="000000" w:themeColor="text1"/>
          <w:lang w:val="fr-FR"/>
        </w:rPr>
        <w:t>habitat pour de nombreuses espèces migratrices.</w:t>
      </w:r>
    </w:p>
    <w:p w14:paraId="1DAABE82" w14:textId="77777777" w:rsidR="007F08AF" w:rsidRPr="00E43B72" w:rsidRDefault="007F08AF">
      <w:pPr>
        <w:widowControl w:val="0"/>
        <w:autoSpaceDE w:val="0"/>
        <w:autoSpaceDN w:val="0"/>
        <w:adjustRightInd w:val="0"/>
        <w:jc w:val="both"/>
        <w:rPr>
          <w:rFonts w:cs="Arial"/>
          <w:color w:val="000000" w:themeColor="text1"/>
          <w:lang w:val="fr-FR"/>
        </w:rPr>
      </w:pPr>
    </w:p>
    <w:p w14:paraId="3A5B3E4B" w14:textId="4DCA0755"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Il est évident qu</w:t>
      </w:r>
      <w:r w:rsidR="00C2697F" w:rsidRPr="00E43B72">
        <w:rPr>
          <w:rFonts w:cs="Arial"/>
          <w:color w:val="000000" w:themeColor="text1"/>
          <w:lang w:val="fr-FR"/>
        </w:rPr>
        <w:t>’</w:t>
      </w:r>
      <w:r w:rsidRPr="00E43B72">
        <w:rPr>
          <w:rFonts w:cs="Arial"/>
          <w:color w:val="000000" w:themeColor="text1"/>
          <w:lang w:val="fr-FR"/>
        </w:rPr>
        <w:t>il faut impliquer plus activement les États de l</w:t>
      </w:r>
      <w:r w:rsidR="00C2697F" w:rsidRPr="00E43B72">
        <w:rPr>
          <w:rFonts w:cs="Arial"/>
          <w:color w:val="000000" w:themeColor="text1"/>
          <w:lang w:val="fr-FR"/>
        </w:rPr>
        <w:t>’</w:t>
      </w:r>
      <w:r w:rsidRPr="00E43B72">
        <w:rPr>
          <w:rFonts w:cs="Arial"/>
          <w:color w:val="000000" w:themeColor="text1"/>
          <w:lang w:val="fr-FR"/>
        </w:rPr>
        <w:t>aire de répartition dans la mise en œuvre et la gouvernance du Plan d</w:t>
      </w:r>
      <w:r w:rsidR="00C2697F" w:rsidRPr="00E43B72">
        <w:rPr>
          <w:rFonts w:cs="Arial"/>
          <w:color w:val="000000" w:themeColor="text1"/>
          <w:lang w:val="fr-FR"/>
        </w:rPr>
        <w:t>’</w:t>
      </w:r>
      <w:r w:rsidRPr="00E43B72">
        <w:rPr>
          <w:rFonts w:cs="Arial"/>
          <w:color w:val="000000" w:themeColor="text1"/>
          <w:lang w:val="fr-FR"/>
        </w:rPr>
        <w:t>action par espèce pour la tortue imbriquée, et encourager la soumission de rapports afin de pouvoir évaluer les progrès réalisés et identifier les lacunes. Cette démarche devrait être une priorité pour la prochaine période intersessions, compte tenu de l</w:t>
      </w:r>
      <w:r w:rsidR="00C2697F" w:rsidRPr="00E43B72">
        <w:rPr>
          <w:rFonts w:cs="Arial"/>
          <w:color w:val="000000" w:themeColor="text1"/>
          <w:lang w:val="fr-FR"/>
        </w:rPr>
        <w:t>’</w:t>
      </w:r>
      <w:r w:rsidRPr="00E43B72">
        <w:rPr>
          <w:rFonts w:cs="Arial"/>
          <w:color w:val="000000" w:themeColor="text1"/>
          <w:lang w:val="fr-FR"/>
        </w:rPr>
        <w:t>état de conservation alarmant de cette espèce.</w:t>
      </w:r>
    </w:p>
    <w:p w14:paraId="48669C61" w14:textId="77777777" w:rsidR="005A7158" w:rsidRDefault="005A7158">
      <w:pPr>
        <w:rPr>
          <w:rFonts w:cs="Arial"/>
          <w:u w:val="single"/>
          <w:lang w:val="fr-FR"/>
        </w:rPr>
      </w:pPr>
    </w:p>
    <w:p w14:paraId="76DAC434" w14:textId="15E68AC6" w:rsidR="007F08AF" w:rsidRPr="00E43B72" w:rsidRDefault="00000000">
      <w:pPr>
        <w:rPr>
          <w:rFonts w:cs="Arial"/>
          <w:lang w:val="fr-FR"/>
        </w:rPr>
      </w:pPr>
      <w:r w:rsidRPr="00E43B72">
        <w:rPr>
          <w:rFonts w:cs="Arial"/>
          <w:u w:val="single"/>
          <w:lang w:val="fr-FR"/>
        </w:rPr>
        <w:t>Actions recommandées</w:t>
      </w:r>
    </w:p>
    <w:p w14:paraId="41A5FD12" w14:textId="77777777" w:rsidR="007F08AF" w:rsidRPr="00E43B72" w:rsidRDefault="007F08AF">
      <w:pPr>
        <w:rPr>
          <w:rFonts w:cs="Arial"/>
          <w:lang w:val="fr-FR"/>
        </w:rPr>
      </w:pPr>
    </w:p>
    <w:p w14:paraId="17EA70E3" w14:textId="03F5C8D8"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eastAsia="en-GB"/>
        </w:rPr>
        <w:t>Il est recommandé à la Conférence des Parties de</w:t>
      </w:r>
      <w:r w:rsidR="00C421BB" w:rsidRPr="00E43B72">
        <w:rPr>
          <w:rFonts w:cs="Arial"/>
          <w:lang w:val="fr-FR"/>
        </w:rPr>
        <w:t> :</w:t>
      </w:r>
    </w:p>
    <w:p w14:paraId="17F963AC" w14:textId="77777777" w:rsidR="007F08AF" w:rsidRPr="00E43B72" w:rsidRDefault="007F08AF">
      <w:pPr>
        <w:rPr>
          <w:lang w:val="fr-FR"/>
        </w:rPr>
      </w:pPr>
    </w:p>
    <w:p w14:paraId="55718198" w14:textId="336EF8CD" w:rsidR="007F08AF" w:rsidRPr="00E43B72" w:rsidRDefault="00000000">
      <w:pPr>
        <w:pStyle w:val="Secondnumbering"/>
        <w:ind w:left="993" w:hanging="426"/>
        <w:jc w:val="both"/>
        <w:rPr>
          <w:lang w:val="fr-FR"/>
        </w:rPr>
      </w:pPr>
      <w:r w:rsidRPr="00E43B72">
        <w:rPr>
          <w:lang w:val="fr-FR"/>
        </w:rPr>
        <w:t xml:space="preserve">prendre note du </w:t>
      </w:r>
      <w:r w:rsidRPr="00E43B72">
        <w:rPr>
          <w:i/>
          <w:iCs/>
          <w:lang w:val="fr-FR"/>
        </w:rPr>
        <w:t>Rapport sur les informations scientifiques pertinentes concernant la conservation et les menaces pesant sur les tortues marines après l</w:t>
      </w:r>
      <w:r w:rsidR="00C2697F" w:rsidRPr="00E43B72">
        <w:rPr>
          <w:i/>
          <w:iCs/>
          <w:lang w:val="fr-FR"/>
        </w:rPr>
        <w:t>’</w:t>
      </w:r>
      <w:r w:rsidRPr="00E43B72">
        <w:rPr>
          <w:i/>
          <w:iCs/>
          <w:lang w:val="fr-FR"/>
        </w:rPr>
        <w:t>éclosion,</w:t>
      </w:r>
      <w:r w:rsidRPr="00E43B72">
        <w:rPr>
          <w:lang w:val="fr-FR"/>
        </w:rPr>
        <w:t xml:space="preserve"> </w:t>
      </w:r>
      <w:r w:rsidRPr="00E43B72">
        <w:rPr>
          <w:iCs/>
          <w:lang w:val="fr-FR"/>
        </w:rPr>
        <w:t>qui figure à l</w:t>
      </w:r>
      <w:r w:rsidR="00C2697F" w:rsidRPr="00E43B72">
        <w:rPr>
          <w:iCs/>
          <w:lang w:val="fr-FR"/>
        </w:rPr>
        <w:t>’</w:t>
      </w:r>
      <w:r w:rsidRPr="00E43B72">
        <w:rPr>
          <w:iCs/>
          <w:lang w:val="fr-FR"/>
        </w:rPr>
        <w:t>Annexe</w:t>
      </w:r>
      <w:r w:rsidR="00670BE4" w:rsidRPr="00E43B72">
        <w:rPr>
          <w:iCs/>
          <w:lang w:val="fr-FR"/>
        </w:rPr>
        <w:t> </w:t>
      </w:r>
      <w:r w:rsidRPr="00E43B72">
        <w:rPr>
          <w:iCs/>
          <w:lang w:val="fr-FR"/>
        </w:rPr>
        <w:t>1 du présent document</w:t>
      </w:r>
      <w:r w:rsidR="00C421BB" w:rsidRPr="00E43B72">
        <w:rPr>
          <w:iCs/>
          <w:lang w:val="fr-FR"/>
        </w:rPr>
        <w:t> ;</w:t>
      </w:r>
    </w:p>
    <w:p w14:paraId="7E858253" w14:textId="77777777" w:rsidR="007F08AF" w:rsidRPr="00E43B72" w:rsidRDefault="007F08AF">
      <w:pPr>
        <w:pStyle w:val="Secondnumbering"/>
        <w:numPr>
          <w:ilvl w:val="0"/>
          <w:numId w:val="0"/>
        </w:numPr>
        <w:ind w:left="993" w:hanging="426"/>
        <w:jc w:val="both"/>
        <w:rPr>
          <w:lang w:val="fr-FR"/>
        </w:rPr>
      </w:pPr>
    </w:p>
    <w:p w14:paraId="62E5AFBF" w14:textId="0FF8A972" w:rsidR="007F08AF" w:rsidRPr="00E43B72" w:rsidRDefault="00000000">
      <w:pPr>
        <w:pStyle w:val="Secondnumbering"/>
        <w:ind w:left="993" w:hanging="426"/>
        <w:jc w:val="both"/>
        <w:rPr>
          <w:b/>
          <w:i/>
          <w:lang w:val="fr-FR"/>
        </w:rPr>
      </w:pPr>
      <w:r w:rsidRPr="00E43B72">
        <w:rPr>
          <w:iCs/>
          <w:lang w:val="fr-FR"/>
        </w:rPr>
        <w:t xml:space="preserve">prendre note des </w:t>
      </w:r>
      <w:r w:rsidRPr="00E43B72">
        <w:rPr>
          <w:i/>
          <w:iCs/>
          <w:lang w:val="fr-FR"/>
        </w:rPr>
        <w:t>Recommandations pour la conservation des tortues marines par des mesures appropriées de protection des plages face aux changements climatiques</w:t>
      </w:r>
      <w:r w:rsidRPr="00E43B72">
        <w:rPr>
          <w:b/>
          <w:bCs/>
          <w:i/>
          <w:iCs/>
          <w:lang w:val="fr-FR"/>
        </w:rPr>
        <w:t xml:space="preserve"> </w:t>
      </w:r>
      <w:r w:rsidRPr="00E43B72">
        <w:rPr>
          <w:iCs/>
          <w:lang w:val="fr-FR"/>
        </w:rPr>
        <w:t>figurant à l</w:t>
      </w:r>
      <w:r w:rsidR="00C2697F" w:rsidRPr="00E43B72">
        <w:rPr>
          <w:iCs/>
          <w:lang w:val="fr-FR"/>
        </w:rPr>
        <w:t>’</w:t>
      </w:r>
      <w:r w:rsidRPr="00E43B72">
        <w:rPr>
          <w:iCs/>
          <w:lang w:val="fr-FR"/>
        </w:rPr>
        <w:t>Annexe</w:t>
      </w:r>
      <w:r w:rsidR="00670BE4" w:rsidRPr="00E43B72">
        <w:rPr>
          <w:iCs/>
          <w:lang w:val="fr-FR"/>
        </w:rPr>
        <w:t> </w:t>
      </w:r>
      <w:r w:rsidRPr="00E43B72">
        <w:rPr>
          <w:iCs/>
          <w:lang w:val="fr-FR"/>
        </w:rPr>
        <w:t>2 du présent document</w:t>
      </w:r>
      <w:r w:rsidR="00C421BB" w:rsidRPr="00E43B72">
        <w:rPr>
          <w:iCs/>
          <w:lang w:val="fr-FR"/>
        </w:rPr>
        <w:t> ;</w:t>
      </w:r>
    </w:p>
    <w:p w14:paraId="20942D7F" w14:textId="77777777" w:rsidR="007F08AF" w:rsidRPr="00E43B72" w:rsidRDefault="007F08AF">
      <w:pPr>
        <w:pStyle w:val="Secondnumbering"/>
        <w:numPr>
          <w:ilvl w:val="0"/>
          <w:numId w:val="0"/>
        </w:numPr>
        <w:ind w:left="851"/>
        <w:jc w:val="both"/>
        <w:rPr>
          <w:lang w:val="fr-FR"/>
        </w:rPr>
      </w:pPr>
    </w:p>
    <w:p w14:paraId="6FA22552" w14:textId="156D841E" w:rsidR="007F08AF" w:rsidRPr="00E43B72" w:rsidRDefault="00000000">
      <w:pPr>
        <w:pStyle w:val="Secondnumbering"/>
        <w:ind w:left="993" w:hanging="426"/>
        <w:jc w:val="both"/>
        <w:rPr>
          <w:lang w:val="fr-FR"/>
        </w:rPr>
      </w:pPr>
      <w:r w:rsidRPr="00E43B72">
        <w:rPr>
          <w:lang w:val="fr-FR"/>
        </w:rPr>
        <w:t xml:space="preserve">prendre note de la section </w:t>
      </w:r>
      <w:r w:rsidRPr="00E43B72">
        <w:rPr>
          <w:i/>
          <w:iCs/>
          <w:lang w:val="fr-FR"/>
        </w:rPr>
        <w:t xml:space="preserve">Résumé et analyse des rapports de mise en œuvre du </w:t>
      </w:r>
      <w:r w:rsidRPr="00E43B72">
        <w:rPr>
          <w:bCs/>
          <w:i/>
          <w:iCs/>
          <w:lang w:val="fr-FR"/>
        </w:rPr>
        <w:t>Plan d</w:t>
      </w:r>
      <w:r w:rsidR="00C2697F" w:rsidRPr="00E43B72">
        <w:rPr>
          <w:bCs/>
          <w:i/>
          <w:iCs/>
          <w:lang w:val="fr-FR"/>
        </w:rPr>
        <w:t>’</w:t>
      </w:r>
      <w:r w:rsidRPr="00E43B72">
        <w:rPr>
          <w:bCs/>
          <w:i/>
          <w:iCs/>
          <w:lang w:val="fr-FR"/>
        </w:rPr>
        <w:t>action par espèce pour la tortue imbriquée</w:t>
      </w:r>
      <w:r w:rsidRPr="00E43B72">
        <w:rPr>
          <w:bCs/>
          <w:lang w:val="fr-FR"/>
        </w:rPr>
        <w:t xml:space="preserve"> figurant à l</w:t>
      </w:r>
      <w:r w:rsidR="00C2697F" w:rsidRPr="00E43B72">
        <w:rPr>
          <w:bCs/>
          <w:lang w:val="fr-FR"/>
        </w:rPr>
        <w:t>’</w:t>
      </w:r>
      <w:r w:rsidRPr="00E43B72">
        <w:rPr>
          <w:bCs/>
          <w:lang w:val="fr-FR"/>
        </w:rPr>
        <w:t>Annexe</w:t>
      </w:r>
      <w:r w:rsidR="00670BE4" w:rsidRPr="00E43B72">
        <w:rPr>
          <w:bCs/>
          <w:lang w:val="fr-FR"/>
        </w:rPr>
        <w:t> </w:t>
      </w:r>
      <w:r w:rsidRPr="00E43B72">
        <w:rPr>
          <w:bCs/>
          <w:lang w:val="fr-FR"/>
        </w:rPr>
        <w:t>3 du présent document</w:t>
      </w:r>
      <w:r w:rsidR="00C421BB" w:rsidRPr="00E43B72">
        <w:rPr>
          <w:lang w:val="fr-FR"/>
        </w:rPr>
        <w:t> ;</w:t>
      </w:r>
    </w:p>
    <w:p w14:paraId="3A7E9FDE" w14:textId="77777777" w:rsidR="007F08AF" w:rsidRPr="00E43B72" w:rsidRDefault="007F08AF">
      <w:pPr>
        <w:pStyle w:val="Secondnumbering"/>
        <w:numPr>
          <w:ilvl w:val="0"/>
          <w:numId w:val="0"/>
        </w:numPr>
        <w:ind w:left="993" w:hanging="426"/>
        <w:jc w:val="both"/>
        <w:rPr>
          <w:lang w:val="fr-FR"/>
        </w:rPr>
      </w:pPr>
    </w:p>
    <w:p w14:paraId="26C7E2D7" w14:textId="27F1DA24" w:rsidR="007F08AF" w:rsidRPr="00E43B72" w:rsidRDefault="00000000">
      <w:pPr>
        <w:pStyle w:val="Secondnumbering"/>
        <w:ind w:left="993" w:hanging="426"/>
        <w:jc w:val="both"/>
        <w:rPr>
          <w:lang w:val="fr-FR"/>
        </w:rPr>
      </w:pPr>
      <w:r w:rsidRPr="00E43B72">
        <w:rPr>
          <w:rFonts w:cs="Arial"/>
          <w:lang w:val="fr-FR"/>
        </w:rPr>
        <w:t>adopter les projets de décisions figurant à l</w:t>
      </w:r>
      <w:r w:rsidR="00C2697F" w:rsidRPr="00E43B72">
        <w:rPr>
          <w:rFonts w:cs="Arial"/>
          <w:lang w:val="fr-FR"/>
        </w:rPr>
        <w:t>’</w:t>
      </w:r>
      <w:r w:rsidRPr="00E43B72">
        <w:rPr>
          <w:rFonts w:cs="Arial"/>
          <w:lang w:val="fr-FR"/>
        </w:rPr>
        <w:t>Annexe</w:t>
      </w:r>
      <w:r w:rsidR="00670BE4" w:rsidRPr="00E43B72">
        <w:rPr>
          <w:rFonts w:cs="Arial"/>
          <w:lang w:val="fr-FR"/>
        </w:rPr>
        <w:t> </w:t>
      </w:r>
      <w:r w:rsidRPr="00E43B72">
        <w:rPr>
          <w:rFonts w:cs="Arial"/>
          <w:lang w:val="fr-FR"/>
        </w:rPr>
        <w:t>4 du présent document</w:t>
      </w:r>
      <w:r w:rsidR="00C421BB" w:rsidRPr="00E43B72">
        <w:rPr>
          <w:rFonts w:cs="Arial"/>
          <w:lang w:val="fr-FR"/>
        </w:rPr>
        <w:t> ;</w:t>
      </w:r>
    </w:p>
    <w:p w14:paraId="5D5607C1" w14:textId="77777777" w:rsidR="007F08AF" w:rsidRPr="00E43B72" w:rsidRDefault="007F08AF">
      <w:pPr>
        <w:pStyle w:val="Secondnumbering"/>
        <w:numPr>
          <w:ilvl w:val="0"/>
          <w:numId w:val="0"/>
        </w:numPr>
        <w:ind w:left="993" w:hanging="426"/>
        <w:jc w:val="both"/>
        <w:rPr>
          <w:lang w:val="fr-FR"/>
        </w:rPr>
      </w:pPr>
    </w:p>
    <w:p w14:paraId="4874530D" w14:textId="36E358A8" w:rsidR="007F08AF" w:rsidRPr="00E43B72" w:rsidRDefault="00000000">
      <w:pPr>
        <w:pStyle w:val="Secondnumbering"/>
        <w:ind w:left="993" w:hanging="426"/>
        <w:jc w:val="both"/>
        <w:rPr>
          <w:lang w:val="fr-FR"/>
        </w:rPr>
      </w:pPr>
      <w:r w:rsidRPr="00E43B72">
        <w:rPr>
          <w:rFonts w:cs="Arial"/>
          <w:lang w:val="fr-FR"/>
        </w:rPr>
        <w:t>abroger les Décisions</w:t>
      </w:r>
      <w:r w:rsidR="00670BE4" w:rsidRPr="00E43B72">
        <w:rPr>
          <w:rFonts w:cs="Arial"/>
          <w:lang w:val="fr-FR"/>
        </w:rPr>
        <w:t> </w:t>
      </w:r>
      <w:r w:rsidRPr="00E43B72">
        <w:rPr>
          <w:rFonts w:cs="Arial"/>
          <w:lang w:val="fr-FR"/>
        </w:rPr>
        <w:t>14.93–14.95 et 14.96–14.100.</w:t>
      </w:r>
    </w:p>
    <w:p w14:paraId="31A2EEB1" w14:textId="77777777" w:rsidR="007F08AF" w:rsidRPr="00E43B72" w:rsidRDefault="007F08AF">
      <w:pPr>
        <w:pStyle w:val="Secondnumbering"/>
        <w:numPr>
          <w:ilvl w:val="0"/>
          <w:numId w:val="0"/>
        </w:numPr>
        <w:rPr>
          <w:rFonts w:cs="Arial"/>
          <w:lang w:val="fr-FR"/>
        </w:rPr>
      </w:pPr>
    </w:p>
    <w:p w14:paraId="52ABD564" w14:textId="77777777" w:rsidR="007F08AF" w:rsidRPr="00E43B72" w:rsidRDefault="007F08AF">
      <w:pPr>
        <w:pStyle w:val="Secondnumbering"/>
        <w:numPr>
          <w:ilvl w:val="0"/>
          <w:numId w:val="0"/>
        </w:numPr>
        <w:rPr>
          <w:rFonts w:cs="Arial"/>
          <w:lang w:val="fr-FR"/>
        </w:rPr>
      </w:pPr>
    </w:p>
    <w:p w14:paraId="10811935" w14:textId="77777777" w:rsidR="007F08AF" w:rsidRPr="00E43B72" w:rsidRDefault="007F08AF">
      <w:pPr>
        <w:pStyle w:val="Secondnumbering"/>
        <w:numPr>
          <w:ilvl w:val="0"/>
          <w:numId w:val="0"/>
        </w:numPr>
        <w:rPr>
          <w:lang w:val="fr-FR"/>
        </w:rPr>
        <w:sectPr w:rsidR="007F08AF" w:rsidRPr="00E43B72">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43B0B708" w14:textId="451FDB48" w:rsidR="007F08AF" w:rsidRPr="00E43B72" w:rsidRDefault="00000000">
      <w:pPr>
        <w:jc w:val="right"/>
        <w:rPr>
          <w:rFonts w:cs="Arial"/>
          <w:b/>
          <w:bCs/>
          <w:caps/>
          <w:lang w:val="fr-FR"/>
        </w:rPr>
      </w:pPr>
      <w:r w:rsidRPr="00E43B72">
        <w:rPr>
          <w:rFonts w:cs="Arial"/>
          <w:b/>
          <w:caps/>
          <w:lang w:val="fr-FR"/>
        </w:rPr>
        <w:lastRenderedPageBreak/>
        <w:t>Annexe</w:t>
      </w:r>
      <w:r w:rsidR="00670BE4" w:rsidRPr="00E43B72">
        <w:rPr>
          <w:rFonts w:cs="Arial"/>
          <w:b/>
          <w:caps/>
          <w:lang w:val="fr-FR"/>
        </w:rPr>
        <w:t> </w:t>
      </w:r>
      <w:r w:rsidRPr="00E43B72">
        <w:rPr>
          <w:rFonts w:cs="Arial"/>
          <w:b/>
          <w:caps/>
          <w:lang w:val="fr-FR"/>
        </w:rPr>
        <w:t>1</w:t>
      </w:r>
    </w:p>
    <w:p w14:paraId="6D6A9142" w14:textId="77777777" w:rsidR="007F08AF" w:rsidRPr="00E43B72" w:rsidRDefault="007F08AF">
      <w:pPr>
        <w:rPr>
          <w:rFonts w:cs="Arial"/>
          <w:lang w:val="fr-FR"/>
        </w:rPr>
      </w:pPr>
    </w:p>
    <w:p w14:paraId="2C538BA3" w14:textId="6B2C1510" w:rsidR="007F08AF" w:rsidRPr="00E43B72" w:rsidRDefault="00000000">
      <w:pPr>
        <w:pStyle w:val="Secondnumbering"/>
        <w:numPr>
          <w:ilvl w:val="0"/>
          <w:numId w:val="0"/>
        </w:numPr>
        <w:jc w:val="center"/>
        <w:rPr>
          <w:b/>
          <w:bCs/>
          <w:lang w:val="fr-FR"/>
        </w:rPr>
      </w:pPr>
      <w:r w:rsidRPr="00E43B72">
        <w:rPr>
          <w:b/>
          <w:bCs/>
          <w:lang w:val="fr-FR"/>
        </w:rPr>
        <w:t xml:space="preserve">RAPPORT SUR </w:t>
      </w:r>
      <w:r w:rsidRPr="00E43B72">
        <w:rPr>
          <w:b/>
          <w:bCs/>
          <w:iCs/>
          <w:lang w:val="fr-FR"/>
        </w:rPr>
        <w:t>LES INFORMATIONS SCIENTIFIQUES PERTINENTES CONCERNANT LA CONSERVATION ET LES MENACES PESANT SUR LES TORTUES MARINES APRÈS L</w:t>
      </w:r>
      <w:r w:rsidR="00C2697F" w:rsidRPr="00E43B72">
        <w:rPr>
          <w:b/>
          <w:bCs/>
          <w:iCs/>
          <w:lang w:val="fr-FR"/>
        </w:rPr>
        <w:t>’</w:t>
      </w:r>
      <w:r w:rsidRPr="00E43B72">
        <w:rPr>
          <w:b/>
          <w:bCs/>
          <w:iCs/>
          <w:lang w:val="fr-FR"/>
        </w:rPr>
        <w:t>ÉCLOSION</w:t>
      </w:r>
    </w:p>
    <w:p w14:paraId="1C20AD08" w14:textId="77777777" w:rsidR="007F08AF" w:rsidRPr="00E43B72" w:rsidRDefault="007F08AF">
      <w:pPr>
        <w:pStyle w:val="Secondnumbering"/>
        <w:numPr>
          <w:ilvl w:val="0"/>
          <w:numId w:val="0"/>
        </w:numPr>
        <w:rPr>
          <w:lang w:val="fr-FR"/>
        </w:rPr>
      </w:pPr>
    </w:p>
    <w:p w14:paraId="2C9AC3F4" w14:textId="77777777" w:rsidR="007F08AF" w:rsidRPr="00E43B72" w:rsidRDefault="007F08AF">
      <w:pPr>
        <w:pStyle w:val="Secondnumbering"/>
        <w:numPr>
          <w:ilvl w:val="0"/>
          <w:numId w:val="0"/>
        </w:numPr>
        <w:rPr>
          <w:lang w:val="fr-FR"/>
        </w:rPr>
      </w:pPr>
    </w:p>
    <w:p w14:paraId="485C3C62" w14:textId="11536F6E" w:rsidR="007F08AF" w:rsidRPr="00E43B72" w:rsidRDefault="00000000">
      <w:pPr>
        <w:rPr>
          <w:b/>
          <w:bCs/>
          <w:lang w:val="fr-FR"/>
        </w:rPr>
      </w:pPr>
      <w:r w:rsidRPr="00E43B72">
        <w:rPr>
          <w:b/>
          <w:lang w:val="fr-FR"/>
        </w:rPr>
        <w:t>Biologie des tortues marines après l</w:t>
      </w:r>
      <w:r w:rsidR="00C2697F" w:rsidRPr="00E43B72">
        <w:rPr>
          <w:b/>
          <w:lang w:val="fr-FR"/>
        </w:rPr>
        <w:t>’</w:t>
      </w:r>
      <w:r w:rsidRPr="00E43B72">
        <w:rPr>
          <w:b/>
          <w:lang w:val="fr-FR"/>
        </w:rPr>
        <w:t>éclosion</w:t>
      </w:r>
    </w:p>
    <w:p w14:paraId="15856627" w14:textId="77777777" w:rsidR="007F08AF" w:rsidRPr="00E43B72" w:rsidRDefault="007F08AF">
      <w:pPr>
        <w:rPr>
          <w:b/>
          <w:lang w:val="fr-FR"/>
        </w:rPr>
      </w:pPr>
    </w:p>
    <w:p w14:paraId="39ACA4E2" w14:textId="3CE0AA36" w:rsidR="007F08AF" w:rsidRPr="00E43B72" w:rsidRDefault="00000000">
      <w:pPr>
        <w:jc w:val="both"/>
        <w:rPr>
          <w:lang w:val="fr-FR"/>
        </w:rPr>
      </w:pPr>
      <w:r w:rsidRPr="00E43B72">
        <w:rPr>
          <w:lang w:val="fr-FR"/>
        </w:rPr>
        <w:t>Les jeunes tortues marines sont particulièrement vulnérables à la prédation et doivent traverser la plage en rampant et nager dans les eaux peu profondes du littoral pour atteindre le plus rapidement possible les eaux plus profondes des zones néritiques (tortues à dos plat) ou océaniques (tortues de Kemp, tortues luths, tortues Caouannes, tortues vertes, tortues imbriquées et tortues olivâtres). Dans l</w:t>
      </w:r>
      <w:r w:rsidR="00C2697F" w:rsidRPr="00E43B72">
        <w:rPr>
          <w:lang w:val="fr-FR"/>
        </w:rPr>
        <w:t>’</w:t>
      </w:r>
      <w:r w:rsidRPr="00E43B72">
        <w:rPr>
          <w:lang w:val="fr-FR"/>
        </w:rPr>
        <w:t>eau, elles nagent continuellement pendant environ 24</w:t>
      </w:r>
      <w:r w:rsidR="00670BE4" w:rsidRPr="00E43B72">
        <w:rPr>
          <w:lang w:val="fr-FR"/>
        </w:rPr>
        <w:t> </w:t>
      </w:r>
      <w:r w:rsidRPr="00E43B72">
        <w:rPr>
          <w:lang w:val="fr-FR"/>
        </w:rPr>
        <w:t>heures, au cours d</w:t>
      </w:r>
      <w:r w:rsidR="00C2697F" w:rsidRPr="00E43B72">
        <w:rPr>
          <w:lang w:val="fr-FR"/>
        </w:rPr>
        <w:t>’</w:t>
      </w:r>
      <w:r w:rsidRPr="00E43B72">
        <w:rPr>
          <w:lang w:val="fr-FR"/>
        </w:rPr>
        <w:t>une période d</w:t>
      </w:r>
      <w:r w:rsidR="00C2697F" w:rsidRPr="00E43B72">
        <w:rPr>
          <w:lang w:val="fr-FR"/>
        </w:rPr>
        <w:t>’</w:t>
      </w:r>
      <w:r w:rsidRPr="00E43B72">
        <w:rPr>
          <w:lang w:val="fr-FR"/>
        </w:rPr>
        <w:t>hyperactivité communément appelée «</w:t>
      </w:r>
      <w:r w:rsidR="00670BE4" w:rsidRPr="00E43B72">
        <w:rPr>
          <w:lang w:val="fr-FR"/>
        </w:rPr>
        <w:t> </w:t>
      </w:r>
      <w:r w:rsidRPr="00E43B72">
        <w:rPr>
          <w:lang w:val="fr-FR"/>
        </w:rPr>
        <w:t>frénésie de natation</w:t>
      </w:r>
      <w:r w:rsidR="00670BE4" w:rsidRPr="00E43B72">
        <w:rPr>
          <w:lang w:val="fr-FR"/>
        </w:rPr>
        <w:t> </w:t>
      </w:r>
      <w:r w:rsidRPr="00E43B72">
        <w:rPr>
          <w:lang w:val="fr-FR"/>
        </w:rPr>
        <w:t>». Après leur frénésie initiale, les tortues juvéniles utilisent une combinaison de dérive passive avec les courants océaniques et de nage active périodique pour trouver des habitats de développement adaptés où commencer à se nourrir</w:t>
      </w:r>
      <w:r w:rsidR="00C421BB" w:rsidRPr="00E43B72">
        <w:rPr>
          <w:lang w:val="fr-FR"/>
        </w:rPr>
        <w:t> ;</w:t>
      </w:r>
      <w:r w:rsidRPr="00E43B72">
        <w:rPr>
          <w:lang w:val="fr-FR"/>
        </w:rPr>
        <w:t xml:space="preserve"> cela leur prend généralement une semaine. Lorsque les tortues commencent à se nourrir, elles entrent dans la phase post-éclosion. Il n</w:t>
      </w:r>
      <w:r w:rsidR="00C2697F" w:rsidRPr="00E43B72">
        <w:rPr>
          <w:lang w:val="fr-FR"/>
        </w:rPr>
        <w:t>’</w:t>
      </w:r>
      <w:r w:rsidRPr="00E43B72">
        <w:rPr>
          <w:lang w:val="fr-FR"/>
        </w:rPr>
        <w:t>existe pas de fin clairement définie à cette étape de vie transitoire, car elle survient lorsqu</w:t>
      </w:r>
      <w:r w:rsidR="00C2697F" w:rsidRPr="00E43B72">
        <w:rPr>
          <w:lang w:val="fr-FR"/>
        </w:rPr>
        <w:t>’</w:t>
      </w:r>
      <w:r w:rsidRPr="00E43B72">
        <w:rPr>
          <w:lang w:val="fr-FR"/>
        </w:rPr>
        <w:t>elles entrent dans la phase de dispersion, qui peut survenir dans la zone néritique ou océanique. À ce moment-là, les tortues sont considérées comme des juvéniles.</w:t>
      </w:r>
    </w:p>
    <w:p w14:paraId="2F3E4D37" w14:textId="77777777" w:rsidR="007F08AF" w:rsidRPr="00E43B72" w:rsidRDefault="007F08AF">
      <w:pPr>
        <w:jc w:val="both"/>
        <w:rPr>
          <w:lang w:val="fr-FR"/>
        </w:rPr>
      </w:pPr>
    </w:p>
    <w:p w14:paraId="04250C07" w14:textId="51E4CC0C" w:rsidR="007F08AF" w:rsidRPr="00E43B72" w:rsidRDefault="00000000">
      <w:pPr>
        <w:jc w:val="both"/>
        <w:rPr>
          <w:lang w:val="fr-FR"/>
        </w:rPr>
      </w:pPr>
      <w:r w:rsidRPr="00E43B72">
        <w:rPr>
          <w:lang w:val="fr-FR"/>
        </w:rPr>
        <w:t>Les tortues juvéniles occupent les eaux pélagiques de surface, à proximité de zones d</w:t>
      </w:r>
      <w:r w:rsidR="00C2697F" w:rsidRPr="00E43B72">
        <w:rPr>
          <w:lang w:val="fr-FR"/>
        </w:rPr>
        <w:t>’</w:t>
      </w:r>
      <w:r w:rsidRPr="00E43B72">
        <w:rPr>
          <w:lang w:val="fr-FR"/>
        </w:rPr>
        <w:t>habitat de nourrissage qui présentent probablement une concentration élevée de chlorophylle en surface et une forte productivité, ou des zones de convergence avec des lignes de matériaux flottants. Ces caractéristiques soutiennent leur régime alimentaire composé de plancton marin, de plantes et de petits animaux. Les menaces pesant sur les tortues juvéniles sont relativement peu étudiées en raison des obstacles associés à leur élevage, à leur localisation et à leur suivi (Bolten, 2003a, b</w:t>
      </w:r>
      <w:r w:rsidR="00C421BB" w:rsidRPr="00E43B72">
        <w:rPr>
          <w:lang w:val="fr-FR"/>
        </w:rPr>
        <w:t> ;</w:t>
      </w:r>
      <w:r w:rsidRPr="00E43B72">
        <w:rPr>
          <w:lang w:val="fr-FR"/>
        </w:rPr>
        <w:t xml:space="preserve"> Witherington et al., 2012</w:t>
      </w:r>
      <w:r w:rsidR="00C421BB" w:rsidRPr="00E43B72">
        <w:rPr>
          <w:lang w:val="fr-FR"/>
        </w:rPr>
        <w:t> ;</w:t>
      </w:r>
      <w:r w:rsidRPr="00E43B72">
        <w:rPr>
          <w:lang w:val="fr-FR"/>
        </w:rPr>
        <w:t xml:space="preserve"> Wildermann et al., 2018</w:t>
      </w:r>
      <w:r w:rsidR="00C421BB" w:rsidRPr="00E43B72">
        <w:rPr>
          <w:lang w:val="fr-FR"/>
        </w:rPr>
        <w:t> ;</w:t>
      </w:r>
      <w:r w:rsidRPr="00E43B72">
        <w:rPr>
          <w:lang w:val="fr-FR"/>
        </w:rPr>
        <w:t xml:space="preserve"> Phillips et al., 2025).</w:t>
      </w:r>
    </w:p>
    <w:p w14:paraId="1C4B223E" w14:textId="77777777" w:rsidR="007F08AF" w:rsidRPr="00E43B72" w:rsidRDefault="007F08AF">
      <w:pPr>
        <w:rPr>
          <w:lang w:val="fr-FR"/>
        </w:rPr>
      </w:pPr>
    </w:p>
    <w:p w14:paraId="096D52C2" w14:textId="77777777" w:rsidR="007F08AF" w:rsidRPr="00E43B72" w:rsidRDefault="00000000">
      <w:pPr>
        <w:rPr>
          <w:b/>
          <w:lang w:val="fr-FR"/>
        </w:rPr>
      </w:pPr>
      <w:r w:rsidRPr="00E43B72">
        <w:rPr>
          <w:b/>
          <w:lang w:val="fr-FR"/>
        </w:rPr>
        <w:t>Changements climatiques et tortues marines juvéniles</w:t>
      </w:r>
    </w:p>
    <w:p w14:paraId="420C92BA" w14:textId="77777777" w:rsidR="007F08AF" w:rsidRPr="00E43B72" w:rsidRDefault="007F08AF">
      <w:pPr>
        <w:rPr>
          <w:b/>
          <w:bCs/>
          <w:lang w:val="fr-FR"/>
        </w:rPr>
      </w:pPr>
    </w:p>
    <w:p w14:paraId="7765B086" w14:textId="350408B3" w:rsidR="007F08AF" w:rsidRPr="00E43B72" w:rsidRDefault="00000000">
      <w:pPr>
        <w:jc w:val="both"/>
        <w:rPr>
          <w:lang w:val="fr-FR"/>
        </w:rPr>
      </w:pPr>
      <w:r w:rsidRPr="00E43B72">
        <w:rPr>
          <w:lang w:val="fr-FR"/>
        </w:rPr>
        <w:t>Les répercussions des changements climatiques sur la taille et la condition physique des tortues juvéniles pourraient avoir des implications sur leur survie et leur dispersion après l</w:t>
      </w:r>
      <w:r w:rsidR="00C2697F" w:rsidRPr="00E43B72">
        <w:rPr>
          <w:lang w:val="fr-FR"/>
        </w:rPr>
        <w:t>’</w:t>
      </w:r>
      <w:r w:rsidRPr="00E43B72">
        <w:rPr>
          <w:lang w:val="fr-FR"/>
        </w:rPr>
        <w:t>éclosion, mais aucune étude empirique n</w:t>
      </w:r>
      <w:r w:rsidR="00C2697F" w:rsidRPr="00E43B72">
        <w:rPr>
          <w:lang w:val="fr-FR"/>
        </w:rPr>
        <w:t>’</w:t>
      </w:r>
      <w:r w:rsidRPr="00E43B72">
        <w:rPr>
          <w:lang w:val="fr-FR"/>
        </w:rPr>
        <w:t xml:space="preserve">a encore examiné cette question. Les températures de surface de la mer </w:t>
      </w:r>
      <w:r w:rsidRPr="00E43B72">
        <w:rPr>
          <w:color w:val="000000" w:themeColor="text1"/>
          <w:lang w:val="fr-FR"/>
        </w:rPr>
        <w:t xml:space="preserve">et la force des courants </w:t>
      </w:r>
      <w:r w:rsidRPr="00E43B72">
        <w:rPr>
          <w:lang w:val="fr-FR"/>
        </w:rPr>
        <w:t>peuvent influencer la dispersion des nouveau-nés et des tortues juvéniles dans des eaux à productivité variable. L</w:t>
      </w:r>
      <w:r w:rsidR="00C2697F" w:rsidRPr="00E43B72">
        <w:rPr>
          <w:lang w:val="fr-FR"/>
        </w:rPr>
        <w:t>’</w:t>
      </w:r>
      <w:r w:rsidRPr="00E43B72">
        <w:rPr>
          <w:lang w:val="fr-FR"/>
        </w:rPr>
        <w:t>augmentation de la fréquence et de l</w:t>
      </w:r>
      <w:r w:rsidR="00C2697F" w:rsidRPr="00E43B72">
        <w:rPr>
          <w:lang w:val="fr-FR"/>
        </w:rPr>
        <w:t>’</w:t>
      </w:r>
      <w:r w:rsidRPr="00E43B72">
        <w:rPr>
          <w:lang w:val="fr-FR"/>
        </w:rPr>
        <w:t>intensité des tempêtes violentes, notamment des cyclones et des ouragans, associée aux changements climatiques pourrait pousser les tortues juvéniles vers un habitat sous-optimal (ou plus favorable) et avoir des répercussions sur leurs taux de survie et de croissance (Monzón-Argüello et al., 2012</w:t>
      </w:r>
      <w:r w:rsidR="00C421BB" w:rsidRPr="00E43B72">
        <w:rPr>
          <w:lang w:val="fr-FR"/>
        </w:rPr>
        <w:t> ;</w:t>
      </w:r>
      <w:r w:rsidRPr="00E43B72">
        <w:rPr>
          <w:lang w:val="fr-FR"/>
        </w:rPr>
        <w:t xml:space="preserve"> Scott et al., 2014</w:t>
      </w:r>
      <w:r w:rsidR="00C421BB" w:rsidRPr="00E43B72">
        <w:rPr>
          <w:lang w:val="fr-FR"/>
        </w:rPr>
        <w:t> ;</w:t>
      </w:r>
      <w:r w:rsidRPr="00E43B72">
        <w:rPr>
          <w:lang w:val="fr-FR"/>
        </w:rPr>
        <w:t xml:space="preserve"> DuBois et al., 2020).</w:t>
      </w:r>
    </w:p>
    <w:p w14:paraId="13320569" w14:textId="77777777" w:rsidR="007F08AF" w:rsidRPr="00E43B72" w:rsidRDefault="007F08AF">
      <w:pPr>
        <w:rPr>
          <w:lang w:val="fr-FR"/>
        </w:rPr>
      </w:pPr>
    </w:p>
    <w:p w14:paraId="01064306" w14:textId="77777777" w:rsidR="007F08AF" w:rsidRPr="00E43B72" w:rsidRDefault="00000000">
      <w:pPr>
        <w:rPr>
          <w:b/>
          <w:lang w:val="fr-FR"/>
        </w:rPr>
      </w:pPr>
      <w:r w:rsidRPr="00E43B72">
        <w:rPr>
          <w:b/>
          <w:lang w:val="fr-FR"/>
        </w:rPr>
        <w:t>Pollution plastique et tortues marines juvéniles</w:t>
      </w:r>
    </w:p>
    <w:p w14:paraId="6845E14B" w14:textId="77777777" w:rsidR="007F08AF" w:rsidRPr="00E43B72" w:rsidRDefault="007F08AF">
      <w:pPr>
        <w:rPr>
          <w:b/>
          <w:bCs/>
          <w:lang w:val="fr-FR"/>
        </w:rPr>
      </w:pPr>
    </w:p>
    <w:p w14:paraId="5BE0E937" w14:textId="13C0D8DC" w:rsidR="007F08AF" w:rsidRPr="00E43B72" w:rsidRDefault="00000000">
      <w:pPr>
        <w:jc w:val="both"/>
        <w:rPr>
          <w:lang w:val="fr-FR"/>
        </w:rPr>
      </w:pPr>
      <w:r w:rsidRPr="00E43B72">
        <w:rPr>
          <w:lang w:val="fr-FR"/>
        </w:rPr>
        <w:t>Les petites tortues, y compris les tortues juvéniles, sont très vulnérables à la consommation et à l</w:t>
      </w:r>
      <w:r w:rsidR="00C2697F" w:rsidRPr="00E43B72">
        <w:rPr>
          <w:lang w:val="fr-FR"/>
        </w:rPr>
        <w:t>’</w:t>
      </w:r>
      <w:r w:rsidRPr="00E43B72">
        <w:rPr>
          <w:lang w:val="fr-FR"/>
        </w:rPr>
        <w:t>enchevêtrement dans les plastiques en raison de leur comportement alimentaire et de leur habitat, qui inclut une forte abondance de plastique. Chaque tortue peut être tuée après ingestion de plastique ou enchevêtrement, mais l</w:t>
      </w:r>
      <w:r w:rsidR="00C2697F" w:rsidRPr="00E43B72">
        <w:rPr>
          <w:lang w:val="fr-FR"/>
        </w:rPr>
        <w:t>’</w:t>
      </w:r>
      <w:r w:rsidRPr="00E43B72">
        <w:rPr>
          <w:lang w:val="fr-FR"/>
        </w:rPr>
        <w:t>impact à l</w:t>
      </w:r>
      <w:r w:rsidR="00C2697F" w:rsidRPr="00E43B72">
        <w:rPr>
          <w:lang w:val="fr-FR"/>
        </w:rPr>
        <w:t>’</w:t>
      </w:r>
      <w:r w:rsidRPr="00E43B72">
        <w:rPr>
          <w:lang w:val="fr-FR"/>
        </w:rPr>
        <w:t>échelle de la population est inconnu (Boyle &amp; Limpus, 2008</w:t>
      </w:r>
      <w:r w:rsidR="00C421BB" w:rsidRPr="00E43B72">
        <w:rPr>
          <w:lang w:val="fr-FR"/>
        </w:rPr>
        <w:t> ;</w:t>
      </w:r>
      <w:r w:rsidRPr="00E43B72">
        <w:rPr>
          <w:lang w:val="fr-FR"/>
        </w:rPr>
        <w:t xml:space="preserve"> Ryan et al., 2016</w:t>
      </w:r>
      <w:r w:rsidR="00C421BB" w:rsidRPr="00E43B72">
        <w:rPr>
          <w:lang w:val="fr-FR"/>
        </w:rPr>
        <w:t> ;</w:t>
      </w:r>
      <w:r w:rsidRPr="00E43B72">
        <w:rPr>
          <w:lang w:val="fr-FR"/>
        </w:rPr>
        <w:t xml:space="preserve"> White et al., 2018</w:t>
      </w:r>
      <w:r w:rsidR="00C421BB" w:rsidRPr="00E43B72">
        <w:rPr>
          <w:lang w:val="fr-FR"/>
        </w:rPr>
        <w:t> ;</w:t>
      </w:r>
      <w:r w:rsidRPr="00E43B72">
        <w:rPr>
          <w:lang w:val="fr-FR"/>
        </w:rPr>
        <w:t xml:space="preserve"> Eastman et al., 2020</w:t>
      </w:r>
      <w:r w:rsidR="00C421BB" w:rsidRPr="00E43B72">
        <w:rPr>
          <w:lang w:val="fr-FR"/>
        </w:rPr>
        <w:t> ;</w:t>
      </w:r>
      <w:r w:rsidRPr="00E43B72">
        <w:rPr>
          <w:lang w:val="fr-FR"/>
        </w:rPr>
        <w:t xml:space="preserve"> Duncan et al., 2021</w:t>
      </w:r>
      <w:r w:rsidR="00C421BB" w:rsidRPr="00E43B72">
        <w:rPr>
          <w:lang w:val="fr-FR"/>
        </w:rPr>
        <w:t> ;</w:t>
      </w:r>
      <w:r w:rsidRPr="00E43B72">
        <w:rPr>
          <w:lang w:val="fr-FR"/>
        </w:rPr>
        <w:t xml:space="preserve"> Rice et al., 2021</w:t>
      </w:r>
      <w:r w:rsidR="00C421BB" w:rsidRPr="00E43B72">
        <w:rPr>
          <w:lang w:val="fr-FR"/>
        </w:rPr>
        <w:t> ;</w:t>
      </w:r>
      <w:r w:rsidRPr="00E43B72">
        <w:rPr>
          <w:lang w:val="fr-FR"/>
        </w:rPr>
        <w:t xml:space="preserve"> Duncan et al., 2024).</w:t>
      </w:r>
    </w:p>
    <w:p w14:paraId="5E5FC8A8" w14:textId="57C8389B" w:rsidR="005A7158" w:rsidRDefault="005A7158">
      <w:pPr>
        <w:rPr>
          <w:lang w:val="fr-FR"/>
        </w:rPr>
      </w:pPr>
      <w:r>
        <w:rPr>
          <w:lang w:val="fr-FR"/>
        </w:rPr>
        <w:br w:type="page"/>
      </w:r>
    </w:p>
    <w:p w14:paraId="1BA1C188" w14:textId="77777777" w:rsidR="007F08AF" w:rsidRPr="00E43B72" w:rsidRDefault="00000000">
      <w:pPr>
        <w:rPr>
          <w:b/>
          <w:bCs/>
          <w:lang w:val="fr-FR"/>
        </w:rPr>
      </w:pPr>
      <w:r w:rsidRPr="00E43B72">
        <w:rPr>
          <w:b/>
          <w:lang w:val="fr-FR"/>
        </w:rPr>
        <w:lastRenderedPageBreak/>
        <w:t>Lumières et Tortues marines juvéniles</w:t>
      </w:r>
    </w:p>
    <w:p w14:paraId="278A327C" w14:textId="77777777" w:rsidR="007F08AF" w:rsidRPr="00E43B72" w:rsidRDefault="007F08AF">
      <w:pPr>
        <w:rPr>
          <w:b/>
          <w:lang w:val="fr-FR"/>
        </w:rPr>
      </w:pPr>
    </w:p>
    <w:p w14:paraId="7BBF7BBC" w14:textId="0DBE20BE" w:rsidR="007F08AF" w:rsidRPr="00E43B72" w:rsidRDefault="00000000">
      <w:pPr>
        <w:jc w:val="both"/>
        <w:rPr>
          <w:lang w:val="fr-FR"/>
        </w:rPr>
      </w:pPr>
      <w:r w:rsidRPr="00E43B72">
        <w:rPr>
          <w:lang w:val="fr-FR"/>
        </w:rPr>
        <w:t>Les bâtons lumineux utilisés dans les pêcheries à la palangre peuvent attirer les tortues Caouannes juvéniles (Wang et al., 2007). Il n</w:t>
      </w:r>
      <w:r w:rsidR="00C2697F" w:rsidRPr="00E43B72">
        <w:rPr>
          <w:lang w:val="fr-FR"/>
        </w:rPr>
        <w:t>’</w:t>
      </w:r>
      <w:r w:rsidRPr="00E43B72">
        <w:rPr>
          <w:lang w:val="fr-FR"/>
        </w:rPr>
        <w:t>existe aucun cas enregistré de tortues juvéniles étant attirées par les plates-formes pétrolières en eaux profondes ou d</w:t>
      </w:r>
      <w:r w:rsidR="00C2697F" w:rsidRPr="00E43B72">
        <w:rPr>
          <w:lang w:val="fr-FR"/>
        </w:rPr>
        <w:t>’</w:t>
      </w:r>
      <w:r w:rsidRPr="00E43B72">
        <w:rPr>
          <w:lang w:val="fr-FR"/>
        </w:rPr>
        <w:t>autres structures industrielles, mais cela est possible étant donné leur sensibilité visuelle aux lumières similaires utilisées dans les zones côtières. Toutefois, il est probable que l</w:t>
      </w:r>
      <w:r w:rsidR="00C2697F" w:rsidRPr="00E43B72">
        <w:rPr>
          <w:lang w:val="fr-FR"/>
        </w:rPr>
        <w:t>’</w:t>
      </w:r>
      <w:r w:rsidRPr="00E43B72">
        <w:rPr>
          <w:lang w:val="fr-FR"/>
        </w:rPr>
        <w:t>impact au niveau de la population reste limité.</w:t>
      </w:r>
    </w:p>
    <w:p w14:paraId="7BFAE071" w14:textId="77777777" w:rsidR="007F08AF" w:rsidRPr="00E43B72" w:rsidRDefault="007F08AF">
      <w:pPr>
        <w:rPr>
          <w:lang w:val="fr-FR"/>
        </w:rPr>
      </w:pPr>
    </w:p>
    <w:p w14:paraId="628146B6" w14:textId="77777777" w:rsidR="007F08AF" w:rsidRPr="00E43B72" w:rsidRDefault="00000000">
      <w:pPr>
        <w:rPr>
          <w:b/>
          <w:lang w:val="fr-FR"/>
        </w:rPr>
      </w:pPr>
      <w:r w:rsidRPr="00E43B72">
        <w:rPr>
          <w:b/>
          <w:lang w:val="fr-FR"/>
        </w:rPr>
        <w:t>Pollution chimique et tortues marines juvéniles</w:t>
      </w:r>
    </w:p>
    <w:p w14:paraId="1482911B" w14:textId="77777777" w:rsidR="007F08AF" w:rsidRPr="00E43B72" w:rsidRDefault="007F08AF">
      <w:pPr>
        <w:rPr>
          <w:lang w:val="fr-FR"/>
        </w:rPr>
      </w:pPr>
    </w:p>
    <w:p w14:paraId="70057C3E" w14:textId="7AB3B392" w:rsidR="007F08AF" w:rsidRPr="00E43B72" w:rsidRDefault="00000000">
      <w:pPr>
        <w:jc w:val="both"/>
        <w:rPr>
          <w:lang w:val="fr-FR"/>
        </w:rPr>
      </w:pPr>
      <w:r w:rsidRPr="00E43B72">
        <w:rPr>
          <w:lang w:val="fr-FR"/>
        </w:rPr>
        <w:t>Les déversements d</w:t>
      </w:r>
      <w:r w:rsidR="00C2697F" w:rsidRPr="00E43B72">
        <w:rPr>
          <w:lang w:val="fr-FR"/>
        </w:rPr>
        <w:t>’</w:t>
      </w:r>
      <w:r w:rsidRPr="00E43B72">
        <w:rPr>
          <w:lang w:val="fr-FR"/>
        </w:rPr>
        <w:t>hydrocarbures présentent un risque pour les tortues juvéniles si les zones de convergence de surface concentrent les hydrocarbures le long des lignes flottantes utilisées servant d</w:t>
      </w:r>
      <w:r w:rsidR="00C2697F" w:rsidRPr="00E43B72">
        <w:rPr>
          <w:lang w:val="fr-FR"/>
        </w:rPr>
        <w:t>’</w:t>
      </w:r>
      <w:r w:rsidRPr="00E43B72">
        <w:rPr>
          <w:lang w:val="fr-FR"/>
        </w:rPr>
        <w:t>habitat par les tortues (McDonald et al., 2017).</w:t>
      </w:r>
    </w:p>
    <w:p w14:paraId="41C27CE6" w14:textId="77777777" w:rsidR="005A7158" w:rsidRDefault="005A7158">
      <w:pPr>
        <w:rPr>
          <w:b/>
          <w:highlight w:val="yellow"/>
          <w:lang w:val="fr-FR"/>
        </w:rPr>
      </w:pPr>
    </w:p>
    <w:p w14:paraId="1D7C42A6" w14:textId="39385931" w:rsidR="007F08AF" w:rsidRPr="005A7158" w:rsidRDefault="002D4E6F">
      <w:pPr>
        <w:rPr>
          <w:b/>
          <w:bCs/>
          <w:lang w:val="fr-FR"/>
        </w:rPr>
      </w:pPr>
      <w:r w:rsidRPr="005A7158">
        <w:rPr>
          <w:b/>
          <w:lang w:val="fr-FR"/>
        </w:rPr>
        <w:t>Références</w:t>
      </w:r>
    </w:p>
    <w:p w14:paraId="431591FA" w14:textId="77777777" w:rsidR="007F08AF" w:rsidRPr="005A7158" w:rsidRDefault="007F08AF">
      <w:pPr>
        <w:rPr>
          <w:b/>
          <w:lang w:val="fr-FR"/>
        </w:rPr>
      </w:pPr>
    </w:p>
    <w:p w14:paraId="2D8DFC16" w14:textId="77777777" w:rsidR="007F08AF" w:rsidRPr="005A7158" w:rsidRDefault="00000000">
      <w:pPr>
        <w:spacing w:after="40"/>
        <w:ind w:left="397" w:hanging="397"/>
        <w:jc w:val="both"/>
        <w:rPr>
          <w:sz w:val="20"/>
          <w:szCs w:val="20"/>
        </w:rPr>
      </w:pPr>
      <w:r w:rsidRPr="005A7158">
        <w:rPr>
          <w:sz w:val="20"/>
          <w:szCs w:val="20"/>
          <w:lang w:val="fr-FR"/>
        </w:rPr>
        <w:t xml:space="preserve">Bolten A.B. 2003a. </w:t>
      </w:r>
      <w:r w:rsidRPr="005A7158">
        <w:rPr>
          <w:sz w:val="20"/>
          <w:szCs w:val="20"/>
        </w:rPr>
        <w:t>Active swimmers- passive drifters: The oceanic juvenile stage of loggerheads in the Atlantic system. In Loggerhead Sea Turtles (Bolten A.B. and Witherington B.E. eds). Smithsonian Institution Press, Washington D.C. Pp. 63-78.</w:t>
      </w:r>
    </w:p>
    <w:p w14:paraId="3B0CB0C8" w14:textId="77777777" w:rsidR="007F08AF" w:rsidRPr="005A7158" w:rsidRDefault="00000000">
      <w:pPr>
        <w:spacing w:after="40"/>
        <w:ind w:left="397" w:hanging="397"/>
        <w:jc w:val="both"/>
        <w:rPr>
          <w:sz w:val="20"/>
          <w:szCs w:val="20"/>
        </w:rPr>
      </w:pPr>
      <w:r w:rsidRPr="005A7158">
        <w:rPr>
          <w:sz w:val="20"/>
          <w:szCs w:val="20"/>
        </w:rPr>
        <w:t>Bolten A.B. 2003b. Variation in sea turtle life history patterns: Neritic vs. oceanic developmental stages. In The Biology of Sea Turtles Vol. II. (Lutz P.L., Musick J.A. and Wyneken J. eds). Pp. 243-257.</w:t>
      </w:r>
    </w:p>
    <w:p w14:paraId="70E6CBDC" w14:textId="77777777" w:rsidR="007F08AF" w:rsidRPr="005A7158" w:rsidRDefault="00000000">
      <w:pPr>
        <w:spacing w:after="40"/>
        <w:ind w:left="397" w:hanging="397"/>
        <w:jc w:val="both"/>
        <w:rPr>
          <w:sz w:val="20"/>
          <w:szCs w:val="20"/>
        </w:rPr>
      </w:pPr>
      <w:r w:rsidRPr="005A7158">
        <w:rPr>
          <w:sz w:val="20"/>
          <w:szCs w:val="20"/>
        </w:rPr>
        <w:t>Boyle M.C. and Limpus C.J. 2008. The stomach contents of post-hatchling green and loggerhead sea turtles in the southwest Pacific: An insight into habitat association. Marine Biology 155: 233-241.</w:t>
      </w:r>
    </w:p>
    <w:p w14:paraId="6127A3A4" w14:textId="33D39F5B" w:rsidR="007F08AF" w:rsidRPr="005A7158" w:rsidRDefault="00000000">
      <w:pPr>
        <w:spacing w:after="40"/>
        <w:ind w:left="397" w:hanging="397"/>
        <w:jc w:val="both"/>
        <w:rPr>
          <w:sz w:val="20"/>
          <w:szCs w:val="20"/>
        </w:rPr>
      </w:pPr>
      <w:r w:rsidRPr="005A7158">
        <w:rPr>
          <w:sz w:val="20"/>
          <w:szCs w:val="20"/>
        </w:rPr>
        <w:t>DuBois M.J., Putman N.F. and Piacenza S.E. 2020. Hurricane frequency and intensity may decrease dispersal of Kemp</w:t>
      </w:r>
      <w:r w:rsidR="00C2697F" w:rsidRPr="005A7158">
        <w:rPr>
          <w:sz w:val="20"/>
          <w:szCs w:val="20"/>
        </w:rPr>
        <w:t>’</w:t>
      </w:r>
      <w:r w:rsidRPr="005A7158">
        <w:rPr>
          <w:sz w:val="20"/>
          <w:szCs w:val="20"/>
        </w:rPr>
        <w:t xml:space="preserve">s ridley sea turtle hatchlings in the Gulf of Mexico. Frontiers in Marine Science 7: 301. </w:t>
      </w:r>
      <w:hyperlink r:id="rId44" w:history="1">
        <w:r w:rsidR="007F08AF" w:rsidRPr="005A7158">
          <w:rPr>
            <w:rStyle w:val="Hyperlink"/>
            <w:sz w:val="20"/>
            <w:szCs w:val="20"/>
          </w:rPr>
          <w:t>https://doi.org/10.3389/fmars.2020.00301</w:t>
        </w:r>
      </w:hyperlink>
    </w:p>
    <w:p w14:paraId="48BDB9FF" w14:textId="77777777" w:rsidR="007F08AF" w:rsidRPr="005A7158" w:rsidRDefault="00000000">
      <w:pPr>
        <w:spacing w:after="40"/>
        <w:ind w:left="397" w:hanging="397"/>
        <w:jc w:val="both"/>
        <w:rPr>
          <w:sz w:val="20"/>
          <w:szCs w:val="20"/>
        </w:rPr>
      </w:pPr>
      <w:r w:rsidRPr="005A7158">
        <w:rPr>
          <w:sz w:val="20"/>
          <w:szCs w:val="20"/>
        </w:rPr>
        <w:t xml:space="preserve">Duncan E.M., Broderick A.C., Critchell K., Galloway T.S., Hamann M., Limpus C.J. et al. 2021. Plastic pollution and small juvenile marine turtles: A potential evolutionary trap. Frontiers in Marine Science 8: 699521. </w:t>
      </w:r>
      <w:hyperlink r:id="rId45" w:history="1">
        <w:r w:rsidR="007F08AF" w:rsidRPr="005A7158">
          <w:rPr>
            <w:rStyle w:val="Hyperlink"/>
            <w:sz w:val="20"/>
            <w:szCs w:val="20"/>
          </w:rPr>
          <w:t>https://doi.org/10.3389/fmars.2021.699521</w:t>
        </w:r>
      </w:hyperlink>
    </w:p>
    <w:p w14:paraId="3195494C" w14:textId="77777777" w:rsidR="007F08AF" w:rsidRPr="005A7158" w:rsidRDefault="00000000">
      <w:pPr>
        <w:spacing w:after="40"/>
        <w:ind w:left="397" w:hanging="397"/>
        <w:jc w:val="both"/>
        <w:rPr>
          <w:sz w:val="20"/>
          <w:szCs w:val="20"/>
        </w:rPr>
      </w:pPr>
      <w:r w:rsidRPr="005A7158">
        <w:rPr>
          <w:sz w:val="20"/>
          <w:szCs w:val="20"/>
        </w:rPr>
        <w:t xml:space="preserve">Duncan E.M., Akbora H.D., Baldi P., Beton D., Broderick A.C., Cicek B.A. et al. 2024. Marine turtles as bio-indicators of plastic pollution in the eastern Mediterranean. Marine Pollution Bulletin 201: 116141. </w:t>
      </w:r>
      <w:hyperlink r:id="rId46" w:history="1">
        <w:r w:rsidR="007F08AF" w:rsidRPr="005A7158">
          <w:rPr>
            <w:rStyle w:val="Hyperlink"/>
            <w:sz w:val="20"/>
            <w:szCs w:val="20"/>
          </w:rPr>
          <w:t>https://doi.org/10.1016/j.marpolbul.2024.116141</w:t>
        </w:r>
      </w:hyperlink>
    </w:p>
    <w:p w14:paraId="4729C465" w14:textId="77777777" w:rsidR="007F08AF" w:rsidRPr="005A7158" w:rsidRDefault="00000000">
      <w:pPr>
        <w:spacing w:after="40"/>
        <w:ind w:left="397" w:hanging="397"/>
        <w:jc w:val="both"/>
        <w:rPr>
          <w:sz w:val="20"/>
          <w:szCs w:val="20"/>
        </w:rPr>
      </w:pPr>
      <w:r w:rsidRPr="005A7158">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7" w:history="1">
        <w:r w:rsidR="007F08AF" w:rsidRPr="005A7158">
          <w:rPr>
            <w:rStyle w:val="Hyperlink"/>
            <w:sz w:val="20"/>
            <w:szCs w:val="20"/>
          </w:rPr>
          <w:t>https://doi.org/10.3389/fmars.2020.00693</w:t>
        </w:r>
      </w:hyperlink>
    </w:p>
    <w:p w14:paraId="28604417" w14:textId="77777777" w:rsidR="007F08AF" w:rsidRPr="005A7158" w:rsidRDefault="00000000">
      <w:pPr>
        <w:spacing w:after="40"/>
        <w:ind w:left="397" w:hanging="397"/>
        <w:jc w:val="both"/>
        <w:rPr>
          <w:sz w:val="20"/>
          <w:szCs w:val="20"/>
        </w:rPr>
      </w:pPr>
      <w:r w:rsidRPr="005A7158">
        <w:rPr>
          <w:sz w:val="20"/>
          <w:szCs w:val="20"/>
        </w:rPr>
        <w:t>McDonald T.L., Schroeder B.A., Stacy B.A., Wallace B.P., Starcevich L.A., Gorham J. et al. 2017. Density and exposure of surface-pelagic juvenile sea turtles to Deepwater Horizon oil. Endangered Species Research 33: 69-82.</w:t>
      </w:r>
    </w:p>
    <w:p w14:paraId="1020E154" w14:textId="71428667" w:rsidR="007F08AF" w:rsidRPr="005A7158" w:rsidRDefault="00000000">
      <w:pPr>
        <w:spacing w:after="40"/>
        <w:ind w:left="397" w:hanging="397"/>
        <w:jc w:val="both"/>
        <w:rPr>
          <w:sz w:val="20"/>
          <w:szCs w:val="20"/>
        </w:rPr>
      </w:pPr>
      <w:r w:rsidRPr="005A7158">
        <w:rPr>
          <w:sz w:val="20"/>
          <w:szCs w:val="20"/>
        </w:rPr>
        <w:t>Monzón-Argüello C., Dell</w:t>
      </w:r>
      <w:r w:rsidR="00C2697F" w:rsidRPr="005A7158">
        <w:rPr>
          <w:sz w:val="20"/>
          <w:szCs w:val="20"/>
        </w:rPr>
        <w:t>’</w:t>
      </w:r>
      <w:r w:rsidRPr="005A7158">
        <w:rPr>
          <w:sz w:val="20"/>
          <w:szCs w:val="20"/>
        </w:rPr>
        <w:t>Amico F., Marco A., López-Jurado L.F., Hays G.C., Scott R. et al. 2012. Lost at sea: Genetic, oceanographic and meterological evidence for storm-forced dispersal. Journal of the Royal Society Interface 9: 1725-1732.</w:t>
      </w:r>
    </w:p>
    <w:p w14:paraId="5871051E" w14:textId="654F9B81" w:rsidR="007F08AF" w:rsidRPr="005A7158" w:rsidRDefault="00000000">
      <w:pPr>
        <w:spacing w:after="40"/>
        <w:ind w:left="397" w:hanging="397"/>
        <w:jc w:val="both"/>
        <w:rPr>
          <w:sz w:val="20"/>
          <w:szCs w:val="20"/>
        </w:rPr>
      </w:pPr>
      <w:r w:rsidRPr="005A7158">
        <w:rPr>
          <w:sz w:val="20"/>
          <w:szCs w:val="20"/>
        </w:rPr>
        <w:t xml:space="preserve">Phillips K.F., Putman N.F. and Masfield K.L. 2025. New insights on sea turtle behaviour during the </w:t>
      </w:r>
      <w:r w:rsidR="00C2697F" w:rsidRPr="005A7158">
        <w:rPr>
          <w:sz w:val="20"/>
          <w:szCs w:val="20"/>
        </w:rPr>
        <w:t>‘</w:t>
      </w:r>
      <w:r w:rsidRPr="005A7158">
        <w:rPr>
          <w:sz w:val="20"/>
          <w:szCs w:val="20"/>
        </w:rPr>
        <w:t>lost years</w:t>
      </w:r>
      <w:r w:rsidR="00C2697F" w:rsidRPr="005A7158">
        <w:rPr>
          <w:sz w:val="20"/>
          <w:szCs w:val="20"/>
        </w:rPr>
        <w:t>’</w:t>
      </w:r>
      <w:r w:rsidRPr="005A7158">
        <w:rPr>
          <w:sz w:val="20"/>
          <w:szCs w:val="20"/>
        </w:rPr>
        <w:t xml:space="preserve">. Proceedings of the Royal Society B 292: 20242367. </w:t>
      </w:r>
      <w:hyperlink r:id="rId48" w:history="1">
        <w:r w:rsidR="007F08AF" w:rsidRPr="005A7158">
          <w:rPr>
            <w:rStyle w:val="Hyperlink"/>
            <w:sz w:val="20"/>
            <w:szCs w:val="20"/>
          </w:rPr>
          <w:t>https://doi.org/10.1098/rspb.2024.2367</w:t>
        </w:r>
      </w:hyperlink>
    </w:p>
    <w:p w14:paraId="02DE332F" w14:textId="77777777" w:rsidR="007F08AF" w:rsidRPr="005A7158" w:rsidRDefault="00000000">
      <w:pPr>
        <w:spacing w:after="40"/>
        <w:ind w:left="397" w:hanging="397"/>
        <w:jc w:val="both"/>
        <w:rPr>
          <w:sz w:val="20"/>
          <w:szCs w:val="20"/>
        </w:rPr>
      </w:pPr>
      <w:r w:rsidRPr="005A7158">
        <w:rPr>
          <w:sz w:val="20"/>
          <w:szCs w:val="20"/>
        </w:rPr>
        <w:t xml:space="preserve">Rice N., Hirama S. and Witherington B. 2021. High frequency of micro- and meso-plastic ingestion in a sample of neonate sea turtles from a major rookery. Marine Pollution Bulletin 167: 112363. </w:t>
      </w:r>
      <w:hyperlink r:id="rId49" w:history="1">
        <w:r w:rsidR="007F08AF" w:rsidRPr="005A7158">
          <w:rPr>
            <w:rStyle w:val="Hyperlink"/>
            <w:sz w:val="20"/>
            <w:szCs w:val="20"/>
          </w:rPr>
          <w:t>https://doi.org/10.1016/j.marpolbul.2021.112363</w:t>
        </w:r>
      </w:hyperlink>
    </w:p>
    <w:p w14:paraId="215E390A" w14:textId="77777777" w:rsidR="007F08AF" w:rsidRPr="005A7158" w:rsidRDefault="00000000">
      <w:pPr>
        <w:spacing w:after="40"/>
        <w:ind w:left="397" w:hanging="397"/>
        <w:jc w:val="both"/>
        <w:rPr>
          <w:sz w:val="20"/>
          <w:szCs w:val="20"/>
        </w:rPr>
      </w:pPr>
      <w:r w:rsidRPr="005A7158">
        <w:rPr>
          <w:sz w:val="20"/>
          <w:szCs w:val="20"/>
        </w:rPr>
        <w:t>Ryan P.G., Cole G., Spiby K., Nel R., Osborne A. and Perold V. 2016. Impacts of plastic ingestion on post-hatchling loggerhead turtles off South Africa. Marine Pollution Bulletin 107: 155-160.</w:t>
      </w:r>
    </w:p>
    <w:p w14:paraId="36BEF97F" w14:textId="77777777" w:rsidR="007F08AF" w:rsidRPr="005A7158" w:rsidRDefault="00000000">
      <w:pPr>
        <w:spacing w:after="40"/>
        <w:ind w:left="397" w:hanging="397"/>
        <w:jc w:val="both"/>
        <w:rPr>
          <w:sz w:val="20"/>
          <w:szCs w:val="20"/>
        </w:rPr>
      </w:pPr>
      <w:r w:rsidRPr="005A7158">
        <w:rPr>
          <w:sz w:val="20"/>
          <w:szCs w:val="20"/>
        </w:rPr>
        <w:t xml:space="preserve">Scott R., Biastoch A., Roder C., Stiebens V.A. and Eizaguirre C. 2014. Nano-tags for neonates and ocean-mediated swimming behaviours linked to rapid dispersal of hatchling sea turtles. Proceedings of the Royal Society B 281: 20141209. </w:t>
      </w:r>
      <w:hyperlink r:id="rId50" w:history="1">
        <w:r w:rsidR="007F08AF" w:rsidRPr="005A7158">
          <w:rPr>
            <w:rStyle w:val="Hyperlink"/>
            <w:sz w:val="20"/>
            <w:szCs w:val="20"/>
          </w:rPr>
          <w:t>http://dx.doi.org/10.1098/rspb.2014.1209</w:t>
        </w:r>
      </w:hyperlink>
    </w:p>
    <w:p w14:paraId="577644D8" w14:textId="77777777" w:rsidR="007F08AF" w:rsidRPr="005A7158" w:rsidRDefault="00000000">
      <w:pPr>
        <w:spacing w:after="40"/>
        <w:ind w:left="397" w:hanging="397"/>
        <w:jc w:val="both"/>
        <w:rPr>
          <w:sz w:val="20"/>
          <w:szCs w:val="20"/>
        </w:rPr>
      </w:pPr>
      <w:r w:rsidRPr="005A7158">
        <w:rPr>
          <w:sz w:val="20"/>
          <w:szCs w:val="20"/>
        </w:rPr>
        <w:t>Wang J.H., Boles L.C., Higgins B. and Lohmann K.J. 2007. Behavioural responses of sea turtles to lightsticks used in longline fisheries. Animal Conservation 10: 176-182.</w:t>
      </w:r>
    </w:p>
    <w:p w14:paraId="6F3BE5C9" w14:textId="77777777" w:rsidR="007F08AF" w:rsidRPr="005A7158" w:rsidRDefault="00000000">
      <w:pPr>
        <w:spacing w:after="40"/>
        <w:ind w:left="397" w:hanging="397"/>
        <w:jc w:val="both"/>
        <w:rPr>
          <w:sz w:val="20"/>
          <w:szCs w:val="20"/>
        </w:rPr>
      </w:pPr>
      <w:r w:rsidRPr="005A7158">
        <w:rPr>
          <w:sz w:val="20"/>
          <w:szCs w:val="20"/>
        </w:rPr>
        <w:lastRenderedPageBreak/>
        <w:t>White E.M., Clark S., Manire C.A., Crawford B., Wang S., Locklin J. et al. 2018. Ingested micronizing plastic particle compositions and size distributions within stranded post-hatchling sea turtles. Environmental Science and Technology 52: 10307-10316.</w:t>
      </w:r>
    </w:p>
    <w:p w14:paraId="67EB4F9F" w14:textId="77777777" w:rsidR="007F08AF" w:rsidRPr="005A7158" w:rsidRDefault="00000000">
      <w:pPr>
        <w:spacing w:after="40"/>
        <w:ind w:left="397" w:hanging="397"/>
        <w:jc w:val="both"/>
        <w:rPr>
          <w:sz w:val="20"/>
          <w:szCs w:val="20"/>
        </w:rPr>
      </w:pPr>
      <w:r w:rsidRPr="005A7158">
        <w:rPr>
          <w:sz w:val="20"/>
          <w:szCs w:val="20"/>
        </w:rPr>
        <w:t xml:space="preserve">Witherington B., Hirama S. and Hardy R. 2012. Young sea turtles of the pelagic </w:t>
      </w:r>
      <w:r w:rsidRPr="005A7158">
        <w:rPr>
          <w:i/>
          <w:sz w:val="20"/>
          <w:szCs w:val="20"/>
        </w:rPr>
        <w:t>Sargassum</w:t>
      </w:r>
      <w:r w:rsidRPr="005A7158">
        <w:rPr>
          <w:sz w:val="20"/>
          <w:szCs w:val="20"/>
        </w:rPr>
        <w:t>-dominated drift community: Habitat use, population density, and threats. Marine Ecology Progress Series 463: 1-22.</w:t>
      </w:r>
    </w:p>
    <w:p w14:paraId="495A6D7D" w14:textId="77777777" w:rsidR="007F08AF" w:rsidRPr="00E43B72" w:rsidRDefault="00000000">
      <w:pPr>
        <w:spacing w:after="40"/>
        <w:ind w:left="397" w:hanging="397"/>
        <w:jc w:val="both"/>
        <w:rPr>
          <w:sz w:val="20"/>
          <w:szCs w:val="20"/>
          <w:lang w:val="fr-FR"/>
        </w:rPr>
      </w:pPr>
      <w:r w:rsidRPr="005A7158">
        <w:rPr>
          <w:sz w:val="20"/>
          <w:szCs w:val="20"/>
        </w:rPr>
        <w:t xml:space="preserve">Wildermann N.E., Gredzens C., Avens L., Barrios-Garrido H.A., Bell I., Blumenthal J. et al. 2018. Informing research priorities for immature sea turtles through expert elicitation. </w:t>
      </w:r>
      <w:r w:rsidRPr="005A7158">
        <w:rPr>
          <w:sz w:val="20"/>
          <w:szCs w:val="20"/>
          <w:lang w:val="fr-FR"/>
        </w:rPr>
        <w:t>Endangered Species Research 37: 55-76.</w:t>
      </w:r>
    </w:p>
    <w:p w14:paraId="2D272F60" w14:textId="77777777" w:rsidR="007F08AF" w:rsidRPr="00E43B72" w:rsidRDefault="007F08AF">
      <w:pPr>
        <w:pStyle w:val="Secondnumbering"/>
        <w:numPr>
          <w:ilvl w:val="0"/>
          <w:numId w:val="0"/>
        </w:numPr>
        <w:rPr>
          <w:lang w:val="fr-FR"/>
        </w:rPr>
      </w:pPr>
    </w:p>
    <w:p w14:paraId="15F838B5" w14:textId="77777777" w:rsidR="007F08AF" w:rsidRPr="00E43B72" w:rsidRDefault="007F08AF">
      <w:pPr>
        <w:pStyle w:val="Secondnumbering"/>
        <w:numPr>
          <w:ilvl w:val="0"/>
          <w:numId w:val="0"/>
        </w:numPr>
        <w:rPr>
          <w:lang w:val="fr-FR"/>
        </w:rPr>
        <w:sectPr w:rsidR="007F08AF" w:rsidRPr="00E43B72">
          <w:headerReference w:type="even" r:id="rId51"/>
          <w:headerReference w:type="default" r:id="rId52"/>
          <w:headerReference w:type="first" r:id="rId53"/>
          <w:pgSz w:w="11906" w:h="16838" w:code="9"/>
          <w:pgMar w:top="1440" w:right="1440" w:bottom="1440" w:left="1440" w:header="720" w:footer="720" w:gutter="0"/>
          <w:cols w:space="720"/>
          <w:titlePg/>
          <w:docGrid w:linePitch="360"/>
        </w:sectPr>
      </w:pPr>
    </w:p>
    <w:p w14:paraId="6EA42AB4" w14:textId="0E2518A5" w:rsidR="007F08AF" w:rsidRPr="00E43B72" w:rsidRDefault="00000000">
      <w:pPr>
        <w:jc w:val="right"/>
        <w:rPr>
          <w:rFonts w:cs="Arial"/>
          <w:b/>
          <w:bCs/>
          <w:caps/>
          <w:lang w:val="fr-FR"/>
        </w:rPr>
      </w:pPr>
      <w:r w:rsidRPr="00E43B72">
        <w:rPr>
          <w:rFonts w:cs="Arial"/>
          <w:b/>
          <w:caps/>
          <w:lang w:val="fr-FR"/>
        </w:rPr>
        <w:lastRenderedPageBreak/>
        <w:t>Annexe</w:t>
      </w:r>
      <w:r w:rsidR="00670BE4" w:rsidRPr="00E43B72">
        <w:rPr>
          <w:rFonts w:cs="Arial"/>
          <w:b/>
          <w:caps/>
          <w:lang w:val="fr-FR"/>
        </w:rPr>
        <w:t> </w:t>
      </w:r>
      <w:r w:rsidRPr="00E43B72">
        <w:rPr>
          <w:rFonts w:cs="Arial"/>
          <w:b/>
          <w:caps/>
          <w:lang w:val="fr-FR"/>
        </w:rPr>
        <w:t>2</w:t>
      </w:r>
    </w:p>
    <w:p w14:paraId="2B072903" w14:textId="77777777" w:rsidR="007F08AF" w:rsidRPr="00E43B72" w:rsidRDefault="007F08AF">
      <w:pPr>
        <w:rPr>
          <w:rFonts w:cs="Arial"/>
          <w:lang w:val="fr-FR"/>
        </w:rPr>
      </w:pPr>
    </w:p>
    <w:p w14:paraId="4CBD280A" w14:textId="77777777" w:rsidR="007F08AF" w:rsidRPr="00E43B72" w:rsidRDefault="00000000">
      <w:pPr>
        <w:jc w:val="center"/>
        <w:rPr>
          <w:rFonts w:cs="Arial"/>
          <w:b/>
          <w:bCs/>
          <w:iCs/>
          <w:sz w:val="24"/>
          <w:szCs w:val="24"/>
          <w:lang w:val="fr-FR"/>
        </w:rPr>
      </w:pPr>
      <w:r w:rsidRPr="00E43B72">
        <w:rPr>
          <w:rFonts w:cs="Arial"/>
          <w:b/>
          <w:bCs/>
          <w:iCs/>
          <w:sz w:val="24"/>
          <w:szCs w:val="24"/>
          <w:lang w:val="fr-FR"/>
        </w:rPr>
        <w:t>RECOMMANDATIONS POUR LA CONSERVATION DES TORTUES MARINES PAR DES MESURES APPROPRIÉES DE PROTECTION DES PLAGES FACE AUX CHANGEMENTS CLIMATIQUES</w:t>
      </w:r>
    </w:p>
    <w:p w14:paraId="0FB5DA35" w14:textId="77777777" w:rsidR="007F08AF" w:rsidRDefault="007F08AF">
      <w:pPr>
        <w:pStyle w:val="Secondnumbering"/>
        <w:numPr>
          <w:ilvl w:val="0"/>
          <w:numId w:val="0"/>
        </w:numPr>
        <w:jc w:val="both"/>
        <w:rPr>
          <w:lang w:val="fr-FR"/>
        </w:rPr>
      </w:pPr>
    </w:p>
    <w:p w14:paraId="1C51412E" w14:textId="77777777" w:rsidR="005A7158" w:rsidRPr="00E43B72" w:rsidRDefault="005A7158">
      <w:pPr>
        <w:pStyle w:val="Secondnumbering"/>
        <w:numPr>
          <w:ilvl w:val="0"/>
          <w:numId w:val="0"/>
        </w:numPr>
        <w:jc w:val="both"/>
        <w:rPr>
          <w:lang w:val="fr-FR"/>
        </w:rPr>
      </w:pPr>
    </w:p>
    <w:p w14:paraId="4E80DD2C" w14:textId="321D89AF" w:rsidR="007F08AF" w:rsidRPr="00E43B72" w:rsidRDefault="00000000">
      <w:pPr>
        <w:jc w:val="both"/>
        <w:rPr>
          <w:rFonts w:eastAsia="Times New Roman" w:cs="Times New Roman"/>
          <w:lang w:val="fr-FR"/>
        </w:rPr>
      </w:pPr>
      <w:r w:rsidRPr="00E43B72">
        <w:rPr>
          <w:rFonts w:eastAsia="Times New Roman" w:cs="Times New Roman"/>
          <w:b/>
          <w:bCs/>
          <w:lang w:val="fr-FR"/>
        </w:rPr>
        <w:t>La conservation des tortues marines est complexe</w:t>
      </w:r>
      <w:r w:rsidRPr="00E43B72">
        <w:rPr>
          <w:rFonts w:eastAsia="Times New Roman" w:cs="Times New Roman"/>
          <w:lang w:val="fr-FR"/>
        </w:rPr>
        <w:t xml:space="preserve"> en raison de leur longue</w:t>
      </w:r>
      <w:r w:rsidRPr="00E43B72">
        <w:rPr>
          <w:rFonts w:eastAsia="Times New Roman" w:cs="Times New Roman"/>
          <w:color w:val="000000" w:themeColor="text1"/>
          <w:lang w:val="fr-FR"/>
        </w:rPr>
        <w:t xml:space="preserve"> espérance de vie, des grandes distances de dispersion, et des multiples habitats utilisés</w:t>
      </w:r>
      <w:r w:rsidRPr="00E43B72">
        <w:rPr>
          <w:rFonts w:eastAsia="Times New Roman" w:cs="Times New Roman"/>
          <w:lang w:val="fr-FR"/>
        </w:rPr>
        <w:t xml:space="preserve"> au cours de leur cycle de vie. Le chevauchement des générations</w:t>
      </w:r>
      <w:r w:rsidRPr="00E43B72">
        <w:rPr>
          <w:rFonts w:eastAsia="Times New Roman" w:cs="Times New Roman"/>
          <w:color w:val="000000" w:themeColor="text1"/>
          <w:lang w:val="fr-FR"/>
        </w:rPr>
        <w:t xml:space="preserve"> dans </w:t>
      </w:r>
      <w:r w:rsidRPr="00E43B72">
        <w:rPr>
          <w:rFonts w:eastAsia="Times New Roman" w:cs="Times New Roman"/>
          <w:lang w:val="fr-FR"/>
        </w:rPr>
        <w:t xml:space="preserve">les habitats de recherche de nourriture et de nidification complique la compréhension et </w:t>
      </w:r>
      <w:r w:rsidRPr="00E43B72">
        <w:rPr>
          <w:rFonts w:eastAsia="Times New Roman" w:cs="Times New Roman"/>
          <w:color w:val="000000" w:themeColor="text1"/>
          <w:lang w:val="fr-FR"/>
        </w:rPr>
        <w:t xml:space="preserve">rend </w:t>
      </w:r>
      <w:r w:rsidRPr="00E43B72">
        <w:rPr>
          <w:rFonts w:eastAsia="Times New Roman" w:cs="Times New Roman"/>
          <w:lang w:val="fr-FR"/>
        </w:rPr>
        <w:t>difficile la quantification des répercussions des pressions directes (par exemple, la température sur les ratios de sexes) et indirectes (par exemple, l</w:t>
      </w:r>
      <w:r w:rsidR="00C2697F" w:rsidRPr="00E43B72">
        <w:rPr>
          <w:rFonts w:eastAsia="Times New Roman" w:cs="Times New Roman"/>
          <w:lang w:val="fr-FR"/>
        </w:rPr>
        <w:t>’</w:t>
      </w:r>
      <w:r w:rsidRPr="00E43B72">
        <w:rPr>
          <w:rFonts w:eastAsia="Times New Roman" w:cs="Times New Roman"/>
          <w:lang w:val="fr-FR"/>
        </w:rPr>
        <w:t>aménagement du littoral). La situation est encore plus complexe en raison des interactions entre de nombreux facteurs de stress (par exemple, les changements climatiques) ayant des effets cumulatifs, synergétiques ou compensatoires agissant simultanément sur les espèces et l</w:t>
      </w:r>
      <w:r w:rsidR="00C2697F" w:rsidRPr="00E43B72">
        <w:rPr>
          <w:rFonts w:eastAsia="Times New Roman" w:cs="Times New Roman"/>
          <w:lang w:val="fr-FR"/>
        </w:rPr>
        <w:t>’</w:t>
      </w:r>
      <w:r w:rsidRPr="00E43B72">
        <w:rPr>
          <w:rFonts w:eastAsia="Times New Roman" w:cs="Times New Roman"/>
          <w:lang w:val="fr-FR"/>
        </w:rPr>
        <w:t xml:space="preserve">environnement (Hodgson &amp; Halpern, 2018). Anticiper les effets des impacts des changements climatiques sur ces espèces et sur des populations spécifiques est donc une entreprise complexe. </w:t>
      </w:r>
    </w:p>
    <w:p w14:paraId="40B1CA7C" w14:textId="77777777" w:rsidR="007F08AF" w:rsidRPr="00E43B72" w:rsidRDefault="007F08AF">
      <w:pPr>
        <w:jc w:val="both"/>
        <w:rPr>
          <w:rFonts w:eastAsia="Times New Roman" w:cs="Times New Roman"/>
          <w:lang w:val="fr-FR"/>
        </w:rPr>
      </w:pPr>
    </w:p>
    <w:p w14:paraId="7FB1C74B" w14:textId="2CF693E0" w:rsidR="007F08AF" w:rsidRPr="00E43B72" w:rsidRDefault="00000000">
      <w:pPr>
        <w:jc w:val="both"/>
        <w:rPr>
          <w:rFonts w:eastAsia="Times New Roman" w:cs="Times New Roman"/>
          <w:lang w:val="fr-FR"/>
        </w:rPr>
      </w:pPr>
      <w:r w:rsidRPr="00E43B72">
        <w:rPr>
          <w:rFonts w:eastAsia="Times New Roman" w:cs="Times New Roman"/>
          <w:b/>
          <w:bCs/>
          <w:lang w:val="fr-FR"/>
        </w:rPr>
        <w:t>Les approches de conservation conventionnelles</w:t>
      </w:r>
      <w:r w:rsidRPr="00E43B72">
        <w:rPr>
          <w:rFonts w:eastAsia="Times New Roman" w:cs="Times New Roman"/>
          <w:lang w:val="fr-FR"/>
        </w:rPr>
        <w:t xml:space="preserve"> pour les tortues marines sur les plages de nidification </w:t>
      </w:r>
      <w:r w:rsidRPr="00E43B72">
        <w:rPr>
          <w:rFonts w:eastAsia="Times New Roman" w:cs="Times New Roman"/>
          <w:b/>
          <w:bCs/>
          <w:lang w:val="fr-FR"/>
        </w:rPr>
        <w:t>ont été couronnées de succès</w:t>
      </w:r>
      <w:r w:rsidRPr="00E43B72">
        <w:rPr>
          <w:rFonts w:eastAsia="Times New Roman" w:cs="Times New Roman"/>
          <w:lang w:val="fr-FR"/>
        </w:rPr>
        <w:t xml:space="preserve"> jusqu</w:t>
      </w:r>
      <w:r w:rsidR="00C2697F" w:rsidRPr="00E43B72">
        <w:rPr>
          <w:rFonts w:eastAsia="Times New Roman" w:cs="Times New Roman"/>
          <w:lang w:val="fr-FR"/>
        </w:rPr>
        <w:t>’</w:t>
      </w:r>
      <w:r w:rsidRPr="00E43B72">
        <w:rPr>
          <w:rFonts w:eastAsia="Times New Roman" w:cs="Times New Roman"/>
          <w:lang w:val="fr-FR"/>
        </w:rPr>
        <w:t>à récemment, car les efforts visant à maîtriser les menaces immédiates, telles que le braconnage des femelles et des œufs, les prédateurs ou les prises accessoires des pêcheries dans les zones de parade nuptiale étaient suffisants pour protéger les stocks reproducteurs et leur progéniture. Néanmoins, un nombre croissant de populations en période de nidification doivent faire face à la pression côtière, à l</w:t>
      </w:r>
      <w:r w:rsidR="00C2697F" w:rsidRPr="00E43B72">
        <w:rPr>
          <w:rFonts w:eastAsia="Times New Roman" w:cs="Times New Roman"/>
          <w:lang w:val="fr-FR"/>
        </w:rPr>
        <w:t>’</w:t>
      </w:r>
      <w:r w:rsidRPr="00E43B72">
        <w:rPr>
          <w:rFonts w:eastAsia="Times New Roman" w:cs="Times New Roman"/>
          <w:lang w:val="fr-FR"/>
        </w:rPr>
        <w:t>érosion chronique des plages ou à l</w:t>
      </w:r>
      <w:r w:rsidR="00C2697F" w:rsidRPr="00E43B72">
        <w:rPr>
          <w:rFonts w:eastAsia="Times New Roman" w:cs="Times New Roman"/>
          <w:lang w:val="fr-FR"/>
        </w:rPr>
        <w:t>’</w:t>
      </w:r>
      <w:r w:rsidRPr="00E43B72">
        <w:rPr>
          <w:rFonts w:eastAsia="Times New Roman" w:cs="Times New Roman"/>
          <w:lang w:val="fr-FR"/>
        </w:rPr>
        <w:t>échec de l</w:t>
      </w:r>
      <w:r w:rsidR="00C2697F" w:rsidRPr="00E43B72">
        <w:rPr>
          <w:rFonts w:eastAsia="Times New Roman" w:cs="Times New Roman"/>
          <w:lang w:val="fr-FR"/>
        </w:rPr>
        <w:t>’</w:t>
      </w:r>
      <w:r w:rsidRPr="00E43B72">
        <w:rPr>
          <w:rFonts w:eastAsia="Times New Roman" w:cs="Times New Roman"/>
          <w:lang w:val="fr-FR"/>
        </w:rPr>
        <w:t>incubation. Tous ces éléments indiquent que l</w:t>
      </w:r>
      <w:r w:rsidR="00C2697F" w:rsidRPr="00E43B72">
        <w:rPr>
          <w:rFonts w:eastAsia="Times New Roman" w:cs="Times New Roman"/>
          <w:lang w:val="fr-FR"/>
        </w:rPr>
        <w:t>’</w:t>
      </w:r>
      <w:r w:rsidRPr="00E43B72">
        <w:rPr>
          <w:rFonts w:eastAsia="Times New Roman" w:cs="Times New Roman"/>
          <w:lang w:val="fr-FR"/>
        </w:rPr>
        <w:t>habitat est désormais menacé, ainsi que les populations de tortues marines (et d</w:t>
      </w:r>
      <w:r w:rsidR="00C2697F" w:rsidRPr="00E43B72">
        <w:rPr>
          <w:rFonts w:eastAsia="Times New Roman" w:cs="Times New Roman"/>
          <w:lang w:val="fr-FR"/>
        </w:rPr>
        <w:t>’</w:t>
      </w:r>
      <w:r w:rsidRPr="00E43B72">
        <w:rPr>
          <w:rFonts w:eastAsia="Times New Roman" w:cs="Times New Roman"/>
          <w:lang w:val="fr-FR"/>
        </w:rPr>
        <w:t>oiseaux de mer) qu</w:t>
      </w:r>
      <w:r w:rsidR="00C2697F" w:rsidRPr="00E43B72">
        <w:rPr>
          <w:rFonts w:eastAsia="Times New Roman" w:cs="Times New Roman"/>
          <w:lang w:val="fr-FR"/>
        </w:rPr>
        <w:t>’</w:t>
      </w:r>
      <w:r w:rsidRPr="00E43B72">
        <w:rPr>
          <w:rFonts w:eastAsia="Times New Roman" w:cs="Times New Roman"/>
          <w:lang w:val="fr-FR"/>
        </w:rPr>
        <w:t>il abrite. La mauvaise gestion historique des écosystèmes côtiers, qui perturbe le mouvement du sable et a une incidence sur le budget alloué à ce domaine, ainsi que les effets amplifiés plus récents des changements climatiques, représentent une cause majeure du déclin de l</w:t>
      </w:r>
      <w:r w:rsidR="00C2697F" w:rsidRPr="00E43B72">
        <w:rPr>
          <w:rFonts w:eastAsia="Times New Roman" w:cs="Times New Roman"/>
          <w:lang w:val="fr-FR"/>
        </w:rPr>
        <w:t>’</w:t>
      </w:r>
      <w:r w:rsidRPr="00E43B72">
        <w:rPr>
          <w:rFonts w:eastAsia="Times New Roman" w:cs="Times New Roman"/>
          <w:lang w:val="fr-FR"/>
        </w:rPr>
        <w:t>habitat.</w:t>
      </w:r>
    </w:p>
    <w:p w14:paraId="623776B0" w14:textId="77777777" w:rsidR="007F08AF" w:rsidRPr="00E43B72" w:rsidRDefault="00000000">
      <w:pPr>
        <w:jc w:val="both"/>
        <w:rPr>
          <w:rFonts w:eastAsia="Times New Roman" w:cs="Times New Roman"/>
          <w:lang w:val="fr-FR"/>
        </w:rPr>
      </w:pPr>
      <w:r w:rsidRPr="00E43B72">
        <w:rPr>
          <w:rFonts w:eastAsia="Times New Roman" w:cs="Times New Roman"/>
          <w:lang w:val="fr-FR"/>
        </w:rPr>
        <w:t xml:space="preserve"> </w:t>
      </w:r>
    </w:p>
    <w:p w14:paraId="04D13441" w14:textId="4BD102D4" w:rsidR="007F08AF" w:rsidRPr="00E43B72" w:rsidRDefault="00000000">
      <w:pPr>
        <w:jc w:val="both"/>
        <w:rPr>
          <w:rFonts w:eastAsia="Times New Roman" w:cs="Times New Roman"/>
          <w:lang w:val="fr-FR"/>
        </w:rPr>
      </w:pPr>
      <w:r w:rsidRPr="00E43B72">
        <w:rPr>
          <w:rFonts w:eastAsia="Times New Roman" w:cs="Times New Roman"/>
          <w:lang w:val="fr-FR"/>
        </w:rPr>
        <w:t>Le sable est la deuxième ressource naturelle la plus échangée (après l</w:t>
      </w:r>
      <w:r w:rsidR="00C2697F" w:rsidRPr="00E43B72">
        <w:rPr>
          <w:rFonts w:eastAsia="Times New Roman" w:cs="Times New Roman"/>
          <w:lang w:val="fr-FR"/>
        </w:rPr>
        <w:t>’</w:t>
      </w:r>
      <w:r w:rsidRPr="00E43B72">
        <w:rPr>
          <w:rFonts w:eastAsia="Times New Roman" w:cs="Times New Roman"/>
          <w:lang w:val="fr-FR"/>
        </w:rPr>
        <w:t>eau douce). Il est extrait des plages sablonneuses, des cours d</w:t>
      </w:r>
      <w:r w:rsidR="00C2697F" w:rsidRPr="00E43B72">
        <w:rPr>
          <w:rFonts w:eastAsia="Times New Roman" w:cs="Times New Roman"/>
          <w:lang w:val="fr-FR"/>
        </w:rPr>
        <w:t>’</w:t>
      </w:r>
      <w:r w:rsidRPr="00E43B72">
        <w:rPr>
          <w:rFonts w:eastAsia="Times New Roman" w:cs="Times New Roman"/>
          <w:lang w:val="fr-FR"/>
        </w:rPr>
        <w:t>eau ou des écosystèmes côtiers pour être utilisé dans la construction, la fabrication de verre et le remblayage des plages, entre autres. D</w:t>
      </w:r>
      <w:r w:rsidR="00C2697F" w:rsidRPr="00E43B72">
        <w:rPr>
          <w:rFonts w:eastAsia="Times New Roman" w:cs="Times New Roman"/>
          <w:lang w:val="fr-FR"/>
        </w:rPr>
        <w:t>’</w:t>
      </w:r>
      <w:r w:rsidRPr="00E43B72">
        <w:rPr>
          <w:rFonts w:eastAsia="Times New Roman" w:cs="Times New Roman"/>
          <w:lang w:val="fr-FR"/>
        </w:rPr>
        <w:t xml:space="preserve">autres parties de la côte ont été aménagées avec des digues, et le transport du sable a été interrompu par des épis, des murs portuaires et des jetées. </w:t>
      </w:r>
      <w:r w:rsidRPr="00E43B72">
        <w:rPr>
          <w:rFonts w:eastAsia="Times New Roman" w:cs="Times New Roman"/>
          <w:b/>
          <w:bCs/>
          <w:lang w:val="fr-FR"/>
        </w:rPr>
        <w:t xml:space="preserve">Le transport sédimentaire le long du littoral et à travers le littoral est </w:t>
      </w:r>
      <w:r w:rsidRPr="00E43B72">
        <w:rPr>
          <w:rFonts w:eastAsia="Times New Roman" w:cs="Times New Roman"/>
          <w:b/>
          <w:bCs/>
          <w:color w:val="000000" w:themeColor="text1"/>
          <w:lang w:val="fr-FR"/>
        </w:rPr>
        <w:t>perturbé</w:t>
      </w:r>
      <w:r w:rsidRPr="00E43B72">
        <w:rPr>
          <w:rFonts w:eastAsia="Times New Roman" w:cs="Times New Roman"/>
          <w:lang w:val="fr-FR"/>
        </w:rPr>
        <w:t xml:space="preserve"> à la fois par la diminution du volume de sable et par les interruptions du transport sédimentaire. L</w:t>
      </w:r>
      <w:r w:rsidR="00C2697F" w:rsidRPr="00E43B72">
        <w:rPr>
          <w:rFonts w:eastAsia="Times New Roman" w:cs="Times New Roman"/>
          <w:lang w:val="fr-FR"/>
        </w:rPr>
        <w:t>’</w:t>
      </w:r>
      <w:r w:rsidRPr="00E43B72">
        <w:rPr>
          <w:rFonts w:eastAsia="Times New Roman" w:cs="Times New Roman"/>
          <w:lang w:val="fr-FR"/>
        </w:rPr>
        <w:t>ampleur des mauvais usages s</w:t>
      </w:r>
      <w:r w:rsidR="00C2697F" w:rsidRPr="00E43B72">
        <w:rPr>
          <w:rFonts w:eastAsia="Times New Roman" w:cs="Times New Roman"/>
          <w:lang w:val="fr-FR"/>
        </w:rPr>
        <w:t>’</w:t>
      </w:r>
      <w:r w:rsidRPr="00E43B72">
        <w:rPr>
          <w:rFonts w:eastAsia="Times New Roman" w:cs="Times New Roman"/>
          <w:lang w:val="fr-FR"/>
        </w:rPr>
        <w:t xml:space="preserve">est intensifiée, le commerce illégal et lucratif du sable conduisant à une crise environnementale imminente (PNUE, 2022). </w:t>
      </w:r>
    </w:p>
    <w:p w14:paraId="68CE4DD2" w14:textId="77777777" w:rsidR="007F08AF" w:rsidRPr="00E43B72" w:rsidRDefault="007F08AF">
      <w:pPr>
        <w:jc w:val="both"/>
        <w:rPr>
          <w:rFonts w:eastAsia="Times New Roman" w:cs="Times New Roman"/>
          <w:lang w:val="fr-FR"/>
        </w:rPr>
      </w:pPr>
    </w:p>
    <w:p w14:paraId="4D8C5192" w14:textId="53E73E2C" w:rsidR="007F08AF" w:rsidRPr="00E43B72" w:rsidRDefault="00000000">
      <w:pPr>
        <w:jc w:val="both"/>
        <w:rPr>
          <w:rFonts w:eastAsia="Times New Roman" w:cs="Times New Roman"/>
          <w:lang w:val="fr-FR"/>
        </w:rPr>
      </w:pPr>
      <w:r w:rsidRPr="00E43B72">
        <w:rPr>
          <w:rFonts w:eastAsia="Times New Roman" w:cs="Times New Roman"/>
          <w:lang w:val="fr-FR"/>
        </w:rPr>
        <w:t>Les effets de ces pratiques étaient auparavant méconnus et leurs impacts largement mal compris. En raison de l</w:t>
      </w:r>
      <w:r w:rsidR="00C2697F" w:rsidRPr="00E43B72">
        <w:rPr>
          <w:rFonts w:eastAsia="Times New Roman" w:cs="Times New Roman"/>
          <w:lang w:val="fr-FR"/>
        </w:rPr>
        <w:t>’</w:t>
      </w:r>
      <w:r w:rsidRPr="00E43B72">
        <w:rPr>
          <w:rFonts w:eastAsia="Times New Roman" w:cs="Times New Roman"/>
          <w:lang w:val="fr-FR"/>
        </w:rPr>
        <w:t>absence de grandes plantes et d</w:t>
      </w:r>
      <w:r w:rsidR="00C2697F" w:rsidRPr="00E43B72">
        <w:rPr>
          <w:rFonts w:eastAsia="Times New Roman" w:cs="Times New Roman"/>
          <w:lang w:val="fr-FR"/>
        </w:rPr>
        <w:t>’</w:t>
      </w:r>
      <w:r w:rsidRPr="00E43B72">
        <w:rPr>
          <w:rFonts w:eastAsia="Times New Roman" w:cs="Times New Roman"/>
          <w:lang w:val="fr-FR"/>
        </w:rPr>
        <w:t>algues, ainsi que du comportement discret de la plupart des espèces animales (qui s</w:t>
      </w:r>
      <w:r w:rsidR="00C2697F" w:rsidRPr="00E43B72">
        <w:rPr>
          <w:rFonts w:eastAsia="Times New Roman" w:cs="Times New Roman"/>
          <w:lang w:val="fr-FR"/>
        </w:rPr>
        <w:t>’</w:t>
      </w:r>
      <w:r w:rsidRPr="00E43B72">
        <w:rPr>
          <w:rFonts w:eastAsia="Times New Roman" w:cs="Times New Roman"/>
          <w:lang w:val="fr-FR"/>
        </w:rPr>
        <w:t>enfouissent dans le sable pour éviter d</w:t>
      </w:r>
      <w:r w:rsidR="00C2697F" w:rsidRPr="00E43B72">
        <w:rPr>
          <w:rFonts w:eastAsia="Times New Roman" w:cs="Times New Roman"/>
          <w:lang w:val="fr-FR"/>
        </w:rPr>
        <w:t>’</w:t>
      </w:r>
      <w:r w:rsidRPr="00E43B72">
        <w:rPr>
          <w:rFonts w:eastAsia="Times New Roman" w:cs="Times New Roman"/>
          <w:lang w:val="fr-FR"/>
        </w:rPr>
        <w:t xml:space="preserve">être détectées ou qui se déplacent avec la marée), les plages sont souvent perçues comme des déserts marins. Le </w:t>
      </w:r>
      <w:r w:rsidRPr="00E43B72">
        <w:rPr>
          <w:rFonts w:eastAsia="Times New Roman" w:cs="Times New Roman"/>
          <w:b/>
          <w:bCs/>
          <w:lang w:val="fr-FR"/>
        </w:rPr>
        <w:t>manque de reconnaissance du statut, de la valeur et des processus</w:t>
      </w:r>
      <w:r w:rsidRPr="00E43B72">
        <w:rPr>
          <w:rFonts w:eastAsia="Times New Roman" w:cs="Times New Roman"/>
          <w:b/>
          <w:lang w:val="fr-FR"/>
        </w:rPr>
        <w:t xml:space="preserve"> </w:t>
      </w:r>
      <w:r w:rsidRPr="00E43B72">
        <w:rPr>
          <w:rFonts w:eastAsia="Times New Roman" w:cs="Times New Roman"/>
          <w:b/>
          <w:bCs/>
          <w:lang w:val="fr-FR"/>
        </w:rPr>
        <w:t>des écosystèmes de plage</w:t>
      </w:r>
      <w:r w:rsidRPr="00E43B72">
        <w:rPr>
          <w:rFonts w:eastAsia="Times New Roman" w:cs="Times New Roman"/>
          <w:lang w:val="fr-FR"/>
        </w:rPr>
        <w:t xml:space="preserve"> a entraîné leur surexploitation à des fins socioéconomiques (Housten, 2024) par le tourisme (notamment l</w:t>
      </w:r>
      <w:r w:rsidR="00C2697F" w:rsidRPr="00E43B72">
        <w:rPr>
          <w:rFonts w:eastAsia="Times New Roman" w:cs="Times New Roman"/>
          <w:lang w:val="fr-FR"/>
        </w:rPr>
        <w:t>’</w:t>
      </w:r>
      <w:r w:rsidRPr="00E43B72">
        <w:rPr>
          <w:rFonts w:eastAsia="Times New Roman" w:cs="Times New Roman"/>
          <w:lang w:val="fr-FR"/>
        </w:rPr>
        <w:t>alimentation en sable), de l</w:t>
      </w:r>
      <w:r w:rsidR="00C2697F" w:rsidRPr="00E43B72">
        <w:rPr>
          <w:rFonts w:eastAsia="Times New Roman" w:cs="Times New Roman"/>
          <w:lang w:val="fr-FR"/>
        </w:rPr>
        <w:t>’</w:t>
      </w:r>
      <w:r w:rsidRPr="00E43B72">
        <w:rPr>
          <w:rFonts w:eastAsia="Times New Roman" w:cs="Times New Roman"/>
          <w:lang w:val="fr-FR"/>
        </w:rPr>
        <w:t>aménagement du littoral (construction de structures permanentes telles que des digues dans des systèmes dynamiques comme les dunes ou les zones de surf) et de l</w:t>
      </w:r>
      <w:r w:rsidR="00C2697F" w:rsidRPr="00E43B72">
        <w:rPr>
          <w:rFonts w:eastAsia="Times New Roman" w:cs="Times New Roman"/>
          <w:lang w:val="fr-FR"/>
        </w:rPr>
        <w:t>’</w:t>
      </w:r>
      <w:r w:rsidRPr="00E43B72">
        <w:rPr>
          <w:rFonts w:eastAsia="Times New Roman" w:cs="Times New Roman"/>
          <w:lang w:val="fr-FR"/>
        </w:rPr>
        <w:t xml:space="preserve">extraction de sable. </w:t>
      </w:r>
    </w:p>
    <w:p w14:paraId="1B22378A" w14:textId="77777777" w:rsidR="007F08AF" w:rsidRPr="00E43B72" w:rsidRDefault="007F08AF">
      <w:pPr>
        <w:jc w:val="both"/>
        <w:rPr>
          <w:rFonts w:eastAsia="Times New Roman" w:cs="Times New Roman"/>
          <w:lang w:val="fr-FR"/>
        </w:rPr>
      </w:pPr>
    </w:p>
    <w:p w14:paraId="0AB97962" w14:textId="64D255F7" w:rsidR="007F08AF" w:rsidRPr="00E43B72" w:rsidRDefault="00000000">
      <w:pPr>
        <w:jc w:val="both"/>
        <w:rPr>
          <w:lang w:val="fr-FR"/>
        </w:rPr>
      </w:pPr>
      <w:r w:rsidRPr="00E43B72">
        <w:rPr>
          <w:rFonts w:eastAsia="Times New Roman" w:cs="Times New Roman"/>
          <w:b/>
          <w:bCs/>
          <w:lang w:val="fr-FR"/>
        </w:rPr>
        <w:t>Les changements climatiques amplifient désormais les conséquences</w:t>
      </w:r>
      <w:r w:rsidRPr="00E43B72">
        <w:rPr>
          <w:rFonts w:eastAsia="Times New Roman" w:cs="Times New Roman"/>
          <w:lang w:val="fr-FR"/>
        </w:rPr>
        <w:t xml:space="preserve"> de ces pratiques de gestion défaillantes. L</w:t>
      </w:r>
      <w:r w:rsidR="00C2697F" w:rsidRPr="00E43B72">
        <w:rPr>
          <w:rFonts w:eastAsia="Times New Roman" w:cs="Times New Roman"/>
          <w:lang w:val="fr-FR"/>
        </w:rPr>
        <w:t>’</w:t>
      </w:r>
      <w:r w:rsidRPr="00E43B72">
        <w:rPr>
          <w:rFonts w:eastAsia="Times New Roman" w:cs="Times New Roman"/>
          <w:lang w:val="fr-FR"/>
        </w:rPr>
        <w:t xml:space="preserve">aménagement du littoral, combiné aux effets liés au climat tels que </w:t>
      </w:r>
      <w:r w:rsidRPr="00E43B72">
        <w:rPr>
          <w:rFonts w:eastAsia="Times New Roman" w:cs="Times New Roman"/>
          <w:lang w:val="fr-FR"/>
        </w:rPr>
        <w:lastRenderedPageBreak/>
        <w:t>l</w:t>
      </w:r>
      <w:r w:rsidR="00C2697F" w:rsidRPr="00E43B72">
        <w:rPr>
          <w:rFonts w:eastAsia="Times New Roman" w:cs="Times New Roman"/>
          <w:lang w:val="fr-FR"/>
        </w:rPr>
        <w:t>’</w:t>
      </w:r>
      <w:r w:rsidRPr="00E43B72">
        <w:rPr>
          <w:rFonts w:eastAsia="Times New Roman" w:cs="Times New Roman"/>
          <w:lang w:val="fr-FR"/>
        </w:rPr>
        <w:t>élévation du niveau de la mer et l</w:t>
      </w:r>
      <w:r w:rsidR="00C2697F" w:rsidRPr="00E43B72">
        <w:rPr>
          <w:rFonts w:eastAsia="Times New Roman" w:cs="Times New Roman"/>
          <w:lang w:val="fr-FR"/>
        </w:rPr>
        <w:t>’</w:t>
      </w:r>
      <w:r w:rsidRPr="00E43B72">
        <w:rPr>
          <w:rFonts w:eastAsia="Times New Roman" w:cs="Times New Roman"/>
          <w:lang w:val="fr-FR"/>
        </w:rPr>
        <w:t>augmentation de la fréquence et de l</w:t>
      </w:r>
      <w:r w:rsidR="00C2697F" w:rsidRPr="00E43B72">
        <w:rPr>
          <w:rFonts w:eastAsia="Times New Roman" w:cs="Times New Roman"/>
          <w:lang w:val="fr-FR"/>
        </w:rPr>
        <w:t>’</w:t>
      </w:r>
      <w:r w:rsidRPr="00E43B72">
        <w:rPr>
          <w:rFonts w:eastAsia="Times New Roman" w:cs="Times New Roman"/>
          <w:lang w:val="fr-FR"/>
        </w:rPr>
        <w:t xml:space="preserve">intensité des tempêtes, engendre une érosion chronique et une constriction côtière, </w:t>
      </w:r>
      <w:r w:rsidRPr="00E43B72">
        <w:rPr>
          <w:lang w:val="fr-FR"/>
        </w:rPr>
        <w:t>24</w:t>
      </w:r>
      <w:r w:rsidR="00C1110D" w:rsidRPr="00E43B72">
        <w:rPr>
          <w:lang w:val="fr-FR"/>
        </w:rPr>
        <w:t> </w:t>
      </w:r>
      <w:r w:rsidRPr="00E43B72">
        <w:rPr>
          <w:lang w:val="fr-FR"/>
        </w:rPr>
        <w:t>% des plages de sable dans le monde s</w:t>
      </w:r>
      <w:r w:rsidR="00C2697F" w:rsidRPr="00E43B72">
        <w:rPr>
          <w:lang w:val="fr-FR"/>
        </w:rPr>
        <w:t>’</w:t>
      </w:r>
      <w:r w:rsidRPr="00E43B72">
        <w:rPr>
          <w:lang w:val="fr-FR"/>
        </w:rPr>
        <w:t>érodant à des taux supérieurs à 0,5</w:t>
      </w:r>
      <w:r w:rsidR="00C1110D" w:rsidRPr="00E43B72">
        <w:rPr>
          <w:lang w:val="fr-FR"/>
        </w:rPr>
        <w:t> </w:t>
      </w:r>
      <w:r w:rsidRPr="00E43B72">
        <w:rPr>
          <w:lang w:val="fr-FR"/>
        </w:rPr>
        <w:t>m/an. Environ la moitié (48</w:t>
      </w:r>
      <w:r w:rsidR="00C1110D" w:rsidRPr="00E43B72">
        <w:rPr>
          <w:lang w:val="fr-FR"/>
        </w:rPr>
        <w:t> </w:t>
      </w:r>
      <w:r w:rsidRPr="00E43B72">
        <w:rPr>
          <w:lang w:val="fr-FR"/>
        </w:rPr>
        <w:t>%) des plages sont stables, et seulement 28</w:t>
      </w:r>
      <w:r w:rsidR="00C1110D" w:rsidRPr="00E43B72">
        <w:rPr>
          <w:lang w:val="fr-FR"/>
        </w:rPr>
        <w:t> </w:t>
      </w:r>
      <w:r w:rsidRPr="00E43B72">
        <w:rPr>
          <w:lang w:val="fr-FR"/>
        </w:rPr>
        <w:t xml:space="preserve">% sont en accrétion </w:t>
      </w:r>
      <w:r w:rsidRPr="00E43B72">
        <w:rPr>
          <w:rFonts w:eastAsia="Times New Roman" w:cs="Times New Roman"/>
          <w:lang w:val="fr-FR"/>
        </w:rPr>
        <w:t>(</w:t>
      </w:r>
      <w:r w:rsidRPr="00E43B72">
        <w:rPr>
          <w:rFonts w:cs="Arial"/>
          <w:shd w:val="clear" w:color="auto" w:fill="FFFFFF"/>
          <w:lang w:val="fr-FR"/>
        </w:rPr>
        <w:t>Luijendijk</w:t>
      </w:r>
      <w:r w:rsidRPr="00E43B72">
        <w:rPr>
          <w:rFonts w:eastAsia="Times New Roman" w:cs="Times New Roman"/>
          <w:lang w:val="fr-FR"/>
        </w:rPr>
        <w:t xml:space="preserve"> et al., 2018). Dans le cadre de leur enquête sur l</w:t>
      </w:r>
      <w:r w:rsidR="00C2697F" w:rsidRPr="00E43B72">
        <w:rPr>
          <w:rFonts w:eastAsia="Times New Roman" w:cs="Times New Roman"/>
          <w:lang w:val="fr-FR"/>
        </w:rPr>
        <w:t>’</w:t>
      </w:r>
      <w:r w:rsidRPr="00E43B72">
        <w:rPr>
          <w:rFonts w:eastAsia="Times New Roman" w:cs="Times New Roman"/>
          <w:lang w:val="fr-FR"/>
        </w:rPr>
        <w:t xml:space="preserve">utilisation des plages pour la nidification, </w:t>
      </w:r>
      <w:r w:rsidRPr="00E43B72">
        <w:rPr>
          <w:lang w:val="fr-FR"/>
        </w:rPr>
        <w:t>Christiaanse et al. (2024) ont conclu qu</w:t>
      </w:r>
      <w:r w:rsidR="00C2697F" w:rsidRPr="00E43B72">
        <w:rPr>
          <w:lang w:val="fr-FR"/>
        </w:rPr>
        <w:t>’</w:t>
      </w:r>
      <w:r w:rsidRPr="00E43B72">
        <w:rPr>
          <w:lang w:val="fr-FR"/>
        </w:rPr>
        <w:t>un quart (23</w:t>
      </w:r>
      <w:r w:rsidR="00C1110D" w:rsidRPr="00E43B72">
        <w:rPr>
          <w:lang w:val="fr-FR"/>
        </w:rPr>
        <w:t> </w:t>
      </w:r>
      <w:r w:rsidRPr="00E43B72">
        <w:rPr>
          <w:lang w:val="fr-FR"/>
        </w:rPr>
        <w:t>%) des zones côtières situées entre -39</w:t>
      </w:r>
      <w:r w:rsidR="00C1110D" w:rsidRPr="00E43B72">
        <w:rPr>
          <w:lang w:val="fr-FR"/>
        </w:rPr>
        <w:t>°</w:t>
      </w:r>
      <w:r w:rsidRPr="00E43B72">
        <w:rPr>
          <w:lang w:val="fr-FR"/>
        </w:rPr>
        <w:t xml:space="preserve"> et 48</w:t>
      </w:r>
      <w:r w:rsidR="00C1110D" w:rsidRPr="00E43B72">
        <w:rPr>
          <w:lang w:val="fr-FR"/>
        </w:rPr>
        <w:t>°</w:t>
      </w:r>
      <w:r w:rsidRPr="00E43B72">
        <w:rPr>
          <w:lang w:val="fr-FR"/>
        </w:rPr>
        <w:t xml:space="preserve"> de latitude offrent un habitat propice à la nidification, mais que seulement 7</w:t>
      </w:r>
      <w:r w:rsidR="00C1110D" w:rsidRPr="00E43B72">
        <w:rPr>
          <w:lang w:val="fr-FR"/>
        </w:rPr>
        <w:t> </w:t>
      </w:r>
      <w:r w:rsidRPr="00E43B72">
        <w:rPr>
          <w:lang w:val="fr-FR"/>
        </w:rPr>
        <w:t>% d</w:t>
      </w:r>
      <w:r w:rsidR="00C2697F" w:rsidRPr="00E43B72">
        <w:rPr>
          <w:lang w:val="fr-FR"/>
        </w:rPr>
        <w:t>’</w:t>
      </w:r>
      <w:r w:rsidRPr="00E43B72">
        <w:rPr>
          <w:lang w:val="fr-FR"/>
        </w:rPr>
        <w:t xml:space="preserve">entre elles sont actuellement utilisées. La gestion des plages devrait par conséquent préserver les plages de nidification actuelles </w:t>
      </w:r>
      <w:r w:rsidRPr="00E43B72">
        <w:rPr>
          <w:i/>
          <w:lang w:val="fr-FR"/>
        </w:rPr>
        <w:t>et</w:t>
      </w:r>
      <w:r w:rsidRPr="00E43B72">
        <w:rPr>
          <w:lang w:val="fr-FR"/>
        </w:rPr>
        <w:t xml:space="preserve"> les plages de nidification potentielles futures. </w:t>
      </w:r>
    </w:p>
    <w:p w14:paraId="08726CB0" w14:textId="77777777" w:rsidR="007F08AF" w:rsidRPr="00E43B72" w:rsidRDefault="007F08AF">
      <w:pPr>
        <w:jc w:val="both"/>
        <w:rPr>
          <w:rFonts w:eastAsia="Times New Roman" w:cs="Times New Roman"/>
          <w:lang w:val="fr-FR"/>
        </w:rPr>
      </w:pPr>
    </w:p>
    <w:p w14:paraId="28C04560" w14:textId="73F77534" w:rsidR="007F08AF" w:rsidRPr="00E43B72" w:rsidRDefault="00000000">
      <w:pPr>
        <w:jc w:val="both"/>
        <w:rPr>
          <w:rFonts w:eastAsia="Times New Roman" w:cs="Times New Roman"/>
          <w:lang w:val="fr-FR"/>
        </w:rPr>
      </w:pPr>
      <w:r w:rsidRPr="00E43B72">
        <w:rPr>
          <w:lang w:val="fr-FR"/>
        </w:rPr>
        <w:t>Les tortues marines, en tant que groupe, sont robustes et ont traversé les âges de l</w:t>
      </w:r>
      <w:r w:rsidR="00C2697F" w:rsidRPr="00E43B72">
        <w:rPr>
          <w:lang w:val="fr-FR"/>
        </w:rPr>
        <w:t>’</w:t>
      </w:r>
      <w:r w:rsidRPr="00E43B72">
        <w:rPr>
          <w:lang w:val="fr-FR"/>
        </w:rPr>
        <w:t xml:space="preserve">évolution, y compris les périodes glaciaires et les périodes de réchauffement passées. Cependant, </w:t>
      </w:r>
      <w:r w:rsidRPr="00E43B72">
        <w:rPr>
          <w:b/>
          <w:bCs/>
          <w:lang w:val="fr-FR"/>
        </w:rPr>
        <w:t>la confluence des pressions actuelles sur les deux espèces et l</w:t>
      </w:r>
      <w:r w:rsidR="00C2697F" w:rsidRPr="00E43B72">
        <w:rPr>
          <w:b/>
          <w:bCs/>
          <w:lang w:val="fr-FR"/>
        </w:rPr>
        <w:t>’</w:t>
      </w:r>
      <w:r w:rsidRPr="00E43B72">
        <w:rPr>
          <w:b/>
          <w:bCs/>
          <w:lang w:val="fr-FR"/>
        </w:rPr>
        <w:t>environnement de nidification, associée</w:t>
      </w:r>
      <w:r w:rsidRPr="00E43B72">
        <w:rPr>
          <w:b/>
          <w:lang w:val="fr-FR"/>
        </w:rPr>
        <w:t xml:space="preserve"> à</w:t>
      </w:r>
      <w:r w:rsidRPr="00E43B72">
        <w:rPr>
          <w:b/>
          <w:bCs/>
          <w:lang w:val="fr-FR"/>
        </w:rPr>
        <w:t xml:space="preserve"> une résilience restante limitée, peut conduire à l</w:t>
      </w:r>
      <w:r w:rsidR="00C2697F" w:rsidRPr="00E43B72">
        <w:rPr>
          <w:b/>
          <w:bCs/>
          <w:lang w:val="fr-FR"/>
        </w:rPr>
        <w:t>’</w:t>
      </w:r>
      <w:r w:rsidRPr="00E43B72">
        <w:rPr>
          <w:b/>
          <w:bCs/>
          <w:lang w:val="fr-FR"/>
        </w:rPr>
        <w:t>extinction</w:t>
      </w:r>
      <w:r w:rsidRPr="00E43B72">
        <w:rPr>
          <w:lang w:val="fr-FR"/>
        </w:rPr>
        <w:t xml:space="preserve"> de certaines populations. </w:t>
      </w:r>
      <w:r w:rsidRPr="00E43B72">
        <w:rPr>
          <w:rFonts w:eastAsia="Times New Roman" w:cs="Times New Roman"/>
          <w:lang w:val="fr-FR"/>
        </w:rPr>
        <w:t>Les effets des changements climatiques comprennent les extrêmes de température (en particulier la hausse des températures), l</w:t>
      </w:r>
      <w:r w:rsidR="00C2697F" w:rsidRPr="00E43B72">
        <w:rPr>
          <w:rFonts w:eastAsia="Times New Roman" w:cs="Times New Roman"/>
          <w:lang w:val="fr-FR"/>
        </w:rPr>
        <w:t>’</w:t>
      </w:r>
      <w:r w:rsidRPr="00E43B72">
        <w:rPr>
          <w:rFonts w:eastAsia="Times New Roman" w:cs="Times New Roman"/>
          <w:lang w:val="fr-FR"/>
        </w:rPr>
        <w:t>élévation du niveau de la mer, les tempêtes extrêmes, l</w:t>
      </w:r>
      <w:r w:rsidR="00C2697F" w:rsidRPr="00E43B72">
        <w:rPr>
          <w:rFonts w:eastAsia="Times New Roman" w:cs="Times New Roman"/>
          <w:lang w:val="fr-FR"/>
        </w:rPr>
        <w:t>’</w:t>
      </w:r>
      <w:r w:rsidRPr="00E43B72">
        <w:rPr>
          <w:rFonts w:eastAsia="Times New Roman" w:cs="Times New Roman"/>
          <w:lang w:val="fr-FR"/>
        </w:rPr>
        <w:t>altération des relations prédateur-proie ou</w:t>
      </w:r>
      <w:r w:rsidRPr="00E43B72">
        <w:rPr>
          <w:rFonts w:eastAsia="Times New Roman" w:cs="Times New Roman"/>
          <w:color w:val="EE0000"/>
          <w:lang w:val="fr-FR"/>
        </w:rPr>
        <w:t xml:space="preserve"> </w:t>
      </w:r>
      <w:r w:rsidRPr="00E43B72">
        <w:rPr>
          <w:rFonts w:eastAsia="Times New Roman" w:cs="Times New Roman"/>
          <w:lang w:val="fr-FR"/>
        </w:rPr>
        <w:t>des modifications dans les schémas de maladies (Simantiris, 2024). Ces facteurs influent sur toutes les phases du cycle de vie des tortues marines (reproduction, alimentation et migration) dans chaque habitat, car ils ont une incidence tant sur la condition écologique des tortues marines (par exemple, la santé, le taux de croissance, le rendement reproductif) que sur la qualité et la stabilité de l</w:t>
      </w:r>
      <w:r w:rsidR="00C2697F" w:rsidRPr="00E43B72">
        <w:rPr>
          <w:rFonts w:eastAsia="Times New Roman" w:cs="Times New Roman"/>
          <w:lang w:val="fr-FR"/>
        </w:rPr>
        <w:t>’</w:t>
      </w:r>
      <w:r w:rsidRPr="00E43B72">
        <w:rPr>
          <w:rFonts w:eastAsia="Times New Roman" w:cs="Times New Roman"/>
          <w:lang w:val="fr-FR"/>
        </w:rPr>
        <w:t>habitat.</w:t>
      </w:r>
    </w:p>
    <w:p w14:paraId="73323882" w14:textId="77777777" w:rsidR="007F08AF" w:rsidRPr="00E43B72" w:rsidRDefault="007F08AF">
      <w:pPr>
        <w:jc w:val="both"/>
        <w:rPr>
          <w:rStyle w:val="Strong"/>
          <w:lang w:val="fr-FR"/>
        </w:rPr>
      </w:pPr>
    </w:p>
    <w:p w14:paraId="68AEBBC0" w14:textId="3DEA49A7" w:rsidR="007F08AF" w:rsidRPr="00E43B72" w:rsidRDefault="00000000">
      <w:pPr>
        <w:jc w:val="both"/>
        <w:rPr>
          <w:lang w:val="fr-FR"/>
        </w:rPr>
      </w:pPr>
      <w:r w:rsidRPr="00E43B72">
        <w:rPr>
          <w:b/>
          <w:bCs/>
          <w:lang w:val="fr-FR"/>
        </w:rPr>
        <w:t>Les interventions couramment employées pour sauver les populations de tortues marines en déclin</w:t>
      </w:r>
      <w:r w:rsidRPr="00E43B72">
        <w:rPr>
          <w:lang w:val="fr-FR"/>
        </w:rPr>
        <w:t xml:space="preserve"> comprennent l</w:t>
      </w:r>
      <w:r w:rsidR="00C2697F" w:rsidRPr="00E43B72">
        <w:rPr>
          <w:lang w:val="fr-FR"/>
        </w:rPr>
        <w:t>’</w:t>
      </w:r>
      <w:r w:rsidRPr="00E43B72">
        <w:rPr>
          <w:lang w:val="fr-FR"/>
        </w:rPr>
        <w:t>utilisation d</w:t>
      </w:r>
      <w:r w:rsidR="00C2697F" w:rsidRPr="00E43B72">
        <w:rPr>
          <w:lang w:val="fr-FR"/>
        </w:rPr>
        <w:t>’</w:t>
      </w:r>
      <w:r w:rsidRPr="00E43B72">
        <w:rPr>
          <w:lang w:val="fr-FR"/>
        </w:rPr>
        <w:t>écloseries destinées à augmenter la production de nouveau-nés (Phillott et al., 2021) ou la pratique du «</w:t>
      </w:r>
      <w:r w:rsidR="00C1110D" w:rsidRPr="00E43B72">
        <w:rPr>
          <w:lang w:val="fr-FR"/>
        </w:rPr>
        <w:t> </w:t>
      </w:r>
      <w:r w:rsidRPr="00E43B72">
        <w:rPr>
          <w:lang w:val="fr-FR"/>
        </w:rPr>
        <w:t>mise en nourrice</w:t>
      </w:r>
      <w:r w:rsidR="00C1110D" w:rsidRPr="00E43B72">
        <w:rPr>
          <w:lang w:val="fr-FR"/>
        </w:rPr>
        <w:t> </w:t>
      </w:r>
      <w:r w:rsidRPr="00E43B72">
        <w:rPr>
          <w:lang w:val="fr-FR"/>
        </w:rPr>
        <w:t>» (élevage des nouveau-nés en captivité avant leur libération) afin de surmonter la pression de prédation précoce au cours de leur première année. Il s</w:t>
      </w:r>
      <w:r w:rsidR="00C2697F" w:rsidRPr="00E43B72">
        <w:rPr>
          <w:lang w:val="fr-FR"/>
        </w:rPr>
        <w:t>’</w:t>
      </w:r>
      <w:r w:rsidRPr="00E43B72">
        <w:rPr>
          <w:lang w:val="fr-FR"/>
        </w:rPr>
        <w:t>agit toutefois d</w:t>
      </w:r>
      <w:r w:rsidR="00C2697F" w:rsidRPr="00E43B72">
        <w:rPr>
          <w:lang w:val="fr-FR"/>
        </w:rPr>
        <w:t>’</w:t>
      </w:r>
      <w:r w:rsidRPr="00E43B72">
        <w:rPr>
          <w:lang w:val="fr-FR"/>
        </w:rPr>
        <w:t>interventions controversées qui ne devraient être envisagées que dans des circonstances très spécifiques car elles nécessitent des ressources importantes, des orientations d</w:t>
      </w:r>
      <w:r w:rsidR="00C2697F" w:rsidRPr="00E43B72">
        <w:rPr>
          <w:lang w:val="fr-FR"/>
        </w:rPr>
        <w:t>’</w:t>
      </w:r>
      <w:r w:rsidRPr="00E43B72">
        <w:rPr>
          <w:lang w:val="fr-FR"/>
        </w:rPr>
        <w:t>experts et un suivi à long terme. Les données probantes indiquent également qu</w:t>
      </w:r>
      <w:r w:rsidR="00C2697F" w:rsidRPr="00E43B72">
        <w:rPr>
          <w:lang w:val="fr-FR"/>
        </w:rPr>
        <w:t>’</w:t>
      </w:r>
      <w:r w:rsidRPr="00E43B72">
        <w:rPr>
          <w:lang w:val="fr-FR"/>
        </w:rPr>
        <w:t xml:space="preserve">en raison de leur croissance lente et de leur maturation tardive, les tortues marines bénéficient rarement de ces pratiques (Heppell et al., 1996). La seule véritable solution consiste à maintenir les écosystèmes des plages intacts ou à les recréer à un coût considérable. </w:t>
      </w:r>
    </w:p>
    <w:p w14:paraId="12659D94" w14:textId="77777777" w:rsidR="007F08AF" w:rsidRPr="00E43B72" w:rsidRDefault="007F08AF">
      <w:pPr>
        <w:jc w:val="both"/>
        <w:rPr>
          <w:lang w:val="fr-FR"/>
        </w:rPr>
      </w:pPr>
    </w:p>
    <w:p w14:paraId="5F5AEEA9" w14:textId="75E7C710" w:rsidR="007F08AF" w:rsidRPr="00E43B72" w:rsidRDefault="00000000">
      <w:pPr>
        <w:jc w:val="both"/>
        <w:rPr>
          <w:lang w:val="fr-FR"/>
        </w:rPr>
      </w:pPr>
      <w:r w:rsidRPr="00E43B72">
        <w:rPr>
          <w:lang w:val="fr-FR"/>
        </w:rPr>
        <w:t>Dans l</w:t>
      </w:r>
      <w:r w:rsidR="00C2697F" w:rsidRPr="00E43B72">
        <w:rPr>
          <w:lang w:val="fr-FR"/>
        </w:rPr>
        <w:t>’</w:t>
      </w:r>
      <w:r w:rsidRPr="00E43B72">
        <w:rPr>
          <w:lang w:val="fr-FR"/>
        </w:rPr>
        <w:t xml:space="preserve">idéal, on trouve </w:t>
      </w:r>
      <w:r w:rsidRPr="00E43B72">
        <w:rPr>
          <w:b/>
          <w:bCs/>
          <w:lang w:val="fr-FR"/>
        </w:rPr>
        <w:t xml:space="preserve">la plage optimale pour la nidification des tortues marines </w:t>
      </w:r>
      <w:r w:rsidRPr="00E43B72">
        <w:rPr>
          <w:lang w:val="fr-FR"/>
        </w:rPr>
        <w:t>sur des rivages tropicaux ou subtropicaux où les processus côtiers naturels ne sont pas entravés, ce qui permet au littoral de s</w:t>
      </w:r>
      <w:r w:rsidR="00C2697F" w:rsidRPr="00E43B72">
        <w:rPr>
          <w:lang w:val="fr-FR"/>
        </w:rPr>
        <w:t>’</w:t>
      </w:r>
      <w:r w:rsidRPr="00E43B72">
        <w:rPr>
          <w:lang w:val="fr-FR"/>
        </w:rPr>
        <w:t>adapter aux variations saisonnières et aux événements météorologiques extrêmes. Les eaux littorales doivent rester intactes, offrant des zones abritées telles que des récifs ou des affleurements rocheux où les tortues peuvent se reposer durant les périodes inter-nidification. Les plages doivent offrir un accès libre à travers la zone intertidale — au moins à marée haute — sur du sable propre et bien trié, de granulométrie moyenne à grossière (350-750</w:t>
      </w:r>
      <w:r w:rsidR="00C1110D" w:rsidRPr="00E43B72">
        <w:rPr>
          <w:lang w:val="fr-FR"/>
        </w:rPr>
        <w:t> </w:t>
      </w:r>
      <w:r w:rsidRPr="00E43B72">
        <w:rPr>
          <w:lang w:val="fr-FR"/>
        </w:rPr>
        <w:t>µm), avec un minimum de débris, de rochers ou de mobilier, afin de permettre de creuser le nid de manière efficace. Il est indispensable qu</w:t>
      </w:r>
      <w:r w:rsidR="00C2697F" w:rsidRPr="00E43B72">
        <w:rPr>
          <w:lang w:val="fr-FR"/>
        </w:rPr>
        <w:t>’</w:t>
      </w:r>
      <w:r w:rsidRPr="00E43B72">
        <w:rPr>
          <w:lang w:val="fr-FR"/>
        </w:rPr>
        <w:t>il y ait au moins 1,5</w:t>
      </w:r>
      <w:r w:rsidR="00C1110D" w:rsidRPr="00E43B72">
        <w:rPr>
          <w:lang w:val="fr-FR"/>
        </w:rPr>
        <w:t> </w:t>
      </w:r>
      <w:r w:rsidRPr="00E43B72">
        <w:rPr>
          <w:lang w:val="fr-FR"/>
        </w:rPr>
        <w:t>mètre de sable au-dessus de la nappe phréatique ou de la roche-mère pour permettre une excavation correcte de la fosse corporelle, une construction adéquate de la chambre à œufs, ainsi qu</w:t>
      </w:r>
      <w:r w:rsidR="00C2697F" w:rsidRPr="00E43B72">
        <w:rPr>
          <w:lang w:val="fr-FR"/>
        </w:rPr>
        <w:t>’</w:t>
      </w:r>
      <w:r w:rsidRPr="00E43B72">
        <w:rPr>
          <w:lang w:val="fr-FR"/>
        </w:rPr>
        <w:t>un mouvement naturel du sable autour du nid sous l</w:t>
      </w:r>
      <w:r w:rsidR="00C2697F" w:rsidRPr="00E43B72">
        <w:rPr>
          <w:lang w:val="fr-FR"/>
        </w:rPr>
        <w:t>’</w:t>
      </w:r>
      <w:r w:rsidRPr="00E43B72">
        <w:rPr>
          <w:lang w:val="fr-FR"/>
        </w:rPr>
        <w:t>effet du vent. Pour garantir le succès de la nidification, les plages doivent être constituées de sédiments qui permettent l</w:t>
      </w:r>
      <w:r w:rsidR="00C2697F" w:rsidRPr="00E43B72">
        <w:rPr>
          <w:lang w:val="fr-FR"/>
        </w:rPr>
        <w:t>’</w:t>
      </w:r>
      <w:r w:rsidRPr="00E43B72">
        <w:rPr>
          <w:lang w:val="fr-FR"/>
        </w:rPr>
        <w:t>échange de gaz et d</w:t>
      </w:r>
      <w:r w:rsidR="00C2697F" w:rsidRPr="00E43B72">
        <w:rPr>
          <w:lang w:val="fr-FR"/>
        </w:rPr>
        <w:t>’</w:t>
      </w:r>
      <w:r w:rsidRPr="00E43B72">
        <w:rPr>
          <w:lang w:val="fr-FR"/>
        </w:rPr>
        <w:t>humidité, contenir de faibles niveaux de matière organique pour limiter le développement de bactéries et d</w:t>
      </w:r>
      <w:r w:rsidR="00C2697F" w:rsidRPr="00E43B72">
        <w:rPr>
          <w:lang w:val="fr-FR"/>
        </w:rPr>
        <w:t>’</w:t>
      </w:r>
      <w:r w:rsidRPr="00E43B72">
        <w:rPr>
          <w:lang w:val="fr-FR"/>
        </w:rPr>
        <w:t>autres agents pathogènes, et rester exemptes d</w:t>
      </w:r>
      <w:r w:rsidR="00C2697F" w:rsidRPr="00E43B72">
        <w:rPr>
          <w:lang w:val="fr-FR"/>
        </w:rPr>
        <w:t>’</w:t>
      </w:r>
      <w:r w:rsidRPr="00E43B72">
        <w:rPr>
          <w:lang w:val="fr-FR"/>
        </w:rPr>
        <w:t>éclairage artificiel, d</w:t>
      </w:r>
      <w:r w:rsidR="00C2697F" w:rsidRPr="00E43B72">
        <w:rPr>
          <w:lang w:val="fr-FR"/>
        </w:rPr>
        <w:t>’</w:t>
      </w:r>
      <w:r w:rsidRPr="00E43B72">
        <w:rPr>
          <w:lang w:val="fr-FR"/>
        </w:rPr>
        <w:t>activité humaine excessive, de bruit et d</w:t>
      </w:r>
      <w:r w:rsidR="00C2697F" w:rsidRPr="00E43B72">
        <w:rPr>
          <w:lang w:val="fr-FR"/>
        </w:rPr>
        <w:t>’</w:t>
      </w:r>
      <w:r w:rsidRPr="00E43B72">
        <w:rPr>
          <w:lang w:val="fr-FR"/>
        </w:rPr>
        <w:t>autres perturbations, créant ainsi un environnement sûr et naturel pour la ponte et l</w:t>
      </w:r>
      <w:r w:rsidR="00C2697F" w:rsidRPr="00E43B72">
        <w:rPr>
          <w:lang w:val="fr-FR"/>
        </w:rPr>
        <w:t>’</w:t>
      </w:r>
      <w:r w:rsidRPr="00E43B72">
        <w:rPr>
          <w:lang w:val="fr-FR"/>
        </w:rPr>
        <w:t>incubation des tortues marines, ainsi que pour l</w:t>
      </w:r>
      <w:r w:rsidR="00C2697F" w:rsidRPr="00E43B72">
        <w:rPr>
          <w:lang w:val="fr-FR"/>
        </w:rPr>
        <w:t>’</w:t>
      </w:r>
      <w:r w:rsidRPr="00E43B72">
        <w:rPr>
          <w:lang w:val="fr-FR"/>
        </w:rPr>
        <w:t>émergence réussie des nouveau-nés.</w:t>
      </w:r>
    </w:p>
    <w:p w14:paraId="3E82B691" w14:textId="77777777" w:rsidR="007F08AF" w:rsidRPr="00E43B72" w:rsidRDefault="007F08AF">
      <w:pPr>
        <w:jc w:val="both"/>
        <w:rPr>
          <w:lang w:val="fr-FR"/>
        </w:rPr>
      </w:pPr>
    </w:p>
    <w:p w14:paraId="37A2A51A" w14:textId="5AD75E27" w:rsidR="007F08AF" w:rsidRPr="00E43B72" w:rsidRDefault="00000000">
      <w:pPr>
        <w:jc w:val="both"/>
        <w:rPr>
          <w:lang w:val="fr-FR"/>
        </w:rPr>
      </w:pPr>
      <w:r w:rsidRPr="00E43B72">
        <w:rPr>
          <w:lang w:val="fr-FR"/>
        </w:rPr>
        <w:lastRenderedPageBreak/>
        <w:t xml:space="preserve">Il est difficile </w:t>
      </w:r>
      <w:r w:rsidRPr="00E43B72">
        <w:rPr>
          <w:b/>
          <w:bCs/>
          <w:lang w:val="fr-FR"/>
        </w:rPr>
        <w:t>de reproduire</w:t>
      </w:r>
      <w:r w:rsidRPr="00E43B72">
        <w:rPr>
          <w:lang w:val="fr-FR"/>
        </w:rPr>
        <w:t xml:space="preserve"> </w:t>
      </w:r>
      <w:r w:rsidRPr="00E43B72">
        <w:rPr>
          <w:b/>
          <w:bCs/>
          <w:lang w:val="fr-FR"/>
        </w:rPr>
        <w:t>ces conditions de manière artificielle</w:t>
      </w:r>
      <w:r w:rsidRPr="00E43B72">
        <w:rPr>
          <w:lang w:val="fr-FR"/>
        </w:rPr>
        <w:t>. Les tortues marines parcourent l</w:t>
      </w:r>
      <w:r w:rsidR="00C2697F" w:rsidRPr="00E43B72">
        <w:rPr>
          <w:lang w:val="fr-FR"/>
        </w:rPr>
        <w:t>’</w:t>
      </w:r>
      <w:r w:rsidRPr="00E43B72">
        <w:rPr>
          <w:lang w:val="fr-FR"/>
        </w:rPr>
        <w:t>ensemble du littoral, à la recherche d</w:t>
      </w:r>
      <w:r w:rsidR="00C2697F" w:rsidRPr="00E43B72">
        <w:rPr>
          <w:lang w:val="fr-FR"/>
        </w:rPr>
        <w:t>’</w:t>
      </w:r>
      <w:r w:rsidRPr="00E43B72">
        <w:rPr>
          <w:lang w:val="fr-FR"/>
        </w:rPr>
        <w:t>indices non visibles comme les panaches d</w:t>
      </w:r>
      <w:r w:rsidR="00C2697F" w:rsidRPr="00E43B72">
        <w:rPr>
          <w:lang w:val="fr-FR"/>
        </w:rPr>
        <w:t>’</w:t>
      </w:r>
      <w:r w:rsidRPr="00E43B72">
        <w:rPr>
          <w:lang w:val="fr-FR"/>
        </w:rPr>
        <w:t>odeurs, les paysages sonores ou des horizons sombres dépourvus de bruit et de perturbations. Cependant, il existe quelques exemples (provisoires) où des tortues marines ont niché sur des plages restaurées (alimentées), réhabilitées ou construites artificiellement, bien qu</w:t>
      </w:r>
      <w:r w:rsidR="00C2697F" w:rsidRPr="00E43B72">
        <w:rPr>
          <w:lang w:val="fr-FR"/>
        </w:rPr>
        <w:t>’</w:t>
      </w:r>
      <w:r w:rsidRPr="00E43B72">
        <w:rPr>
          <w:lang w:val="fr-FR"/>
        </w:rPr>
        <w:t>il y en ait peu à grande échelle. Le reprofilage des plages existantes semble être une réussite, ce qui a été démontré pour l</w:t>
      </w:r>
      <w:r w:rsidR="00C2697F" w:rsidRPr="00E43B72">
        <w:rPr>
          <w:lang w:val="fr-FR"/>
        </w:rPr>
        <w:t>’</w:t>
      </w:r>
      <w:r w:rsidRPr="00E43B72">
        <w:rPr>
          <w:lang w:val="fr-FR"/>
        </w:rPr>
        <w:t>île de Raine, sur la Grande Barrière de Corail (Robertson et al., 2024). Les projets d</w:t>
      </w:r>
      <w:r w:rsidR="00C2697F" w:rsidRPr="00E43B72">
        <w:rPr>
          <w:lang w:val="fr-FR"/>
        </w:rPr>
        <w:t>’</w:t>
      </w:r>
      <w:r w:rsidRPr="00E43B72">
        <w:rPr>
          <w:lang w:val="fr-FR"/>
        </w:rPr>
        <w:t>entretien de plage les mieux documentés avec des succès répétés de nidification de tortues marines concernent les tortues vertes ou Caouannes en Floride et en Caroline du Nord et du Sud (Brock et al., 2009</w:t>
      </w:r>
      <w:r w:rsidR="00C421BB" w:rsidRPr="00E43B72">
        <w:rPr>
          <w:lang w:val="fr-FR"/>
        </w:rPr>
        <w:t> ;</w:t>
      </w:r>
      <w:r w:rsidRPr="00E43B72">
        <w:rPr>
          <w:lang w:val="fr-FR"/>
        </w:rPr>
        <w:t xml:space="preserve"> Reine, 2022), et la tortue de Kemp au Texas. </w:t>
      </w:r>
      <w:r w:rsidRPr="00E43B72">
        <w:rPr>
          <w:color w:val="000000" w:themeColor="text1"/>
          <w:lang w:val="fr-FR"/>
        </w:rPr>
        <w:t>Les effets du remblayage des plages ont fait l</w:t>
      </w:r>
      <w:r w:rsidR="00C2697F" w:rsidRPr="00E43B72">
        <w:rPr>
          <w:color w:val="000000" w:themeColor="text1"/>
          <w:lang w:val="fr-FR"/>
        </w:rPr>
        <w:t>’</w:t>
      </w:r>
      <w:r w:rsidRPr="00E43B72">
        <w:rPr>
          <w:color w:val="000000" w:themeColor="text1"/>
          <w:lang w:val="fr-FR"/>
        </w:rPr>
        <w:t>objet d</w:t>
      </w:r>
      <w:r w:rsidR="00C2697F" w:rsidRPr="00E43B72">
        <w:rPr>
          <w:color w:val="000000" w:themeColor="text1"/>
          <w:lang w:val="fr-FR"/>
        </w:rPr>
        <w:t>’</w:t>
      </w:r>
      <w:r w:rsidRPr="00E43B72">
        <w:rPr>
          <w:color w:val="000000" w:themeColor="text1"/>
          <w:lang w:val="fr-FR"/>
        </w:rPr>
        <w:t>études approfondies, mais ils ne sont pas toujours positifs</w:t>
      </w:r>
      <w:r w:rsidR="00C421BB" w:rsidRPr="00E43B72">
        <w:rPr>
          <w:color w:val="000000" w:themeColor="text1"/>
          <w:lang w:val="fr-FR"/>
        </w:rPr>
        <w:t> ;</w:t>
      </w:r>
      <w:r w:rsidRPr="00E43B72">
        <w:rPr>
          <w:color w:val="000000" w:themeColor="text1"/>
          <w:lang w:val="fr-FR"/>
        </w:rPr>
        <w:t xml:space="preserve"> les résultats varient selon les espèces et les plages et, au fil du temps, </w:t>
      </w:r>
      <w:r w:rsidRPr="00E43B72">
        <w:rPr>
          <w:lang w:val="fr-FR"/>
        </w:rPr>
        <w:t>s</w:t>
      </w:r>
      <w:r w:rsidR="00C2697F" w:rsidRPr="00E43B72">
        <w:rPr>
          <w:lang w:val="fr-FR"/>
        </w:rPr>
        <w:t>’</w:t>
      </w:r>
      <w:r w:rsidRPr="00E43B72">
        <w:rPr>
          <w:lang w:val="fr-FR"/>
        </w:rPr>
        <w:t>améliorent généralement après le remblayage. La nidification des tortues a été couronnée de succès sur ces plages remblayées</w:t>
      </w:r>
      <w:r w:rsidRPr="00E43B72">
        <w:rPr>
          <w:color w:val="000000" w:themeColor="text1"/>
          <w:lang w:val="fr-FR"/>
        </w:rPr>
        <w:t xml:space="preserve">, mais les effets </w:t>
      </w:r>
      <w:r w:rsidRPr="00E43B72">
        <w:rPr>
          <w:lang w:val="fr-FR"/>
        </w:rPr>
        <w:t>peuvent aller au-delà du succès de l</w:t>
      </w:r>
      <w:r w:rsidR="00C2697F" w:rsidRPr="00E43B72">
        <w:rPr>
          <w:lang w:val="fr-FR"/>
        </w:rPr>
        <w:t>’</w:t>
      </w:r>
      <w:r w:rsidRPr="00E43B72">
        <w:rPr>
          <w:lang w:val="fr-FR"/>
        </w:rPr>
        <w:t>éclosion</w:t>
      </w:r>
      <w:r w:rsidR="00C421BB" w:rsidRPr="00E43B72">
        <w:rPr>
          <w:lang w:val="fr-FR"/>
        </w:rPr>
        <w:t> ;</w:t>
      </w:r>
      <w:r w:rsidRPr="00E43B72">
        <w:rPr>
          <w:lang w:val="fr-FR"/>
        </w:rPr>
        <w:t xml:space="preserve"> le remblayage semble également influer, entre autres, sur les profils de température et d</w:t>
      </w:r>
      <w:r w:rsidR="00C2697F" w:rsidRPr="00E43B72">
        <w:rPr>
          <w:lang w:val="fr-FR"/>
        </w:rPr>
        <w:t>’</w:t>
      </w:r>
      <w:r w:rsidRPr="00E43B72">
        <w:rPr>
          <w:lang w:val="fr-FR"/>
        </w:rPr>
        <w:t>humidité (Reine, 2022</w:t>
      </w:r>
      <w:r w:rsidR="00C421BB" w:rsidRPr="00E43B72">
        <w:rPr>
          <w:lang w:val="fr-FR"/>
        </w:rPr>
        <w:t> ;</w:t>
      </w:r>
      <w:r w:rsidRPr="00E43B72">
        <w:rPr>
          <w:lang w:val="fr-FR"/>
        </w:rPr>
        <w:t xml:space="preserve"> Shamblott et al., 2021), ce qui pourrait potentiellement influencer le rapport de masculinité. </w:t>
      </w:r>
    </w:p>
    <w:p w14:paraId="75A4BAC5" w14:textId="77777777" w:rsidR="007F08AF" w:rsidRPr="00E43B72" w:rsidRDefault="007F08AF">
      <w:pPr>
        <w:jc w:val="both"/>
        <w:rPr>
          <w:lang w:val="fr-FR"/>
        </w:rPr>
      </w:pPr>
    </w:p>
    <w:p w14:paraId="4B9E2016" w14:textId="609ECFFF" w:rsidR="007F08AF" w:rsidRPr="00E43B72" w:rsidRDefault="00000000">
      <w:pPr>
        <w:jc w:val="both"/>
        <w:rPr>
          <w:lang w:val="fr-FR"/>
        </w:rPr>
      </w:pPr>
      <w:r w:rsidRPr="00E43B72">
        <w:rPr>
          <w:lang w:val="fr-FR"/>
        </w:rPr>
        <w:t xml:space="preserve">Les pays ayant réalisé un aménagement côtier à grande échelle, notamment au Moyen-Orient ou à Singapour, ont tenté de </w:t>
      </w:r>
      <w:r w:rsidRPr="00E43B72">
        <w:rPr>
          <w:b/>
          <w:bCs/>
          <w:lang w:val="fr-FR"/>
        </w:rPr>
        <w:t>recréer les conditions de nidification des tortues de manière artificielle</w:t>
      </w:r>
      <w:r w:rsidRPr="00E43B72">
        <w:rPr>
          <w:lang w:val="fr-FR"/>
        </w:rPr>
        <w:t>. On trouve un exemple de plage de nidification (re)construite dans la ville industrielle de Ras</w:t>
      </w:r>
      <w:r w:rsidR="00C1110D" w:rsidRPr="00E43B72">
        <w:rPr>
          <w:lang w:val="fr-FR"/>
        </w:rPr>
        <w:t> </w:t>
      </w:r>
      <w:r w:rsidRPr="00E43B72">
        <w:rPr>
          <w:lang w:val="fr-FR"/>
        </w:rPr>
        <w:t>Laffan, au Qatar (voir l</w:t>
      </w:r>
      <w:r w:rsidR="00C2697F" w:rsidRPr="00E43B72">
        <w:rPr>
          <w:lang w:val="fr-FR"/>
        </w:rPr>
        <w:t>’</w:t>
      </w:r>
      <w:r w:rsidRPr="00E43B72">
        <w:rPr>
          <w:lang w:val="fr-FR"/>
        </w:rPr>
        <w:t xml:space="preserve">article </w:t>
      </w:r>
      <w:hyperlink r:id="rId54" w:history="1">
        <w:r w:rsidR="007F08AF" w:rsidRPr="00E43B72">
          <w:rPr>
            <w:rStyle w:val="Hyperlink"/>
            <w:lang w:val="fr-FR"/>
          </w:rPr>
          <w:t>ici</w:t>
        </w:r>
      </w:hyperlink>
      <w:r w:rsidRPr="00E43B72">
        <w:rPr>
          <w:lang w:val="fr-FR"/>
        </w:rPr>
        <w:t>). Des efforts particuliers ont été déployés pour recréer les conditions de nidification des tortues marines lors de la construction d</w:t>
      </w:r>
      <w:r w:rsidR="00C2697F" w:rsidRPr="00E43B72">
        <w:rPr>
          <w:lang w:val="fr-FR"/>
        </w:rPr>
        <w:t>’</w:t>
      </w:r>
      <w:r w:rsidRPr="00E43B72">
        <w:rPr>
          <w:lang w:val="fr-FR"/>
        </w:rPr>
        <w:t>une plage artificielle, dans le cadre des mesures d</w:t>
      </w:r>
      <w:r w:rsidR="00C2697F" w:rsidRPr="00E43B72">
        <w:rPr>
          <w:lang w:val="fr-FR"/>
        </w:rPr>
        <w:t>’</w:t>
      </w:r>
      <w:r w:rsidRPr="00E43B72">
        <w:rPr>
          <w:lang w:val="fr-FR"/>
        </w:rPr>
        <w:t>atténuation liées au développement côtier autour d</w:t>
      </w:r>
      <w:r w:rsidR="00C2697F" w:rsidRPr="00E43B72">
        <w:rPr>
          <w:lang w:val="fr-FR"/>
        </w:rPr>
        <w:t>’</w:t>
      </w:r>
      <w:r w:rsidRPr="00E43B72">
        <w:rPr>
          <w:lang w:val="fr-FR"/>
        </w:rPr>
        <w:t>une usine de gaz liquéfié. Des tortues imbriquées (</w:t>
      </w:r>
      <w:r w:rsidRPr="00E43B72">
        <w:rPr>
          <w:i/>
          <w:iCs/>
          <w:lang w:val="fr-FR"/>
        </w:rPr>
        <w:t>Eretmochelys imbricata</w:t>
      </w:r>
      <w:r w:rsidRPr="00E43B72">
        <w:rPr>
          <w:lang w:val="fr-FR"/>
        </w:rPr>
        <w:t>) auraient été observées en train de nicher et d</w:t>
      </w:r>
      <w:r w:rsidR="00C2697F" w:rsidRPr="00E43B72">
        <w:rPr>
          <w:lang w:val="fr-FR"/>
        </w:rPr>
        <w:t>’</w:t>
      </w:r>
      <w:r w:rsidRPr="00E43B72">
        <w:rPr>
          <w:lang w:val="fr-FR"/>
        </w:rPr>
        <w:t>éclore avec succès à cet endroit (</w:t>
      </w:r>
      <w:hyperlink r:id="rId55" w:history="1">
        <w:r w:rsidR="007F08AF" w:rsidRPr="00E43B72">
          <w:rPr>
            <w:rStyle w:val="Hyperlink"/>
            <w:lang w:val="fr-FR"/>
          </w:rPr>
          <w:t>2025 nesting season for hawksbill turtles ends [La saison de nidification 2025 pour les tortues imbriquées se termine] – Gulf Times</w:t>
        </w:r>
      </w:hyperlink>
      <w:r w:rsidRPr="00E43B72">
        <w:rPr>
          <w:lang w:val="fr-FR"/>
        </w:rPr>
        <w:t>). Le succès a été attribué à une conception minutieuse imitant les conditions naturelles de nidification et à la restriction de l</w:t>
      </w:r>
      <w:r w:rsidR="00C2697F" w:rsidRPr="00E43B72">
        <w:rPr>
          <w:lang w:val="fr-FR"/>
        </w:rPr>
        <w:t>’</w:t>
      </w:r>
      <w:r w:rsidRPr="00E43B72">
        <w:rPr>
          <w:lang w:val="fr-FR"/>
        </w:rPr>
        <w:t>accès humain pendant la saison de nidification. Cependant, aucune estimation de l</w:t>
      </w:r>
      <w:r w:rsidR="00C2697F" w:rsidRPr="00E43B72">
        <w:rPr>
          <w:lang w:val="fr-FR"/>
        </w:rPr>
        <w:t>’</w:t>
      </w:r>
      <w:r w:rsidRPr="00E43B72">
        <w:rPr>
          <w:lang w:val="fr-FR"/>
        </w:rPr>
        <w:t>abondance n</w:t>
      </w:r>
      <w:r w:rsidR="00C2697F" w:rsidRPr="00E43B72">
        <w:rPr>
          <w:lang w:val="fr-FR"/>
        </w:rPr>
        <w:t>’</w:t>
      </w:r>
      <w:r w:rsidRPr="00E43B72">
        <w:rPr>
          <w:lang w:val="fr-FR"/>
        </w:rPr>
        <w:t>est disponible pour comparer le nombre de nids avant et après la construction. D</w:t>
      </w:r>
      <w:r w:rsidR="00C2697F" w:rsidRPr="00E43B72">
        <w:rPr>
          <w:lang w:val="fr-FR"/>
        </w:rPr>
        <w:t>’</w:t>
      </w:r>
      <w:r w:rsidRPr="00E43B72">
        <w:rPr>
          <w:lang w:val="fr-FR"/>
        </w:rPr>
        <w:t>autres exemples incluent les îles artificielles du Koweït (comme Sabah Al-Ahmad Sea City) ou l</w:t>
      </w:r>
      <w:r w:rsidR="00C2697F" w:rsidRPr="00E43B72">
        <w:rPr>
          <w:lang w:val="fr-FR"/>
        </w:rPr>
        <w:t>’</w:t>
      </w:r>
      <w:r w:rsidRPr="00E43B72">
        <w:rPr>
          <w:lang w:val="fr-FR"/>
        </w:rPr>
        <w:t xml:space="preserve">île de Jumeirah à Dubaï aux Émirats arabes unis, avec des rapports tout aussi prometteurs. </w:t>
      </w:r>
    </w:p>
    <w:p w14:paraId="0C41C409" w14:textId="77777777" w:rsidR="007F08AF" w:rsidRPr="00E43B72" w:rsidRDefault="007F08AF">
      <w:pPr>
        <w:jc w:val="both"/>
        <w:rPr>
          <w:lang w:val="fr-FR"/>
        </w:rPr>
      </w:pPr>
    </w:p>
    <w:p w14:paraId="520A5127" w14:textId="251B487B" w:rsidR="007F08AF" w:rsidRPr="00E43B72" w:rsidRDefault="00000000">
      <w:pPr>
        <w:jc w:val="both"/>
        <w:rPr>
          <w:rStyle w:val="Strong"/>
          <w:lang w:val="fr-FR"/>
        </w:rPr>
      </w:pPr>
      <w:r w:rsidRPr="00E43B72">
        <w:rPr>
          <w:rStyle w:val="Strong"/>
          <w:lang w:val="fr-FR"/>
        </w:rPr>
        <w:t>Il faudra mener de plus amples travaux de recherche pour déterminer si les environnements d</w:t>
      </w:r>
      <w:r w:rsidR="00C2697F" w:rsidRPr="00E43B72">
        <w:rPr>
          <w:rStyle w:val="Strong"/>
          <w:lang w:val="fr-FR"/>
        </w:rPr>
        <w:t>’</w:t>
      </w:r>
      <w:r w:rsidRPr="00E43B72">
        <w:rPr>
          <w:rStyle w:val="Strong"/>
          <w:lang w:val="fr-FR"/>
        </w:rPr>
        <w:t>incubation artificiels, tels que les écloseries et les plages artificielles ou remblayées, permettront de garantir des niveaux viables d</w:t>
      </w:r>
      <w:r w:rsidR="00C2697F" w:rsidRPr="00E43B72">
        <w:rPr>
          <w:rStyle w:val="Strong"/>
          <w:lang w:val="fr-FR"/>
        </w:rPr>
        <w:t>’</w:t>
      </w:r>
      <w:r w:rsidRPr="00E43B72">
        <w:rPr>
          <w:rStyle w:val="Strong"/>
          <w:lang w:val="fr-FR"/>
        </w:rPr>
        <w:t xml:space="preserve">individus revenant sur les lieux pour maintenir les populations à perpétuité. </w:t>
      </w:r>
      <w:r w:rsidRPr="00E43B72">
        <w:rPr>
          <w:rStyle w:val="Strong"/>
          <w:b w:val="0"/>
          <w:lang w:val="fr-FR"/>
        </w:rPr>
        <w:t>La résilience des plages artificielles face aux pressions des changements climatiques n</w:t>
      </w:r>
      <w:r w:rsidR="00C2697F" w:rsidRPr="00E43B72">
        <w:rPr>
          <w:rStyle w:val="Strong"/>
          <w:b w:val="0"/>
          <w:lang w:val="fr-FR"/>
        </w:rPr>
        <w:t>’</w:t>
      </w:r>
      <w:r w:rsidRPr="00E43B72">
        <w:rPr>
          <w:rStyle w:val="Strong"/>
          <w:b w:val="0"/>
          <w:lang w:val="fr-FR"/>
        </w:rPr>
        <w:t>a pas été testée</w:t>
      </w:r>
      <w:r w:rsidRPr="00E43B72">
        <w:rPr>
          <w:rStyle w:val="Strong"/>
          <w:b w:val="0"/>
          <w:bCs w:val="0"/>
          <w:lang w:val="fr-FR"/>
        </w:rPr>
        <w:t>,</w:t>
      </w:r>
      <w:r w:rsidRPr="00E43B72">
        <w:rPr>
          <w:rStyle w:val="Strong"/>
          <w:b w:val="0"/>
          <w:lang w:val="fr-FR"/>
        </w:rPr>
        <w:t xml:space="preserve"> mais la plupart des plages remblayées doivent être reconstituées environ tous les dix ans. Il en va peut-être de même pour les constructions artificielles.</w:t>
      </w:r>
      <w:r w:rsidRPr="00E43B72">
        <w:rPr>
          <w:rStyle w:val="Strong"/>
          <w:lang w:val="fr-FR"/>
        </w:rPr>
        <w:t xml:space="preserve"> </w:t>
      </w:r>
    </w:p>
    <w:p w14:paraId="70D834BC" w14:textId="77777777" w:rsidR="007F08AF" w:rsidRPr="00E43B72" w:rsidRDefault="007F08AF">
      <w:pPr>
        <w:jc w:val="both"/>
        <w:rPr>
          <w:rStyle w:val="Strong"/>
          <w:b w:val="0"/>
          <w:bCs w:val="0"/>
          <w:lang w:val="fr-FR"/>
        </w:rPr>
      </w:pPr>
    </w:p>
    <w:p w14:paraId="316BFBE5" w14:textId="727927DE" w:rsidR="007F08AF" w:rsidRPr="00E43B72" w:rsidRDefault="00000000">
      <w:pPr>
        <w:jc w:val="both"/>
        <w:rPr>
          <w:rStyle w:val="Strong"/>
          <w:b w:val="0"/>
          <w:bCs w:val="0"/>
          <w:lang w:val="fr-FR"/>
        </w:rPr>
      </w:pPr>
      <w:r w:rsidRPr="00E43B72">
        <w:rPr>
          <w:rStyle w:val="Strong"/>
          <w:b w:val="0"/>
          <w:lang w:val="fr-FR"/>
        </w:rPr>
        <w:t>Il n</w:t>
      </w:r>
      <w:r w:rsidR="00C2697F" w:rsidRPr="00E43B72">
        <w:rPr>
          <w:rStyle w:val="Strong"/>
          <w:b w:val="0"/>
          <w:lang w:val="fr-FR"/>
        </w:rPr>
        <w:t>’</w:t>
      </w:r>
      <w:r w:rsidRPr="00E43B72">
        <w:rPr>
          <w:rStyle w:val="Strong"/>
          <w:b w:val="0"/>
          <w:lang w:val="fr-FR"/>
        </w:rPr>
        <w:t xml:space="preserve">existe pas de solution simple à ce problème </w:t>
      </w:r>
      <w:r w:rsidRPr="00E43B72">
        <w:rPr>
          <w:rStyle w:val="Strong"/>
          <w:b w:val="0"/>
          <w:bCs w:val="0"/>
          <w:lang w:val="fr-FR"/>
        </w:rPr>
        <w:t>complexe</w:t>
      </w:r>
      <w:r w:rsidRPr="00E43B72">
        <w:rPr>
          <w:rStyle w:val="Strong"/>
          <w:b w:val="0"/>
          <w:lang w:val="fr-FR"/>
        </w:rPr>
        <w:t xml:space="preserve">, et il est important de reconnaître les impacts négatifs probables </w:t>
      </w:r>
      <w:r w:rsidRPr="00E43B72">
        <w:rPr>
          <w:rStyle w:val="Strong"/>
          <w:lang w:val="fr-FR"/>
        </w:rPr>
        <w:t>des changements climatiques sur les plages de nidification des tortues marines, qu</w:t>
      </w:r>
      <w:r w:rsidR="00C2697F" w:rsidRPr="00E43B72">
        <w:rPr>
          <w:rStyle w:val="Strong"/>
          <w:lang w:val="fr-FR"/>
        </w:rPr>
        <w:t>’</w:t>
      </w:r>
      <w:r w:rsidRPr="00E43B72">
        <w:rPr>
          <w:rStyle w:val="Strong"/>
          <w:lang w:val="fr-FR"/>
        </w:rPr>
        <w:t>elles soient naturelles ou artificielles, ainsi que sur les populations de tortues marines</w:t>
      </w:r>
      <w:r w:rsidRPr="00E43B72">
        <w:rPr>
          <w:rStyle w:val="Strong"/>
          <w:b w:val="0"/>
          <w:lang w:val="fr-FR"/>
        </w:rPr>
        <w:t xml:space="preserve"> (résumé de Simantris, 2024)</w:t>
      </w:r>
      <w:r w:rsidR="00C421BB" w:rsidRPr="00E43B72">
        <w:rPr>
          <w:rStyle w:val="Strong"/>
          <w:b w:val="0"/>
          <w:lang w:val="fr-FR"/>
        </w:rPr>
        <w:t> :</w:t>
      </w:r>
    </w:p>
    <w:p w14:paraId="16AB53BD" w14:textId="77777777" w:rsidR="007F08AF" w:rsidRPr="00E43B72" w:rsidRDefault="007F08AF">
      <w:pPr>
        <w:jc w:val="both"/>
        <w:rPr>
          <w:rStyle w:val="Strong"/>
          <w:b w:val="0"/>
          <w:bCs w:val="0"/>
          <w:lang w:val="fr-FR"/>
        </w:rPr>
      </w:pPr>
    </w:p>
    <w:p w14:paraId="45B84171" w14:textId="1D309543" w:rsidR="007F08AF" w:rsidRPr="00E43B72" w:rsidRDefault="00000000" w:rsidP="00BA512F">
      <w:pPr>
        <w:pStyle w:val="ListParagraph"/>
        <w:numPr>
          <w:ilvl w:val="0"/>
          <w:numId w:val="16"/>
        </w:numPr>
        <w:contextualSpacing w:val="0"/>
        <w:jc w:val="both"/>
        <w:rPr>
          <w:lang w:val="fr-FR"/>
        </w:rPr>
      </w:pPr>
      <w:r w:rsidRPr="00E43B72">
        <w:rPr>
          <w:b/>
          <w:bCs/>
          <w:lang w:val="fr-FR"/>
        </w:rPr>
        <w:t>Hausse des températures mondiales</w:t>
      </w:r>
      <w:r w:rsidR="00C421BB" w:rsidRPr="00E43B72">
        <w:rPr>
          <w:lang w:val="fr-FR"/>
        </w:rPr>
        <w:t> :</w:t>
      </w:r>
      <w:r w:rsidRPr="00E43B72">
        <w:rPr>
          <w:lang w:val="fr-FR"/>
        </w:rPr>
        <w:t xml:space="preserve"> les températures du littoral devraient augmenter de 1,5 à 5</w:t>
      </w:r>
      <w:r w:rsidR="00C1110D" w:rsidRPr="00E43B72">
        <w:rPr>
          <w:lang w:val="fr-FR"/>
        </w:rPr>
        <w:t> </w:t>
      </w:r>
      <w:r w:rsidRPr="00E43B72">
        <w:rPr>
          <w:lang w:val="fr-FR"/>
        </w:rPr>
        <w:t>°C au cours des 80 prochaines années, créant des conditions difficiles pour les tortues marines. Elle aura une incidence sur les besoins métaboliques des individus qui nichent, incubent et cherchent de la nourriture.</w:t>
      </w:r>
    </w:p>
    <w:p w14:paraId="48B36657" w14:textId="49B3864B" w:rsidR="007F08AF" w:rsidRPr="00E43B72" w:rsidRDefault="00000000" w:rsidP="00BA512F">
      <w:pPr>
        <w:pStyle w:val="ListParagraph"/>
        <w:numPr>
          <w:ilvl w:val="0"/>
          <w:numId w:val="16"/>
        </w:numPr>
        <w:contextualSpacing w:val="0"/>
        <w:jc w:val="both"/>
        <w:rPr>
          <w:lang w:val="fr-FR"/>
        </w:rPr>
      </w:pPr>
      <w:r w:rsidRPr="00E43B72">
        <w:rPr>
          <w:b/>
          <w:bCs/>
          <w:lang w:val="fr-FR"/>
        </w:rPr>
        <w:t>Augmentation des événements météorologiques extrêmes</w:t>
      </w:r>
      <w:r w:rsidR="00C421BB" w:rsidRPr="00E43B72">
        <w:rPr>
          <w:lang w:val="fr-FR"/>
        </w:rPr>
        <w:t> :</w:t>
      </w:r>
      <w:r w:rsidRPr="00E43B72">
        <w:rPr>
          <w:lang w:val="fr-FR"/>
        </w:rPr>
        <w:t xml:space="preserve"> les événements atmosphériques extrêmes, tels que les tempêtes et les ouragans, ainsi que les phénomènes d</w:t>
      </w:r>
      <w:r w:rsidR="00C2697F" w:rsidRPr="00E43B72">
        <w:rPr>
          <w:lang w:val="fr-FR"/>
        </w:rPr>
        <w:t>’</w:t>
      </w:r>
      <w:r w:rsidRPr="00E43B72">
        <w:rPr>
          <w:lang w:val="fr-FR"/>
        </w:rPr>
        <w:t>érosion, devraient se produire 100</w:t>
      </w:r>
      <w:r w:rsidR="00C1110D" w:rsidRPr="00E43B72">
        <w:rPr>
          <w:lang w:val="fr-FR"/>
        </w:rPr>
        <w:t> </w:t>
      </w:r>
      <w:r w:rsidRPr="00E43B72">
        <w:rPr>
          <w:lang w:val="fr-FR"/>
        </w:rPr>
        <w:t xml:space="preserve">fois plus fréquemment, entraînant </w:t>
      </w:r>
      <w:r w:rsidRPr="00E43B72">
        <w:rPr>
          <w:lang w:val="fr-FR"/>
        </w:rPr>
        <w:lastRenderedPageBreak/>
        <w:t>la perte d</w:t>
      </w:r>
      <w:r w:rsidR="00C2697F" w:rsidRPr="00E43B72">
        <w:rPr>
          <w:lang w:val="fr-FR"/>
        </w:rPr>
        <w:t>’</w:t>
      </w:r>
      <w:r w:rsidRPr="00E43B72">
        <w:rPr>
          <w:lang w:val="fr-FR"/>
        </w:rPr>
        <w:t xml:space="preserve">habitats, la destruction du littoral, la submersion des nids, leur inondation et la diminution de leurs températures. </w:t>
      </w:r>
    </w:p>
    <w:p w14:paraId="2569ECBA" w14:textId="662E44E8" w:rsidR="007F08AF" w:rsidRPr="00E43B72" w:rsidRDefault="00000000" w:rsidP="00BA512F">
      <w:pPr>
        <w:pStyle w:val="ListParagraph"/>
        <w:numPr>
          <w:ilvl w:val="0"/>
          <w:numId w:val="16"/>
        </w:numPr>
        <w:contextualSpacing w:val="0"/>
        <w:jc w:val="both"/>
        <w:rPr>
          <w:lang w:val="fr-FR"/>
        </w:rPr>
      </w:pPr>
      <w:r w:rsidRPr="00E43B72">
        <w:rPr>
          <w:rStyle w:val="Strong"/>
          <w:lang w:val="fr-FR"/>
        </w:rPr>
        <w:t>Perte d</w:t>
      </w:r>
      <w:r w:rsidR="00C2697F" w:rsidRPr="00E43B72">
        <w:rPr>
          <w:rStyle w:val="Strong"/>
          <w:lang w:val="fr-FR"/>
        </w:rPr>
        <w:t>’</w:t>
      </w:r>
      <w:r w:rsidRPr="00E43B72">
        <w:rPr>
          <w:rStyle w:val="Strong"/>
          <w:lang w:val="fr-FR"/>
        </w:rPr>
        <w:t>habitats de nidification</w:t>
      </w:r>
      <w:r w:rsidR="00C421BB" w:rsidRPr="00E43B72">
        <w:rPr>
          <w:lang w:val="fr-FR"/>
        </w:rPr>
        <w:t> :</w:t>
      </w:r>
      <w:r w:rsidRPr="00E43B72">
        <w:rPr>
          <w:lang w:val="fr-FR"/>
        </w:rPr>
        <w:t xml:space="preserve"> l</w:t>
      </w:r>
      <w:r w:rsidR="00C2697F" w:rsidRPr="00E43B72">
        <w:rPr>
          <w:lang w:val="fr-FR"/>
        </w:rPr>
        <w:t>’</w:t>
      </w:r>
      <w:r w:rsidRPr="00E43B72">
        <w:rPr>
          <w:lang w:val="fr-FR"/>
        </w:rPr>
        <w:t>élévation du niveau de la mer devrait rendre plus de 50</w:t>
      </w:r>
      <w:r w:rsidR="00C1110D" w:rsidRPr="00E43B72">
        <w:rPr>
          <w:lang w:val="fr-FR"/>
        </w:rPr>
        <w:t> </w:t>
      </w:r>
      <w:r w:rsidRPr="00E43B72">
        <w:rPr>
          <w:lang w:val="fr-FR"/>
        </w:rPr>
        <w:t>% des plages de nidification actuelles inadaptées dans les décennies à venir en raison d</w:t>
      </w:r>
      <w:r w:rsidR="00C2697F" w:rsidRPr="00E43B72">
        <w:rPr>
          <w:lang w:val="fr-FR"/>
        </w:rPr>
        <w:t>’</w:t>
      </w:r>
      <w:r w:rsidRPr="00E43B72">
        <w:rPr>
          <w:lang w:val="fr-FR"/>
        </w:rPr>
        <w:t>une augmentation de l</w:t>
      </w:r>
      <w:r w:rsidR="00C2697F" w:rsidRPr="00E43B72">
        <w:rPr>
          <w:lang w:val="fr-FR"/>
        </w:rPr>
        <w:t>’</w:t>
      </w:r>
      <w:r w:rsidRPr="00E43B72">
        <w:rPr>
          <w:lang w:val="fr-FR"/>
        </w:rPr>
        <w:t>érosion, des inondations ou de la submersion.</w:t>
      </w:r>
    </w:p>
    <w:p w14:paraId="6BAB5C3B" w14:textId="418CD1D4" w:rsidR="007F08AF" w:rsidRPr="00E43B72" w:rsidRDefault="00000000" w:rsidP="00BA512F">
      <w:pPr>
        <w:pStyle w:val="ListParagraph"/>
        <w:numPr>
          <w:ilvl w:val="0"/>
          <w:numId w:val="16"/>
        </w:numPr>
        <w:contextualSpacing w:val="0"/>
        <w:jc w:val="both"/>
        <w:rPr>
          <w:lang w:val="fr-FR"/>
        </w:rPr>
      </w:pPr>
      <w:r w:rsidRPr="00E43B72">
        <w:rPr>
          <w:rStyle w:val="Strong"/>
          <w:lang w:val="fr-FR"/>
        </w:rPr>
        <w:t>Diminution de la réussite de reproduction</w:t>
      </w:r>
      <w:r w:rsidR="00C421BB" w:rsidRPr="00E43B72">
        <w:rPr>
          <w:lang w:val="fr-FR"/>
        </w:rPr>
        <w:t> :</w:t>
      </w:r>
      <w:r w:rsidRPr="00E43B72">
        <w:rPr>
          <w:lang w:val="fr-FR"/>
        </w:rPr>
        <w:t xml:space="preserve"> les changements climatiques auront également des effets les zones de recherche de nourriture, y compris les récifs et les herbiers marins, en réduisant la productivité, ce qui peut avoir un impact négatif sur la croissance et la condition des tortues marines et, par conséquent, sur leur rendement reproductif. De nombreuses études ont indiqué que la taille des individus parmi les différentes espèces diminue, ce qui entraîne une réduction de la taille des pontes et de la vigueur des éclosions. </w:t>
      </w:r>
    </w:p>
    <w:p w14:paraId="27FE3A46" w14:textId="73A36589" w:rsidR="007F08AF" w:rsidRPr="00E43B72" w:rsidRDefault="00000000" w:rsidP="00BA512F">
      <w:pPr>
        <w:pStyle w:val="ListParagraph"/>
        <w:numPr>
          <w:ilvl w:val="0"/>
          <w:numId w:val="16"/>
        </w:numPr>
        <w:contextualSpacing w:val="0"/>
        <w:jc w:val="both"/>
        <w:rPr>
          <w:lang w:val="fr-FR"/>
        </w:rPr>
      </w:pPr>
      <w:r w:rsidRPr="00E43B72">
        <w:rPr>
          <w:rStyle w:val="Strong"/>
          <w:lang w:val="fr-FR"/>
        </w:rPr>
        <w:t>Conséquences d</w:t>
      </w:r>
      <w:r w:rsidR="00C2697F" w:rsidRPr="00E43B72">
        <w:rPr>
          <w:rStyle w:val="Strong"/>
          <w:lang w:val="fr-FR"/>
        </w:rPr>
        <w:t>’</w:t>
      </w:r>
      <w:r w:rsidRPr="00E43B72">
        <w:rPr>
          <w:rStyle w:val="Strong"/>
          <w:lang w:val="fr-FR"/>
        </w:rPr>
        <w:t>un sable plus chaud sur la vigueur des nouveau-nés et rapport de masculinité</w:t>
      </w:r>
      <w:r w:rsidR="00C421BB" w:rsidRPr="00E43B72">
        <w:rPr>
          <w:rStyle w:val="Strong"/>
          <w:lang w:val="fr-FR"/>
        </w:rPr>
        <w:t> :</w:t>
      </w:r>
      <w:r w:rsidRPr="00E43B72">
        <w:rPr>
          <w:lang w:val="fr-FR"/>
        </w:rPr>
        <w:t xml:space="preserve"> des températures élevées du sable et une fréquence accrue des tempêtes réduiront la survie des nouveau-nés et </w:t>
      </w:r>
      <w:r w:rsidRPr="00E43B72">
        <w:rPr>
          <w:color w:val="000000" w:themeColor="text1"/>
          <w:lang w:val="fr-FR"/>
        </w:rPr>
        <w:t>fausseront la proportion de mâles par rapport aux femelles ainsi que la taille et la vitesse des nouveau-nés, ce qui entraînera des juvéniles plus petits mais nageant plus vite.</w:t>
      </w:r>
    </w:p>
    <w:p w14:paraId="5F0E4633" w14:textId="34548786" w:rsidR="007F08AF" w:rsidRPr="00E43B72" w:rsidRDefault="00000000" w:rsidP="00BA512F">
      <w:pPr>
        <w:pStyle w:val="ListParagraph"/>
        <w:numPr>
          <w:ilvl w:val="0"/>
          <w:numId w:val="16"/>
        </w:numPr>
        <w:contextualSpacing w:val="0"/>
        <w:jc w:val="both"/>
        <w:rPr>
          <w:lang w:val="fr-FR"/>
        </w:rPr>
      </w:pPr>
      <w:r w:rsidRPr="00E43B72">
        <w:rPr>
          <w:rStyle w:val="Strong"/>
          <w:lang w:val="fr-FR"/>
        </w:rPr>
        <w:t>Modifications dans l</w:t>
      </w:r>
      <w:r w:rsidR="00C2697F" w:rsidRPr="00E43B72">
        <w:rPr>
          <w:rStyle w:val="Strong"/>
          <w:lang w:val="fr-FR"/>
        </w:rPr>
        <w:t>’</w:t>
      </w:r>
      <w:r w:rsidRPr="00E43B72">
        <w:rPr>
          <w:rStyle w:val="Strong"/>
          <w:lang w:val="fr-FR"/>
        </w:rPr>
        <w:t>émergence des nouveau-nés</w:t>
      </w:r>
      <w:r w:rsidR="00C421BB" w:rsidRPr="00E43B72">
        <w:rPr>
          <w:lang w:val="fr-FR"/>
        </w:rPr>
        <w:t> :</w:t>
      </w:r>
      <w:r w:rsidRPr="00E43B72">
        <w:rPr>
          <w:lang w:val="fr-FR"/>
        </w:rPr>
        <w:t xml:space="preserve"> les dynamiques altérées de la surface de la mer influencent le moment de l</w:t>
      </w:r>
      <w:r w:rsidR="00C2697F" w:rsidRPr="00E43B72">
        <w:rPr>
          <w:lang w:val="fr-FR"/>
        </w:rPr>
        <w:t>’</w:t>
      </w:r>
      <w:r w:rsidRPr="00E43B72">
        <w:rPr>
          <w:lang w:val="fr-FR"/>
        </w:rPr>
        <w:t>éclosion ainsi que les taux de survie, les nouveau-nés rejoignant les courants plus tôt ou plus tard dans la saison.</w:t>
      </w:r>
    </w:p>
    <w:p w14:paraId="41A80A43" w14:textId="0EB0E94C" w:rsidR="007F08AF" w:rsidRPr="00E43B72" w:rsidRDefault="00000000" w:rsidP="00BA512F">
      <w:pPr>
        <w:pStyle w:val="ListParagraph"/>
        <w:numPr>
          <w:ilvl w:val="0"/>
          <w:numId w:val="16"/>
        </w:numPr>
        <w:contextualSpacing w:val="0"/>
        <w:jc w:val="both"/>
        <w:rPr>
          <w:lang w:val="fr-FR"/>
        </w:rPr>
      </w:pPr>
      <w:r w:rsidRPr="00E43B72">
        <w:rPr>
          <w:rStyle w:val="Strong"/>
          <w:lang w:val="fr-FR"/>
        </w:rPr>
        <w:t>Modifications dans la dynamique des prédateurs</w:t>
      </w:r>
      <w:r w:rsidR="00C421BB" w:rsidRPr="00E43B72">
        <w:rPr>
          <w:lang w:val="fr-FR"/>
        </w:rPr>
        <w:t> :</w:t>
      </w:r>
      <w:r w:rsidRPr="00E43B72">
        <w:rPr>
          <w:lang w:val="fr-FR"/>
        </w:rPr>
        <w:t xml:space="preserve"> les modifications du type, de l</w:t>
      </w:r>
      <w:r w:rsidR="00C2697F" w:rsidRPr="00E43B72">
        <w:rPr>
          <w:lang w:val="fr-FR"/>
        </w:rPr>
        <w:t>’</w:t>
      </w:r>
      <w:r w:rsidRPr="00E43B72">
        <w:rPr>
          <w:lang w:val="fr-FR"/>
        </w:rPr>
        <w:t>abondance et du comportement des prédateurs peuvent réduire les taux de survie des juvéniles, mais ces données sont peu documentées.</w:t>
      </w:r>
    </w:p>
    <w:p w14:paraId="669E9038" w14:textId="73449E76" w:rsidR="007F08AF" w:rsidRPr="00E43B72" w:rsidRDefault="00000000" w:rsidP="00BA512F">
      <w:pPr>
        <w:pStyle w:val="ListParagraph"/>
        <w:numPr>
          <w:ilvl w:val="0"/>
          <w:numId w:val="16"/>
        </w:numPr>
        <w:contextualSpacing w:val="0"/>
        <w:jc w:val="both"/>
        <w:rPr>
          <w:lang w:val="fr-FR"/>
        </w:rPr>
      </w:pPr>
      <w:r w:rsidRPr="00E43B72">
        <w:rPr>
          <w:b/>
          <w:bCs/>
          <w:lang w:val="fr-FR"/>
        </w:rPr>
        <w:t>Accélération de l</w:t>
      </w:r>
      <w:r w:rsidR="00C2697F" w:rsidRPr="00E43B72">
        <w:rPr>
          <w:b/>
          <w:bCs/>
          <w:lang w:val="fr-FR"/>
        </w:rPr>
        <w:t>’</w:t>
      </w:r>
      <w:r w:rsidRPr="00E43B72">
        <w:rPr>
          <w:b/>
          <w:bCs/>
          <w:lang w:val="fr-FR"/>
        </w:rPr>
        <w:t>élévation du niveau de la mer</w:t>
      </w:r>
      <w:r w:rsidR="00C421BB" w:rsidRPr="00E43B72">
        <w:rPr>
          <w:lang w:val="fr-FR"/>
        </w:rPr>
        <w:t> :</w:t>
      </w:r>
      <w:r w:rsidRPr="00E43B72">
        <w:rPr>
          <w:lang w:val="fr-FR"/>
        </w:rPr>
        <w:t xml:space="preserve"> L</w:t>
      </w:r>
      <w:r w:rsidR="00C2697F" w:rsidRPr="00E43B72">
        <w:rPr>
          <w:lang w:val="fr-FR"/>
        </w:rPr>
        <w:t>’</w:t>
      </w:r>
      <w:r w:rsidRPr="00E43B72">
        <w:rPr>
          <w:lang w:val="fr-FR"/>
        </w:rPr>
        <w:t>élévation du niveau de la mer causée par les changements climatiques devrait dépasser 2,6</w:t>
      </w:r>
      <w:r w:rsidR="00C1110D" w:rsidRPr="00E43B72">
        <w:rPr>
          <w:lang w:val="fr-FR"/>
        </w:rPr>
        <w:t> </w:t>
      </w:r>
      <w:r w:rsidRPr="00E43B72">
        <w:rPr>
          <w:lang w:val="fr-FR"/>
        </w:rPr>
        <w:t>mm/an et pourrait potentiellement atteindre jusqu</w:t>
      </w:r>
      <w:r w:rsidR="00C2697F" w:rsidRPr="00E43B72">
        <w:rPr>
          <w:lang w:val="fr-FR"/>
        </w:rPr>
        <w:t>’</w:t>
      </w:r>
      <w:r w:rsidRPr="00E43B72">
        <w:rPr>
          <w:lang w:val="fr-FR"/>
        </w:rPr>
        <w:t>à 10</w:t>
      </w:r>
      <w:r w:rsidR="00C1110D" w:rsidRPr="00E43B72">
        <w:rPr>
          <w:lang w:val="fr-FR"/>
        </w:rPr>
        <w:t> </w:t>
      </w:r>
      <w:r w:rsidRPr="00E43B72">
        <w:rPr>
          <w:lang w:val="fr-FR"/>
        </w:rPr>
        <w:t>mm/an lorsqu</w:t>
      </w:r>
      <w:r w:rsidR="00C2697F" w:rsidRPr="00E43B72">
        <w:rPr>
          <w:lang w:val="fr-FR"/>
        </w:rPr>
        <w:t>’</w:t>
      </w:r>
      <w:r w:rsidRPr="00E43B72">
        <w:rPr>
          <w:lang w:val="fr-FR"/>
        </w:rPr>
        <w:t>elle est combinée à l</w:t>
      </w:r>
      <w:r w:rsidR="00C2697F" w:rsidRPr="00E43B72">
        <w:rPr>
          <w:lang w:val="fr-FR"/>
        </w:rPr>
        <w:t>’</w:t>
      </w:r>
      <w:r w:rsidRPr="00E43B72">
        <w:rPr>
          <w:lang w:val="fr-FR"/>
        </w:rPr>
        <w:t>affaissement des côtes provoqué par l</w:t>
      </w:r>
      <w:r w:rsidR="00C2697F" w:rsidRPr="00E43B72">
        <w:rPr>
          <w:lang w:val="fr-FR"/>
        </w:rPr>
        <w:t>’</w:t>
      </w:r>
      <w:r w:rsidRPr="00E43B72">
        <w:rPr>
          <w:lang w:val="fr-FR"/>
        </w:rPr>
        <w:t>activité humaine.</w:t>
      </w:r>
    </w:p>
    <w:p w14:paraId="6C0F930D" w14:textId="0D78F384" w:rsidR="007F08AF" w:rsidRPr="00E43B72" w:rsidRDefault="00000000" w:rsidP="00BA512F">
      <w:pPr>
        <w:pStyle w:val="ListParagraph"/>
        <w:numPr>
          <w:ilvl w:val="0"/>
          <w:numId w:val="16"/>
        </w:numPr>
        <w:contextualSpacing w:val="0"/>
        <w:jc w:val="both"/>
        <w:rPr>
          <w:lang w:val="fr-FR"/>
        </w:rPr>
      </w:pPr>
      <w:r w:rsidRPr="00E43B72">
        <w:rPr>
          <w:b/>
          <w:bCs/>
          <w:lang w:val="fr-FR"/>
        </w:rPr>
        <w:t>Acidification des océans</w:t>
      </w:r>
      <w:r w:rsidR="00C421BB" w:rsidRPr="00E43B72">
        <w:rPr>
          <w:lang w:val="fr-FR"/>
        </w:rPr>
        <w:t> :</w:t>
      </w:r>
      <w:r w:rsidRPr="00E43B72">
        <w:rPr>
          <w:lang w:val="fr-FR"/>
        </w:rPr>
        <w:t xml:space="preserve"> les plages à forte teneur en carbonate de calcium atténuent l</w:t>
      </w:r>
      <w:r w:rsidR="00C2697F" w:rsidRPr="00E43B72">
        <w:rPr>
          <w:lang w:val="fr-FR"/>
        </w:rPr>
        <w:t>’</w:t>
      </w:r>
      <w:r w:rsidRPr="00E43B72">
        <w:rPr>
          <w:lang w:val="fr-FR"/>
        </w:rPr>
        <w:t>acidification de l</w:t>
      </w:r>
      <w:r w:rsidR="00C2697F" w:rsidRPr="00E43B72">
        <w:rPr>
          <w:lang w:val="fr-FR"/>
        </w:rPr>
        <w:t>’</w:t>
      </w:r>
      <w:r w:rsidRPr="00E43B72">
        <w:rPr>
          <w:lang w:val="fr-FR"/>
        </w:rPr>
        <w:t>eau de mer par dissolution. Toutefois, les taux accélérés d</w:t>
      </w:r>
      <w:r w:rsidR="00C2697F" w:rsidRPr="00E43B72">
        <w:rPr>
          <w:lang w:val="fr-FR"/>
        </w:rPr>
        <w:t>’</w:t>
      </w:r>
      <w:r w:rsidRPr="00E43B72">
        <w:rPr>
          <w:lang w:val="fr-FR"/>
        </w:rPr>
        <w:t>acidification de l</w:t>
      </w:r>
      <w:r w:rsidR="00C2697F" w:rsidRPr="00E43B72">
        <w:rPr>
          <w:lang w:val="fr-FR"/>
        </w:rPr>
        <w:t>’</w:t>
      </w:r>
      <w:r w:rsidRPr="00E43B72">
        <w:rPr>
          <w:lang w:val="fr-FR"/>
        </w:rPr>
        <w:t>eau de mer devraient entraîner une diminution nette du dépôt de sédiments comprise entre 31 et 46</w:t>
      </w:r>
      <w:r w:rsidR="00C1110D" w:rsidRPr="00E43B72">
        <w:rPr>
          <w:lang w:val="fr-FR"/>
        </w:rPr>
        <w:t> </w:t>
      </w:r>
      <w:r w:rsidRPr="00E43B72">
        <w:rPr>
          <w:lang w:val="fr-FR"/>
        </w:rPr>
        <w:t>%, ce qui aggravera le taux d</w:t>
      </w:r>
      <w:r w:rsidR="00C2697F" w:rsidRPr="00E43B72">
        <w:rPr>
          <w:lang w:val="fr-FR"/>
        </w:rPr>
        <w:t>’</w:t>
      </w:r>
      <w:r w:rsidRPr="00E43B72">
        <w:rPr>
          <w:lang w:val="fr-FR"/>
        </w:rPr>
        <w:t>érosion côtière (Simeone et al., 2017). Avec la combinaison des phénomènes acidification de l</w:t>
      </w:r>
      <w:r w:rsidR="00C2697F" w:rsidRPr="00E43B72">
        <w:rPr>
          <w:lang w:val="fr-FR"/>
        </w:rPr>
        <w:t>’</w:t>
      </w:r>
      <w:r w:rsidRPr="00E43B72">
        <w:rPr>
          <w:lang w:val="fr-FR"/>
        </w:rPr>
        <w:t>eau de mer — élévation du niveau de la mer,</w:t>
      </w:r>
      <w:r w:rsidRPr="00E43B72">
        <w:rPr>
          <w:color w:val="EE0000"/>
          <w:lang w:val="fr-FR"/>
        </w:rPr>
        <w:t xml:space="preserve"> </w:t>
      </w:r>
      <w:r w:rsidRPr="00E43B72">
        <w:rPr>
          <w:lang w:val="fr-FR"/>
        </w:rPr>
        <w:t>même les plages vierges (non aménagées) commenceront à s</w:t>
      </w:r>
      <w:r w:rsidR="00C2697F" w:rsidRPr="00E43B72">
        <w:rPr>
          <w:lang w:val="fr-FR"/>
        </w:rPr>
        <w:t>’</w:t>
      </w:r>
      <w:r w:rsidRPr="00E43B72">
        <w:rPr>
          <w:lang w:val="fr-FR"/>
        </w:rPr>
        <w:t>éroder.</w:t>
      </w:r>
    </w:p>
    <w:p w14:paraId="2C894A57" w14:textId="77777777" w:rsidR="007F08AF" w:rsidRPr="00E43B72" w:rsidRDefault="007F08AF">
      <w:pPr>
        <w:jc w:val="both"/>
        <w:rPr>
          <w:rStyle w:val="Strong"/>
          <w:lang w:val="fr-FR"/>
        </w:rPr>
      </w:pPr>
    </w:p>
    <w:p w14:paraId="29F5C5BF" w14:textId="6FEA6F99" w:rsidR="007F08AF" w:rsidRPr="00E43B72" w:rsidRDefault="00000000">
      <w:pPr>
        <w:jc w:val="both"/>
        <w:rPr>
          <w:lang w:val="fr-FR"/>
        </w:rPr>
      </w:pPr>
      <w:r w:rsidRPr="00E43B72">
        <w:rPr>
          <w:rStyle w:val="Strong"/>
          <w:lang w:val="fr-FR"/>
        </w:rPr>
        <w:t>Il existe également des impacts positifs potentiels</w:t>
      </w:r>
      <w:r w:rsidR="00C421BB" w:rsidRPr="00E43B72">
        <w:rPr>
          <w:rStyle w:val="Strong"/>
          <w:lang w:val="fr-FR"/>
        </w:rPr>
        <w:t> :</w:t>
      </w:r>
    </w:p>
    <w:p w14:paraId="54AFF791" w14:textId="7475A889" w:rsidR="007F08AF" w:rsidRPr="00E43B72" w:rsidRDefault="00000000" w:rsidP="00BA512F">
      <w:pPr>
        <w:pStyle w:val="ListParagraph"/>
        <w:numPr>
          <w:ilvl w:val="0"/>
          <w:numId w:val="17"/>
        </w:numPr>
        <w:contextualSpacing w:val="0"/>
        <w:jc w:val="both"/>
        <w:rPr>
          <w:lang w:val="fr-FR"/>
        </w:rPr>
      </w:pPr>
      <w:r w:rsidRPr="00E43B72">
        <w:rPr>
          <w:rStyle w:val="Strong"/>
          <w:lang w:val="fr-FR"/>
        </w:rPr>
        <w:t>Expansion des aires de nidification</w:t>
      </w:r>
      <w:r w:rsidR="00C421BB" w:rsidRPr="00E43B72">
        <w:rPr>
          <w:lang w:val="fr-FR"/>
        </w:rPr>
        <w:t> :</w:t>
      </w:r>
      <w:r w:rsidRPr="00E43B72">
        <w:rPr>
          <w:lang w:val="fr-FR"/>
        </w:rPr>
        <w:t xml:space="preserve"> des températures mondiales plus élevées, semblables à celles des périodes interglaciaires passées, pourraient permettre aux populations de tortues marines de s</w:t>
      </w:r>
      <w:r w:rsidR="00C2697F" w:rsidRPr="00E43B72">
        <w:rPr>
          <w:lang w:val="fr-FR"/>
        </w:rPr>
        <w:t>’</w:t>
      </w:r>
      <w:r w:rsidRPr="00E43B72">
        <w:rPr>
          <w:lang w:val="fr-FR"/>
        </w:rPr>
        <w:t>étendre vers des latitudes plus élevées. Christiaanse et al. (2024) ont estimé que seulement 7</w:t>
      </w:r>
      <w:r w:rsidR="00C1110D" w:rsidRPr="00E43B72">
        <w:rPr>
          <w:lang w:val="fr-FR"/>
        </w:rPr>
        <w:t> </w:t>
      </w:r>
      <w:r w:rsidRPr="00E43B72">
        <w:rPr>
          <w:lang w:val="fr-FR"/>
        </w:rPr>
        <w:t>% des habitats de nidification adéquats sont actuellement exploités.</w:t>
      </w:r>
    </w:p>
    <w:p w14:paraId="7DB964F1" w14:textId="68C2BA56" w:rsidR="007F08AF" w:rsidRPr="00E43B72" w:rsidRDefault="00000000" w:rsidP="00BA512F">
      <w:pPr>
        <w:pStyle w:val="ListParagraph"/>
        <w:numPr>
          <w:ilvl w:val="0"/>
          <w:numId w:val="17"/>
        </w:numPr>
        <w:contextualSpacing w:val="0"/>
        <w:jc w:val="both"/>
        <w:rPr>
          <w:lang w:val="fr-FR"/>
        </w:rPr>
      </w:pPr>
      <w:r w:rsidRPr="00E43B72">
        <w:rPr>
          <w:rStyle w:val="Strong"/>
          <w:lang w:val="fr-FR"/>
        </w:rPr>
        <w:t>Création de nouveaux habitats de nidification</w:t>
      </w:r>
      <w:r w:rsidR="00C421BB" w:rsidRPr="00E43B72">
        <w:rPr>
          <w:lang w:val="fr-FR"/>
        </w:rPr>
        <w:t> :</w:t>
      </w:r>
      <w:r w:rsidRPr="00E43B72">
        <w:rPr>
          <w:lang w:val="fr-FR"/>
        </w:rPr>
        <w:t xml:space="preserve"> les tendances au réchauffement pourraient rendre viables, pour la ponte des œufs, des plages auparavant inadaptées, créant ainsi de nouvelles possibilités de nidification.</w:t>
      </w:r>
    </w:p>
    <w:p w14:paraId="4C6267A3" w14:textId="1325E258" w:rsidR="007F08AF" w:rsidRPr="00E43B72" w:rsidRDefault="00000000" w:rsidP="00BA512F">
      <w:pPr>
        <w:pStyle w:val="ListParagraph"/>
        <w:numPr>
          <w:ilvl w:val="0"/>
          <w:numId w:val="17"/>
        </w:numPr>
        <w:contextualSpacing w:val="0"/>
        <w:jc w:val="both"/>
        <w:rPr>
          <w:lang w:val="fr-FR"/>
        </w:rPr>
      </w:pPr>
      <w:r w:rsidRPr="00E43B72">
        <w:rPr>
          <w:rStyle w:val="Strong"/>
          <w:lang w:val="fr-FR"/>
        </w:rPr>
        <w:t>Orientation en faveur des femelles</w:t>
      </w:r>
      <w:r w:rsidR="00C421BB" w:rsidRPr="00E43B72">
        <w:rPr>
          <w:lang w:val="fr-FR"/>
        </w:rPr>
        <w:t> :</w:t>
      </w:r>
      <w:r w:rsidRPr="00E43B72">
        <w:rPr>
          <w:lang w:val="fr-FR"/>
        </w:rPr>
        <w:t xml:space="preserve"> à court terme, celle-ci peut favoriser le rétablissement des populations, à condition qu</w:t>
      </w:r>
      <w:r w:rsidR="00C2697F" w:rsidRPr="00E43B72">
        <w:rPr>
          <w:lang w:val="fr-FR"/>
        </w:rPr>
        <w:t>’</w:t>
      </w:r>
      <w:r w:rsidRPr="00E43B72">
        <w:rPr>
          <w:lang w:val="fr-FR"/>
        </w:rPr>
        <w:t xml:space="preserve">un habitat de nidification adéquat soit disponible. </w:t>
      </w:r>
    </w:p>
    <w:p w14:paraId="762EBC3E" w14:textId="77777777" w:rsidR="007F08AF" w:rsidRPr="00E43B72" w:rsidRDefault="007F08AF">
      <w:pPr>
        <w:jc w:val="both"/>
        <w:rPr>
          <w:lang w:val="fr-FR"/>
        </w:rPr>
      </w:pPr>
    </w:p>
    <w:p w14:paraId="79F8832B" w14:textId="7B0BE176" w:rsidR="007F08AF" w:rsidRPr="00E43B72" w:rsidRDefault="00000000">
      <w:pPr>
        <w:jc w:val="both"/>
        <w:rPr>
          <w:lang w:val="fr-FR"/>
        </w:rPr>
      </w:pPr>
      <w:r w:rsidRPr="00E43B72">
        <w:rPr>
          <w:lang w:val="fr-FR"/>
        </w:rPr>
        <w:t>Il est évident que la gestion des habitats, qu</w:t>
      </w:r>
      <w:r w:rsidR="00C2697F" w:rsidRPr="00E43B72">
        <w:rPr>
          <w:lang w:val="fr-FR"/>
        </w:rPr>
        <w:t>’</w:t>
      </w:r>
      <w:r w:rsidRPr="00E43B72">
        <w:rPr>
          <w:lang w:val="fr-FR"/>
        </w:rPr>
        <w:t xml:space="preserve">ils soient naturels ou artificiels, reposera sur </w:t>
      </w:r>
      <w:r w:rsidRPr="00E43B72">
        <w:rPr>
          <w:b/>
          <w:bCs/>
          <w:lang w:val="fr-FR"/>
        </w:rPr>
        <w:t>des pratiques holistiques de gestion des plages</w:t>
      </w:r>
      <w:r w:rsidRPr="00E43B72">
        <w:rPr>
          <w:lang w:val="fr-FR"/>
        </w:rPr>
        <w:t xml:space="preserve"> </w:t>
      </w:r>
      <w:r w:rsidRPr="00E43B72">
        <w:rPr>
          <w:b/>
          <w:bCs/>
          <w:lang w:val="fr-FR"/>
        </w:rPr>
        <w:t>à l</w:t>
      </w:r>
      <w:r w:rsidR="00C2697F" w:rsidRPr="00E43B72">
        <w:rPr>
          <w:b/>
          <w:bCs/>
          <w:lang w:val="fr-FR"/>
        </w:rPr>
        <w:t>’</w:t>
      </w:r>
      <w:r w:rsidRPr="00E43B72">
        <w:rPr>
          <w:b/>
          <w:bCs/>
          <w:lang w:val="fr-FR"/>
        </w:rPr>
        <w:t>échelle du méta-écosystème côtier</w:t>
      </w:r>
      <w:r w:rsidRPr="00E43B72">
        <w:rPr>
          <w:lang w:val="fr-FR"/>
        </w:rPr>
        <w:t xml:space="preserve"> (Defeo et al., 2025). L</w:t>
      </w:r>
      <w:r w:rsidR="00C2697F" w:rsidRPr="00E43B72">
        <w:rPr>
          <w:lang w:val="fr-FR"/>
        </w:rPr>
        <w:t>’</w:t>
      </w:r>
      <w:r w:rsidRPr="00E43B72">
        <w:rPr>
          <w:lang w:val="fr-FR"/>
        </w:rPr>
        <w:t>adoption de pratiques de gestion durable des côtes est essentielle pour prévenir l</w:t>
      </w:r>
      <w:r w:rsidR="00C2697F" w:rsidRPr="00E43B72">
        <w:rPr>
          <w:lang w:val="fr-FR"/>
        </w:rPr>
        <w:t>’</w:t>
      </w:r>
      <w:r w:rsidRPr="00E43B72">
        <w:rPr>
          <w:lang w:val="fr-FR"/>
        </w:rPr>
        <w:t>érosion des plages causée par l</w:t>
      </w:r>
      <w:r w:rsidR="00C2697F" w:rsidRPr="00E43B72">
        <w:rPr>
          <w:lang w:val="fr-FR"/>
        </w:rPr>
        <w:t>’</w:t>
      </w:r>
      <w:r w:rsidRPr="00E43B72">
        <w:rPr>
          <w:lang w:val="fr-FR"/>
        </w:rPr>
        <w:t>homme et éviter les activités préjudiciables telles que l</w:t>
      </w:r>
      <w:r w:rsidR="00C2697F" w:rsidRPr="00E43B72">
        <w:rPr>
          <w:lang w:val="fr-FR"/>
        </w:rPr>
        <w:t>’</w:t>
      </w:r>
      <w:r w:rsidRPr="00E43B72">
        <w:rPr>
          <w:lang w:val="fr-FR"/>
        </w:rPr>
        <w:t>aménagement du littoral non planifié et l</w:t>
      </w:r>
      <w:r w:rsidR="00C2697F" w:rsidRPr="00E43B72">
        <w:rPr>
          <w:lang w:val="fr-FR"/>
        </w:rPr>
        <w:t>’</w:t>
      </w:r>
      <w:r w:rsidRPr="00E43B72">
        <w:rPr>
          <w:lang w:val="fr-FR"/>
        </w:rPr>
        <w:t xml:space="preserve">extraction de sable. Cette démarche inclut la protection des processus hydrodynamiques naturels et du transport des sédiments en amont </w:t>
      </w:r>
      <w:r w:rsidRPr="00E43B72">
        <w:rPr>
          <w:lang w:val="fr-FR"/>
        </w:rPr>
        <w:lastRenderedPageBreak/>
        <w:t>et en aval des plages, en veillant à ce que ces systèmes restent intacts, ainsi que la mise en place de zones tampons pour l</w:t>
      </w:r>
      <w:r w:rsidR="00C2697F" w:rsidRPr="00E43B72">
        <w:rPr>
          <w:lang w:val="fr-FR"/>
        </w:rPr>
        <w:t>’</w:t>
      </w:r>
      <w:r w:rsidRPr="00E43B72">
        <w:rPr>
          <w:lang w:val="fr-FR"/>
        </w:rPr>
        <w:t>élévation du niveau de la mer grâce à des marges de recul côtières appropriées. Lorsque les infrastructures existantes perturbent ces processus, il convient d</w:t>
      </w:r>
      <w:r w:rsidR="00C2697F" w:rsidRPr="00E43B72">
        <w:rPr>
          <w:lang w:val="fr-FR"/>
        </w:rPr>
        <w:t>’</w:t>
      </w:r>
      <w:r w:rsidRPr="00E43B72">
        <w:rPr>
          <w:lang w:val="fr-FR"/>
        </w:rPr>
        <w:t>envisager sérieusement de les déplacer, de les éliminer ou de laisser la dynamique côtière les reprendre naturellement.</w:t>
      </w:r>
    </w:p>
    <w:p w14:paraId="4DCCF125" w14:textId="77777777" w:rsidR="007F08AF" w:rsidRPr="00E43B72" w:rsidRDefault="007F08AF">
      <w:pPr>
        <w:jc w:val="both"/>
        <w:rPr>
          <w:lang w:val="fr-FR"/>
        </w:rPr>
      </w:pPr>
    </w:p>
    <w:p w14:paraId="4A4C0144" w14:textId="60CF8614" w:rsidR="007F08AF" w:rsidRPr="00E43B72" w:rsidRDefault="00000000">
      <w:pPr>
        <w:pStyle w:val="Secondnumbering"/>
        <w:numPr>
          <w:ilvl w:val="0"/>
          <w:numId w:val="0"/>
        </w:numPr>
        <w:jc w:val="both"/>
        <w:rPr>
          <w:lang w:val="fr-FR"/>
        </w:rPr>
      </w:pPr>
      <w:r w:rsidRPr="00E43B72">
        <w:rPr>
          <w:lang w:val="fr-FR"/>
        </w:rPr>
        <w:t>Dans les villes côtières densément aménagées, la relocalisation peut ne pas être réalisable, et des solutions d</w:t>
      </w:r>
      <w:r w:rsidR="00C2697F" w:rsidRPr="00E43B72">
        <w:rPr>
          <w:lang w:val="fr-FR"/>
        </w:rPr>
        <w:t>’</w:t>
      </w:r>
      <w:r w:rsidRPr="00E43B72">
        <w:rPr>
          <w:lang w:val="fr-FR"/>
        </w:rPr>
        <w:t>ingénierie lourdes comme des digues peuvent s</w:t>
      </w:r>
      <w:r w:rsidR="00C2697F" w:rsidRPr="00E43B72">
        <w:rPr>
          <w:lang w:val="fr-FR"/>
        </w:rPr>
        <w:t>’</w:t>
      </w:r>
      <w:r w:rsidRPr="00E43B72">
        <w:rPr>
          <w:lang w:val="fr-FR"/>
        </w:rPr>
        <w:t>avérer nécessaires — bien que celles-ci entraînent souvent un rétrécissement du littoral, éliminant finalement les habitats de nidification sur la haute plage et repoussant les tortues marines. Les solutions plus souples, telles que le remblayage des plages, sont généralement privilégiées malgré leur coût élevé, car elles sont plus durables que les défenses rigides. Cependant, le remblayage doit être effectué à plusieurs reprises au fil du temps, car le sable s</w:t>
      </w:r>
      <w:r w:rsidR="00C2697F" w:rsidRPr="00E43B72">
        <w:rPr>
          <w:lang w:val="fr-FR"/>
        </w:rPr>
        <w:t>’</w:t>
      </w:r>
      <w:r w:rsidRPr="00E43B72">
        <w:rPr>
          <w:lang w:val="fr-FR"/>
        </w:rPr>
        <w:t>érode naturellement. Enfin, les zones côtières devraient être explicitement intégrées dans les cadres d</w:t>
      </w:r>
      <w:r w:rsidR="00C2697F" w:rsidRPr="00E43B72">
        <w:rPr>
          <w:lang w:val="fr-FR"/>
        </w:rPr>
        <w:t>’</w:t>
      </w:r>
      <w:r w:rsidRPr="00E43B72">
        <w:rPr>
          <w:lang w:val="fr-FR"/>
        </w:rPr>
        <w:t>aménagement du territoire en tant que systèmes uniques et dynamiques, reconnaissant la connectivité continue et significative entre la terre et la mer à différentes échelles spatiales et temporelles.</w:t>
      </w:r>
    </w:p>
    <w:p w14:paraId="60D96BF6" w14:textId="77777777" w:rsidR="007F08AF" w:rsidRPr="00E43B72" w:rsidRDefault="007F08AF">
      <w:pPr>
        <w:pStyle w:val="Secondnumbering"/>
        <w:numPr>
          <w:ilvl w:val="0"/>
          <w:numId w:val="0"/>
        </w:numPr>
        <w:jc w:val="both"/>
        <w:rPr>
          <w:lang w:val="fr-FR"/>
        </w:rPr>
      </w:pPr>
    </w:p>
    <w:p w14:paraId="43E7DF8F" w14:textId="00AFE5CA" w:rsidR="007F08AF" w:rsidRPr="005A7158" w:rsidRDefault="002D4E6F">
      <w:pPr>
        <w:pStyle w:val="Secondnumbering"/>
        <w:numPr>
          <w:ilvl w:val="0"/>
          <w:numId w:val="0"/>
        </w:numPr>
        <w:jc w:val="both"/>
        <w:rPr>
          <w:b/>
          <w:lang w:val="fr-FR"/>
        </w:rPr>
      </w:pPr>
      <w:r w:rsidRPr="005A7158">
        <w:rPr>
          <w:b/>
          <w:lang w:val="fr-FR"/>
        </w:rPr>
        <w:t>Références</w:t>
      </w:r>
    </w:p>
    <w:p w14:paraId="1AA35BA9" w14:textId="77777777" w:rsidR="002D4E6F" w:rsidRPr="005A7158" w:rsidRDefault="002D4E6F">
      <w:pPr>
        <w:pStyle w:val="Secondnumbering"/>
        <w:numPr>
          <w:ilvl w:val="0"/>
          <w:numId w:val="0"/>
        </w:numPr>
        <w:jc w:val="both"/>
        <w:rPr>
          <w:iCs/>
          <w:lang w:val="fr-FR"/>
        </w:rPr>
      </w:pPr>
    </w:p>
    <w:p w14:paraId="31785548"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lang w:val="fr-FR"/>
        </w:rPr>
        <w:t xml:space="preserve">Brock, K. A., Reece, J. S., &amp; Ehrhart, L. M. (2009). </w:t>
      </w:r>
      <w:r w:rsidRPr="005A7158">
        <w:rPr>
          <w:rFonts w:cs="Arial"/>
          <w:sz w:val="20"/>
          <w:szCs w:val="20"/>
          <w:shd w:val="clear" w:color="auto" w:fill="FFFFFF"/>
        </w:rPr>
        <w:t>The effects of artificial beach nourishment on marine turtles: differences between loggerhead and green turtles. </w:t>
      </w:r>
      <w:r w:rsidRPr="005A7158">
        <w:rPr>
          <w:rFonts w:cs="Arial"/>
          <w:i/>
          <w:iCs/>
          <w:sz w:val="20"/>
          <w:szCs w:val="20"/>
          <w:shd w:val="clear" w:color="auto" w:fill="FFFFFF"/>
        </w:rPr>
        <w:t>Restoration Ecology</w:t>
      </w:r>
      <w:r w:rsidRPr="005A7158">
        <w:rPr>
          <w:rFonts w:cs="Arial"/>
          <w:sz w:val="20"/>
          <w:szCs w:val="20"/>
          <w:shd w:val="clear" w:color="auto" w:fill="FFFFFF"/>
        </w:rPr>
        <w:t>, </w:t>
      </w:r>
      <w:r w:rsidRPr="005A7158">
        <w:rPr>
          <w:rFonts w:cs="Arial"/>
          <w:i/>
          <w:iCs/>
          <w:sz w:val="20"/>
          <w:szCs w:val="20"/>
          <w:shd w:val="clear" w:color="auto" w:fill="FFFFFF"/>
        </w:rPr>
        <w:t>17</w:t>
      </w:r>
      <w:r w:rsidRPr="005A7158">
        <w:rPr>
          <w:rFonts w:cs="Arial"/>
          <w:sz w:val="20"/>
          <w:szCs w:val="20"/>
          <w:shd w:val="clear" w:color="auto" w:fill="FFFFFF"/>
        </w:rPr>
        <w:t>(2), 297-307.</w:t>
      </w:r>
    </w:p>
    <w:p w14:paraId="706C66F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Byrd, J. I. (2004). </w:t>
      </w:r>
      <w:r w:rsidRPr="005A7158">
        <w:rPr>
          <w:rFonts w:cs="Arial"/>
          <w:i/>
          <w:iCs/>
          <w:sz w:val="20"/>
          <w:szCs w:val="20"/>
          <w:shd w:val="clear" w:color="auto" w:fill="FFFFFF"/>
        </w:rPr>
        <w:t>The effect of beach nourishment on loggerhead sea turtle (Caretta caretta) nesting in south Carolina</w:t>
      </w:r>
      <w:r w:rsidRPr="005A7158">
        <w:rPr>
          <w:rFonts w:cs="Arial"/>
          <w:sz w:val="20"/>
          <w:szCs w:val="20"/>
          <w:shd w:val="clear" w:color="auto" w:fill="FFFFFF"/>
        </w:rPr>
        <w:t> (Doctoral dissertation, Graduate School, College of Charleston).</w:t>
      </w:r>
    </w:p>
    <w:p w14:paraId="09B6502C" w14:textId="77777777" w:rsidR="007F08AF" w:rsidRPr="005A7158" w:rsidRDefault="00000000">
      <w:pPr>
        <w:spacing w:after="40"/>
        <w:ind w:left="397" w:hanging="397"/>
        <w:jc w:val="both"/>
        <w:rPr>
          <w:rFonts w:cs="Arial"/>
          <w:b/>
          <w:sz w:val="20"/>
          <w:szCs w:val="20"/>
          <w:shd w:val="clear" w:color="auto" w:fill="FFFFFF"/>
          <w:lang w:val="it-IT"/>
        </w:rPr>
      </w:pPr>
      <w:r w:rsidRPr="005A7158">
        <w:rPr>
          <w:rFonts w:cs="Arial"/>
          <w:sz w:val="20"/>
          <w:szCs w:val="20"/>
          <w:shd w:val="clear" w:color="auto" w:fill="FFFFFF"/>
        </w:rPr>
        <w:t>Christiaanse, J. C., Antolínez, J. A., Luijendijk, A. P., Athanasiou, P., Duarte, C. M., &amp; Aarninkhof, S. (2024). Distribution of global sea turtle nesting explained from regional-scale coastal characteristics. </w:t>
      </w:r>
      <w:r w:rsidRPr="005A7158">
        <w:rPr>
          <w:rFonts w:cs="Arial"/>
          <w:i/>
          <w:sz w:val="20"/>
          <w:szCs w:val="20"/>
          <w:shd w:val="clear" w:color="auto" w:fill="FFFFFF"/>
          <w:lang w:val="it-IT"/>
        </w:rPr>
        <w:t>Scientific Reports</w:t>
      </w:r>
      <w:r w:rsidRPr="005A7158">
        <w:rPr>
          <w:rFonts w:cs="Arial"/>
          <w:sz w:val="20"/>
          <w:szCs w:val="20"/>
          <w:shd w:val="clear" w:color="auto" w:fill="FFFFFF"/>
          <w:lang w:val="it-IT"/>
        </w:rPr>
        <w:t>, </w:t>
      </w:r>
      <w:r w:rsidRPr="005A7158">
        <w:rPr>
          <w:rFonts w:cs="Arial"/>
          <w:i/>
          <w:sz w:val="20"/>
          <w:szCs w:val="20"/>
          <w:shd w:val="clear" w:color="auto" w:fill="FFFFFF"/>
          <w:lang w:val="it-IT"/>
        </w:rPr>
        <w:t>14</w:t>
      </w:r>
      <w:r w:rsidRPr="005A7158">
        <w:rPr>
          <w:rFonts w:cs="Arial"/>
          <w:sz w:val="20"/>
          <w:szCs w:val="20"/>
          <w:shd w:val="clear" w:color="auto" w:fill="FFFFFF"/>
          <w:lang w:val="it-IT"/>
        </w:rPr>
        <w:t>(1), 752.</w:t>
      </w:r>
    </w:p>
    <w:p w14:paraId="322E5E0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lang w:val="it-IT"/>
        </w:rPr>
        <w:t xml:space="preserve">Defeo, O., Corte, G., Barboza, C. A., Debiasi, P., Costa, L. L., Elliott, M., ... </w:t>
      </w:r>
      <w:r w:rsidRPr="005A7158">
        <w:rPr>
          <w:rFonts w:cs="Arial"/>
          <w:sz w:val="20"/>
          <w:szCs w:val="20"/>
          <w:shd w:val="clear" w:color="auto" w:fill="FFFFFF"/>
        </w:rPr>
        <w:t>&amp; McLachlan, A. (2025). Sandy beaches within meta-social-ecological systems: An integrated framework for ecology, management, and conservation. </w:t>
      </w:r>
      <w:r w:rsidRPr="005A7158">
        <w:rPr>
          <w:rFonts w:cs="Arial"/>
          <w:i/>
          <w:iCs/>
          <w:sz w:val="20"/>
          <w:szCs w:val="20"/>
          <w:shd w:val="clear" w:color="auto" w:fill="FFFFFF"/>
        </w:rPr>
        <w:t>Estuarine, Coastal and Shelf Science</w:t>
      </w:r>
      <w:r w:rsidRPr="005A7158">
        <w:rPr>
          <w:rFonts w:cs="Arial"/>
          <w:sz w:val="20"/>
          <w:szCs w:val="20"/>
          <w:shd w:val="clear" w:color="auto" w:fill="FFFFFF"/>
        </w:rPr>
        <w:t>, 109350.</w:t>
      </w:r>
    </w:p>
    <w:p w14:paraId="37D94B25"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Heppell, S. S., Crowder, L. B., &amp; Crouse, D. T. (1996). Models to evaluate headstarting as a management tool for long</w:t>
      </w:r>
      <w:r w:rsidRPr="005A7158">
        <w:rPr>
          <w:rFonts w:ascii="Cambria Math" w:hAnsi="Cambria Math" w:cs="Cambria Math"/>
          <w:sz w:val="20"/>
          <w:szCs w:val="20"/>
          <w:shd w:val="clear" w:color="auto" w:fill="FFFFFF"/>
        </w:rPr>
        <w:t>‐</w:t>
      </w:r>
      <w:r w:rsidRPr="005A7158">
        <w:rPr>
          <w:rFonts w:cs="Arial"/>
          <w:sz w:val="20"/>
          <w:szCs w:val="20"/>
          <w:shd w:val="clear" w:color="auto" w:fill="FFFFFF"/>
        </w:rPr>
        <w:t>lived turtles. </w:t>
      </w:r>
      <w:r w:rsidRPr="005A7158">
        <w:rPr>
          <w:rFonts w:cs="Arial"/>
          <w:i/>
          <w:iCs/>
          <w:sz w:val="20"/>
          <w:szCs w:val="20"/>
          <w:shd w:val="clear" w:color="auto" w:fill="FFFFFF"/>
        </w:rPr>
        <w:t>Ecological applications</w:t>
      </w:r>
      <w:r w:rsidRPr="005A7158">
        <w:rPr>
          <w:rFonts w:cs="Arial"/>
          <w:sz w:val="20"/>
          <w:szCs w:val="20"/>
          <w:shd w:val="clear" w:color="auto" w:fill="FFFFFF"/>
        </w:rPr>
        <w:t>, </w:t>
      </w:r>
      <w:r w:rsidRPr="005A7158">
        <w:rPr>
          <w:rFonts w:cs="Arial"/>
          <w:i/>
          <w:iCs/>
          <w:sz w:val="20"/>
          <w:szCs w:val="20"/>
          <w:shd w:val="clear" w:color="auto" w:fill="FFFFFF"/>
        </w:rPr>
        <w:t>6</w:t>
      </w:r>
      <w:r w:rsidRPr="005A7158">
        <w:rPr>
          <w:rFonts w:cs="Arial"/>
          <w:sz w:val="20"/>
          <w:szCs w:val="20"/>
          <w:shd w:val="clear" w:color="auto" w:fill="FFFFFF"/>
        </w:rPr>
        <w:t>(2), 556-565.</w:t>
      </w:r>
    </w:p>
    <w:p w14:paraId="26248ACF"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Hodgson, E. E., &amp; Halpern, B. S. (2018). Investigating cumulative effects across ecological scales. </w:t>
      </w:r>
      <w:r w:rsidRPr="005A7158">
        <w:rPr>
          <w:rFonts w:cs="Arial"/>
          <w:i/>
          <w:iCs/>
          <w:sz w:val="20"/>
          <w:szCs w:val="20"/>
          <w:shd w:val="clear" w:color="auto" w:fill="FFFFFF"/>
        </w:rPr>
        <w:t>Conservation Biology</w:t>
      </w:r>
      <w:r w:rsidRPr="005A7158">
        <w:rPr>
          <w:rFonts w:cs="Arial"/>
          <w:sz w:val="20"/>
          <w:szCs w:val="20"/>
          <w:shd w:val="clear" w:color="auto" w:fill="FFFFFF"/>
        </w:rPr>
        <w:t>, </w:t>
      </w:r>
      <w:r w:rsidRPr="005A7158">
        <w:rPr>
          <w:rFonts w:cs="Arial"/>
          <w:i/>
          <w:iCs/>
          <w:sz w:val="20"/>
          <w:szCs w:val="20"/>
          <w:shd w:val="clear" w:color="auto" w:fill="FFFFFF"/>
        </w:rPr>
        <w:t>33</w:t>
      </w:r>
      <w:r w:rsidRPr="005A7158">
        <w:rPr>
          <w:rFonts w:cs="Arial"/>
          <w:sz w:val="20"/>
          <w:szCs w:val="20"/>
          <w:shd w:val="clear" w:color="auto" w:fill="FFFFFF"/>
        </w:rPr>
        <w:t>(1), 22-32.</w:t>
      </w:r>
    </w:p>
    <w:p w14:paraId="62EDDBCC" w14:textId="30C737FC" w:rsidR="007F08AF" w:rsidRPr="005A7158" w:rsidRDefault="00000000">
      <w:pPr>
        <w:spacing w:after="40"/>
        <w:ind w:left="397" w:hanging="397"/>
        <w:jc w:val="both"/>
        <w:rPr>
          <w:rFonts w:cs="Arial"/>
          <w:b/>
          <w:sz w:val="20"/>
          <w:szCs w:val="20"/>
          <w:shd w:val="clear" w:color="auto" w:fill="FFFFFF"/>
        </w:rPr>
      </w:pPr>
      <w:r w:rsidRPr="005A7158">
        <w:rPr>
          <w:rFonts w:cs="Arial"/>
          <w:sz w:val="20"/>
          <w:szCs w:val="20"/>
          <w:shd w:val="clear" w:color="auto" w:fill="FFFFFF"/>
        </w:rPr>
        <w:t>Houston, J. R. (2024). The economic value of America</w:t>
      </w:r>
      <w:r w:rsidR="00C2697F" w:rsidRPr="005A7158">
        <w:rPr>
          <w:rFonts w:cs="Arial"/>
          <w:sz w:val="20"/>
          <w:szCs w:val="20"/>
          <w:shd w:val="clear" w:color="auto" w:fill="FFFFFF"/>
        </w:rPr>
        <w:t>’</w:t>
      </w:r>
      <w:r w:rsidRPr="005A7158">
        <w:rPr>
          <w:rFonts w:cs="Arial"/>
          <w:sz w:val="20"/>
          <w:szCs w:val="20"/>
          <w:shd w:val="clear" w:color="auto" w:fill="FFFFFF"/>
        </w:rPr>
        <w:t>s beaches. </w:t>
      </w:r>
      <w:r w:rsidRPr="005A7158">
        <w:rPr>
          <w:rFonts w:cs="Arial"/>
          <w:i/>
          <w:sz w:val="20"/>
          <w:szCs w:val="20"/>
          <w:shd w:val="clear" w:color="auto" w:fill="FFFFFF"/>
        </w:rPr>
        <w:t>Shore &amp; Beach</w:t>
      </w:r>
      <w:r w:rsidRPr="005A7158">
        <w:rPr>
          <w:rFonts w:cs="Arial"/>
          <w:sz w:val="20"/>
          <w:szCs w:val="20"/>
          <w:shd w:val="clear" w:color="auto" w:fill="FFFFFF"/>
        </w:rPr>
        <w:t>, </w:t>
      </w:r>
      <w:r w:rsidRPr="005A7158">
        <w:rPr>
          <w:rFonts w:cs="Arial"/>
          <w:i/>
          <w:sz w:val="20"/>
          <w:szCs w:val="20"/>
          <w:shd w:val="clear" w:color="auto" w:fill="FFFFFF"/>
        </w:rPr>
        <w:t>92</w:t>
      </w:r>
      <w:r w:rsidRPr="005A7158">
        <w:rPr>
          <w:rFonts w:cs="Arial"/>
          <w:sz w:val="20"/>
          <w:szCs w:val="20"/>
          <w:shd w:val="clear" w:color="auto" w:fill="FFFFFF"/>
        </w:rPr>
        <w:t>(2), 33-43.</w:t>
      </w:r>
    </w:p>
    <w:p w14:paraId="5A160E94" w14:textId="68508574"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Luijendijk, A., Hagenaars, G., Ranasinghe, R., Baart, F., Donchyts, G., &amp; Aarninkhof, S. (2018). The state of the world</w:t>
      </w:r>
      <w:r w:rsidR="00C2697F" w:rsidRPr="005A7158">
        <w:rPr>
          <w:rFonts w:cs="Arial"/>
          <w:sz w:val="20"/>
          <w:szCs w:val="20"/>
          <w:shd w:val="clear" w:color="auto" w:fill="FFFFFF"/>
        </w:rPr>
        <w:t>’</w:t>
      </w:r>
      <w:r w:rsidRPr="005A7158">
        <w:rPr>
          <w:rFonts w:cs="Arial"/>
          <w:sz w:val="20"/>
          <w:szCs w:val="20"/>
          <w:shd w:val="clear" w:color="auto" w:fill="FFFFFF"/>
        </w:rPr>
        <w:t>s beaches. </w:t>
      </w:r>
      <w:r w:rsidRPr="005A7158">
        <w:rPr>
          <w:rFonts w:cs="Arial"/>
          <w:i/>
          <w:iCs/>
          <w:sz w:val="20"/>
          <w:szCs w:val="20"/>
          <w:shd w:val="clear" w:color="auto" w:fill="FFFFFF"/>
        </w:rPr>
        <w:t>Scientific reports</w:t>
      </w:r>
      <w:r w:rsidRPr="005A7158">
        <w:rPr>
          <w:rFonts w:cs="Arial"/>
          <w:sz w:val="20"/>
          <w:szCs w:val="20"/>
          <w:shd w:val="clear" w:color="auto" w:fill="FFFFFF"/>
        </w:rPr>
        <w:t>, </w:t>
      </w:r>
      <w:r w:rsidRPr="005A7158">
        <w:rPr>
          <w:rFonts w:cs="Arial"/>
          <w:i/>
          <w:iCs/>
          <w:sz w:val="20"/>
          <w:szCs w:val="20"/>
          <w:shd w:val="clear" w:color="auto" w:fill="FFFFFF"/>
        </w:rPr>
        <w:t>8</w:t>
      </w:r>
      <w:r w:rsidRPr="005A7158">
        <w:rPr>
          <w:rFonts w:cs="Arial"/>
          <w:sz w:val="20"/>
          <w:szCs w:val="20"/>
          <w:shd w:val="clear" w:color="auto" w:fill="FFFFFF"/>
        </w:rPr>
        <w:t>(1), 6641.</w:t>
      </w:r>
    </w:p>
    <w:p w14:paraId="1B3A2C1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Phillott, A. D., Kale, N. U. P. U. R., &amp; Unhale, A. (2021). Are sea turtle hatcheries in India following best practices. </w:t>
      </w:r>
      <w:r w:rsidRPr="005A7158">
        <w:rPr>
          <w:rFonts w:cs="Arial"/>
          <w:i/>
          <w:iCs/>
          <w:sz w:val="20"/>
          <w:szCs w:val="20"/>
          <w:shd w:val="clear" w:color="auto" w:fill="FFFFFF"/>
        </w:rPr>
        <w:t>Herpetological Conservation and Biology</w:t>
      </w:r>
      <w:r w:rsidRPr="005A7158">
        <w:rPr>
          <w:rFonts w:cs="Arial"/>
          <w:sz w:val="20"/>
          <w:szCs w:val="20"/>
          <w:shd w:val="clear" w:color="auto" w:fill="FFFFFF"/>
        </w:rPr>
        <w:t>, </w:t>
      </w:r>
      <w:r w:rsidRPr="005A7158">
        <w:rPr>
          <w:rFonts w:cs="Arial"/>
          <w:i/>
          <w:iCs/>
          <w:sz w:val="20"/>
          <w:szCs w:val="20"/>
          <w:shd w:val="clear" w:color="auto" w:fill="FFFFFF"/>
        </w:rPr>
        <w:t>16</w:t>
      </w:r>
      <w:r w:rsidRPr="005A7158">
        <w:rPr>
          <w:rFonts w:cs="Arial"/>
          <w:sz w:val="20"/>
          <w:szCs w:val="20"/>
          <w:shd w:val="clear" w:color="auto" w:fill="FFFFFF"/>
        </w:rPr>
        <w:t>(3), 652-670.</w:t>
      </w:r>
    </w:p>
    <w:p w14:paraId="21B95C06"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Reine, K. J. (2022). A literature review of beach nourishment impacts on marine turtles. Ecosystem Management and Restoration Research Program, AMSCO Code 031342. 82 Pages.</w:t>
      </w:r>
    </w:p>
    <w:p w14:paraId="5F0C0F78"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Robertson, K., Dawson, J., &amp; Coffee, O. (2024). Raine Island Recovery Project—Intervening at One of the Most Significant Sites on the Great Barrier Reef. In </w:t>
      </w:r>
      <w:r w:rsidRPr="005A7158">
        <w:rPr>
          <w:rFonts w:cs="Arial"/>
          <w:i/>
          <w:iCs/>
          <w:sz w:val="20"/>
          <w:szCs w:val="20"/>
          <w:shd w:val="clear" w:color="auto" w:fill="FFFFFF"/>
        </w:rPr>
        <w:t>Oceanographic Processes of Coral Reefs</w:t>
      </w:r>
      <w:r w:rsidRPr="005A7158">
        <w:rPr>
          <w:rFonts w:cs="Arial"/>
          <w:sz w:val="20"/>
          <w:szCs w:val="20"/>
          <w:shd w:val="clear" w:color="auto" w:fill="FFFFFF"/>
        </w:rPr>
        <w:t> (pp. 392-402). CRC Press.</w:t>
      </w:r>
    </w:p>
    <w:p w14:paraId="6CBA5EC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Simeone, S., Molinaroli, E., Conforti, A., &amp; De Falco, G. (2018). Impact of ocean acidification on the carbonate sediment budget of a temperate mixed beach. </w:t>
      </w:r>
      <w:r w:rsidRPr="005A7158">
        <w:rPr>
          <w:rFonts w:cs="Arial"/>
          <w:i/>
          <w:iCs/>
          <w:sz w:val="20"/>
          <w:szCs w:val="20"/>
          <w:shd w:val="clear" w:color="auto" w:fill="FFFFFF"/>
        </w:rPr>
        <w:t>Climatic Change</w:t>
      </w:r>
      <w:r w:rsidRPr="005A7158">
        <w:rPr>
          <w:rFonts w:cs="Arial"/>
          <w:sz w:val="20"/>
          <w:szCs w:val="20"/>
          <w:shd w:val="clear" w:color="auto" w:fill="FFFFFF"/>
        </w:rPr>
        <w:t>, </w:t>
      </w:r>
      <w:r w:rsidRPr="005A7158">
        <w:rPr>
          <w:rFonts w:cs="Arial"/>
          <w:i/>
          <w:iCs/>
          <w:sz w:val="20"/>
          <w:szCs w:val="20"/>
          <w:shd w:val="clear" w:color="auto" w:fill="FFFFFF"/>
        </w:rPr>
        <w:t>150</w:t>
      </w:r>
      <w:r w:rsidRPr="005A7158">
        <w:rPr>
          <w:rFonts w:cs="Arial"/>
          <w:sz w:val="20"/>
          <w:szCs w:val="20"/>
          <w:shd w:val="clear" w:color="auto" w:fill="FFFFFF"/>
        </w:rPr>
        <w:t>(3), 227-242.</w:t>
      </w:r>
    </w:p>
    <w:p w14:paraId="44D23575"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Shamblott, K. M., Reneker, J. L., &amp; Kamel, S. J. (2021). The thermal impacts of beach nourishment across a regionally important loggerhead sea turtle (Caretta caretta) rookery. </w:t>
      </w:r>
      <w:r w:rsidRPr="005A7158">
        <w:rPr>
          <w:rFonts w:cs="Arial"/>
          <w:i/>
          <w:iCs/>
          <w:sz w:val="20"/>
          <w:szCs w:val="20"/>
          <w:shd w:val="clear" w:color="auto" w:fill="FFFFFF"/>
        </w:rPr>
        <w:t>Ecosphere</w:t>
      </w:r>
      <w:r w:rsidRPr="005A7158">
        <w:rPr>
          <w:rFonts w:cs="Arial"/>
          <w:sz w:val="20"/>
          <w:szCs w:val="20"/>
          <w:shd w:val="clear" w:color="auto" w:fill="FFFFFF"/>
        </w:rPr>
        <w:t>, </w:t>
      </w:r>
      <w:r w:rsidRPr="005A7158">
        <w:rPr>
          <w:rFonts w:cs="Arial"/>
          <w:i/>
          <w:iCs/>
          <w:sz w:val="20"/>
          <w:szCs w:val="20"/>
          <w:shd w:val="clear" w:color="auto" w:fill="FFFFFF"/>
        </w:rPr>
        <w:t>12</w:t>
      </w:r>
      <w:r w:rsidRPr="005A7158">
        <w:rPr>
          <w:rFonts w:cs="Arial"/>
          <w:sz w:val="20"/>
          <w:szCs w:val="20"/>
          <w:shd w:val="clear" w:color="auto" w:fill="FFFFFF"/>
        </w:rPr>
        <w:t>(3), e03396.</w:t>
      </w:r>
    </w:p>
    <w:p w14:paraId="4F59A271"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Simantiris, N. (2024). The impact of climate change on sea turtles: Current knowledge, scientometrics, and mitigation strategies. </w:t>
      </w:r>
      <w:r w:rsidRPr="005A7158">
        <w:rPr>
          <w:rFonts w:cs="Arial"/>
          <w:i/>
          <w:iCs/>
          <w:sz w:val="20"/>
          <w:szCs w:val="20"/>
          <w:shd w:val="clear" w:color="auto" w:fill="FFFFFF"/>
        </w:rPr>
        <w:t>Science of the Total Environment</w:t>
      </w:r>
      <w:r w:rsidRPr="005A7158">
        <w:rPr>
          <w:rFonts w:cs="Arial"/>
          <w:sz w:val="20"/>
          <w:szCs w:val="20"/>
          <w:shd w:val="clear" w:color="auto" w:fill="FFFFFF"/>
        </w:rPr>
        <w:t>, </w:t>
      </w:r>
      <w:r w:rsidRPr="005A7158">
        <w:rPr>
          <w:rFonts w:cs="Arial"/>
          <w:i/>
          <w:iCs/>
          <w:sz w:val="20"/>
          <w:szCs w:val="20"/>
          <w:shd w:val="clear" w:color="auto" w:fill="FFFFFF"/>
        </w:rPr>
        <w:t>923</w:t>
      </w:r>
      <w:r w:rsidRPr="005A7158">
        <w:rPr>
          <w:rFonts w:cs="Arial"/>
          <w:sz w:val="20"/>
          <w:szCs w:val="20"/>
          <w:shd w:val="clear" w:color="auto" w:fill="FFFFFF"/>
        </w:rPr>
        <w:t>, 171354.</w:t>
      </w:r>
    </w:p>
    <w:p w14:paraId="3CB9BA31" w14:textId="77777777" w:rsidR="007F08AF" w:rsidRPr="00E43B72" w:rsidRDefault="00000000">
      <w:pPr>
        <w:spacing w:after="40"/>
        <w:ind w:left="397" w:hanging="397"/>
        <w:jc w:val="both"/>
        <w:rPr>
          <w:rFonts w:cs="Arial"/>
          <w:b/>
          <w:bCs/>
          <w:sz w:val="20"/>
          <w:szCs w:val="20"/>
          <w:shd w:val="clear" w:color="auto" w:fill="FFFFFF"/>
          <w:lang w:val="fr-FR"/>
        </w:rPr>
      </w:pPr>
      <w:r w:rsidRPr="005A7158">
        <w:rPr>
          <w:rFonts w:cs="Arial"/>
          <w:sz w:val="20"/>
          <w:szCs w:val="20"/>
          <w:shd w:val="clear" w:color="auto" w:fill="FFFFFF"/>
        </w:rPr>
        <w:t xml:space="preserve">UNEP 2022. Sand and sustainability: 10 strategic recommendations to avert a crisis. </w:t>
      </w:r>
      <w:r w:rsidRPr="005A7158">
        <w:rPr>
          <w:rFonts w:cs="Arial"/>
          <w:sz w:val="20"/>
          <w:szCs w:val="20"/>
          <w:shd w:val="clear" w:color="auto" w:fill="FFFFFF"/>
          <w:lang w:val="fr-FR"/>
        </w:rPr>
        <w:t>GRID-Geneva, United Nations Environment Programme, Geneva, Switzerland. 90 Pages.</w:t>
      </w:r>
    </w:p>
    <w:p w14:paraId="3C28CE48" w14:textId="77777777" w:rsidR="007F08AF" w:rsidRPr="00E43B72" w:rsidRDefault="007F08AF">
      <w:pPr>
        <w:pStyle w:val="Secondnumbering"/>
        <w:numPr>
          <w:ilvl w:val="0"/>
          <w:numId w:val="0"/>
        </w:numPr>
        <w:jc w:val="both"/>
        <w:rPr>
          <w:lang w:val="fr-FR"/>
        </w:rPr>
      </w:pPr>
    </w:p>
    <w:p w14:paraId="46333561" w14:textId="77777777" w:rsidR="007F08AF" w:rsidRPr="00E43B72" w:rsidRDefault="007F08AF">
      <w:pPr>
        <w:rPr>
          <w:lang w:val="fr-FR"/>
        </w:rPr>
        <w:sectPr w:rsidR="007F08AF" w:rsidRPr="00E43B72">
          <w:headerReference w:type="even" r:id="rId56"/>
          <w:headerReference w:type="default" r:id="rId57"/>
          <w:headerReference w:type="first" r:id="rId58"/>
          <w:pgSz w:w="11906" w:h="16838" w:code="9"/>
          <w:pgMar w:top="1440" w:right="1440" w:bottom="1440" w:left="1440" w:header="720" w:footer="720" w:gutter="0"/>
          <w:cols w:space="720"/>
          <w:titlePg/>
          <w:docGrid w:linePitch="360"/>
        </w:sectPr>
      </w:pPr>
    </w:p>
    <w:p w14:paraId="3593AF18" w14:textId="0192B2AF" w:rsidR="007F08AF" w:rsidRPr="00E43B72" w:rsidRDefault="00000000">
      <w:pPr>
        <w:jc w:val="right"/>
        <w:rPr>
          <w:rFonts w:cs="Arial"/>
          <w:b/>
          <w:bCs/>
          <w:caps/>
          <w:lang w:val="fr-FR"/>
        </w:rPr>
      </w:pPr>
      <w:r w:rsidRPr="00E43B72">
        <w:rPr>
          <w:rFonts w:cs="Arial"/>
          <w:b/>
          <w:caps/>
          <w:lang w:val="fr-FR"/>
        </w:rPr>
        <w:lastRenderedPageBreak/>
        <w:t>Annexe</w:t>
      </w:r>
      <w:r w:rsidR="00C1110D" w:rsidRPr="00E43B72">
        <w:rPr>
          <w:rFonts w:cs="Arial"/>
          <w:b/>
          <w:caps/>
          <w:lang w:val="fr-FR"/>
        </w:rPr>
        <w:t> </w:t>
      </w:r>
      <w:r w:rsidRPr="00E43B72">
        <w:rPr>
          <w:rFonts w:cs="Arial"/>
          <w:b/>
          <w:caps/>
          <w:lang w:val="fr-FR"/>
        </w:rPr>
        <w:t>3</w:t>
      </w:r>
    </w:p>
    <w:p w14:paraId="7DB0F1EC" w14:textId="77777777" w:rsidR="007F08AF" w:rsidRDefault="007F08AF">
      <w:pPr>
        <w:rPr>
          <w:rFonts w:cs="Arial"/>
          <w:lang w:val="fr-FR"/>
        </w:rPr>
      </w:pPr>
    </w:p>
    <w:p w14:paraId="43531664" w14:textId="77777777" w:rsidR="007006C3" w:rsidRPr="00E43B72" w:rsidRDefault="007006C3">
      <w:pPr>
        <w:rPr>
          <w:rFonts w:cs="Arial"/>
          <w:lang w:val="fr-FR"/>
        </w:rPr>
      </w:pPr>
    </w:p>
    <w:p w14:paraId="083DF282" w14:textId="4C43D9BD" w:rsidR="007F08AF" w:rsidRPr="00E43B72" w:rsidRDefault="00000000">
      <w:pPr>
        <w:pStyle w:val="Secondnumbering"/>
        <w:numPr>
          <w:ilvl w:val="0"/>
          <w:numId w:val="0"/>
        </w:numPr>
        <w:jc w:val="center"/>
        <w:rPr>
          <w:b/>
          <w:iCs/>
          <w:lang w:val="fr-FR"/>
        </w:rPr>
      </w:pPr>
      <w:r w:rsidRPr="00E43B72">
        <w:rPr>
          <w:b/>
          <w:bCs/>
          <w:lang w:val="fr-FR"/>
        </w:rPr>
        <w:t xml:space="preserve">RÉSUMÉ ET ANALYSE DES RAPPORTS DE MISE EN ŒUVRE DU </w:t>
      </w:r>
      <w:r w:rsidRPr="00E43B72">
        <w:rPr>
          <w:b/>
          <w:iCs/>
          <w:lang w:val="fr-FR"/>
        </w:rPr>
        <w:t>PLAN D</w:t>
      </w:r>
      <w:r w:rsidR="00C2697F" w:rsidRPr="00E43B72">
        <w:rPr>
          <w:b/>
          <w:iCs/>
          <w:lang w:val="fr-FR"/>
        </w:rPr>
        <w:t>’</w:t>
      </w:r>
      <w:r w:rsidRPr="00E43B72">
        <w:rPr>
          <w:b/>
          <w:iCs/>
          <w:lang w:val="fr-FR"/>
        </w:rPr>
        <w:t xml:space="preserve">ACTION PAR ESPÈCE POUR LA </w:t>
      </w:r>
      <w:r w:rsidRPr="00E43B72">
        <w:rPr>
          <w:rFonts w:cs="Arial"/>
          <w:b/>
          <w:caps/>
          <w:lang w:val="fr-FR"/>
        </w:rPr>
        <w:t>TORTUE IMBRIQUÉE EN ASIE DU SUD-EST ET DANS LA RÉGION DE L</w:t>
      </w:r>
      <w:r w:rsidR="00C2697F" w:rsidRPr="00E43B72">
        <w:rPr>
          <w:rFonts w:cs="Arial"/>
          <w:b/>
          <w:caps/>
          <w:lang w:val="fr-FR"/>
        </w:rPr>
        <w:t>’</w:t>
      </w:r>
      <w:r w:rsidRPr="00E43B72">
        <w:rPr>
          <w:rFonts w:cs="Arial"/>
          <w:b/>
          <w:caps/>
          <w:lang w:val="fr-FR"/>
        </w:rPr>
        <w:t>OCÉAN PACIFIQUE OUEST</w:t>
      </w:r>
    </w:p>
    <w:p w14:paraId="4B8D1DCC" w14:textId="77777777" w:rsidR="007F08AF" w:rsidRDefault="007F08AF">
      <w:pPr>
        <w:pStyle w:val="Secondnumbering"/>
        <w:numPr>
          <w:ilvl w:val="0"/>
          <w:numId w:val="0"/>
        </w:numPr>
        <w:rPr>
          <w:lang w:val="fr-FR"/>
        </w:rPr>
      </w:pPr>
    </w:p>
    <w:p w14:paraId="311B4211" w14:textId="77777777" w:rsidR="007006C3" w:rsidRPr="00E43B72" w:rsidRDefault="007006C3">
      <w:pPr>
        <w:pStyle w:val="Secondnumbering"/>
        <w:numPr>
          <w:ilvl w:val="0"/>
          <w:numId w:val="0"/>
        </w:numPr>
        <w:rPr>
          <w:lang w:val="fr-FR"/>
        </w:rPr>
      </w:pPr>
    </w:p>
    <w:p w14:paraId="7FBCFA44" w14:textId="0C40570F" w:rsidR="007F08AF" w:rsidRPr="00E43B72" w:rsidRDefault="00000000">
      <w:pPr>
        <w:widowControl w:val="0"/>
        <w:autoSpaceDE w:val="0"/>
        <w:autoSpaceDN w:val="0"/>
        <w:adjustRightInd w:val="0"/>
        <w:jc w:val="center"/>
        <w:rPr>
          <w:rFonts w:cs="Arial"/>
          <w:i/>
          <w:iCs/>
          <w:lang w:val="fr-FR"/>
        </w:rPr>
      </w:pPr>
      <w:r w:rsidRPr="007006C3">
        <w:rPr>
          <w:rFonts w:cs="Arial"/>
          <w:i/>
          <w:iCs/>
          <w:lang w:val="fr-FR"/>
        </w:rPr>
        <w:t xml:space="preserve">(Le rapport complet est disponible dans le document </w:t>
      </w:r>
      <w:hyperlink r:id="rId59" w:history="1">
        <w:r w:rsidR="007F08AF" w:rsidRPr="007006C3">
          <w:rPr>
            <w:rStyle w:val="Hyperlink"/>
            <w:rFonts w:cs="Arial"/>
            <w:i/>
            <w:iCs/>
            <w:lang w:val="fr-FR"/>
          </w:rPr>
          <w:t>UNEP/CMS/COP15/Inf.25.5b</w:t>
        </w:r>
        <w:r w:rsidR="007F08AF" w:rsidRPr="007006C3">
          <w:rPr>
            <w:rStyle w:val="Hyperlink"/>
            <w:rFonts w:cs="Arial"/>
            <w:i/>
            <w:iCs/>
            <w:color w:val="auto"/>
            <w:lang w:val="fr-FR"/>
          </w:rPr>
          <w:t>)</w:t>
        </w:r>
      </w:hyperlink>
    </w:p>
    <w:p w14:paraId="0FD9F6C5" w14:textId="77777777" w:rsidR="007F08AF" w:rsidRPr="00E43B72" w:rsidRDefault="007F08AF" w:rsidP="007006C3">
      <w:pPr>
        <w:pStyle w:val="Secondnumbering"/>
        <w:numPr>
          <w:ilvl w:val="0"/>
          <w:numId w:val="0"/>
        </w:numPr>
        <w:rPr>
          <w:lang w:val="fr-FR"/>
        </w:rPr>
      </w:pPr>
    </w:p>
    <w:p w14:paraId="37DCA4FB" w14:textId="77777777" w:rsidR="007F08AF" w:rsidRPr="00E43B72" w:rsidRDefault="007F08AF">
      <w:pPr>
        <w:pStyle w:val="Secondnumbering"/>
        <w:numPr>
          <w:ilvl w:val="0"/>
          <w:numId w:val="0"/>
        </w:numPr>
        <w:rPr>
          <w:lang w:val="fr-FR"/>
        </w:rPr>
      </w:pPr>
    </w:p>
    <w:p w14:paraId="26B1FA9D" w14:textId="77777777" w:rsidR="007F08AF" w:rsidRPr="00E43B72" w:rsidRDefault="00000000">
      <w:pPr>
        <w:pStyle w:val="Heading1"/>
        <w:rPr>
          <w:lang w:val="fr-FR"/>
        </w:rPr>
      </w:pPr>
      <w:bookmarkStart w:id="9" w:name="_Toc205976351"/>
      <w:r w:rsidRPr="00E43B72">
        <w:rPr>
          <w:lang w:val="fr-FR"/>
        </w:rPr>
        <w:t>Introduction</w:t>
      </w:r>
      <w:bookmarkEnd w:id="9"/>
    </w:p>
    <w:p w14:paraId="14E8332D" w14:textId="77777777" w:rsidR="007F08AF" w:rsidRPr="00E43B72" w:rsidRDefault="007F08AF">
      <w:pPr>
        <w:jc w:val="both"/>
        <w:rPr>
          <w:lang w:val="fr-FR"/>
        </w:rPr>
      </w:pPr>
    </w:p>
    <w:p w14:paraId="2B000C88" w14:textId="31349194" w:rsidR="007F08AF" w:rsidRPr="00E43B72" w:rsidRDefault="00000000">
      <w:pPr>
        <w:jc w:val="both"/>
        <w:rPr>
          <w:i/>
          <w:iCs/>
          <w:lang w:val="fr-FR"/>
        </w:rPr>
      </w:pPr>
      <w:r w:rsidRPr="00E43B72">
        <w:rPr>
          <w:lang w:val="fr-FR"/>
        </w:rPr>
        <w:t>Le Plan d</w:t>
      </w:r>
      <w:r w:rsidR="00C2697F" w:rsidRPr="00E43B72">
        <w:rPr>
          <w:lang w:val="fr-FR"/>
        </w:rPr>
        <w:t>’</w:t>
      </w:r>
      <w:r w:rsidRPr="00E43B72">
        <w:rPr>
          <w:lang w:val="fr-FR"/>
        </w:rPr>
        <w:t>action par espèce pour la tortue imbriquée (</w:t>
      </w:r>
      <w:r w:rsidRPr="00E43B72">
        <w:rPr>
          <w:i/>
          <w:iCs/>
          <w:lang w:val="fr-FR"/>
        </w:rPr>
        <w:t>Eretmochelys imbricata</w:t>
      </w:r>
      <w:r w:rsidRPr="00E43B72">
        <w:rPr>
          <w:lang w:val="fr-FR"/>
        </w:rPr>
        <w:t>) en Asie du Sud-Est et dans l</w:t>
      </w:r>
      <w:r w:rsidR="00C2697F" w:rsidRPr="00E43B72">
        <w:rPr>
          <w:lang w:val="fr-FR"/>
        </w:rPr>
        <w:t>’</w:t>
      </w:r>
      <w:r w:rsidRPr="00E43B72">
        <w:rPr>
          <w:lang w:val="fr-FR"/>
        </w:rPr>
        <w:t>océan Pacifique ouest a été adopté en 2024, tant par les Parties à la CMS (</w:t>
      </w:r>
      <w:hyperlink r:id="rId60" w:history="1">
        <w:r w:rsidR="007F08AF" w:rsidRPr="00E43B72">
          <w:rPr>
            <w:rStyle w:val="Hyperlink"/>
            <w:rFonts w:cs="Arial"/>
            <w:lang w:val="fr-FR"/>
          </w:rPr>
          <w:t>Résolution 14.11 de la CMS</w:t>
        </w:r>
      </w:hyperlink>
      <w:r w:rsidRPr="00E43B72">
        <w:rPr>
          <w:lang w:val="fr-FR"/>
        </w:rPr>
        <w:t>) que par les signataires du MdE sur les Tortues marines de l</w:t>
      </w:r>
      <w:r w:rsidR="00C2697F" w:rsidRPr="00E43B72">
        <w:rPr>
          <w:lang w:val="fr-FR"/>
        </w:rPr>
        <w:t>’</w:t>
      </w:r>
      <w:r w:rsidRPr="00E43B72">
        <w:rPr>
          <w:lang w:val="fr-FR"/>
        </w:rPr>
        <w:t>IOSEA (</w:t>
      </w:r>
      <w:hyperlink r:id="rId61" w:history="1">
        <w:r w:rsidR="007F08AF" w:rsidRPr="00E43B72">
          <w:rPr>
            <w:rStyle w:val="Hyperlink"/>
            <w:rFonts w:cs="Arial"/>
            <w:lang w:val="fr-FR"/>
          </w:rPr>
          <w:t>CMS/IOSEA/MOS9/Outcome 9.3</w:t>
        </w:r>
      </w:hyperlink>
      <w:r w:rsidRPr="00E43B72">
        <w:rPr>
          <w:lang w:val="fr-FR"/>
        </w:rPr>
        <w:t>).</w:t>
      </w:r>
    </w:p>
    <w:p w14:paraId="3BED8650" w14:textId="77777777" w:rsidR="007F08AF" w:rsidRPr="00E43B72" w:rsidRDefault="007F08AF">
      <w:pPr>
        <w:jc w:val="both"/>
        <w:rPr>
          <w:i/>
          <w:iCs/>
          <w:lang w:val="fr-FR"/>
        </w:rPr>
      </w:pPr>
    </w:p>
    <w:p w14:paraId="22467ACA" w14:textId="0533C52C" w:rsidR="007F08AF" w:rsidRPr="00E43B72" w:rsidRDefault="00000000">
      <w:pPr>
        <w:jc w:val="both"/>
        <w:rPr>
          <w:i/>
          <w:iCs/>
          <w:lang w:val="fr-FR"/>
        </w:rPr>
      </w:pPr>
      <w:r w:rsidRPr="00E43B72">
        <w:rPr>
          <w:lang w:val="fr-FR"/>
        </w:rPr>
        <w:t>Ce document fournit une synthèse des rapports sur la mise en œuvre du Plan d</w:t>
      </w:r>
      <w:r w:rsidR="00C2697F" w:rsidRPr="00E43B72">
        <w:rPr>
          <w:lang w:val="fr-FR"/>
        </w:rPr>
        <w:t>’</w:t>
      </w:r>
      <w:r w:rsidRPr="00E43B72">
        <w:rPr>
          <w:lang w:val="fr-FR"/>
        </w:rPr>
        <w:t>action par espèce. Les rapports sont basés sur un modèle élaboré par le Secrétariat à cette fin, conformément à la Décision</w:t>
      </w:r>
      <w:r w:rsidR="00C1110D" w:rsidRPr="00E43B72">
        <w:rPr>
          <w:lang w:val="fr-FR"/>
        </w:rPr>
        <w:t> </w:t>
      </w:r>
      <w:r w:rsidRPr="00E43B72">
        <w:rPr>
          <w:lang w:val="fr-FR"/>
        </w:rPr>
        <w:t>14.100 de la CMS. Le format demande des informations sur chacune des activités incluses dans le Plan d</w:t>
      </w:r>
      <w:r w:rsidR="00C2697F" w:rsidRPr="00E43B72">
        <w:rPr>
          <w:lang w:val="fr-FR"/>
        </w:rPr>
        <w:t>’</w:t>
      </w:r>
      <w:r w:rsidRPr="00E43B72">
        <w:rPr>
          <w:lang w:val="fr-FR"/>
        </w:rPr>
        <w:t>action par espèce</w:t>
      </w:r>
      <w:r w:rsidR="00C421BB" w:rsidRPr="00E43B72">
        <w:rPr>
          <w:lang w:val="fr-FR"/>
        </w:rPr>
        <w:t> :</w:t>
      </w:r>
      <w:r w:rsidRPr="00E43B72">
        <w:rPr>
          <w:lang w:val="fr-FR"/>
        </w:rPr>
        <w:t xml:space="preserve"> actions entreprises et résultats obtenus, obstacles à la mise en œuvre, et progrès dans la mise en œuvre des activités. Les rapports recueillis auprès des États de l</w:t>
      </w:r>
      <w:r w:rsidR="00C2697F" w:rsidRPr="00E43B72">
        <w:rPr>
          <w:lang w:val="fr-FR"/>
        </w:rPr>
        <w:t>’</w:t>
      </w:r>
      <w:r w:rsidRPr="00E43B72">
        <w:rPr>
          <w:lang w:val="fr-FR"/>
        </w:rPr>
        <w:t xml:space="preserve">aire de répartition </w:t>
      </w:r>
      <w:r w:rsidRPr="00E43B72">
        <w:rPr>
          <w:color w:val="000000" w:themeColor="text1"/>
          <w:lang w:val="fr-FR"/>
        </w:rPr>
        <w:t xml:space="preserve">seront </w:t>
      </w:r>
      <w:r w:rsidRPr="00E43B72">
        <w:rPr>
          <w:lang w:val="fr-FR"/>
        </w:rPr>
        <w:t>utilisés pour formuler des recommandations sur la poursuite de la mise en œuvre du plan d</w:t>
      </w:r>
      <w:r w:rsidR="00C2697F" w:rsidRPr="00E43B72">
        <w:rPr>
          <w:lang w:val="fr-FR"/>
        </w:rPr>
        <w:t>’</w:t>
      </w:r>
      <w:r w:rsidRPr="00E43B72">
        <w:rPr>
          <w:lang w:val="fr-FR"/>
        </w:rPr>
        <w:t>action.</w:t>
      </w:r>
    </w:p>
    <w:p w14:paraId="04E1550D" w14:textId="77777777" w:rsidR="007F08AF" w:rsidRPr="00E43B72" w:rsidRDefault="007F08AF">
      <w:pPr>
        <w:jc w:val="both"/>
        <w:rPr>
          <w:lang w:val="fr-FR"/>
        </w:rPr>
      </w:pPr>
    </w:p>
    <w:p w14:paraId="53889A01" w14:textId="376801A3" w:rsidR="007F08AF" w:rsidRPr="00E43B72" w:rsidRDefault="00000000">
      <w:pPr>
        <w:jc w:val="both"/>
        <w:rPr>
          <w:lang w:val="fr-FR"/>
        </w:rPr>
      </w:pPr>
      <w:r w:rsidRPr="00E43B72">
        <w:rPr>
          <w:rFonts w:cs="Arial"/>
          <w:lang w:val="fr-FR"/>
        </w:rPr>
        <w:t>Sur les trente-trois États de l</w:t>
      </w:r>
      <w:r w:rsidR="00C2697F" w:rsidRPr="00E43B72">
        <w:rPr>
          <w:rFonts w:cs="Arial"/>
          <w:lang w:val="fr-FR"/>
        </w:rPr>
        <w:t>’</w:t>
      </w:r>
      <w:r w:rsidRPr="00E43B72">
        <w:rPr>
          <w:rFonts w:cs="Arial"/>
          <w:lang w:val="fr-FR"/>
        </w:rPr>
        <w:t>aire de répartition</w:t>
      </w:r>
      <w:r w:rsidRPr="00E43B72">
        <w:rPr>
          <w:rStyle w:val="FootnoteReference"/>
          <w:rFonts w:cs="Arial"/>
          <w:lang w:val="fr-FR"/>
        </w:rPr>
        <w:footnoteReference w:id="2"/>
      </w:r>
      <w:r w:rsidRPr="00E43B72">
        <w:rPr>
          <w:rFonts w:cs="Arial"/>
          <w:lang w:val="fr-FR"/>
        </w:rPr>
        <w:t xml:space="preserve">, huit ont répondu à la </w:t>
      </w:r>
      <w:hyperlink r:id="rId62" w:history="1">
        <w:r w:rsidR="007F08AF" w:rsidRPr="00E43B72">
          <w:rPr>
            <w:rStyle w:val="Hyperlink"/>
            <w:rFonts w:cs="Arial"/>
            <w:lang w:val="fr-FR"/>
          </w:rPr>
          <w:t>Notification 2025/004</w:t>
        </w:r>
      </w:hyperlink>
      <w:r w:rsidRPr="00E43B72">
        <w:rPr>
          <w:rFonts w:cs="Arial"/>
          <w:lang w:val="fr-FR"/>
        </w:rPr>
        <w:t xml:space="preserve"> de la CMS et aux courriels de suivi, qui demandaient aux États de l</w:t>
      </w:r>
      <w:r w:rsidR="00C2697F" w:rsidRPr="00E43B72">
        <w:rPr>
          <w:rFonts w:cs="Arial"/>
          <w:lang w:val="fr-FR"/>
        </w:rPr>
        <w:t>’</w:t>
      </w:r>
      <w:r w:rsidRPr="00E43B72">
        <w:rPr>
          <w:rFonts w:cs="Arial"/>
          <w:lang w:val="fr-FR"/>
        </w:rPr>
        <w:t>aire de répartition de présenter un rapport sur la mise en œuvre du Plan d</w:t>
      </w:r>
      <w:r w:rsidR="00C2697F" w:rsidRPr="00E43B72">
        <w:rPr>
          <w:rFonts w:cs="Arial"/>
          <w:lang w:val="fr-FR"/>
        </w:rPr>
        <w:t>’</w:t>
      </w:r>
      <w:r w:rsidRPr="00E43B72">
        <w:rPr>
          <w:rFonts w:cs="Arial"/>
          <w:lang w:val="fr-FR"/>
        </w:rPr>
        <w:t xml:space="preserve">action par espèce pour la tortue imbriquée. </w:t>
      </w:r>
      <w:r w:rsidRPr="00E43B72">
        <w:rPr>
          <w:lang w:val="fr-FR"/>
        </w:rPr>
        <w:t>Les conclusions ci-dessous ne s</w:t>
      </w:r>
      <w:r w:rsidR="00C2697F" w:rsidRPr="00E43B72">
        <w:rPr>
          <w:lang w:val="fr-FR"/>
        </w:rPr>
        <w:t>’</w:t>
      </w:r>
      <w:r w:rsidRPr="00E43B72">
        <w:rPr>
          <w:lang w:val="fr-FR"/>
        </w:rPr>
        <w:t>appliquent qu</w:t>
      </w:r>
      <w:r w:rsidR="00C2697F" w:rsidRPr="00E43B72">
        <w:rPr>
          <w:lang w:val="fr-FR"/>
        </w:rPr>
        <w:t>’</w:t>
      </w:r>
      <w:r w:rsidRPr="00E43B72">
        <w:rPr>
          <w:lang w:val="fr-FR"/>
        </w:rPr>
        <w:t>à ces pays.</w:t>
      </w:r>
    </w:p>
    <w:p w14:paraId="30535A7E" w14:textId="77777777" w:rsidR="007F08AF" w:rsidRPr="00E43B72" w:rsidRDefault="007F08AF">
      <w:pPr>
        <w:jc w:val="both"/>
        <w:rPr>
          <w:lang w:val="fr-FR"/>
        </w:rPr>
      </w:pPr>
    </w:p>
    <w:p w14:paraId="08C35DF5" w14:textId="77777777" w:rsidR="007F08AF" w:rsidRPr="00E43B72" w:rsidRDefault="00000000">
      <w:pPr>
        <w:pStyle w:val="Heading1"/>
        <w:rPr>
          <w:lang w:val="fr-FR"/>
        </w:rPr>
      </w:pPr>
      <w:bookmarkStart w:id="10" w:name="_Toc205976352"/>
      <w:r w:rsidRPr="00E43B72">
        <w:rPr>
          <w:lang w:val="fr-FR"/>
        </w:rPr>
        <w:t>Principales conclusions</w:t>
      </w:r>
      <w:bookmarkEnd w:id="10"/>
    </w:p>
    <w:p w14:paraId="49F82CBC" w14:textId="77777777" w:rsidR="007F08AF" w:rsidRPr="00E43B72" w:rsidRDefault="007F08AF">
      <w:pPr>
        <w:rPr>
          <w:lang w:val="fr-FR"/>
        </w:rPr>
      </w:pPr>
    </w:p>
    <w:p w14:paraId="50D912FE" w14:textId="28E57EC1" w:rsidR="007F08AF" w:rsidRPr="00E43B72" w:rsidRDefault="00000000">
      <w:pPr>
        <w:jc w:val="both"/>
        <w:rPr>
          <w:lang w:val="fr-FR"/>
        </w:rPr>
      </w:pPr>
      <w:r w:rsidRPr="00E43B72">
        <w:rPr>
          <w:lang w:val="fr-FR"/>
        </w:rPr>
        <w:t>Sur la base des rapports reçus, le Secrétariat et le Groupe directeur ont résumé l</w:t>
      </w:r>
      <w:r w:rsidR="00C2697F" w:rsidRPr="00E43B72">
        <w:rPr>
          <w:lang w:val="fr-FR"/>
        </w:rPr>
        <w:t>’</w:t>
      </w:r>
      <w:r w:rsidRPr="00E43B72">
        <w:rPr>
          <w:lang w:val="fr-FR"/>
        </w:rPr>
        <w:t>état d</w:t>
      </w:r>
      <w:r w:rsidR="00C2697F" w:rsidRPr="00E43B72">
        <w:rPr>
          <w:lang w:val="fr-FR"/>
        </w:rPr>
        <w:t>’</w:t>
      </w:r>
      <w:r w:rsidRPr="00E43B72">
        <w:rPr>
          <w:lang w:val="fr-FR"/>
        </w:rPr>
        <w:t>avancement de la mise en œuvre de chaque action dans le tableau</w:t>
      </w:r>
      <w:r w:rsidR="00C1110D" w:rsidRPr="00E43B72">
        <w:rPr>
          <w:lang w:val="fr-FR"/>
        </w:rPr>
        <w:t> </w:t>
      </w:r>
      <w:r w:rsidRPr="00E43B72">
        <w:rPr>
          <w:lang w:val="fr-FR"/>
        </w:rPr>
        <w:t>1, à l</w:t>
      </w:r>
      <w:r w:rsidR="00C2697F" w:rsidRPr="00E43B72">
        <w:rPr>
          <w:lang w:val="fr-FR"/>
        </w:rPr>
        <w:t>’</w:t>
      </w:r>
      <w:r w:rsidRPr="00E43B72">
        <w:rPr>
          <w:lang w:val="fr-FR"/>
        </w:rPr>
        <w:t>aide d</w:t>
      </w:r>
      <w:r w:rsidR="00C2697F" w:rsidRPr="00E43B72">
        <w:rPr>
          <w:lang w:val="fr-FR"/>
        </w:rPr>
        <w:t>’</w:t>
      </w:r>
      <w:r w:rsidRPr="00E43B72">
        <w:rPr>
          <w:lang w:val="fr-FR"/>
        </w:rPr>
        <w:t>un système de feux tricolores. Toutefois, l</w:t>
      </w:r>
      <w:r w:rsidR="00C2697F" w:rsidRPr="00E43B72">
        <w:rPr>
          <w:lang w:val="fr-FR"/>
        </w:rPr>
        <w:t>’</w:t>
      </w:r>
      <w:r w:rsidRPr="00E43B72">
        <w:rPr>
          <w:lang w:val="fr-FR"/>
        </w:rPr>
        <w:t>analyse est limitée en raison du faible taux de soumission (moins de 25</w:t>
      </w:r>
      <w:r w:rsidR="00C1110D" w:rsidRPr="00E43B72">
        <w:rPr>
          <w:lang w:val="fr-FR"/>
        </w:rPr>
        <w:t> </w:t>
      </w:r>
      <w:r w:rsidRPr="00E43B72">
        <w:rPr>
          <w:lang w:val="fr-FR"/>
        </w:rPr>
        <w:t>%) et du fait que plusieurs pays déclarants n</w:t>
      </w:r>
      <w:r w:rsidR="00C2697F" w:rsidRPr="00E43B72">
        <w:rPr>
          <w:lang w:val="fr-FR"/>
        </w:rPr>
        <w:t>’</w:t>
      </w:r>
      <w:r w:rsidRPr="00E43B72">
        <w:rPr>
          <w:lang w:val="fr-FR"/>
        </w:rPr>
        <w:t>ont pas utilisé le menu déroulant fourni dans le modèle de rapport pour indiquer le pourcentage d</w:t>
      </w:r>
      <w:r w:rsidR="00C2697F" w:rsidRPr="00E43B72">
        <w:rPr>
          <w:lang w:val="fr-FR"/>
        </w:rPr>
        <w:t>’</w:t>
      </w:r>
      <w:r w:rsidRPr="00E43B72">
        <w:rPr>
          <w:lang w:val="fr-FR"/>
        </w:rPr>
        <w:t>achèvement dans la colonne des progrès.</w:t>
      </w:r>
    </w:p>
    <w:p w14:paraId="32BA8D4A" w14:textId="77777777" w:rsidR="007F08AF" w:rsidRPr="00E43B72" w:rsidRDefault="007F08AF">
      <w:pPr>
        <w:pStyle w:val="ListParagraph"/>
        <w:ind w:left="360"/>
        <w:contextualSpacing w:val="0"/>
        <w:jc w:val="both"/>
        <w:rPr>
          <w:lang w:val="fr-FR"/>
        </w:rPr>
      </w:pPr>
    </w:p>
    <w:p w14:paraId="39CB22C1" w14:textId="77777777" w:rsidR="007F08AF" w:rsidRPr="00E43B72" w:rsidRDefault="00000000" w:rsidP="00BA512F">
      <w:pPr>
        <w:pStyle w:val="ListParagraph"/>
        <w:numPr>
          <w:ilvl w:val="0"/>
          <w:numId w:val="14"/>
        </w:numPr>
        <w:ind w:left="360"/>
        <w:contextualSpacing w:val="0"/>
        <w:jc w:val="both"/>
        <w:rPr>
          <w:lang w:val="fr-FR"/>
        </w:rPr>
      </w:pPr>
      <w:r w:rsidRPr="00E43B72">
        <w:rPr>
          <w:lang w:val="fr-FR"/>
        </w:rPr>
        <w:t>Les principaux résultats du rapport mettent en évidence des progrès significatifs dans le renforcement du processus de justice pénale, la réforme législative pour la protection de la tortue imbriquée, ainsi que les efforts visant à combler les lacunes juridiques et à faire respecter les engagements internationaux.</w:t>
      </w:r>
    </w:p>
    <w:p w14:paraId="41011BE8" w14:textId="77777777" w:rsidR="007F08AF" w:rsidRPr="00E43B72" w:rsidRDefault="007F08AF">
      <w:pPr>
        <w:rPr>
          <w:lang w:val="fr-FR"/>
        </w:rPr>
      </w:pPr>
    </w:p>
    <w:p w14:paraId="62986C4B" w14:textId="641CD9F5" w:rsidR="007F08AF" w:rsidRPr="00E43B72" w:rsidRDefault="00000000" w:rsidP="00BA512F">
      <w:pPr>
        <w:pStyle w:val="ListParagraph"/>
        <w:numPr>
          <w:ilvl w:val="0"/>
          <w:numId w:val="14"/>
        </w:numPr>
        <w:ind w:left="426" w:hanging="426"/>
        <w:jc w:val="both"/>
        <w:rPr>
          <w:lang w:val="fr-FR"/>
        </w:rPr>
      </w:pPr>
      <w:r w:rsidRPr="00E43B72">
        <w:rPr>
          <w:lang w:val="fr-FR"/>
        </w:rPr>
        <w:t>Parmi les huit États de l</w:t>
      </w:r>
      <w:r w:rsidR="00C2697F" w:rsidRPr="00E43B72">
        <w:rPr>
          <w:lang w:val="fr-FR"/>
        </w:rPr>
        <w:t>’</w:t>
      </w:r>
      <w:r w:rsidRPr="00E43B72">
        <w:rPr>
          <w:lang w:val="fr-FR"/>
        </w:rPr>
        <w:t>aire de répartition ayant soumis des rapports, la Malaisie a déclaré avoir achevé le plus grand nombre d</w:t>
      </w:r>
      <w:r w:rsidR="00C2697F" w:rsidRPr="00E43B72">
        <w:rPr>
          <w:lang w:val="fr-FR"/>
        </w:rPr>
        <w:t>’</w:t>
      </w:r>
      <w:r w:rsidRPr="00E43B72">
        <w:rPr>
          <w:lang w:val="fr-FR"/>
        </w:rPr>
        <w:t>actions, 11 sur 23 étant entièrement mises en œuvre.</w:t>
      </w:r>
      <w:r w:rsidRPr="00E43B72">
        <w:rPr>
          <w:rFonts w:eastAsia="Arial" w:cs="Arial"/>
          <w:lang w:val="fr-FR"/>
        </w:rPr>
        <w:t xml:space="preserve"> L</w:t>
      </w:r>
      <w:r w:rsidR="00C2697F" w:rsidRPr="00E43B72">
        <w:rPr>
          <w:rFonts w:eastAsia="Arial" w:cs="Arial"/>
          <w:lang w:val="fr-FR"/>
        </w:rPr>
        <w:t>’</w:t>
      </w:r>
      <w:r w:rsidRPr="00E43B72">
        <w:rPr>
          <w:rFonts w:eastAsia="Arial" w:cs="Arial"/>
          <w:lang w:val="fr-FR"/>
        </w:rPr>
        <w:t>Australie a déclaré avoir mené à bien huit actions, tandis que la Nouvelle-Zélande a indiqué que la plupart des actions étaient «</w:t>
      </w:r>
      <w:r w:rsidR="00C1110D" w:rsidRPr="00E43B72">
        <w:rPr>
          <w:rFonts w:eastAsia="Arial" w:cs="Arial"/>
          <w:lang w:val="fr-FR"/>
        </w:rPr>
        <w:t> </w:t>
      </w:r>
      <w:r w:rsidRPr="00E43B72">
        <w:rPr>
          <w:rFonts w:eastAsia="Arial" w:cs="Arial"/>
          <w:lang w:val="fr-FR"/>
        </w:rPr>
        <w:t>sans objet</w:t>
      </w:r>
      <w:r w:rsidR="00C1110D" w:rsidRPr="00E43B72">
        <w:rPr>
          <w:rFonts w:eastAsia="Arial" w:cs="Arial"/>
          <w:lang w:val="fr-FR"/>
        </w:rPr>
        <w:t> </w:t>
      </w:r>
      <w:r w:rsidRPr="00E43B72">
        <w:rPr>
          <w:rFonts w:eastAsia="Arial" w:cs="Arial"/>
          <w:lang w:val="fr-FR"/>
        </w:rPr>
        <w:t xml:space="preserve">» en raison de la rareté </w:t>
      </w:r>
      <w:r w:rsidRPr="00E43B72">
        <w:rPr>
          <w:rFonts w:eastAsia="Arial" w:cs="Arial"/>
          <w:lang w:val="fr-FR"/>
        </w:rPr>
        <w:lastRenderedPageBreak/>
        <w:t>des tortues imbriquées sur son territoire. Tous les autres ont fait état de «</w:t>
      </w:r>
      <w:r w:rsidR="00C1110D" w:rsidRPr="00E43B72">
        <w:rPr>
          <w:rFonts w:eastAsia="Arial" w:cs="Arial"/>
          <w:lang w:val="fr-FR"/>
        </w:rPr>
        <w:t> </w:t>
      </w:r>
      <w:r w:rsidRPr="00E43B72">
        <w:rPr>
          <w:rFonts w:eastAsia="Arial" w:cs="Arial"/>
          <w:lang w:val="fr-FR"/>
        </w:rPr>
        <w:t>travaux en cours</w:t>
      </w:r>
      <w:r w:rsidR="00C1110D" w:rsidRPr="00E43B72">
        <w:rPr>
          <w:rFonts w:eastAsia="Arial" w:cs="Arial"/>
          <w:lang w:val="fr-FR"/>
        </w:rPr>
        <w:t> </w:t>
      </w:r>
      <w:r w:rsidRPr="00E43B72">
        <w:rPr>
          <w:rFonts w:eastAsia="Arial" w:cs="Arial"/>
          <w:lang w:val="fr-FR"/>
        </w:rPr>
        <w:t xml:space="preserve">» pour la plupart des actions. </w:t>
      </w:r>
    </w:p>
    <w:p w14:paraId="0C7F715C" w14:textId="77777777" w:rsidR="007F08AF" w:rsidRPr="00E43B72" w:rsidRDefault="007F08AF">
      <w:pPr>
        <w:pStyle w:val="ListParagraph"/>
        <w:ind w:left="426"/>
        <w:rPr>
          <w:lang w:val="fr-FR"/>
        </w:rPr>
      </w:pPr>
    </w:p>
    <w:p w14:paraId="102C906B" w14:textId="52493EE5" w:rsidR="007F08AF" w:rsidRPr="00E43B72" w:rsidRDefault="00000000" w:rsidP="00BA512F">
      <w:pPr>
        <w:pStyle w:val="ListParagraph"/>
        <w:numPr>
          <w:ilvl w:val="0"/>
          <w:numId w:val="14"/>
        </w:numPr>
        <w:ind w:left="360"/>
        <w:jc w:val="both"/>
        <w:rPr>
          <w:lang w:val="fr-FR"/>
        </w:rPr>
      </w:pPr>
      <w:r w:rsidRPr="00E43B72">
        <w:rPr>
          <w:lang w:val="fr-FR"/>
        </w:rPr>
        <w:t>Cinq</w:t>
      </w:r>
      <w:r w:rsidR="00C1110D" w:rsidRPr="00E43B72">
        <w:rPr>
          <w:lang w:val="fr-FR"/>
        </w:rPr>
        <w:t> </w:t>
      </w:r>
      <w:r w:rsidRPr="00E43B72">
        <w:rPr>
          <w:lang w:val="fr-FR"/>
        </w:rPr>
        <w:t>États de l</w:t>
      </w:r>
      <w:r w:rsidR="00C2697F" w:rsidRPr="00E43B72">
        <w:rPr>
          <w:lang w:val="fr-FR"/>
        </w:rPr>
        <w:t>’</w:t>
      </w:r>
      <w:r w:rsidRPr="00E43B72">
        <w:rPr>
          <w:lang w:val="fr-FR"/>
        </w:rPr>
        <w:t>aire de répartition ont signalé avoir terminé l</w:t>
      </w:r>
      <w:r w:rsidR="00C2697F" w:rsidRPr="00E43B72">
        <w:rPr>
          <w:lang w:val="fr-FR"/>
        </w:rPr>
        <w:t>’</w:t>
      </w:r>
      <w:r w:rsidRPr="00E43B72">
        <w:rPr>
          <w:lang w:val="fr-FR"/>
        </w:rPr>
        <w:t>Action</w:t>
      </w:r>
      <w:r w:rsidR="00C1110D" w:rsidRPr="00E43B72">
        <w:rPr>
          <w:lang w:val="fr-FR"/>
        </w:rPr>
        <w:t> </w:t>
      </w:r>
      <w:r w:rsidRPr="00E43B72">
        <w:rPr>
          <w:lang w:val="fr-FR"/>
        </w:rPr>
        <w:t>1.1.5 visant à combler les lacunes du processus de justice pénale concernant les activités illégales impliquant des tortues imbriquées — c</w:t>
      </w:r>
      <w:r w:rsidR="00C2697F" w:rsidRPr="00E43B72">
        <w:rPr>
          <w:lang w:val="fr-FR"/>
        </w:rPr>
        <w:t>’</w:t>
      </w:r>
      <w:r w:rsidRPr="00E43B72">
        <w:rPr>
          <w:lang w:val="fr-FR"/>
        </w:rPr>
        <w:t>est le taux d</w:t>
      </w:r>
      <w:r w:rsidR="00C2697F" w:rsidRPr="00E43B72">
        <w:rPr>
          <w:lang w:val="fr-FR"/>
        </w:rPr>
        <w:t>’</w:t>
      </w:r>
      <w:r w:rsidRPr="00E43B72">
        <w:rPr>
          <w:lang w:val="fr-FR"/>
        </w:rPr>
        <w:t>achèvement le plus élevé parmi toutes les Actions.</w:t>
      </w:r>
    </w:p>
    <w:p w14:paraId="18AD22FA" w14:textId="77777777" w:rsidR="007F08AF" w:rsidRPr="00E43B72" w:rsidRDefault="007F08AF">
      <w:pPr>
        <w:pStyle w:val="ListParagraph"/>
        <w:ind w:left="360"/>
        <w:contextualSpacing w:val="0"/>
        <w:jc w:val="both"/>
        <w:rPr>
          <w:lang w:val="fr-FR"/>
        </w:rPr>
      </w:pPr>
    </w:p>
    <w:p w14:paraId="45239CF3" w14:textId="6F722831" w:rsidR="007F08AF" w:rsidRPr="00E43B72" w:rsidRDefault="00000000" w:rsidP="00BA512F">
      <w:pPr>
        <w:pStyle w:val="ListParagraph"/>
        <w:numPr>
          <w:ilvl w:val="0"/>
          <w:numId w:val="14"/>
        </w:numPr>
        <w:ind w:left="360"/>
        <w:jc w:val="both"/>
        <w:rPr>
          <w:lang w:val="fr-FR"/>
        </w:rPr>
      </w:pPr>
      <w:r w:rsidRPr="00E43B72">
        <w:rPr>
          <w:lang w:val="fr-FR"/>
        </w:rPr>
        <w:t>La promulgation de nouvelles lois sur la conservation de la tortue imbriquée liée à l</w:t>
      </w:r>
      <w:r w:rsidR="00C2697F" w:rsidRPr="00E43B72">
        <w:rPr>
          <w:lang w:val="fr-FR"/>
        </w:rPr>
        <w:t>’</w:t>
      </w:r>
      <w:r w:rsidRPr="00E43B72">
        <w:rPr>
          <w:lang w:val="fr-FR"/>
        </w:rPr>
        <w:t>utilisation et au commerce (Action</w:t>
      </w:r>
      <w:r w:rsidR="00C1110D" w:rsidRPr="00E43B72">
        <w:rPr>
          <w:lang w:val="fr-FR"/>
        </w:rPr>
        <w:t> </w:t>
      </w:r>
      <w:r w:rsidRPr="00E43B72">
        <w:rPr>
          <w:lang w:val="fr-FR"/>
        </w:rPr>
        <w:t>1.1.2) a également connu des progrès notables, trois États de l</w:t>
      </w:r>
      <w:r w:rsidR="00C2697F" w:rsidRPr="00E43B72">
        <w:rPr>
          <w:lang w:val="fr-FR"/>
        </w:rPr>
        <w:t>’</w:t>
      </w:r>
      <w:r w:rsidRPr="00E43B72">
        <w:rPr>
          <w:lang w:val="fr-FR"/>
        </w:rPr>
        <w:t>aire de répartition ayant déclaré avoir achevé cette action.</w:t>
      </w:r>
    </w:p>
    <w:p w14:paraId="0248DEBD" w14:textId="77777777" w:rsidR="007F08AF" w:rsidRPr="00E43B72" w:rsidRDefault="007F08AF">
      <w:pPr>
        <w:pStyle w:val="ListParagraph"/>
        <w:ind w:left="360"/>
        <w:contextualSpacing w:val="0"/>
        <w:jc w:val="both"/>
        <w:rPr>
          <w:lang w:val="fr-FR"/>
        </w:rPr>
      </w:pPr>
    </w:p>
    <w:p w14:paraId="40959E93" w14:textId="22B1C55D" w:rsidR="007F08AF" w:rsidRPr="00E43B72" w:rsidRDefault="00000000" w:rsidP="00BA512F">
      <w:pPr>
        <w:pStyle w:val="ListParagraph"/>
        <w:numPr>
          <w:ilvl w:val="0"/>
          <w:numId w:val="14"/>
        </w:numPr>
        <w:ind w:left="360"/>
        <w:jc w:val="both"/>
        <w:rPr>
          <w:lang w:val="fr-FR"/>
        </w:rPr>
      </w:pPr>
      <w:r w:rsidRPr="00E43B72">
        <w:rPr>
          <w:lang w:val="fr-FR"/>
        </w:rPr>
        <w:t>Les travaux les plus significatifs ont été signalés pour l</w:t>
      </w:r>
      <w:r w:rsidR="00C2697F" w:rsidRPr="00E43B72">
        <w:rPr>
          <w:lang w:val="fr-FR"/>
        </w:rPr>
        <w:t>’</w:t>
      </w:r>
      <w:r w:rsidRPr="00E43B72">
        <w:rPr>
          <w:lang w:val="fr-FR"/>
        </w:rPr>
        <w:t>Action</w:t>
      </w:r>
      <w:r w:rsidR="00C1110D" w:rsidRPr="00E43B72">
        <w:rPr>
          <w:lang w:val="fr-FR"/>
        </w:rPr>
        <w:t> </w:t>
      </w:r>
      <w:r w:rsidRPr="00E43B72">
        <w:rPr>
          <w:lang w:val="fr-FR"/>
        </w:rPr>
        <w:t>1.1.3 sur le renforcement des capacités et l</w:t>
      </w:r>
      <w:r w:rsidR="00C2697F" w:rsidRPr="00E43B72">
        <w:rPr>
          <w:lang w:val="fr-FR"/>
        </w:rPr>
        <w:t>’</w:t>
      </w:r>
      <w:r w:rsidRPr="00E43B72">
        <w:rPr>
          <w:lang w:val="fr-FR"/>
        </w:rPr>
        <w:t>Action</w:t>
      </w:r>
      <w:r w:rsidR="00C1110D" w:rsidRPr="00E43B72">
        <w:rPr>
          <w:lang w:val="fr-FR"/>
        </w:rPr>
        <w:t> </w:t>
      </w:r>
      <w:r w:rsidRPr="00E43B72">
        <w:rPr>
          <w:lang w:val="fr-FR"/>
        </w:rPr>
        <w:t>1.1.4 sur l</w:t>
      </w:r>
      <w:r w:rsidR="00C2697F" w:rsidRPr="00E43B72">
        <w:rPr>
          <w:lang w:val="fr-FR"/>
        </w:rPr>
        <w:t>’</w:t>
      </w:r>
      <w:r w:rsidRPr="00E43B72">
        <w:rPr>
          <w:lang w:val="fr-FR"/>
        </w:rPr>
        <w:t>amélioration des activités d</w:t>
      </w:r>
      <w:r w:rsidR="00C2697F" w:rsidRPr="00E43B72">
        <w:rPr>
          <w:lang w:val="fr-FR"/>
        </w:rPr>
        <w:t>’</w:t>
      </w:r>
      <w:r w:rsidRPr="00E43B72">
        <w:rPr>
          <w:lang w:val="fr-FR"/>
        </w:rPr>
        <w:t>application de la loi, les huit États de l</w:t>
      </w:r>
      <w:r w:rsidR="00C2697F" w:rsidRPr="00E43B72">
        <w:rPr>
          <w:lang w:val="fr-FR"/>
        </w:rPr>
        <w:t>’</w:t>
      </w:r>
      <w:r w:rsidRPr="00E43B72">
        <w:rPr>
          <w:lang w:val="fr-FR"/>
        </w:rPr>
        <w:t>aire de répartition ayant lancé une forme ou une autre d</w:t>
      </w:r>
      <w:r w:rsidR="00C2697F" w:rsidRPr="00E43B72">
        <w:rPr>
          <w:lang w:val="fr-FR"/>
        </w:rPr>
        <w:t>’</w:t>
      </w:r>
      <w:r w:rsidRPr="00E43B72">
        <w:rPr>
          <w:lang w:val="fr-FR"/>
        </w:rPr>
        <w:t>activité.</w:t>
      </w:r>
    </w:p>
    <w:p w14:paraId="46F143CC" w14:textId="77777777" w:rsidR="007F08AF" w:rsidRPr="00E43B72" w:rsidRDefault="007F08AF">
      <w:pPr>
        <w:ind w:left="-360"/>
        <w:jc w:val="both"/>
        <w:rPr>
          <w:lang w:val="fr-FR"/>
        </w:rPr>
      </w:pPr>
    </w:p>
    <w:p w14:paraId="30C2C426" w14:textId="498B17DE" w:rsidR="007F08AF" w:rsidRPr="00E43B72" w:rsidRDefault="00000000" w:rsidP="00BA512F">
      <w:pPr>
        <w:pStyle w:val="ListParagraph"/>
        <w:numPr>
          <w:ilvl w:val="0"/>
          <w:numId w:val="14"/>
        </w:numPr>
        <w:ind w:left="360"/>
        <w:contextualSpacing w:val="0"/>
        <w:jc w:val="both"/>
        <w:rPr>
          <w:lang w:val="fr-FR"/>
        </w:rPr>
      </w:pPr>
      <w:r w:rsidRPr="00E43B72">
        <w:rPr>
          <w:lang w:val="fr-FR"/>
        </w:rPr>
        <w:t>Les actions les moins mises en œuvre étaient l</w:t>
      </w:r>
      <w:r w:rsidR="00C2697F" w:rsidRPr="00E43B72">
        <w:rPr>
          <w:lang w:val="fr-FR"/>
        </w:rPr>
        <w:t>’</w:t>
      </w:r>
      <w:r w:rsidRPr="00E43B72">
        <w:rPr>
          <w:lang w:val="fr-FR"/>
        </w:rPr>
        <w:t>Action</w:t>
      </w:r>
      <w:r w:rsidR="00C1110D" w:rsidRPr="00E43B72">
        <w:rPr>
          <w:lang w:val="fr-FR"/>
        </w:rPr>
        <w:t> </w:t>
      </w:r>
      <w:r w:rsidRPr="00E43B72">
        <w:rPr>
          <w:lang w:val="fr-FR"/>
        </w:rPr>
        <w:t>2.1.2 sur la lutte contre les flux financiers illicites et la</w:t>
      </w:r>
      <w:r w:rsidR="00E43B72" w:rsidRPr="00E43B72">
        <w:rPr>
          <w:lang w:val="fr-FR"/>
        </w:rPr>
        <w:t xml:space="preserve"> </w:t>
      </w:r>
      <w:r w:rsidRPr="00E43B72">
        <w:rPr>
          <w:lang w:val="fr-FR"/>
        </w:rPr>
        <w:t>corruption liés au trafic de tortues imbriquées, ainsi que l</w:t>
      </w:r>
      <w:r w:rsidR="00C2697F" w:rsidRPr="00E43B72">
        <w:rPr>
          <w:lang w:val="fr-FR"/>
        </w:rPr>
        <w:t>’</w:t>
      </w:r>
      <w:r w:rsidRPr="00E43B72">
        <w:rPr>
          <w:lang w:val="fr-FR"/>
        </w:rPr>
        <w:t>Action</w:t>
      </w:r>
      <w:r w:rsidR="00C1110D" w:rsidRPr="00E43B72">
        <w:rPr>
          <w:lang w:val="fr-FR"/>
        </w:rPr>
        <w:t> </w:t>
      </w:r>
      <w:r w:rsidRPr="00E43B72">
        <w:rPr>
          <w:lang w:val="fr-FR"/>
        </w:rPr>
        <w:t>3.1.2 sur l</w:t>
      </w:r>
      <w:r w:rsidR="00C2697F" w:rsidRPr="00E43B72">
        <w:rPr>
          <w:lang w:val="fr-FR"/>
        </w:rPr>
        <w:t>’</w:t>
      </w:r>
      <w:r w:rsidRPr="00E43B72">
        <w:rPr>
          <w:lang w:val="fr-FR"/>
        </w:rPr>
        <w:t>examen des motivations qui sous-tendent l</w:t>
      </w:r>
      <w:r w:rsidR="00C2697F" w:rsidRPr="00E43B72">
        <w:rPr>
          <w:lang w:val="fr-FR"/>
        </w:rPr>
        <w:t>’</w:t>
      </w:r>
      <w:r w:rsidRPr="00E43B72">
        <w:rPr>
          <w:lang w:val="fr-FR"/>
        </w:rPr>
        <w:t>utilisation légale et illégale et la proposition de moyens de subsistance alternatifs.</w:t>
      </w:r>
    </w:p>
    <w:p w14:paraId="3AEBB3E1" w14:textId="77777777" w:rsidR="007F08AF" w:rsidRPr="00E43B72" w:rsidRDefault="007F08AF">
      <w:pPr>
        <w:pStyle w:val="ListParagraph"/>
        <w:ind w:left="360"/>
        <w:contextualSpacing w:val="0"/>
        <w:jc w:val="both"/>
        <w:rPr>
          <w:lang w:val="fr-FR"/>
        </w:rPr>
      </w:pPr>
    </w:p>
    <w:p w14:paraId="7F60A2EA" w14:textId="3DD94C97" w:rsidR="007F08AF" w:rsidRPr="00E43B72" w:rsidRDefault="00000000" w:rsidP="00BA512F">
      <w:pPr>
        <w:pStyle w:val="ListParagraph"/>
        <w:numPr>
          <w:ilvl w:val="0"/>
          <w:numId w:val="14"/>
        </w:numPr>
        <w:ind w:left="360"/>
        <w:contextualSpacing w:val="0"/>
        <w:jc w:val="both"/>
        <w:rPr>
          <w:lang w:val="fr-FR"/>
        </w:rPr>
      </w:pPr>
      <w:r w:rsidRPr="00E43B72">
        <w:rPr>
          <w:lang w:val="fr-FR"/>
        </w:rPr>
        <w:t>L</w:t>
      </w:r>
      <w:r w:rsidR="00C2697F" w:rsidRPr="00E43B72">
        <w:rPr>
          <w:lang w:val="fr-FR"/>
        </w:rPr>
        <w:t>’</w:t>
      </w:r>
      <w:r w:rsidRPr="00E43B72">
        <w:rPr>
          <w:lang w:val="fr-FR"/>
        </w:rPr>
        <w:t>établissement de quotas de prélèvement national légal de spécimens de tortues imbriquées (y compris les œufs) (Action</w:t>
      </w:r>
      <w:r w:rsidR="00C1110D" w:rsidRPr="00E43B72">
        <w:rPr>
          <w:lang w:val="fr-FR"/>
        </w:rPr>
        <w:t> </w:t>
      </w:r>
      <w:r w:rsidRPr="00E43B72">
        <w:rPr>
          <w:lang w:val="fr-FR"/>
        </w:rPr>
        <w:t>1.2.2) a été déclaré «</w:t>
      </w:r>
      <w:r w:rsidR="00C1110D" w:rsidRPr="00E43B72">
        <w:rPr>
          <w:lang w:val="fr-FR"/>
        </w:rPr>
        <w:t> </w:t>
      </w:r>
      <w:r w:rsidRPr="00E43B72">
        <w:rPr>
          <w:lang w:val="fr-FR"/>
        </w:rPr>
        <w:t>sans objet</w:t>
      </w:r>
      <w:r w:rsidR="00C1110D" w:rsidRPr="00E43B72">
        <w:rPr>
          <w:lang w:val="fr-FR"/>
        </w:rPr>
        <w:t> </w:t>
      </w:r>
      <w:r w:rsidRPr="00E43B72">
        <w:rPr>
          <w:lang w:val="fr-FR"/>
        </w:rPr>
        <w:t>» car il est illégal dans la plupart des États de l</w:t>
      </w:r>
      <w:r w:rsidR="00C2697F" w:rsidRPr="00E43B72">
        <w:rPr>
          <w:lang w:val="fr-FR"/>
        </w:rPr>
        <w:t>’</w:t>
      </w:r>
      <w:r w:rsidRPr="00E43B72">
        <w:rPr>
          <w:lang w:val="fr-FR"/>
        </w:rPr>
        <w:t xml:space="preserve">aire de répartition, avec des dispositions pour les communautés traditionnelles et populations autochtones. </w:t>
      </w:r>
    </w:p>
    <w:p w14:paraId="3956E597" w14:textId="77777777" w:rsidR="007F08AF" w:rsidRPr="00E43B72" w:rsidRDefault="007F08AF">
      <w:pPr>
        <w:pStyle w:val="ListParagraph"/>
        <w:ind w:left="360"/>
        <w:contextualSpacing w:val="0"/>
        <w:jc w:val="both"/>
        <w:rPr>
          <w:lang w:val="fr-FR"/>
        </w:rPr>
      </w:pPr>
    </w:p>
    <w:p w14:paraId="55B2B1FD" w14:textId="233DA23B" w:rsidR="007F08AF" w:rsidRPr="00E43B72" w:rsidRDefault="00000000" w:rsidP="00BA512F">
      <w:pPr>
        <w:pStyle w:val="ListParagraph"/>
        <w:numPr>
          <w:ilvl w:val="0"/>
          <w:numId w:val="14"/>
        </w:numPr>
        <w:ind w:left="360"/>
        <w:contextualSpacing w:val="0"/>
        <w:jc w:val="both"/>
        <w:rPr>
          <w:lang w:val="fr-FR"/>
        </w:rPr>
      </w:pPr>
      <w:r w:rsidRPr="00E43B72">
        <w:rPr>
          <w:lang w:val="fr-FR"/>
        </w:rPr>
        <w:t>Le manque de soutien financier et technique a été identifié comme l</w:t>
      </w:r>
      <w:r w:rsidR="00C2697F" w:rsidRPr="00E43B72">
        <w:rPr>
          <w:lang w:val="fr-FR"/>
        </w:rPr>
        <w:t>’</w:t>
      </w:r>
      <w:r w:rsidRPr="00E43B72">
        <w:rPr>
          <w:lang w:val="fr-FR"/>
        </w:rPr>
        <w:t>un des principaux obstacles à la mise en œuvre complète du Plan d</w:t>
      </w:r>
      <w:r w:rsidR="00C2697F" w:rsidRPr="00E43B72">
        <w:rPr>
          <w:lang w:val="fr-FR"/>
        </w:rPr>
        <w:t>’</w:t>
      </w:r>
      <w:r w:rsidRPr="00E43B72">
        <w:rPr>
          <w:lang w:val="fr-FR"/>
        </w:rPr>
        <w:t>action par espèce pour la tortue imbriquée.</w:t>
      </w:r>
    </w:p>
    <w:p w14:paraId="43631279" w14:textId="77777777" w:rsidR="007F08AF" w:rsidRPr="00E43B72" w:rsidRDefault="007F08AF">
      <w:pPr>
        <w:pStyle w:val="ListParagraph"/>
        <w:ind w:left="360"/>
        <w:contextualSpacing w:val="0"/>
        <w:jc w:val="both"/>
        <w:rPr>
          <w:lang w:val="fr-FR"/>
        </w:rPr>
      </w:pPr>
    </w:p>
    <w:p w14:paraId="4AC88472" w14:textId="3AAB9213" w:rsidR="007F08AF" w:rsidRPr="00E43B72" w:rsidRDefault="00000000" w:rsidP="00BA512F">
      <w:pPr>
        <w:pStyle w:val="ListParagraph"/>
        <w:numPr>
          <w:ilvl w:val="0"/>
          <w:numId w:val="14"/>
        </w:numPr>
        <w:ind w:left="360"/>
        <w:contextualSpacing w:val="0"/>
        <w:jc w:val="both"/>
        <w:rPr>
          <w:lang w:val="fr-FR"/>
        </w:rPr>
      </w:pPr>
      <w:r w:rsidRPr="00E43B72">
        <w:rPr>
          <w:lang w:val="fr-FR"/>
        </w:rPr>
        <w:t>Les capacités limitées ont également été signalées comme un obstacle car les lacunes en matière de renforcement des capacités entravent la mise en œuvre efficace de plusieurs actions dans le cadre du Plan d</w:t>
      </w:r>
      <w:r w:rsidR="00C2697F" w:rsidRPr="00E43B72">
        <w:rPr>
          <w:lang w:val="fr-FR"/>
        </w:rPr>
        <w:t>’</w:t>
      </w:r>
      <w:r w:rsidRPr="00E43B72">
        <w:rPr>
          <w:lang w:val="fr-FR"/>
        </w:rPr>
        <w:t>action par espèce, en particulier celles liées à l</w:t>
      </w:r>
      <w:r w:rsidR="00C2697F" w:rsidRPr="00E43B72">
        <w:rPr>
          <w:lang w:val="fr-FR"/>
        </w:rPr>
        <w:t>’</w:t>
      </w:r>
      <w:r w:rsidRPr="00E43B72">
        <w:rPr>
          <w:lang w:val="fr-FR"/>
        </w:rPr>
        <w:t>Action</w:t>
      </w:r>
      <w:r w:rsidR="00C1110D" w:rsidRPr="00E43B72">
        <w:rPr>
          <w:lang w:val="fr-FR"/>
        </w:rPr>
        <w:t> </w:t>
      </w:r>
      <w:r w:rsidRPr="00E43B72">
        <w:rPr>
          <w:lang w:val="fr-FR"/>
        </w:rPr>
        <w:t>2.2.1 sur la collaboration intra- et interrégionale et l</w:t>
      </w:r>
      <w:r w:rsidR="00C2697F" w:rsidRPr="00E43B72">
        <w:rPr>
          <w:lang w:val="fr-FR"/>
        </w:rPr>
        <w:t>’</w:t>
      </w:r>
      <w:r w:rsidRPr="00E43B72">
        <w:rPr>
          <w:lang w:val="fr-FR"/>
        </w:rPr>
        <w:t>échange de renseignements exploitables concernant la capture et le commerce illégaux de la tortue imbriquée, ainsi qu</w:t>
      </w:r>
      <w:r w:rsidR="00C2697F" w:rsidRPr="00E43B72">
        <w:rPr>
          <w:lang w:val="fr-FR"/>
        </w:rPr>
        <w:t>’</w:t>
      </w:r>
      <w:r w:rsidRPr="00E43B72">
        <w:rPr>
          <w:lang w:val="fr-FR"/>
        </w:rPr>
        <w:t>à l</w:t>
      </w:r>
      <w:r w:rsidR="00C2697F" w:rsidRPr="00E43B72">
        <w:rPr>
          <w:lang w:val="fr-FR"/>
        </w:rPr>
        <w:t>’</w:t>
      </w:r>
      <w:r w:rsidRPr="00E43B72">
        <w:rPr>
          <w:lang w:val="fr-FR"/>
        </w:rPr>
        <w:t>Action</w:t>
      </w:r>
      <w:r w:rsidR="00C1110D" w:rsidRPr="00E43B72">
        <w:rPr>
          <w:lang w:val="fr-FR"/>
        </w:rPr>
        <w:t> </w:t>
      </w:r>
      <w:r w:rsidRPr="00E43B72">
        <w:rPr>
          <w:lang w:val="fr-FR"/>
        </w:rPr>
        <w:t>2.4.2 sur la définition et l</w:t>
      </w:r>
      <w:r w:rsidR="00C2697F" w:rsidRPr="00E43B72">
        <w:rPr>
          <w:lang w:val="fr-FR"/>
        </w:rPr>
        <w:t>’</w:t>
      </w:r>
      <w:r w:rsidRPr="00E43B72">
        <w:rPr>
          <w:lang w:val="fr-FR"/>
        </w:rPr>
        <w:t>identification des habitats essentiels pour les populations de tortues imbriquées à différents stades de leur cycle de vie.</w:t>
      </w:r>
    </w:p>
    <w:p w14:paraId="098DF71D" w14:textId="77777777" w:rsidR="007F08AF" w:rsidRPr="00E43B72" w:rsidRDefault="007F08AF">
      <w:pPr>
        <w:pStyle w:val="ListParagraph"/>
        <w:ind w:left="360"/>
        <w:contextualSpacing w:val="0"/>
        <w:jc w:val="both"/>
        <w:rPr>
          <w:lang w:val="fr-FR"/>
        </w:rPr>
      </w:pPr>
    </w:p>
    <w:p w14:paraId="264DC404" w14:textId="7253DDA5" w:rsidR="007F08AF" w:rsidRPr="00E43B72" w:rsidRDefault="00000000" w:rsidP="00BA512F">
      <w:pPr>
        <w:pStyle w:val="ListParagraph"/>
        <w:numPr>
          <w:ilvl w:val="0"/>
          <w:numId w:val="14"/>
        </w:numPr>
        <w:ind w:left="360"/>
        <w:contextualSpacing w:val="0"/>
        <w:jc w:val="both"/>
        <w:rPr>
          <w:lang w:val="fr-FR"/>
        </w:rPr>
      </w:pPr>
      <w:r w:rsidRPr="00E43B72">
        <w:rPr>
          <w:lang w:val="fr-FR"/>
        </w:rPr>
        <w:t>D</w:t>
      </w:r>
      <w:r w:rsidR="00C2697F" w:rsidRPr="00E43B72">
        <w:rPr>
          <w:lang w:val="fr-FR"/>
        </w:rPr>
        <w:t>’</w:t>
      </w:r>
      <w:r w:rsidRPr="00E43B72">
        <w:rPr>
          <w:lang w:val="fr-FR"/>
        </w:rPr>
        <w:t>autres obstacles à la mise en œuvre complète du Plan d</w:t>
      </w:r>
      <w:r w:rsidR="00C2697F" w:rsidRPr="00E43B72">
        <w:rPr>
          <w:lang w:val="fr-FR"/>
        </w:rPr>
        <w:t>’</w:t>
      </w:r>
      <w:r w:rsidRPr="00E43B72">
        <w:rPr>
          <w:lang w:val="fr-FR"/>
        </w:rPr>
        <w:t>action par espèce pour la tortue imbriquée incluent le manque d</w:t>
      </w:r>
      <w:r w:rsidR="00C2697F" w:rsidRPr="00E43B72">
        <w:rPr>
          <w:lang w:val="fr-FR"/>
        </w:rPr>
        <w:t>’</w:t>
      </w:r>
      <w:r w:rsidRPr="00E43B72">
        <w:rPr>
          <w:lang w:val="fr-FR"/>
        </w:rPr>
        <w:t>informations et de données scientifiques, le chevauchement des pouvoirs et des juridictions légales, ainsi que les conflits d</w:t>
      </w:r>
      <w:r w:rsidR="00C2697F" w:rsidRPr="00E43B72">
        <w:rPr>
          <w:lang w:val="fr-FR"/>
        </w:rPr>
        <w:t>’</w:t>
      </w:r>
      <w:r w:rsidRPr="00E43B72">
        <w:rPr>
          <w:lang w:val="fr-FR"/>
        </w:rPr>
        <w:t xml:space="preserve">intérêts entre les gains économiques et la durabilité environnementale. </w:t>
      </w:r>
    </w:p>
    <w:p w14:paraId="106594F0" w14:textId="77777777" w:rsidR="007F08AF" w:rsidRPr="00E43B72" w:rsidRDefault="007F08AF">
      <w:pPr>
        <w:pStyle w:val="ListParagraph"/>
        <w:ind w:left="360"/>
        <w:contextualSpacing w:val="0"/>
        <w:jc w:val="both"/>
        <w:rPr>
          <w:lang w:val="fr-FR"/>
        </w:rPr>
      </w:pPr>
    </w:p>
    <w:p w14:paraId="240F799B" w14:textId="1DDA1EF4" w:rsidR="007F08AF" w:rsidRPr="00E43B72" w:rsidRDefault="00000000" w:rsidP="00BA512F">
      <w:pPr>
        <w:pStyle w:val="ListParagraph"/>
        <w:numPr>
          <w:ilvl w:val="0"/>
          <w:numId w:val="14"/>
        </w:numPr>
        <w:ind w:left="360"/>
        <w:contextualSpacing w:val="0"/>
        <w:jc w:val="both"/>
        <w:rPr>
          <w:lang w:val="fr-FR"/>
        </w:rPr>
      </w:pPr>
      <w:r w:rsidRPr="00E43B72">
        <w:rPr>
          <w:lang w:val="fr-FR"/>
        </w:rPr>
        <w:t>Dans l</w:t>
      </w:r>
      <w:r w:rsidR="00C2697F" w:rsidRPr="00E43B72">
        <w:rPr>
          <w:lang w:val="fr-FR"/>
        </w:rPr>
        <w:t>’</w:t>
      </w:r>
      <w:r w:rsidRPr="00E43B72">
        <w:rPr>
          <w:lang w:val="fr-FR"/>
        </w:rPr>
        <w:t>ensemble, la mise en œuvre du Plan d</w:t>
      </w:r>
      <w:r w:rsidR="00C2697F" w:rsidRPr="00E43B72">
        <w:rPr>
          <w:lang w:val="fr-FR"/>
        </w:rPr>
        <w:t>’</w:t>
      </w:r>
      <w:r w:rsidRPr="00E43B72">
        <w:rPr>
          <w:lang w:val="fr-FR"/>
        </w:rPr>
        <w:t>action par espèce révèle des niveaux de progrès variables parmi les États de l</w:t>
      </w:r>
      <w:r w:rsidR="00C2697F" w:rsidRPr="00E43B72">
        <w:rPr>
          <w:lang w:val="fr-FR"/>
        </w:rPr>
        <w:t>’</w:t>
      </w:r>
      <w:r w:rsidRPr="00E43B72">
        <w:rPr>
          <w:lang w:val="fr-FR"/>
        </w:rPr>
        <w:t>aire de répartition. La réalisation des objectifs dans le cadre du Plan d</w:t>
      </w:r>
      <w:r w:rsidR="00C2697F" w:rsidRPr="00E43B72">
        <w:rPr>
          <w:lang w:val="fr-FR"/>
        </w:rPr>
        <w:t>’</w:t>
      </w:r>
      <w:r w:rsidRPr="00E43B72">
        <w:rPr>
          <w:lang w:val="fr-FR"/>
        </w:rPr>
        <w:t xml:space="preserve">action par espèce ainsi que la mise en œuvre des actions prévues ne semblent que partiellement satisfaisantes. </w:t>
      </w:r>
    </w:p>
    <w:p w14:paraId="00B8EE8D" w14:textId="77777777" w:rsidR="007F08AF" w:rsidRPr="00E43B72" w:rsidRDefault="007F08AF">
      <w:pPr>
        <w:jc w:val="both"/>
        <w:rPr>
          <w:lang w:val="fr-FR"/>
        </w:rPr>
      </w:pPr>
    </w:p>
    <w:p w14:paraId="51A45663" w14:textId="77777777" w:rsidR="007F08AF" w:rsidRPr="00E43B72" w:rsidRDefault="00000000">
      <w:pPr>
        <w:pStyle w:val="Heading1"/>
        <w:rPr>
          <w:lang w:val="fr-FR"/>
        </w:rPr>
      </w:pPr>
      <w:bookmarkStart w:id="11" w:name="_Toc205976353"/>
      <w:r w:rsidRPr="00E43B72">
        <w:rPr>
          <w:lang w:val="fr-FR"/>
        </w:rPr>
        <w:t>Recommandations</w:t>
      </w:r>
      <w:bookmarkEnd w:id="11"/>
      <w:r w:rsidRPr="00E43B72">
        <w:rPr>
          <w:lang w:val="fr-FR"/>
        </w:rPr>
        <w:t xml:space="preserve"> </w:t>
      </w:r>
    </w:p>
    <w:p w14:paraId="2892F287" w14:textId="77777777" w:rsidR="007F08AF" w:rsidRPr="00E43B72" w:rsidRDefault="007F08AF">
      <w:pPr>
        <w:rPr>
          <w:lang w:val="fr-FR"/>
        </w:rPr>
      </w:pPr>
    </w:p>
    <w:p w14:paraId="286EECD3" w14:textId="2BE4598A" w:rsidR="007F08AF" w:rsidRPr="00E43B72" w:rsidRDefault="00000000">
      <w:pPr>
        <w:jc w:val="both"/>
        <w:rPr>
          <w:lang w:val="fr-FR"/>
        </w:rPr>
      </w:pPr>
      <w:r w:rsidRPr="00E43B72">
        <w:rPr>
          <w:lang w:val="fr-FR"/>
        </w:rPr>
        <w:t>Pour soutenir la poursuite des progrès dans le cadre du Plan d</w:t>
      </w:r>
      <w:r w:rsidR="00C2697F" w:rsidRPr="00E43B72">
        <w:rPr>
          <w:lang w:val="fr-FR"/>
        </w:rPr>
        <w:t>’</w:t>
      </w:r>
      <w:r w:rsidRPr="00E43B72">
        <w:rPr>
          <w:lang w:val="fr-FR"/>
        </w:rPr>
        <w:t>action, le Secrétariat et le Groupe directeur ont élaboré les recommandations suivantes afin de renforcer davantage la mise en œuvre du Plan d</w:t>
      </w:r>
      <w:r w:rsidR="00C2697F" w:rsidRPr="00E43B72">
        <w:rPr>
          <w:lang w:val="fr-FR"/>
        </w:rPr>
        <w:t>’</w:t>
      </w:r>
      <w:r w:rsidRPr="00E43B72">
        <w:rPr>
          <w:lang w:val="fr-FR"/>
        </w:rPr>
        <w:t>action, sur la base des défis identifiés par les États de l</w:t>
      </w:r>
      <w:r w:rsidR="00C2697F" w:rsidRPr="00E43B72">
        <w:rPr>
          <w:lang w:val="fr-FR"/>
        </w:rPr>
        <w:t>’</w:t>
      </w:r>
      <w:r w:rsidRPr="00E43B72">
        <w:rPr>
          <w:lang w:val="fr-FR"/>
        </w:rPr>
        <w:t>aire de répartition et de leur propre évaluation des principales lacunes</w:t>
      </w:r>
      <w:r w:rsidR="00C421BB" w:rsidRPr="00E43B72">
        <w:rPr>
          <w:lang w:val="fr-FR"/>
        </w:rPr>
        <w:t> :</w:t>
      </w:r>
    </w:p>
    <w:p w14:paraId="428034F1" w14:textId="77777777" w:rsidR="007F08AF" w:rsidRPr="00E43B72" w:rsidRDefault="007F08AF">
      <w:pPr>
        <w:jc w:val="both"/>
        <w:rPr>
          <w:lang w:val="fr-FR"/>
        </w:rPr>
      </w:pPr>
    </w:p>
    <w:p w14:paraId="4B7BD6AB" w14:textId="056BDEBE" w:rsidR="007F08AF" w:rsidRPr="00E43B72" w:rsidRDefault="00000000" w:rsidP="00BA512F">
      <w:pPr>
        <w:pStyle w:val="ListParagraph"/>
        <w:numPr>
          <w:ilvl w:val="0"/>
          <w:numId w:val="15"/>
        </w:numPr>
        <w:ind w:left="360"/>
        <w:contextualSpacing w:val="0"/>
        <w:jc w:val="both"/>
        <w:rPr>
          <w:lang w:val="fr-FR"/>
        </w:rPr>
      </w:pPr>
      <w:r w:rsidRPr="00E43B72">
        <w:rPr>
          <w:lang w:val="fr-FR"/>
        </w:rPr>
        <w:lastRenderedPageBreak/>
        <w:t>Obtenir un financement supplémentaire afin de garantir la mise en œuvre efficace du Plan d</w:t>
      </w:r>
      <w:r w:rsidR="00C2697F" w:rsidRPr="00E43B72">
        <w:rPr>
          <w:lang w:val="fr-FR"/>
        </w:rPr>
        <w:t>’</w:t>
      </w:r>
      <w:r w:rsidRPr="00E43B72">
        <w:rPr>
          <w:lang w:val="fr-FR"/>
        </w:rPr>
        <w:t>action par espèce, en mettant l</w:t>
      </w:r>
      <w:r w:rsidR="00C2697F" w:rsidRPr="00E43B72">
        <w:rPr>
          <w:lang w:val="fr-FR"/>
        </w:rPr>
        <w:t>’</w:t>
      </w:r>
      <w:r w:rsidRPr="00E43B72">
        <w:rPr>
          <w:lang w:val="fr-FR"/>
        </w:rPr>
        <w:t>accent sur l</w:t>
      </w:r>
      <w:r w:rsidR="00C2697F" w:rsidRPr="00E43B72">
        <w:rPr>
          <w:lang w:val="fr-FR"/>
        </w:rPr>
        <w:t>’</w:t>
      </w:r>
      <w:r w:rsidRPr="00E43B72">
        <w:rPr>
          <w:lang w:val="fr-FR"/>
        </w:rPr>
        <w:t xml:space="preserve">amélioration des programmes de suivi, le renforcement des capacités et la formation, ainsi que sur des programmes de campagne de sensibilisation plus larges. </w:t>
      </w:r>
    </w:p>
    <w:p w14:paraId="68E74525" w14:textId="77777777" w:rsidR="007F08AF" w:rsidRPr="00E43B72" w:rsidRDefault="007F08AF">
      <w:pPr>
        <w:pStyle w:val="ListParagraph"/>
        <w:ind w:left="360"/>
        <w:contextualSpacing w:val="0"/>
        <w:jc w:val="both"/>
        <w:rPr>
          <w:lang w:val="fr-FR"/>
        </w:rPr>
      </w:pPr>
    </w:p>
    <w:p w14:paraId="0B549348" w14:textId="1CDB02AC" w:rsidR="007F08AF" w:rsidRPr="00E43B72" w:rsidRDefault="00000000" w:rsidP="00BA512F">
      <w:pPr>
        <w:pStyle w:val="ListParagraph"/>
        <w:numPr>
          <w:ilvl w:val="0"/>
          <w:numId w:val="15"/>
        </w:numPr>
        <w:ind w:left="360"/>
        <w:contextualSpacing w:val="0"/>
        <w:jc w:val="both"/>
        <w:rPr>
          <w:lang w:val="fr-FR"/>
        </w:rPr>
      </w:pPr>
      <w:r w:rsidRPr="00E43B72">
        <w:rPr>
          <w:lang w:val="fr-FR"/>
        </w:rPr>
        <w:t>Renforcer les capacités et la formation des parties prenantes, telles que les populations autochtones et les organismes publics, afin d</w:t>
      </w:r>
      <w:r w:rsidR="00C2697F" w:rsidRPr="00E43B72">
        <w:rPr>
          <w:lang w:val="fr-FR"/>
        </w:rPr>
        <w:t>’</w:t>
      </w:r>
      <w:r w:rsidRPr="00E43B72">
        <w:rPr>
          <w:lang w:val="fr-FR"/>
        </w:rPr>
        <w:t xml:space="preserve">améliorer la surveillance de la tortue imbriquée. </w:t>
      </w:r>
    </w:p>
    <w:p w14:paraId="46A2E7C7" w14:textId="77777777" w:rsidR="007F08AF" w:rsidRPr="00E43B72" w:rsidRDefault="007F08AF">
      <w:pPr>
        <w:pStyle w:val="ListParagraph"/>
        <w:ind w:left="360"/>
        <w:contextualSpacing w:val="0"/>
        <w:jc w:val="both"/>
        <w:rPr>
          <w:lang w:val="fr-FR"/>
        </w:rPr>
      </w:pPr>
    </w:p>
    <w:p w14:paraId="72A2A717" w14:textId="08EB83DD" w:rsidR="007F08AF" w:rsidRPr="00E43B72" w:rsidRDefault="00000000" w:rsidP="00BA512F">
      <w:pPr>
        <w:pStyle w:val="ListParagraph"/>
        <w:numPr>
          <w:ilvl w:val="0"/>
          <w:numId w:val="15"/>
        </w:numPr>
        <w:ind w:left="360"/>
        <w:contextualSpacing w:val="0"/>
        <w:jc w:val="both"/>
        <w:rPr>
          <w:lang w:val="fr-FR"/>
        </w:rPr>
      </w:pPr>
      <w:r w:rsidRPr="00E43B72">
        <w:rPr>
          <w:lang w:val="fr-FR"/>
        </w:rPr>
        <w:t>Intensifier les efforts de collecte de données concernant la capture et le commerce illégaux d</w:t>
      </w:r>
      <w:r w:rsidR="00C2697F" w:rsidRPr="00E43B72">
        <w:rPr>
          <w:lang w:val="fr-FR"/>
        </w:rPr>
        <w:t>’</w:t>
      </w:r>
      <w:r w:rsidRPr="00E43B72">
        <w:rPr>
          <w:lang w:val="fr-FR"/>
        </w:rPr>
        <w:t xml:space="preserve">espèces sauvages, et remédier aux flux financiers illicites associés au trafic de tortues imbriquées. </w:t>
      </w:r>
    </w:p>
    <w:p w14:paraId="64F1097A" w14:textId="77777777" w:rsidR="007F08AF" w:rsidRPr="00E43B72" w:rsidRDefault="007F08AF">
      <w:pPr>
        <w:pStyle w:val="ListParagraph"/>
        <w:ind w:left="360"/>
        <w:contextualSpacing w:val="0"/>
        <w:jc w:val="both"/>
        <w:rPr>
          <w:lang w:val="fr-FR"/>
        </w:rPr>
      </w:pPr>
    </w:p>
    <w:p w14:paraId="0E056B5C" w14:textId="673BFE13" w:rsidR="007F08AF" w:rsidRPr="00E43B72" w:rsidRDefault="00000000" w:rsidP="00BA512F">
      <w:pPr>
        <w:pStyle w:val="ListParagraph"/>
        <w:numPr>
          <w:ilvl w:val="0"/>
          <w:numId w:val="15"/>
        </w:numPr>
        <w:ind w:left="360"/>
        <w:contextualSpacing w:val="0"/>
        <w:jc w:val="both"/>
        <w:rPr>
          <w:lang w:val="fr-FR"/>
        </w:rPr>
      </w:pPr>
      <w:r w:rsidRPr="00E43B72">
        <w:rPr>
          <w:lang w:val="fr-FR"/>
        </w:rPr>
        <w:t>Renforcer la capacité institutionnelle afin de répondre à la nécessité de fonctionnaires supplémentaires pour la Convention sur le commerce international des espèces de faune et de flore sauvages menacées d</w:t>
      </w:r>
      <w:r w:rsidR="00C2697F" w:rsidRPr="00E43B72">
        <w:rPr>
          <w:lang w:val="fr-FR"/>
        </w:rPr>
        <w:t>’</w:t>
      </w:r>
      <w:r w:rsidRPr="00E43B72">
        <w:rPr>
          <w:lang w:val="fr-FR"/>
        </w:rPr>
        <w:t>extinction.</w:t>
      </w:r>
    </w:p>
    <w:p w14:paraId="00F45A54" w14:textId="77777777" w:rsidR="007F08AF" w:rsidRPr="00E43B72" w:rsidRDefault="007F08AF">
      <w:pPr>
        <w:pStyle w:val="ListParagraph"/>
        <w:ind w:left="360"/>
        <w:contextualSpacing w:val="0"/>
        <w:jc w:val="both"/>
        <w:rPr>
          <w:lang w:val="fr-FR"/>
        </w:rPr>
      </w:pPr>
    </w:p>
    <w:p w14:paraId="3939FAF1" w14:textId="77777777" w:rsidR="007F08AF" w:rsidRPr="00E43B72" w:rsidRDefault="00000000" w:rsidP="00BA512F">
      <w:pPr>
        <w:pStyle w:val="ListParagraph"/>
        <w:numPr>
          <w:ilvl w:val="0"/>
          <w:numId w:val="15"/>
        </w:numPr>
        <w:ind w:left="360"/>
        <w:contextualSpacing w:val="0"/>
        <w:jc w:val="both"/>
        <w:rPr>
          <w:lang w:val="fr-FR"/>
        </w:rPr>
      </w:pPr>
      <w:r w:rsidRPr="00E43B72">
        <w:rPr>
          <w:lang w:val="fr-FR"/>
        </w:rPr>
        <w:t>Encourager la collaboration entre les agences par un renforcement des capacités ciblé pour répondre à la capture et au commerce illégaux de la tortue imbriquée, notamment par des formations régulières, des ateliers conjoints et le partage des meilleures pratiques.</w:t>
      </w:r>
    </w:p>
    <w:p w14:paraId="005CD2C3" w14:textId="24C01F73" w:rsidR="007F08AF" w:rsidRPr="00E43B72" w:rsidRDefault="00000000" w:rsidP="00BA512F">
      <w:pPr>
        <w:pStyle w:val="ListParagraph"/>
        <w:numPr>
          <w:ilvl w:val="0"/>
          <w:numId w:val="15"/>
        </w:numPr>
        <w:ind w:left="360"/>
        <w:contextualSpacing w:val="0"/>
        <w:jc w:val="both"/>
        <w:rPr>
          <w:lang w:val="fr-FR"/>
        </w:rPr>
      </w:pPr>
      <w:r w:rsidRPr="00E43B72">
        <w:rPr>
          <w:lang w:val="fr-FR"/>
        </w:rPr>
        <w:t>Soutenir la recherche ciblée pour combler les lacunes actuelles en matière de données, notamment pour achever et mettre en œuvre les Plans d</w:t>
      </w:r>
      <w:r w:rsidR="00C2697F" w:rsidRPr="00E43B72">
        <w:rPr>
          <w:lang w:val="fr-FR"/>
        </w:rPr>
        <w:t>’</w:t>
      </w:r>
      <w:r w:rsidRPr="00E43B72">
        <w:rPr>
          <w:lang w:val="fr-FR"/>
        </w:rPr>
        <w:t xml:space="preserve">action nationaux en faveur des tortues marines. </w:t>
      </w:r>
    </w:p>
    <w:p w14:paraId="040E2E4D" w14:textId="77777777" w:rsidR="007F08AF" w:rsidRPr="00E43B72" w:rsidRDefault="007F08AF">
      <w:pPr>
        <w:pStyle w:val="ListParagraph"/>
        <w:ind w:left="360"/>
        <w:contextualSpacing w:val="0"/>
        <w:jc w:val="both"/>
        <w:rPr>
          <w:lang w:val="fr-FR"/>
        </w:rPr>
      </w:pPr>
    </w:p>
    <w:p w14:paraId="2F1300F0" w14:textId="063FAC42" w:rsidR="007F08AF" w:rsidRPr="00E43B72" w:rsidRDefault="00000000" w:rsidP="00BA512F">
      <w:pPr>
        <w:pStyle w:val="ListParagraph"/>
        <w:numPr>
          <w:ilvl w:val="0"/>
          <w:numId w:val="15"/>
        </w:numPr>
        <w:ind w:left="360"/>
        <w:contextualSpacing w:val="0"/>
        <w:jc w:val="both"/>
        <w:rPr>
          <w:lang w:val="fr-FR"/>
        </w:rPr>
      </w:pPr>
      <w:r w:rsidRPr="00E43B72">
        <w:rPr>
          <w:lang w:val="fr-FR"/>
        </w:rPr>
        <w:t>Faciliter l</w:t>
      </w:r>
      <w:r w:rsidR="00C2697F" w:rsidRPr="00E43B72">
        <w:rPr>
          <w:lang w:val="fr-FR"/>
        </w:rPr>
        <w:t>’</w:t>
      </w:r>
      <w:r w:rsidRPr="00E43B72">
        <w:rPr>
          <w:lang w:val="fr-FR"/>
        </w:rPr>
        <w:t>amélioration de l</w:t>
      </w:r>
      <w:r w:rsidR="00C2697F" w:rsidRPr="00E43B72">
        <w:rPr>
          <w:lang w:val="fr-FR"/>
        </w:rPr>
        <w:t>’</w:t>
      </w:r>
      <w:r w:rsidRPr="00E43B72">
        <w:rPr>
          <w:lang w:val="fr-FR"/>
        </w:rPr>
        <w:t>échange de données utiles sur la conservation pour mieux orienter la planification et le suivi.</w:t>
      </w:r>
    </w:p>
    <w:p w14:paraId="0717CB8C" w14:textId="77777777" w:rsidR="007F08AF" w:rsidRPr="00E43B72" w:rsidRDefault="007F08AF">
      <w:pPr>
        <w:pStyle w:val="ListParagraph"/>
        <w:ind w:left="360"/>
        <w:contextualSpacing w:val="0"/>
        <w:jc w:val="both"/>
        <w:rPr>
          <w:lang w:val="fr-FR"/>
        </w:rPr>
      </w:pPr>
    </w:p>
    <w:p w14:paraId="36E86AAD" w14:textId="615950C2" w:rsidR="007F08AF" w:rsidRPr="00E43B72" w:rsidRDefault="00000000" w:rsidP="00BA512F">
      <w:pPr>
        <w:pStyle w:val="ListParagraph"/>
        <w:numPr>
          <w:ilvl w:val="0"/>
          <w:numId w:val="15"/>
        </w:numPr>
        <w:ind w:left="360"/>
        <w:contextualSpacing w:val="0"/>
        <w:jc w:val="both"/>
        <w:rPr>
          <w:lang w:val="fr-FR"/>
        </w:rPr>
      </w:pPr>
      <w:r w:rsidRPr="00E43B72">
        <w:rPr>
          <w:lang w:val="fr-FR"/>
        </w:rPr>
        <w:t>Assurer un appui technique continu de la part des partenaires régionaux et internationaux en facilitant l</w:t>
      </w:r>
      <w:r w:rsidR="00C2697F" w:rsidRPr="00E43B72">
        <w:rPr>
          <w:lang w:val="fr-FR"/>
        </w:rPr>
        <w:t>’</w:t>
      </w:r>
      <w:r w:rsidRPr="00E43B72">
        <w:rPr>
          <w:lang w:val="fr-FR"/>
        </w:rPr>
        <w:t>accès à l</w:t>
      </w:r>
      <w:r w:rsidR="00C2697F" w:rsidRPr="00E43B72">
        <w:rPr>
          <w:lang w:val="fr-FR"/>
        </w:rPr>
        <w:t>’</w:t>
      </w:r>
      <w:r w:rsidRPr="00E43B72">
        <w:rPr>
          <w:lang w:val="fr-FR"/>
        </w:rPr>
        <w:t>orientation des experts, aux outils normalisés et aux meilleures pratiques qui contribuent à aligner les actions nationales des États de l</w:t>
      </w:r>
      <w:r w:rsidR="00C2697F" w:rsidRPr="00E43B72">
        <w:rPr>
          <w:lang w:val="fr-FR"/>
        </w:rPr>
        <w:t>’</w:t>
      </w:r>
      <w:r w:rsidRPr="00E43B72">
        <w:rPr>
          <w:lang w:val="fr-FR"/>
        </w:rPr>
        <w:t>aire de répartition sur les objectifs du Plan d</w:t>
      </w:r>
      <w:r w:rsidR="00C2697F" w:rsidRPr="00E43B72">
        <w:rPr>
          <w:lang w:val="fr-FR"/>
        </w:rPr>
        <w:t>’</w:t>
      </w:r>
      <w:r w:rsidRPr="00E43B72">
        <w:rPr>
          <w:lang w:val="fr-FR"/>
        </w:rPr>
        <w:t xml:space="preserve">action par espèce. </w:t>
      </w:r>
    </w:p>
    <w:p w14:paraId="0D514282" w14:textId="76D42905" w:rsidR="002428C9" w:rsidRDefault="002428C9">
      <w:pPr>
        <w:rPr>
          <w:lang w:val="fr-FR"/>
        </w:rPr>
      </w:pPr>
      <w:r>
        <w:rPr>
          <w:lang w:val="fr-FR"/>
        </w:rPr>
        <w:br w:type="page"/>
      </w:r>
    </w:p>
    <w:p w14:paraId="01713452" w14:textId="5F38DE5E" w:rsidR="007F08AF" w:rsidRPr="00E43B72" w:rsidRDefault="00000000">
      <w:pPr>
        <w:rPr>
          <w:i/>
          <w:iCs/>
          <w:lang w:val="fr-FR"/>
        </w:rPr>
      </w:pPr>
      <w:r w:rsidRPr="00E43B72">
        <w:rPr>
          <w:b/>
          <w:bCs/>
          <w:i/>
          <w:iCs/>
          <w:lang w:val="fr-FR"/>
        </w:rPr>
        <w:lastRenderedPageBreak/>
        <w:t>Tableau 1</w:t>
      </w:r>
      <w:r w:rsidR="00C421BB" w:rsidRPr="00E43B72">
        <w:rPr>
          <w:b/>
          <w:bCs/>
          <w:i/>
          <w:iCs/>
          <w:lang w:val="fr-FR"/>
        </w:rPr>
        <w:t> :</w:t>
      </w:r>
      <w:r w:rsidRPr="00E43B72">
        <w:rPr>
          <w:b/>
          <w:bCs/>
          <w:i/>
          <w:iCs/>
          <w:lang w:val="fr-FR"/>
        </w:rPr>
        <w:t xml:space="preserve"> </w:t>
      </w:r>
      <w:r w:rsidRPr="00E43B72">
        <w:rPr>
          <w:i/>
          <w:iCs/>
          <w:lang w:val="fr-FR"/>
        </w:rPr>
        <w:t>Aperçu des progrès rapportés pour chaque action sur la mise en œuvre du Plan d</w:t>
      </w:r>
      <w:r w:rsidR="00C2697F" w:rsidRPr="00E43B72">
        <w:rPr>
          <w:i/>
          <w:iCs/>
          <w:lang w:val="fr-FR"/>
        </w:rPr>
        <w:t>’</w:t>
      </w:r>
      <w:r w:rsidRPr="00E43B72">
        <w:rPr>
          <w:i/>
          <w:iCs/>
          <w:lang w:val="fr-FR"/>
        </w:rPr>
        <w:t>action par espèce pour la tortue imbriquée (Eretmochelys imbricata) en Asie du Sud-Est et dans l</w:t>
      </w:r>
      <w:r w:rsidR="00C2697F" w:rsidRPr="00E43B72">
        <w:rPr>
          <w:i/>
          <w:iCs/>
          <w:lang w:val="fr-FR"/>
        </w:rPr>
        <w:t>’</w:t>
      </w:r>
      <w:r w:rsidRPr="00E43B72">
        <w:rPr>
          <w:i/>
          <w:iCs/>
          <w:lang w:val="fr-FR"/>
        </w:rPr>
        <w:t xml:space="preserve">océan Pacifique ouest. </w:t>
      </w:r>
    </w:p>
    <w:p w14:paraId="40C04215" w14:textId="77777777" w:rsidR="007F08AF" w:rsidRPr="00E43B72" w:rsidRDefault="007F08AF">
      <w:pPr>
        <w:rPr>
          <w:lang w:val="fr-FR"/>
        </w:rPr>
      </w:pPr>
    </w:p>
    <w:tbl>
      <w:tblPr>
        <w:tblW w:w="9960" w:type="dxa"/>
        <w:jc w:val="center"/>
        <w:tblLayout w:type="fixed"/>
        <w:tblLook w:val="04A0" w:firstRow="1" w:lastRow="0" w:firstColumn="1" w:lastColumn="0" w:noHBand="0" w:noVBand="1"/>
      </w:tblPr>
      <w:tblGrid>
        <w:gridCol w:w="845"/>
        <w:gridCol w:w="1134"/>
        <w:gridCol w:w="1282"/>
        <w:gridCol w:w="986"/>
        <w:gridCol w:w="1134"/>
        <w:gridCol w:w="1134"/>
        <w:gridCol w:w="1282"/>
        <w:gridCol w:w="1134"/>
        <w:gridCol w:w="1029"/>
      </w:tblGrid>
      <w:tr w:rsidR="007F08AF" w:rsidRPr="00971369" w14:paraId="57EED8FD" w14:textId="77777777">
        <w:trPr>
          <w:trHeight w:val="330"/>
          <w:jc w:val="center"/>
        </w:trPr>
        <w:tc>
          <w:tcPr>
            <w:tcW w:w="845" w:type="dxa"/>
            <w:vMerge w:val="restart"/>
            <w:tcBorders>
              <w:top w:val="nil"/>
              <w:left w:val="nil"/>
              <w:bottom w:val="nil"/>
              <w:right w:val="single" w:sz="8" w:space="0" w:color="auto"/>
            </w:tcBorders>
            <w:vAlign w:val="center"/>
            <w:hideMark/>
          </w:tcPr>
          <w:p w14:paraId="2AB407EE" w14:textId="77777777" w:rsidR="007F08AF" w:rsidRPr="00971369" w:rsidRDefault="00000000">
            <w:pPr>
              <w:rPr>
                <w:rFonts w:cs="Arial"/>
                <w:sz w:val="20"/>
                <w:szCs w:val="20"/>
                <w:lang w:val="fr-FR" w:eastAsia="en-GB"/>
              </w:rPr>
            </w:pPr>
            <w:r w:rsidRPr="00971369">
              <w:rPr>
                <w:rFonts w:cs="Arial"/>
                <w:sz w:val="20"/>
                <w:szCs w:val="20"/>
                <w:lang w:val="fr-FR" w:eastAsia="en-GB"/>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57A1094E" w14:textId="697DC903" w:rsidR="007F08AF" w:rsidRPr="00971369" w:rsidRDefault="001370FF">
            <w:pPr>
              <w:jc w:val="center"/>
              <w:rPr>
                <w:rFonts w:cs="Arial"/>
                <w:sz w:val="20"/>
                <w:szCs w:val="20"/>
                <w:lang w:val="fr-FR" w:eastAsia="en-GB"/>
              </w:rPr>
            </w:pPr>
            <w:r w:rsidRPr="00971369">
              <w:rPr>
                <w:rFonts w:cs="Arial"/>
                <w:sz w:val="20"/>
                <w:szCs w:val="20"/>
                <w:lang w:val="fr-FR" w:eastAsia="en-GB"/>
              </w:rPr>
              <w:t>États de l’aire de répartition</w:t>
            </w:r>
          </w:p>
        </w:tc>
      </w:tr>
      <w:tr w:rsidR="007F08AF" w:rsidRPr="00971369" w14:paraId="67D3E6E8" w14:textId="77777777" w:rsidTr="00971369">
        <w:trPr>
          <w:trHeight w:val="330"/>
          <w:jc w:val="center"/>
        </w:trPr>
        <w:tc>
          <w:tcPr>
            <w:tcW w:w="845" w:type="dxa"/>
            <w:vMerge/>
            <w:vAlign w:val="center"/>
            <w:hideMark/>
          </w:tcPr>
          <w:p w14:paraId="01075215" w14:textId="77777777" w:rsidR="007F08AF" w:rsidRPr="00971369" w:rsidRDefault="007F08AF">
            <w:pPr>
              <w:jc w:val="center"/>
              <w:rPr>
                <w:rFonts w:cs="Arial"/>
                <w:sz w:val="20"/>
                <w:szCs w:val="20"/>
                <w:lang w:val="fr-FR"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10E49FE3" w14:textId="10D9849C" w:rsidR="007F08AF" w:rsidRPr="00971369" w:rsidRDefault="00000000">
            <w:pPr>
              <w:jc w:val="center"/>
              <w:rPr>
                <w:rFonts w:cs="Arial"/>
                <w:sz w:val="20"/>
                <w:szCs w:val="20"/>
                <w:lang w:val="fr-FR" w:eastAsia="en-GB"/>
              </w:rPr>
            </w:pPr>
            <w:r w:rsidRPr="00971369">
              <w:rPr>
                <w:rFonts w:cs="Arial"/>
                <w:sz w:val="20"/>
                <w:szCs w:val="20"/>
                <w:lang w:val="fr-FR" w:eastAsia="en-GB"/>
              </w:rPr>
              <w:t>Australi</w:t>
            </w:r>
            <w:r w:rsidR="001370FF" w:rsidRPr="00971369">
              <w:rPr>
                <w:rFonts w:cs="Arial"/>
                <w:sz w:val="20"/>
                <w:szCs w:val="20"/>
                <w:lang w:val="fr-FR" w:eastAsia="en-GB"/>
              </w:rPr>
              <w:t>e</w:t>
            </w:r>
          </w:p>
        </w:tc>
        <w:tc>
          <w:tcPr>
            <w:tcW w:w="1282" w:type="dxa"/>
            <w:tcBorders>
              <w:top w:val="nil"/>
              <w:left w:val="nil"/>
              <w:bottom w:val="single" w:sz="4" w:space="0" w:color="auto"/>
              <w:right w:val="single" w:sz="8" w:space="0" w:color="auto"/>
            </w:tcBorders>
            <w:shd w:val="clear" w:color="auto" w:fill="B4C6E7" w:themeFill="accent1" w:themeFillTint="66"/>
            <w:noWrap/>
            <w:vAlign w:val="center"/>
            <w:hideMark/>
          </w:tcPr>
          <w:p w14:paraId="2DD67A0B" w14:textId="3882BC11" w:rsidR="007F08AF" w:rsidRPr="00971369" w:rsidRDefault="00000000">
            <w:pPr>
              <w:jc w:val="center"/>
              <w:rPr>
                <w:rFonts w:cs="Arial"/>
                <w:sz w:val="20"/>
                <w:szCs w:val="20"/>
                <w:lang w:val="fr-FR" w:eastAsia="en-GB"/>
              </w:rPr>
            </w:pPr>
            <w:r w:rsidRPr="00971369">
              <w:rPr>
                <w:rFonts w:cs="Arial"/>
                <w:sz w:val="20"/>
                <w:szCs w:val="20"/>
                <w:lang w:val="fr-FR" w:eastAsia="en-GB"/>
              </w:rPr>
              <w:t>Cambod</w:t>
            </w:r>
            <w:r w:rsidR="001370FF" w:rsidRPr="00971369">
              <w:rPr>
                <w:rFonts w:cs="Arial"/>
                <w:sz w:val="20"/>
                <w:szCs w:val="20"/>
                <w:lang w:val="fr-FR" w:eastAsia="en-GB"/>
              </w:rPr>
              <w:t>ge</w:t>
            </w:r>
          </w:p>
        </w:tc>
        <w:tc>
          <w:tcPr>
            <w:tcW w:w="986" w:type="dxa"/>
            <w:tcBorders>
              <w:top w:val="nil"/>
              <w:left w:val="nil"/>
              <w:bottom w:val="single" w:sz="4" w:space="0" w:color="auto"/>
              <w:right w:val="single" w:sz="8" w:space="0" w:color="auto"/>
            </w:tcBorders>
            <w:shd w:val="clear" w:color="auto" w:fill="B4C6E7" w:themeFill="accent1" w:themeFillTint="66"/>
            <w:noWrap/>
            <w:vAlign w:val="center"/>
            <w:hideMark/>
          </w:tcPr>
          <w:p w14:paraId="1814CE47"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Fiji</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713A468E" w14:textId="25241E5B" w:rsidR="007F08AF" w:rsidRPr="00971369" w:rsidRDefault="00000000">
            <w:pPr>
              <w:jc w:val="center"/>
              <w:rPr>
                <w:rFonts w:cs="Arial"/>
                <w:sz w:val="20"/>
                <w:szCs w:val="20"/>
                <w:lang w:val="fr-FR" w:eastAsia="en-GB"/>
              </w:rPr>
            </w:pPr>
            <w:r w:rsidRPr="00971369">
              <w:rPr>
                <w:rFonts w:cs="Arial"/>
                <w:sz w:val="20"/>
                <w:szCs w:val="20"/>
                <w:lang w:val="fr-FR" w:eastAsia="en-GB"/>
              </w:rPr>
              <w:t>Mala</w:t>
            </w:r>
            <w:r w:rsidR="00661C9A">
              <w:rPr>
                <w:rFonts w:cs="Arial"/>
                <w:sz w:val="20"/>
                <w:szCs w:val="20"/>
                <w:lang w:val="fr-FR" w:eastAsia="en-GB"/>
              </w:rPr>
              <w:t>i</w:t>
            </w:r>
            <w:r w:rsidRPr="00971369">
              <w:rPr>
                <w:rFonts w:cs="Arial"/>
                <w:sz w:val="20"/>
                <w:szCs w:val="20"/>
                <w:lang w:val="fr-FR" w:eastAsia="en-GB"/>
              </w:rPr>
              <w:t>si</w:t>
            </w:r>
            <w:r w:rsidR="001370FF" w:rsidRPr="00971369">
              <w:rPr>
                <w:rFonts w:cs="Arial"/>
                <w:sz w:val="20"/>
                <w:szCs w:val="20"/>
                <w:lang w:val="fr-FR" w:eastAsia="en-GB"/>
              </w:rPr>
              <w:t>e</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3B1A617" w14:textId="13C928E6" w:rsidR="007F08AF" w:rsidRPr="00971369" w:rsidRDefault="00000000">
            <w:pPr>
              <w:jc w:val="center"/>
              <w:rPr>
                <w:rFonts w:cs="Arial"/>
                <w:sz w:val="20"/>
                <w:szCs w:val="20"/>
                <w:lang w:val="fr-FR" w:eastAsia="en-GB"/>
              </w:rPr>
            </w:pPr>
            <w:r w:rsidRPr="00971369">
              <w:rPr>
                <w:rFonts w:cs="Arial"/>
                <w:sz w:val="20"/>
                <w:szCs w:val="20"/>
                <w:lang w:val="fr-FR" w:eastAsia="en-GB"/>
              </w:rPr>
              <w:t>N</w:t>
            </w:r>
            <w:r w:rsidR="001370FF" w:rsidRPr="00971369">
              <w:rPr>
                <w:rFonts w:cs="Arial"/>
                <w:sz w:val="20"/>
                <w:szCs w:val="20"/>
                <w:lang w:val="fr-FR" w:eastAsia="en-GB"/>
              </w:rPr>
              <w:t>ouvelle</w:t>
            </w:r>
            <w:r w:rsidRPr="00971369">
              <w:rPr>
                <w:rFonts w:cs="Arial"/>
                <w:sz w:val="20"/>
                <w:szCs w:val="20"/>
                <w:lang w:val="fr-FR" w:eastAsia="en-GB"/>
              </w:rPr>
              <w:t xml:space="preserve"> Z</w:t>
            </w:r>
            <w:r w:rsidR="001370FF" w:rsidRPr="00971369">
              <w:rPr>
                <w:rFonts w:cs="Arial"/>
                <w:sz w:val="20"/>
                <w:szCs w:val="20"/>
                <w:lang w:val="fr-FR" w:eastAsia="en-GB"/>
              </w:rPr>
              <w:t>é</w:t>
            </w:r>
            <w:r w:rsidRPr="00971369">
              <w:rPr>
                <w:rFonts w:cs="Arial"/>
                <w:sz w:val="20"/>
                <w:szCs w:val="20"/>
                <w:lang w:val="fr-FR" w:eastAsia="en-GB"/>
              </w:rPr>
              <w:t>land</w:t>
            </w:r>
            <w:r w:rsidR="001370FF" w:rsidRPr="00971369">
              <w:rPr>
                <w:rFonts w:cs="Arial"/>
                <w:sz w:val="20"/>
                <w:szCs w:val="20"/>
                <w:lang w:val="fr-FR" w:eastAsia="en-GB"/>
              </w:rPr>
              <w:t>e</w:t>
            </w:r>
          </w:p>
        </w:tc>
        <w:tc>
          <w:tcPr>
            <w:tcW w:w="1282" w:type="dxa"/>
            <w:tcBorders>
              <w:top w:val="nil"/>
              <w:left w:val="nil"/>
              <w:bottom w:val="single" w:sz="4" w:space="0" w:color="auto"/>
              <w:right w:val="single" w:sz="8" w:space="0" w:color="auto"/>
            </w:tcBorders>
            <w:shd w:val="clear" w:color="auto" w:fill="B4C6E7" w:themeFill="accent1" w:themeFillTint="66"/>
            <w:noWrap/>
            <w:vAlign w:val="center"/>
            <w:hideMark/>
          </w:tcPr>
          <w:p w14:paraId="313DA330"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Philippines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4AA3252" w14:textId="33EDFA7E" w:rsidR="007F08AF" w:rsidRPr="00971369" w:rsidRDefault="00661C9A">
            <w:pPr>
              <w:jc w:val="center"/>
              <w:rPr>
                <w:rFonts w:cs="Arial"/>
                <w:sz w:val="20"/>
                <w:szCs w:val="20"/>
                <w:lang w:val="fr-FR" w:eastAsia="en-GB"/>
              </w:rPr>
            </w:pPr>
            <w:r w:rsidRPr="00971369">
              <w:rPr>
                <w:rFonts w:cs="Arial"/>
                <w:sz w:val="20"/>
                <w:szCs w:val="20"/>
                <w:lang w:val="fr-FR" w:eastAsia="en-GB"/>
              </w:rPr>
              <w:t>Thaïlande</w:t>
            </w:r>
          </w:p>
        </w:tc>
        <w:tc>
          <w:tcPr>
            <w:tcW w:w="1029" w:type="dxa"/>
            <w:tcBorders>
              <w:top w:val="nil"/>
              <w:left w:val="nil"/>
              <w:bottom w:val="single" w:sz="4" w:space="0" w:color="auto"/>
              <w:right w:val="single" w:sz="8" w:space="0" w:color="auto"/>
            </w:tcBorders>
            <w:shd w:val="clear" w:color="auto" w:fill="B4C6E7" w:themeFill="accent1" w:themeFillTint="66"/>
            <w:noWrap/>
            <w:vAlign w:val="center"/>
            <w:hideMark/>
          </w:tcPr>
          <w:p w14:paraId="30592B03"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USA</w:t>
            </w:r>
          </w:p>
        </w:tc>
      </w:tr>
      <w:tr w:rsidR="007F08AF" w:rsidRPr="00971369" w14:paraId="2DD3C9AA" w14:textId="77777777">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74E43CC" w14:textId="77777777" w:rsidR="007F08AF" w:rsidRPr="00971369" w:rsidRDefault="00000000">
            <w:pPr>
              <w:rPr>
                <w:rFonts w:cs="Arial"/>
                <w:sz w:val="20"/>
                <w:szCs w:val="20"/>
                <w:lang w:val="fr-FR" w:eastAsia="en-GB"/>
              </w:rPr>
            </w:pPr>
            <w:r w:rsidRPr="00971369">
              <w:rPr>
                <w:rFonts w:cs="Arial"/>
                <w:sz w:val="20"/>
                <w:szCs w:val="20"/>
                <w:lang w:val="fr-FR" w:eastAsia="en-GB"/>
              </w:rPr>
              <w:t>Action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08BCA12"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Progress</w:t>
            </w:r>
          </w:p>
        </w:tc>
      </w:tr>
      <w:tr w:rsidR="007F08AF" w:rsidRPr="00971369" w14:paraId="0A649032" w14:textId="77777777" w:rsidTr="00971369">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30EC5048" w14:textId="77777777" w:rsidR="007F08AF" w:rsidRPr="00971369" w:rsidRDefault="00000000">
            <w:pPr>
              <w:rPr>
                <w:rFonts w:cs="Arial"/>
                <w:sz w:val="20"/>
                <w:szCs w:val="20"/>
                <w:lang w:val="fr-FR" w:eastAsia="en-GB"/>
              </w:rPr>
            </w:pPr>
            <w:r w:rsidRPr="00971369">
              <w:rPr>
                <w:rFonts w:cs="Arial"/>
                <w:sz w:val="20"/>
                <w:szCs w:val="20"/>
                <w:lang w:val="fr-FR" w:eastAsia="en-GB"/>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74D0A59B" w14:textId="77777777" w:rsidR="007F08AF" w:rsidRPr="00971369" w:rsidRDefault="007F08AF">
            <w:pPr>
              <w:jc w:val="center"/>
              <w:rPr>
                <w:rFonts w:cs="Arial"/>
                <w:sz w:val="20"/>
                <w:szCs w:val="20"/>
                <w:lang w:val="fr-FR" w:eastAsia="en-GB"/>
              </w:rPr>
            </w:pPr>
          </w:p>
        </w:tc>
        <w:tc>
          <w:tcPr>
            <w:tcW w:w="1282" w:type="dxa"/>
            <w:tcBorders>
              <w:top w:val="single" w:sz="4" w:space="0" w:color="auto"/>
              <w:left w:val="nil"/>
              <w:bottom w:val="single" w:sz="8" w:space="0" w:color="auto"/>
              <w:right w:val="single" w:sz="8" w:space="0" w:color="auto"/>
            </w:tcBorders>
            <w:noWrap/>
            <w:vAlign w:val="center"/>
            <w:hideMark/>
          </w:tcPr>
          <w:p w14:paraId="036E2825"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986" w:type="dxa"/>
            <w:tcBorders>
              <w:top w:val="single" w:sz="4" w:space="0" w:color="auto"/>
              <w:left w:val="nil"/>
              <w:bottom w:val="single" w:sz="8" w:space="0" w:color="auto"/>
              <w:right w:val="single" w:sz="8" w:space="0" w:color="auto"/>
            </w:tcBorders>
            <w:shd w:val="clear" w:color="auto" w:fill="FFE699"/>
            <w:vAlign w:val="center"/>
            <w:hideMark/>
          </w:tcPr>
          <w:p w14:paraId="3406B83B" w14:textId="77777777" w:rsidR="007F08AF" w:rsidRPr="00971369" w:rsidRDefault="007F08AF">
            <w:pPr>
              <w:jc w:val="center"/>
              <w:rPr>
                <w:rFonts w:cs="Arial"/>
                <w:sz w:val="20"/>
                <w:szCs w:val="20"/>
                <w:lang w:val="fr-FR"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00D69065" w14:textId="77777777" w:rsidR="007F08AF" w:rsidRPr="00971369" w:rsidRDefault="007F08AF">
            <w:pPr>
              <w:jc w:val="center"/>
              <w:rPr>
                <w:rFonts w:cs="Arial"/>
                <w:sz w:val="20"/>
                <w:szCs w:val="20"/>
                <w:lang w:val="fr-FR" w:eastAsia="en-GB"/>
              </w:rPr>
            </w:pPr>
          </w:p>
        </w:tc>
        <w:tc>
          <w:tcPr>
            <w:tcW w:w="1134" w:type="dxa"/>
            <w:tcBorders>
              <w:top w:val="single" w:sz="4" w:space="0" w:color="auto"/>
              <w:left w:val="nil"/>
              <w:bottom w:val="single" w:sz="8" w:space="0" w:color="auto"/>
              <w:right w:val="single" w:sz="8" w:space="0" w:color="auto"/>
            </w:tcBorders>
            <w:noWrap/>
            <w:vAlign w:val="center"/>
            <w:hideMark/>
          </w:tcPr>
          <w:p w14:paraId="426E27D1"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single" w:sz="4" w:space="0" w:color="auto"/>
              <w:left w:val="nil"/>
              <w:bottom w:val="single" w:sz="8" w:space="0" w:color="auto"/>
              <w:right w:val="single" w:sz="8" w:space="0" w:color="auto"/>
            </w:tcBorders>
            <w:noWrap/>
            <w:vAlign w:val="center"/>
            <w:hideMark/>
          </w:tcPr>
          <w:p w14:paraId="16FA4E7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1BA068B2"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029" w:type="dxa"/>
            <w:tcBorders>
              <w:top w:val="single" w:sz="4" w:space="0" w:color="auto"/>
              <w:left w:val="nil"/>
              <w:bottom w:val="single" w:sz="8" w:space="0" w:color="auto"/>
              <w:right w:val="single" w:sz="8" w:space="0" w:color="auto"/>
            </w:tcBorders>
            <w:shd w:val="clear" w:color="auto" w:fill="C6E0B5"/>
            <w:noWrap/>
            <w:vAlign w:val="center"/>
            <w:hideMark/>
          </w:tcPr>
          <w:p w14:paraId="73DD431C" w14:textId="77777777" w:rsidR="007F08AF" w:rsidRPr="00971369" w:rsidRDefault="007F08AF">
            <w:pPr>
              <w:jc w:val="center"/>
              <w:rPr>
                <w:rFonts w:cs="Arial"/>
                <w:sz w:val="20"/>
                <w:szCs w:val="20"/>
                <w:lang w:val="fr-FR" w:eastAsia="en-GB"/>
              </w:rPr>
            </w:pPr>
          </w:p>
        </w:tc>
      </w:tr>
      <w:tr w:rsidR="007F08AF" w:rsidRPr="00971369" w14:paraId="763DFFCB" w14:textId="77777777" w:rsidTr="00971369">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4EFC8DED" w14:textId="77777777" w:rsidR="007F08AF" w:rsidRPr="00971369" w:rsidRDefault="00000000">
            <w:pPr>
              <w:rPr>
                <w:rFonts w:cs="Arial"/>
                <w:sz w:val="20"/>
                <w:szCs w:val="20"/>
                <w:lang w:val="fr-FR" w:eastAsia="en-GB"/>
              </w:rPr>
            </w:pPr>
            <w:r w:rsidRPr="00971369">
              <w:rPr>
                <w:rFonts w:cs="Arial"/>
                <w:sz w:val="20"/>
                <w:szCs w:val="20"/>
                <w:lang w:val="fr-FR" w:eastAsia="en-GB"/>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49DDAD0A"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84440B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C6E0B5"/>
            <w:vAlign w:val="center"/>
            <w:hideMark/>
          </w:tcPr>
          <w:p w14:paraId="4D73450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A2D1A1A"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F4F467E"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F500A9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CB3333F"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1C1E369" w14:textId="77777777" w:rsidR="007F08AF" w:rsidRPr="00971369" w:rsidRDefault="007F08AF">
            <w:pPr>
              <w:jc w:val="center"/>
              <w:rPr>
                <w:rFonts w:cs="Arial"/>
                <w:sz w:val="20"/>
                <w:szCs w:val="20"/>
                <w:lang w:val="fr-FR" w:eastAsia="en-GB"/>
              </w:rPr>
            </w:pPr>
          </w:p>
        </w:tc>
      </w:tr>
      <w:tr w:rsidR="007F08AF" w:rsidRPr="00971369" w14:paraId="5CC2D3E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38B07FB" w14:textId="77777777" w:rsidR="007F08AF" w:rsidRPr="00971369" w:rsidRDefault="00000000">
            <w:pPr>
              <w:rPr>
                <w:rFonts w:cs="Arial"/>
                <w:sz w:val="20"/>
                <w:szCs w:val="20"/>
                <w:lang w:val="fr-FR" w:eastAsia="en-GB"/>
              </w:rPr>
            </w:pPr>
            <w:r w:rsidRPr="00971369">
              <w:rPr>
                <w:rFonts w:cs="Arial"/>
                <w:sz w:val="20"/>
                <w:szCs w:val="20"/>
                <w:lang w:val="fr-FR" w:eastAsia="en-GB"/>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47BDFE2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ECAF893"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BAF0F4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5E9AB2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058A069"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30EA58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EFF2A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73D7BCB" w14:textId="77777777" w:rsidR="007F08AF" w:rsidRPr="00971369" w:rsidRDefault="007F08AF">
            <w:pPr>
              <w:jc w:val="center"/>
              <w:rPr>
                <w:rFonts w:cs="Arial"/>
                <w:sz w:val="20"/>
                <w:szCs w:val="20"/>
                <w:lang w:val="fr-FR" w:eastAsia="en-GB"/>
              </w:rPr>
            </w:pPr>
          </w:p>
        </w:tc>
      </w:tr>
      <w:tr w:rsidR="007F08AF" w:rsidRPr="00971369" w14:paraId="78B3D22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948A88D" w14:textId="77777777" w:rsidR="007F08AF" w:rsidRPr="00971369" w:rsidRDefault="00000000">
            <w:pPr>
              <w:rPr>
                <w:rFonts w:cs="Arial"/>
                <w:sz w:val="20"/>
                <w:szCs w:val="20"/>
                <w:lang w:val="fr-FR" w:eastAsia="en-GB"/>
              </w:rPr>
            </w:pPr>
            <w:r w:rsidRPr="00971369">
              <w:rPr>
                <w:rFonts w:cs="Arial"/>
                <w:sz w:val="20"/>
                <w:szCs w:val="20"/>
                <w:lang w:val="fr-FR" w:eastAsia="en-GB"/>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3376FC5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6BA9A1F"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6FB78A4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F4098B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C30678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7FF4F1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8960DE"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79562419" w14:textId="77777777" w:rsidR="007F08AF" w:rsidRPr="00971369" w:rsidRDefault="007F08AF">
            <w:pPr>
              <w:jc w:val="center"/>
              <w:rPr>
                <w:rFonts w:cs="Arial"/>
                <w:sz w:val="20"/>
                <w:szCs w:val="20"/>
                <w:lang w:val="fr-FR" w:eastAsia="en-GB"/>
              </w:rPr>
            </w:pPr>
          </w:p>
        </w:tc>
      </w:tr>
      <w:tr w:rsidR="007F08AF" w:rsidRPr="00971369" w14:paraId="0213FC6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5924B22" w14:textId="77777777" w:rsidR="007F08AF" w:rsidRPr="00971369" w:rsidRDefault="00000000">
            <w:pPr>
              <w:rPr>
                <w:rFonts w:cs="Arial"/>
                <w:sz w:val="20"/>
                <w:szCs w:val="20"/>
                <w:lang w:val="fr-FR" w:eastAsia="en-GB"/>
              </w:rPr>
            </w:pPr>
            <w:r w:rsidRPr="00971369">
              <w:rPr>
                <w:rFonts w:cs="Arial"/>
                <w:sz w:val="20"/>
                <w:szCs w:val="20"/>
                <w:lang w:val="fr-FR" w:eastAsia="en-GB"/>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785921E7"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E7690DC"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59FF7C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4F24FF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EF1635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C6E0B4"/>
            <w:noWrap/>
            <w:vAlign w:val="center"/>
            <w:hideMark/>
          </w:tcPr>
          <w:p w14:paraId="7D7D8A9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543B090A"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77D6AF67" w14:textId="77777777" w:rsidR="007F08AF" w:rsidRPr="00971369" w:rsidRDefault="007F08AF">
            <w:pPr>
              <w:jc w:val="center"/>
              <w:rPr>
                <w:rFonts w:cs="Arial"/>
                <w:sz w:val="20"/>
                <w:szCs w:val="20"/>
                <w:lang w:val="fr-FR" w:eastAsia="en-GB"/>
              </w:rPr>
            </w:pPr>
          </w:p>
        </w:tc>
      </w:tr>
      <w:tr w:rsidR="007F08AF" w:rsidRPr="00971369" w14:paraId="3AE3CEEF"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3C6CA2B" w14:textId="77777777" w:rsidR="007F08AF" w:rsidRPr="00971369" w:rsidRDefault="00000000">
            <w:pPr>
              <w:rPr>
                <w:rFonts w:cs="Arial"/>
                <w:sz w:val="20"/>
                <w:szCs w:val="20"/>
                <w:lang w:val="fr-FR" w:eastAsia="en-GB"/>
              </w:rPr>
            </w:pPr>
            <w:r w:rsidRPr="00971369">
              <w:rPr>
                <w:rFonts w:cs="Arial"/>
                <w:sz w:val="20"/>
                <w:szCs w:val="20"/>
                <w:lang w:val="fr-FR" w:eastAsia="en-GB"/>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0C46A9C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DEC96E2"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865102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82A716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3F4D5B34"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5B0AB1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5A14D7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8262847" w14:textId="77777777" w:rsidR="007F08AF" w:rsidRPr="00971369" w:rsidRDefault="007F08AF">
            <w:pPr>
              <w:jc w:val="center"/>
              <w:rPr>
                <w:rFonts w:cs="Arial"/>
                <w:sz w:val="20"/>
                <w:szCs w:val="20"/>
                <w:lang w:val="fr-FR" w:eastAsia="en-GB"/>
              </w:rPr>
            </w:pPr>
          </w:p>
        </w:tc>
      </w:tr>
      <w:tr w:rsidR="007F08AF" w:rsidRPr="00971369" w14:paraId="1BACD4C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8687EE" w14:textId="77777777" w:rsidR="007F08AF" w:rsidRPr="00971369" w:rsidRDefault="00000000">
            <w:pPr>
              <w:rPr>
                <w:rFonts w:cs="Arial"/>
                <w:sz w:val="20"/>
                <w:szCs w:val="20"/>
                <w:lang w:val="fr-FR" w:eastAsia="en-GB"/>
              </w:rPr>
            </w:pPr>
            <w:r w:rsidRPr="00971369">
              <w:rPr>
                <w:rFonts w:cs="Arial"/>
                <w:sz w:val="20"/>
                <w:szCs w:val="20"/>
                <w:lang w:val="fr-FR" w:eastAsia="en-GB"/>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54199EE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noWrap/>
            <w:vAlign w:val="center"/>
            <w:hideMark/>
          </w:tcPr>
          <w:p w14:paraId="75F133BE"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986" w:type="dxa"/>
            <w:tcBorders>
              <w:top w:val="nil"/>
              <w:left w:val="nil"/>
              <w:bottom w:val="single" w:sz="8" w:space="0" w:color="auto"/>
              <w:right w:val="single" w:sz="8" w:space="0" w:color="auto"/>
            </w:tcBorders>
            <w:vAlign w:val="center"/>
            <w:hideMark/>
          </w:tcPr>
          <w:p w14:paraId="415AF297"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nil"/>
              <w:left w:val="nil"/>
              <w:bottom w:val="single" w:sz="8" w:space="0" w:color="auto"/>
              <w:right w:val="single" w:sz="8" w:space="0" w:color="auto"/>
            </w:tcBorders>
            <w:noWrap/>
            <w:vAlign w:val="center"/>
            <w:hideMark/>
          </w:tcPr>
          <w:p w14:paraId="59195A5A"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nil"/>
              <w:left w:val="nil"/>
              <w:bottom w:val="single" w:sz="8" w:space="0" w:color="auto"/>
              <w:right w:val="single" w:sz="8" w:space="0" w:color="auto"/>
            </w:tcBorders>
            <w:noWrap/>
            <w:vAlign w:val="center"/>
            <w:hideMark/>
          </w:tcPr>
          <w:p w14:paraId="3CAC242F"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32F4F1B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79EA0717"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noWrap/>
            <w:vAlign w:val="center"/>
            <w:hideMark/>
          </w:tcPr>
          <w:p w14:paraId="221F0919"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r>
      <w:tr w:rsidR="007F08AF" w:rsidRPr="00971369" w14:paraId="16DBC9C2"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6BC82F" w14:textId="77777777" w:rsidR="007F08AF" w:rsidRPr="00971369" w:rsidRDefault="00000000">
            <w:pPr>
              <w:rPr>
                <w:rFonts w:cs="Arial"/>
                <w:sz w:val="20"/>
                <w:szCs w:val="20"/>
                <w:lang w:val="fr-FR" w:eastAsia="en-GB"/>
              </w:rPr>
            </w:pPr>
            <w:r w:rsidRPr="00971369">
              <w:rPr>
                <w:rFonts w:cs="Arial"/>
                <w:sz w:val="20"/>
                <w:szCs w:val="20"/>
                <w:lang w:val="fr-FR" w:eastAsia="en-GB"/>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51EB908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513B87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098CD5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310AD5E8"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7BCE17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7421CD2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FC7F283"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4AF5EFC" w14:textId="77777777" w:rsidR="007F08AF" w:rsidRPr="00971369" w:rsidRDefault="007F08AF">
            <w:pPr>
              <w:jc w:val="center"/>
              <w:rPr>
                <w:rFonts w:cs="Arial"/>
                <w:sz w:val="20"/>
                <w:szCs w:val="20"/>
                <w:lang w:val="fr-FR" w:eastAsia="en-GB"/>
              </w:rPr>
            </w:pPr>
          </w:p>
        </w:tc>
      </w:tr>
      <w:tr w:rsidR="007F08AF" w:rsidRPr="00971369" w14:paraId="2311F4F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8D7D3A6" w14:textId="77777777" w:rsidR="007F08AF" w:rsidRPr="00971369" w:rsidRDefault="00000000">
            <w:pPr>
              <w:rPr>
                <w:rFonts w:cs="Arial"/>
                <w:sz w:val="20"/>
                <w:szCs w:val="20"/>
                <w:lang w:val="fr-FR" w:eastAsia="en-GB"/>
              </w:rPr>
            </w:pPr>
            <w:r w:rsidRPr="00971369">
              <w:rPr>
                <w:rFonts w:cs="Arial"/>
                <w:sz w:val="20"/>
                <w:szCs w:val="20"/>
                <w:lang w:val="fr-FR" w:eastAsia="en-GB"/>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5ADF354F"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400D05C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EA329E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48AC2B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3A5C5A0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03F72BFF"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C5F7A81"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5EB686D" w14:textId="77777777" w:rsidR="007F08AF" w:rsidRPr="00971369" w:rsidRDefault="007F08AF">
            <w:pPr>
              <w:jc w:val="center"/>
              <w:rPr>
                <w:rFonts w:cs="Arial"/>
                <w:sz w:val="20"/>
                <w:szCs w:val="20"/>
                <w:lang w:val="fr-FR" w:eastAsia="en-GB"/>
              </w:rPr>
            </w:pPr>
          </w:p>
        </w:tc>
      </w:tr>
      <w:tr w:rsidR="007F08AF" w:rsidRPr="00971369" w14:paraId="53A50DFD"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2EF79A2" w14:textId="77777777" w:rsidR="007F08AF" w:rsidRPr="00971369" w:rsidRDefault="00000000">
            <w:pPr>
              <w:rPr>
                <w:rFonts w:cs="Arial"/>
                <w:sz w:val="20"/>
                <w:szCs w:val="20"/>
                <w:lang w:val="fr-FR" w:eastAsia="en-GB"/>
              </w:rPr>
            </w:pPr>
            <w:r w:rsidRPr="00971369">
              <w:rPr>
                <w:rFonts w:cs="Arial"/>
                <w:sz w:val="20"/>
                <w:szCs w:val="20"/>
                <w:lang w:val="fr-FR" w:eastAsia="en-GB"/>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3819DD6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3503A1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7D1B4F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318201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F936985"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543ED6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09F688D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1EB86F4" w14:textId="77777777" w:rsidR="007F08AF" w:rsidRPr="00971369" w:rsidRDefault="007F08AF">
            <w:pPr>
              <w:jc w:val="center"/>
              <w:rPr>
                <w:rFonts w:cs="Arial"/>
                <w:sz w:val="20"/>
                <w:szCs w:val="20"/>
                <w:lang w:val="fr-FR" w:eastAsia="en-GB"/>
              </w:rPr>
            </w:pPr>
          </w:p>
        </w:tc>
      </w:tr>
      <w:tr w:rsidR="007F08AF" w:rsidRPr="00971369" w14:paraId="329A165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E168A75" w14:textId="77777777" w:rsidR="007F08AF" w:rsidRPr="00971369" w:rsidRDefault="00000000">
            <w:pPr>
              <w:rPr>
                <w:rFonts w:cs="Arial"/>
                <w:sz w:val="20"/>
                <w:szCs w:val="20"/>
                <w:lang w:val="fr-FR" w:eastAsia="en-GB"/>
              </w:rPr>
            </w:pPr>
            <w:r w:rsidRPr="00971369">
              <w:rPr>
                <w:rFonts w:cs="Arial"/>
                <w:sz w:val="20"/>
                <w:szCs w:val="20"/>
                <w:lang w:val="fr-FR" w:eastAsia="en-GB"/>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41CAABC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72BF1B1"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0BE3E05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4021C5D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AB096D5"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3976AA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E288FE"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7AE3E55" w14:textId="77777777" w:rsidR="007F08AF" w:rsidRPr="00971369" w:rsidRDefault="007F08AF">
            <w:pPr>
              <w:jc w:val="center"/>
              <w:rPr>
                <w:rFonts w:cs="Arial"/>
                <w:sz w:val="20"/>
                <w:szCs w:val="20"/>
                <w:lang w:val="fr-FR" w:eastAsia="en-GB"/>
              </w:rPr>
            </w:pPr>
          </w:p>
        </w:tc>
      </w:tr>
      <w:tr w:rsidR="007F08AF" w:rsidRPr="00971369" w14:paraId="132F025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C583B82" w14:textId="77777777" w:rsidR="007F08AF" w:rsidRPr="00971369" w:rsidRDefault="00000000">
            <w:pPr>
              <w:rPr>
                <w:rFonts w:cs="Arial"/>
                <w:sz w:val="20"/>
                <w:szCs w:val="20"/>
                <w:lang w:val="fr-FR" w:eastAsia="en-GB"/>
              </w:rPr>
            </w:pPr>
            <w:r w:rsidRPr="00971369">
              <w:rPr>
                <w:rFonts w:cs="Arial"/>
                <w:sz w:val="20"/>
                <w:szCs w:val="20"/>
                <w:lang w:val="fr-FR" w:eastAsia="en-GB"/>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3FEFC8A3"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CF0E9F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14C468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63B747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1EF48E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3CC99B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6B30D1A0"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AE6CC0E" w14:textId="77777777" w:rsidR="007F08AF" w:rsidRPr="00971369" w:rsidRDefault="007F08AF">
            <w:pPr>
              <w:jc w:val="center"/>
              <w:rPr>
                <w:rFonts w:cs="Arial"/>
                <w:sz w:val="20"/>
                <w:szCs w:val="20"/>
                <w:lang w:val="fr-FR" w:eastAsia="en-GB"/>
              </w:rPr>
            </w:pPr>
          </w:p>
        </w:tc>
      </w:tr>
      <w:tr w:rsidR="007F08AF" w:rsidRPr="00971369" w14:paraId="04AEF70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D798180" w14:textId="77777777" w:rsidR="007F08AF" w:rsidRPr="00971369" w:rsidRDefault="00000000">
            <w:pPr>
              <w:rPr>
                <w:rFonts w:cs="Arial"/>
                <w:sz w:val="20"/>
                <w:szCs w:val="20"/>
                <w:lang w:val="fr-FR" w:eastAsia="en-GB"/>
              </w:rPr>
            </w:pPr>
            <w:r w:rsidRPr="00971369">
              <w:rPr>
                <w:rFonts w:cs="Arial"/>
                <w:sz w:val="20"/>
                <w:szCs w:val="20"/>
                <w:lang w:val="fr-FR" w:eastAsia="en-GB"/>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0969C054"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9040C2A"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6B53833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DDCEA2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F0EF39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BA3CE9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6390517"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48530D4" w14:textId="77777777" w:rsidR="007F08AF" w:rsidRPr="00971369" w:rsidRDefault="007F08AF">
            <w:pPr>
              <w:jc w:val="center"/>
              <w:rPr>
                <w:rFonts w:cs="Arial"/>
                <w:sz w:val="20"/>
                <w:szCs w:val="20"/>
                <w:lang w:val="fr-FR" w:eastAsia="en-GB"/>
              </w:rPr>
            </w:pPr>
          </w:p>
        </w:tc>
      </w:tr>
      <w:tr w:rsidR="007F08AF" w:rsidRPr="00971369" w14:paraId="20C9B3B6"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747A25B" w14:textId="77777777" w:rsidR="007F08AF" w:rsidRPr="00971369" w:rsidRDefault="00000000">
            <w:pPr>
              <w:rPr>
                <w:rFonts w:cs="Arial"/>
                <w:sz w:val="20"/>
                <w:szCs w:val="20"/>
                <w:lang w:val="fr-FR" w:eastAsia="en-GB"/>
              </w:rPr>
            </w:pPr>
            <w:r w:rsidRPr="00971369">
              <w:rPr>
                <w:rFonts w:cs="Arial"/>
                <w:sz w:val="20"/>
                <w:szCs w:val="20"/>
                <w:lang w:val="fr-FR" w:eastAsia="en-GB"/>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222C5C9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AE8FD66"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74E052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07286D8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34FDBA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04E92CD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0697073"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80B9E6D" w14:textId="77777777" w:rsidR="007F08AF" w:rsidRPr="00971369" w:rsidRDefault="007F08AF">
            <w:pPr>
              <w:jc w:val="center"/>
              <w:rPr>
                <w:rFonts w:cs="Arial"/>
                <w:sz w:val="20"/>
                <w:szCs w:val="20"/>
                <w:lang w:val="fr-FR" w:eastAsia="en-GB"/>
              </w:rPr>
            </w:pPr>
          </w:p>
        </w:tc>
      </w:tr>
      <w:tr w:rsidR="007F08AF" w:rsidRPr="00971369" w14:paraId="063504DE"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500157F" w14:textId="77777777" w:rsidR="007F08AF" w:rsidRPr="00971369" w:rsidRDefault="00000000">
            <w:pPr>
              <w:rPr>
                <w:rFonts w:cs="Arial"/>
                <w:sz w:val="20"/>
                <w:szCs w:val="20"/>
                <w:lang w:val="fr-FR" w:eastAsia="en-GB"/>
              </w:rPr>
            </w:pPr>
            <w:r w:rsidRPr="00971369">
              <w:rPr>
                <w:rFonts w:cs="Arial"/>
                <w:sz w:val="20"/>
                <w:szCs w:val="20"/>
                <w:lang w:val="fr-FR" w:eastAsia="en-GB"/>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1F4594D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4B6AA3CA"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551A470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C2314A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18DB5CD3"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3284D9B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DA09A1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543698D" w14:textId="77777777" w:rsidR="007F08AF" w:rsidRPr="00971369" w:rsidRDefault="007F08AF">
            <w:pPr>
              <w:jc w:val="center"/>
              <w:rPr>
                <w:rFonts w:cs="Arial"/>
                <w:sz w:val="20"/>
                <w:szCs w:val="20"/>
                <w:lang w:val="fr-FR" w:eastAsia="en-GB"/>
              </w:rPr>
            </w:pPr>
          </w:p>
        </w:tc>
      </w:tr>
      <w:tr w:rsidR="007F08AF" w:rsidRPr="00971369" w14:paraId="398D6C2C"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B08666E" w14:textId="77777777" w:rsidR="007F08AF" w:rsidRPr="00971369" w:rsidRDefault="00000000">
            <w:pPr>
              <w:rPr>
                <w:rFonts w:cs="Arial"/>
                <w:sz w:val="20"/>
                <w:szCs w:val="20"/>
                <w:lang w:val="fr-FR" w:eastAsia="en-GB"/>
              </w:rPr>
            </w:pPr>
            <w:r w:rsidRPr="00971369">
              <w:rPr>
                <w:rFonts w:cs="Arial"/>
                <w:sz w:val="20"/>
                <w:szCs w:val="20"/>
                <w:lang w:val="fr-FR" w:eastAsia="en-GB"/>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4C4E632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63DA24E"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358888D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1F584C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52F3B1BD"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9F68BA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5795E0"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51D8BEA" w14:textId="77777777" w:rsidR="007F08AF" w:rsidRPr="00971369" w:rsidRDefault="007F08AF">
            <w:pPr>
              <w:jc w:val="center"/>
              <w:rPr>
                <w:rFonts w:cs="Arial"/>
                <w:sz w:val="20"/>
                <w:szCs w:val="20"/>
                <w:lang w:val="fr-FR" w:eastAsia="en-GB"/>
              </w:rPr>
            </w:pPr>
          </w:p>
        </w:tc>
      </w:tr>
      <w:tr w:rsidR="007F08AF" w:rsidRPr="00971369" w14:paraId="6FBFAEE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17B9780" w14:textId="77777777" w:rsidR="007F08AF" w:rsidRPr="00971369" w:rsidRDefault="00000000">
            <w:pPr>
              <w:rPr>
                <w:rFonts w:cs="Arial"/>
                <w:sz w:val="20"/>
                <w:szCs w:val="20"/>
                <w:lang w:val="fr-FR" w:eastAsia="en-GB"/>
              </w:rPr>
            </w:pPr>
            <w:r w:rsidRPr="00971369">
              <w:rPr>
                <w:rFonts w:cs="Arial"/>
                <w:sz w:val="20"/>
                <w:szCs w:val="20"/>
                <w:lang w:val="fr-FR" w:eastAsia="en-GB"/>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7D6FAFD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40BA8B20"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F7827E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F9FF4F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6851047"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9CE534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B5CA7D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2C9F20F2" w14:textId="77777777" w:rsidR="007F08AF" w:rsidRPr="00971369" w:rsidRDefault="007F08AF">
            <w:pPr>
              <w:jc w:val="center"/>
              <w:rPr>
                <w:rFonts w:cs="Arial"/>
                <w:sz w:val="20"/>
                <w:szCs w:val="20"/>
                <w:lang w:val="fr-FR" w:eastAsia="en-GB"/>
              </w:rPr>
            </w:pPr>
          </w:p>
        </w:tc>
      </w:tr>
      <w:tr w:rsidR="007F08AF" w:rsidRPr="00971369" w14:paraId="034A5ABB"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7A64065" w14:textId="77777777" w:rsidR="007F08AF" w:rsidRPr="00971369" w:rsidRDefault="00000000">
            <w:pPr>
              <w:rPr>
                <w:rFonts w:cs="Arial"/>
                <w:sz w:val="20"/>
                <w:szCs w:val="20"/>
                <w:lang w:val="fr-FR" w:eastAsia="en-GB"/>
              </w:rPr>
            </w:pPr>
            <w:r w:rsidRPr="00971369">
              <w:rPr>
                <w:rFonts w:cs="Arial"/>
                <w:sz w:val="20"/>
                <w:szCs w:val="20"/>
                <w:lang w:val="fr-FR" w:eastAsia="en-GB"/>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3001200F"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637B03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11704D3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C4E9D3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EF1C1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B998E7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CFB36D4"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C736DDB" w14:textId="77777777" w:rsidR="007F08AF" w:rsidRPr="00971369" w:rsidRDefault="007F08AF">
            <w:pPr>
              <w:jc w:val="center"/>
              <w:rPr>
                <w:rFonts w:cs="Arial"/>
                <w:sz w:val="20"/>
                <w:szCs w:val="20"/>
                <w:lang w:val="fr-FR" w:eastAsia="en-GB"/>
              </w:rPr>
            </w:pPr>
          </w:p>
        </w:tc>
      </w:tr>
      <w:tr w:rsidR="007F08AF" w:rsidRPr="00971369" w14:paraId="612825F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6876830" w14:textId="77777777" w:rsidR="007F08AF" w:rsidRPr="00971369" w:rsidRDefault="00000000">
            <w:pPr>
              <w:rPr>
                <w:rFonts w:cs="Arial"/>
                <w:sz w:val="20"/>
                <w:szCs w:val="20"/>
                <w:lang w:val="fr-FR" w:eastAsia="en-GB"/>
              </w:rPr>
            </w:pPr>
            <w:r w:rsidRPr="00971369">
              <w:rPr>
                <w:rFonts w:cs="Arial"/>
                <w:sz w:val="20"/>
                <w:szCs w:val="20"/>
                <w:lang w:val="fr-FR" w:eastAsia="en-GB"/>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23B4D26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AF7B504"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3BE85C3B"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270DF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6150727B"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644D52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9B1949A"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2C9EBF93" w14:textId="77777777" w:rsidR="007F08AF" w:rsidRPr="00971369" w:rsidRDefault="007F08AF">
            <w:pPr>
              <w:jc w:val="center"/>
              <w:rPr>
                <w:rFonts w:cs="Arial"/>
                <w:sz w:val="20"/>
                <w:szCs w:val="20"/>
                <w:lang w:val="fr-FR" w:eastAsia="en-GB"/>
              </w:rPr>
            </w:pPr>
          </w:p>
        </w:tc>
      </w:tr>
      <w:tr w:rsidR="007F08AF" w:rsidRPr="00971369" w14:paraId="68B5ABC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C458471" w14:textId="77777777" w:rsidR="007F08AF" w:rsidRPr="00971369" w:rsidRDefault="00000000">
            <w:pPr>
              <w:rPr>
                <w:rFonts w:cs="Arial"/>
                <w:sz w:val="20"/>
                <w:szCs w:val="20"/>
                <w:lang w:val="fr-FR" w:eastAsia="en-GB"/>
              </w:rPr>
            </w:pPr>
            <w:r w:rsidRPr="00971369">
              <w:rPr>
                <w:rFonts w:cs="Arial"/>
                <w:sz w:val="20"/>
                <w:szCs w:val="20"/>
                <w:lang w:val="fr-FR" w:eastAsia="en-GB"/>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71F6CBB9"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23F26EE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695163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083143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7FAAD3E5"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5790038F"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AE55918"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B97C6E2" w14:textId="77777777" w:rsidR="007F08AF" w:rsidRPr="00971369" w:rsidRDefault="007F08AF">
            <w:pPr>
              <w:jc w:val="center"/>
              <w:rPr>
                <w:rFonts w:cs="Arial"/>
                <w:sz w:val="20"/>
                <w:szCs w:val="20"/>
                <w:lang w:val="fr-FR" w:eastAsia="en-GB"/>
              </w:rPr>
            </w:pPr>
          </w:p>
        </w:tc>
      </w:tr>
      <w:tr w:rsidR="007F08AF" w:rsidRPr="00971369" w14:paraId="7B681C08" w14:textId="77777777" w:rsidTr="00971369">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1C8C1623" w14:textId="77777777" w:rsidR="007F08AF" w:rsidRPr="00971369" w:rsidRDefault="00000000">
            <w:pPr>
              <w:rPr>
                <w:rFonts w:cs="Arial"/>
                <w:sz w:val="20"/>
                <w:szCs w:val="20"/>
                <w:lang w:val="fr-FR" w:eastAsia="en-GB"/>
              </w:rPr>
            </w:pPr>
            <w:r w:rsidRPr="00971369">
              <w:rPr>
                <w:rFonts w:cs="Arial"/>
                <w:sz w:val="20"/>
                <w:szCs w:val="20"/>
                <w:lang w:val="fr-FR" w:eastAsia="en-GB"/>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453A079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E41311F"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06065E3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D59F3D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3EEB98D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F52D92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8627D38"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56AC082" w14:textId="77777777" w:rsidR="007F08AF" w:rsidRPr="00971369" w:rsidRDefault="007F08AF">
            <w:pPr>
              <w:jc w:val="center"/>
              <w:rPr>
                <w:rFonts w:cs="Arial"/>
                <w:sz w:val="20"/>
                <w:szCs w:val="20"/>
                <w:lang w:val="fr-FR" w:eastAsia="en-GB"/>
              </w:rPr>
            </w:pPr>
          </w:p>
        </w:tc>
      </w:tr>
      <w:tr w:rsidR="007F08AF" w:rsidRPr="00971369" w14:paraId="0DD5901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40852D2" w14:textId="77777777" w:rsidR="007F08AF" w:rsidRPr="00971369" w:rsidRDefault="00000000">
            <w:pPr>
              <w:rPr>
                <w:rFonts w:cs="Arial"/>
                <w:sz w:val="20"/>
                <w:szCs w:val="20"/>
                <w:lang w:val="fr-FR" w:eastAsia="en-GB"/>
              </w:rPr>
            </w:pPr>
            <w:r w:rsidRPr="00971369">
              <w:rPr>
                <w:rFonts w:cs="Arial"/>
                <w:sz w:val="20"/>
                <w:szCs w:val="20"/>
                <w:lang w:val="fr-FR" w:eastAsia="en-GB"/>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2E5E1C2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B69EFA8"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5A1BFFC8"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F30905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51D6C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54D8A57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64FE7AD"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1277827C" w14:textId="77777777" w:rsidR="007F08AF" w:rsidRPr="00971369" w:rsidRDefault="007F08AF">
            <w:pPr>
              <w:jc w:val="center"/>
              <w:rPr>
                <w:rFonts w:cs="Arial"/>
                <w:sz w:val="20"/>
                <w:szCs w:val="20"/>
                <w:lang w:val="fr-FR" w:eastAsia="en-GB"/>
              </w:rPr>
            </w:pPr>
          </w:p>
        </w:tc>
      </w:tr>
      <w:tr w:rsidR="007F08AF" w:rsidRPr="00971369" w14:paraId="34F8F3E9"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50568F1" w14:textId="77777777" w:rsidR="007F08AF" w:rsidRPr="00971369" w:rsidRDefault="00000000">
            <w:pPr>
              <w:rPr>
                <w:rFonts w:cs="Arial"/>
                <w:sz w:val="20"/>
                <w:szCs w:val="20"/>
                <w:lang w:val="fr-FR" w:eastAsia="en-GB"/>
              </w:rPr>
            </w:pPr>
            <w:r w:rsidRPr="00971369">
              <w:rPr>
                <w:rFonts w:cs="Arial"/>
                <w:sz w:val="20"/>
                <w:szCs w:val="20"/>
                <w:lang w:val="fr-FR" w:eastAsia="en-GB"/>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4B97D44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AB82CEC"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6A00DE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541812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1D03834A"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2AD07F7B"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BB7641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5883227" w14:textId="77777777" w:rsidR="007F08AF" w:rsidRPr="00971369" w:rsidRDefault="007F08AF">
            <w:pPr>
              <w:jc w:val="center"/>
              <w:rPr>
                <w:rFonts w:cs="Arial"/>
                <w:sz w:val="20"/>
                <w:szCs w:val="20"/>
                <w:lang w:val="fr-FR" w:eastAsia="en-GB"/>
              </w:rPr>
            </w:pPr>
          </w:p>
        </w:tc>
      </w:tr>
    </w:tbl>
    <w:p w14:paraId="4DB20125" w14:textId="77777777" w:rsidR="007F08AF" w:rsidRPr="00E43B72" w:rsidRDefault="007F08AF">
      <w:pPr>
        <w:rPr>
          <w:lang w:val="fr-FR"/>
        </w:rPr>
      </w:pPr>
    </w:p>
    <w:p w14:paraId="40E2B791" w14:textId="3A1022D6" w:rsidR="007F08AF" w:rsidRPr="00E43B72" w:rsidRDefault="00000000">
      <w:pPr>
        <w:rPr>
          <w:lang w:val="fr-FR"/>
        </w:rPr>
      </w:pPr>
      <w:r w:rsidRPr="00E43B72">
        <w:rPr>
          <w:noProof/>
          <w:lang w:val="fr-FR"/>
        </w:rPr>
        <mc:AlternateContent>
          <mc:Choice Requires="wps">
            <w:drawing>
              <wp:anchor distT="45720" distB="45720" distL="114300" distR="114300" simplePos="0" relativeHeight="251658250" behindDoc="0" locked="0" layoutInCell="1" allowOverlap="1" wp14:anchorId="29377BA4" wp14:editId="02941CE2">
                <wp:simplePos x="0" y="0"/>
                <wp:positionH relativeFrom="column">
                  <wp:posOffset>837565</wp:posOffset>
                </wp:positionH>
                <wp:positionV relativeFrom="paragraph">
                  <wp:posOffset>160020</wp:posOffset>
                </wp:positionV>
                <wp:extent cx="1133475" cy="266700"/>
                <wp:effectExtent l="0" t="0" r="9525"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solidFill>
                          <a:srgbClr val="FFFFFF"/>
                        </a:solidFill>
                        <a:ln w="9525">
                          <a:noFill/>
                          <a:miter lim="800000"/>
                          <a:headEnd/>
                          <a:tailEnd/>
                        </a:ln>
                      </wps:spPr>
                      <wps:txbx>
                        <w:txbxContent>
                          <w:p w14:paraId="6C1A7A02" w14:textId="4CE923D3" w:rsidR="007F08AF" w:rsidRDefault="006F3D4B">
                            <w:r>
                              <w:t>Aucune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7BA4" id="Text Box 2" o:spid="_x0000_s1027" type="#_x0000_t202" style="position:absolute;margin-left:65.95pt;margin-top:12.6pt;width:89.25pt;height:2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" stroked="f">
                <v:textbox>
                  <w:txbxContent>
                    <w:p w14:paraId="6C1A7A02" w14:textId="4CE923D3" w:rsidR="007F08AF" w:rsidRDefault="006F3D4B">
                      <w:r>
                        <w:t>Aucune action</w:t>
                      </w:r>
                    </w:p>
                  </w:txbxContent>
                </v:textbox>
                <w10:wrap type="square"/>
              </v:shape>
            </w:pict>
          </mc:Fallback>
        </mc:AlternateContent>
      </w:r>
    </w:p>
    <w:p w14:paraId="4EC795C9" w14:textId="18154210" w:rsidR="007F08AF" w:rsidRPr="00E43B72" w:rsidRDefault="005C3DBE">
      <w:pPr>
        <w:rPr>
          <w:lang w:val="fr-FR"/>
        </w:rPr>
      </w:pPr>
      <w:r w:rsidRPr="00F701CF">
        <w:rPr>
          <w:noProof/>
          <w:sz w:val="20"/>
          <w:szCs w:val="20"/>
        </w:rPr>
        <mc:AlternateContent>
          <mc:Choice Requires="wps">
            <w:drawing>
              <wp:anchor distT="0" distB="0" distL="114300" distR="114300" simplePos="0" relativeHeight="251658252" behindDoc="0" locked="0" layoutInCell="1" allowOverlap="1" wp14:anchorId="5A80B981" wp14:editId="61093B01">
                <wp:simplePos x="0" y="0"/>
                <wp:positionH relativeFrom="column">
                  <wp:posOffset>1905000</wp:posOffset>
                </wp:positionH>
                <wp:positionV relativeFrom="paragraph">
                  <wp:posOffset>19685</wp:posOffset>
                </wp:positionV>
                <wp:extent cx="413385" cy="173990"/>
                <wp:effectExtent l="0" t="0" r="24765" b="16510"/>
                <wp:wrapNone/>
                <wp:docPr id="1332601775"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E5B33" id="Rectangle 7" o:spid="_x0000_s1026" style="position:absolute;margin-left:150pt;margin-top:1.55pt;width:32.55pt;height:13.7pt;z-index:251660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" fillcolor="#ffe79a" strokecolor="#09101d [484]" strokeweight="1pt"/>
            </w:pict>
          </mc:Fallback>
        </mc:AlternateContent>
      </w:r>
      <w:r w:rsidRPr="00E43B72">
        <w:rPr>
          <w:noProof/>
          <w:lang w:val="fr-FR"/>
        </w:rPr>
        <mc:AlternateContent>
          <mc:Choice Requires="wps">
            <w:drawing>
              <wp:anchor distT="0" distB="0" distL="114300" distR="114300" simplePos="0" relativeHeight="251658247" behindDoc="0" locked="0" layoutInCell="1" allowOverlap="1" wp14:anchorId="516CD19F" wp14:editId="6565078E">
                <wp:simplePos x="0" y="0"/>
                <wp:positionH relativeFrom="margin">
                  <wp:posOffset>238125</wp:posOffset>
                </wp:positionH>
                <wp:positionV relativeFrom="paragraph">
                  <wp:posOffset>5715</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8CDAE" id="Rectangle 7" o:spid="_x0000_s1026" style="position:absolute;margin-left:18.75pt;margin-top:.45pt;width:32.55pt;height:13.7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" fillcolor="#ff504f" strokecolor="#09101d [484]" strokeweight="1pt">
                <w10:wrap anchorx="margin"/>
              </v:rect>
            </w:pict>
          </mc:Fallback>
        </mc:AlternateContent>
      </w:r>
      <w:r w:rsidRPr="00E43B72">
        <w:rPr>
          <w:noProof/>
          <w:lang w:val="fr-FR"/>
        </w:rPr>
        <mc:AlternateContent>
          <mc:Choice Requires="wps">
            <w:drawing>
              <wp:anchor distT="45720" distB="45720" distL="114300" distR="114300" simplePos="0" relativeHeight="251658251" behindDoc="0" locked="0" layoutInCell="1" allowOverlap="1" wp14:anchorId="1D61A51F" wp14:editId="01229A90">
                <wp:simplePos x="0" y="0"/>
                <wp:positionH relativeFrom="margin">
                  <wp:align>center</wp:align>
                </wp:positionH>
                <wp:positionV relativeFrom="paragraph">
                  <wp:posOffset>4445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564F7767" w14:textId="4D328C09" w:rsidR="007F08AF" w:rsidRDefault="002428C9">
                            <w:r>
                              <w:t>En 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A51F" id="_x0000_s1028" type="#_x0000_t202" style="position:absolute;margin-left:0;margin-top:.35pt;width:102.2pt;height:21pt;z-index:25165825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" stroked="f">
                <v:textbox>
                  <w:txbxContent>
                    <w:p w14:paraId="564F7767" w14:textId="4D328C09" w:rsidR="007F08AF" w:rsidRDefault="002428C9">
                      <w:r>
                        <w:t>En cours</w:t>
                      </w:r>
                    </w:p>
                  </w:txbxContent>
                </v:textbox>
                <w10:wrap type="square" anchorx="margin"/>
              </v:shape>
            </w:pict>
          </mc:Fallback>
        </mc:AlternateContent>
      </w:r>
      <w:r w:rsidRPr="00E43B72">
        <w:rPr>
          <w:noProof/>
          <w:lang w:val="fr-FR"/>
        </w:rPr>
        <mc:AlternateContent>
          <mc:Choice Requires="wps">
            <w:drawing>
              <wp:anchor distT="0" distB="0" distL="114300" distR="114300" simplePos="0" relativeHeight="251658248" behindDoc="0" locked="0" layoutInCell="1" allowOverlap="1" wp14:anchorId="0A554550" wp14:editId="02E5FA0B">
                <wp:simplePos x="0" y="0"/>
                <wp:positionH relativeFrom="column">
                  <wp:posOffset>3931285</wp:posOffset>
                </wp:positionH>
                <wp:positionV relativeFrom="paragraph">
                  <wp:posOffset>1905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7FC3E" id="Rectangle 7" o:spid="_x0000_s1026" style="position:absolute;margin-left:309.55pt;margin-top:.15pt;width:32.55pt;height:14.9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" fillcolor="#c6e0b4" strokecolor="#09101d [484]" strokeweight="1pt"/>
            </w:pict>
          </mc:Fallback>
        </mc:AlternateContent>
      </w:r>
      <w:r w:rsidRPr="00E43B72">
        <w:rPr>
          <w:noProof/>
          <w:lang w:val="fr-FR"/>
        </w:rPr>
        <mc:AlternateContent>
          <mc:Choice Requires="wps">
            <w:drawing>
              <wp:anchor distT="45720" distB="45720" distL="114300" distR="114300" simplePos="0" relativeHeight="251658249" behindDoc="0" locked="0" layoutInCell="1" allowOverlap="1" wp14:anchorId="1EEA2036" wp14:editId="40370FE7">
                <wp:simplePos x="0" y="0"/>
                <wp:positionH relativeFrom="column">
                  <wp:posOffset>4415790</wp:posOffset>
                </wp:positionH>
                <wp:positionV relativeFrom="paragraph">
                  <wp:posOffset>6350</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689B9D8C" w14:textId="51E78097" w:rsidR="007F08AF" w:rsidRDefault="00000000">
                            <w:r>
                              <w:t>Compl</w:t>
                            </w:r>
                            <w:r w:rsidR="002428C9">
                              <w:t>été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2036" id="_x0000_s1029" type="#_x0000_t202" style="position:absolute;margin-left:347.7pt;margin-top:.5pt;width:78pt;height:2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" stroked="f">
                <v:textbox>
                  <w:txbxContent>
                    <w:p w14:paraId="689B9D8C" w14:textId="51E78097" w:rsidR="007F08AF" w:rsidRDefault="00000000">
                      <w:r>
                        <w:t>Compl</w:t>
                      </w:r>
                      <w:r w:rsidR="002428C9">
                        <w:t>été</w:t>
                      </w:r>
                    </w:p>
                  </w:txbxContent>
                </v:textbox>
                <w10:wrap type="square"/>
              </v:shape>
            </w:pict>
          </mc:Fallback>
        </mc:AlternateContent>
      </w:r>
    </w:p>
    <w:p w14:paraId="34F80077" w14:textId="77777777" w:rsidR="007F08AF" w:rsidRPr="00E43B72" w:rsidRDefault="007F08AF">
      <w:pPr>
        <w:rPr>
          <w:lang w:val="fr-FR"/>
        </w:rPr>
      </w:pPr>
    </w:p>
    <w:p w14:paraId="23C4668C" w14:textId="77777777" w:rsidR="007F08AF" w:rsidRPr="00E43B72" w:rsidRDefault="00000000">
      <w:pPr>
        <w:rPr>
          <w:lang w:val="fr-FR"/>
        </w:rPr>
        <w:sectPr w:rsidR="007F08AF" w:rsidRPr="00E43B72">
          <w:headerReference w:type="even" r:id="rId63"/>
          <w:headerReference w:type="default" r:id="rId64"/>
          <w:headerReference w:type="first" r:id="rId65"/>
          <w:pgSz w:w="11906" w:h="16838" w:code="9"/>
          <w:pgMar w:top="1440" w:right="1440" w:bottom="1440" w:left="1440" w:header="720" w:footer="720" w:gutter="0"/>
          <w:cols w:space="720"/>
          <w:titlePg/>
          <w:docGrid w:linePitch="360"/>
        </w:sectPr>
      </w:pPr>
      <w:r w:rsidRPr="00E43B72">
        <w:rPr>
          <w:noProof/>
          <w:lang w:val="fr-FR"/>
        </w:rPr>
        <mc:AlternateContent>
          <mc:Choice Requires="wps">
            <w:drawing>
              <wp:anchor distT="0" distB="0" distL="114300" distR="114300" simplePos="0" relativeHeight="251658243" behindDoc="0" locked="0" layoutInCell="1" allowOverlap="1" wp14:anchorId="22D6B809" wp14:editId="225F0065">
                <wp:simplePos x="0" y="0"/>
                <wp:positionH relativeFrom="column">
                  <wp:posOffset>3393098</wp:posOffset>
                </wp:positionH>
                <wp:positionV relativeFrom="paragraph">
                  <wp:posOffset>6118917</wp:posOffset>
                </wp:positionV>
                <wp:extent cx="1306195" cy="260985"/>
                <wp:effectExtent l="0" t="0" r="0" b="0"/>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B41A13" w14:textId="77777777" w:rsidR="007F08AF" w:rsidRDefault="00000000">
                            <w:pPr>
                              <w:rPr>
                                <w:lang w:val="fr-FR"/>
                              </w:rPr>
                            </w:pPr>
                            <w:r>
                              <w:rPr>
                                <w:lang w:val="fr-FR"/>
                              </w:rPr>
                              <w:t>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B809" id="Text Box 3" o:spid="_x0000_s1030" type="#_x0000_t202" style="position:absolute;margin-left:267.15pt;margin-top:481.8pt;width:102.85pt;height:2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sMaQIAADY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" filled="f" stroked="f">
                <v:textbox>
                  <w:txbxContent>
                    <w:p w14:paraId="63B41A13" w14:textId="77777777" w:rsidR="007F08AF" w:rsidRDefault="00000000">
                      <w:pPr>
                        <w:rPr>
                          <w:lang w:val="fr-FR"/>
                        </w:rPr>
                      </w:pPr>
                      <w:r>
                        <w:rPr>
                          <w:lang w:val="fr-FR"/>
                        </w:rPr>
                        <w:t>Completed</w:t>
                      </w:r>
                    </w:p>
                  </w:txbxContent>
                </v:textbox>
              </v:shape>
            </w:pict>
          </mc:Fallback>
        </mc:AlternateContent>
      </w:r>
      <w:r w:rsidRPr="00E43B72">
        <w:rPr>
          <w:noProof/>
          <w:lang w:val="fr-FR"/>
        </w:rPr>
        <mc:AlternateContent>
          <mc:Choice Requires="wps">
            <w:drawing>
              <wp:anchor distT="0" distB="0" distL="114300" distR="114300" simplePos="0" relativeHeight="251658241" behindDoc="0" locked="0" layoutInCell="1" allowOverlap="1" wp14:anchorId="319EF557" wp14:editId="3A36CB7E">
                <wp:simplePos x="0" y="0"/>
                <wp:positionH relativeFrom="margin">
                  <wp:posOffset>39955</wp:posOffset>
                </wp:positionH>
                <wp:positionV relativeFrom="paragraph">
                  <wp:posOffset>6070371</wp:posOffset>
                </wp:positionV>
                <wp:extent cx="78994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78994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67B55E" w14:textId="77777777" w:rsidR="007F08AF" w:rsidRDefault="00000000">
                            <w:pPr>
                              <w:rPr>
                                <w:lang w:val="fr-FR"/>
                              </w:rPr>
                            </w:pPr>
                            <w:r>
                              <w:rPr>
                                <w:lang w:val="fr-FR"/>
                              </w:rPr>
                              <w:t xml:space="preserve">No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F557" id="_x0000_s1031" type="#_x0000_t202" style="position:absolute;margin-left:3.15pt;margin-top:478pt;width:62.2pt;height:2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" filled="f" stroked="f">
                <v:textbox>
                  <w:txbxContent>
                    <w:p w14:paraId="2767B55E" w14:textId="77777777" w:rsidR="007F08AF" w:rsidRDefault="00000000">
                      <w:pPr>
                        <w:rPr>
                          <w:lang w:val="fr-FR"/>
                        </w:rPr>
                      </w:pPr>
                      <w:r>
                        <w:rPr>
                          <w:lang w:val="fr-FR"/>
                        </w:rPr>
                        <w:t xml:space="preserve">No Action </w:t>
                      </w:r>
                    </w:p>
                  </w:txbxContent>
                </v:textbox>
                <w10:wrap anchorx="margin"/>
              </v:shape>
            </w:pict>
          </mc:Fallback>
        </mc:AlternateContent>
      </w:r>
      <w:r w:rsidRPr="00E43B72">
        <w:rPr>
          <w:noProof/>
          <w:lang w:val="fr-FR"/>
        </w:rPr>
        <mc:AlternateContent>
          <mc:Choice Requires="wps">
            <w:drawing>
              <wp:anchor distT="0" distB="0" distL="114300" distR="114300" simplePos="0" relativeHeight="251658245" behindDoc="0" locked="0" layoutInCell="1" allowOverlap="1" wp14:anchorId="63298626" wp14:editId="4B0C56CA">
                <wp:simplePos x="0" y="0"/>
                <wp:positionH relativeFrom="page">
                  <wp:posOffset>630727</wp:posOffset>
                </wp:positionH>
                <wp:positionV relativeFrom="paragraph">
                  <wp:posOffset>6124575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C5906" id="Rectangle 4" o:spid="_x0000_s1026" style="position:absolute;margin-left:49.65pt;margin-top:482.25pt;width:29.05pt;height:12.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" fillcolor="#ff504f" strokecolor="#09101d [484]" strokeweight="1pt">
                <w10:wrap anchorx="page"/>
              </v:rect>
            </w:pict>
          </mc:Fallback>
        </mc:AlternateContent>
      </w:r>
      <w:r w:rsidRPr="00E43B72">
        <w:rPr>
          <w:noProof/>
          <w:lang w:val="fr-FR"/>
        </w:rPr>
        <mc:AlternateContent>
          <mc:Choice Requires="wps">
            <w:drawing>
              <wp:anchor distT="0" distB="0" distL="114300" distR="114300" simplePos="0" relativeHeight="251658244" behindDoc="0" locked="0" layoutInCell="1" allowOverlap="1" wp14:anchorId="336A6E4E" wp14:editId="151687E5">
                <wp:simplePos x="0" y="0"/>
                <wp:positionH relativeFrom="column">
                  <wp:posOffset>3086864</wp:posOffset>
                </wp:positionH>
                <wp:positionV relativeFrom="paragraph">
                  <wp:posOffset>6165615</wp:posOffset>
                </wp:positionV>
                <wp:extent cx="369116" cy="159390"/>
                <wp:effectExtent l="12700" t="12700" r="12065" b="1841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8F203" id="Rectangle 4" o:spid="_x0000_s1026" style="position:absolute;margin-left:243.05pt;margin-top:485.5pt;width:29.05pt;height:1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" fillcolor="#c6e0b4" strokecolor="#09101d [484]" strokeweight="1pt"/>
            </w:pict>
          </mc:Fallback>
        </mc:AlternateContent>
      </w:r>
      <w:r w:rsidRPr="00E43B72">
        <w:rPr>
          <w:noProof/>
          <w:lang w:val="fr-FR"/>
        </w:rPr>
        <mc:AlternateContent>
          <mc:Choice Requires="wps">
            <w:drawing>
              <wp:anchor distT="0" distB="0" distL="114300" distR="114300" simplePos="0" relativeHeight="251658242" behindDoc="0" locked="0" layoutInCell="1" allowOverlap="1" wp14:anchorId="1C6822B4" wp14:editId="620803F1">
                <wp:simplePos x="0" y="0"/>
                <wp:positionH relativeFrom="column">
                  <wp:posOffset>1551305</wp:posOffset>
                </wp:positionH>
                <wp:positionV relativeFrom="paragraph">
                  <wp:posOffset>6091904</wp:posOffset>
                </wp:positionV>
                <wp:extent cx="1306195" cy="26098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375E06" w14:textId="77777777" w:rsidR="007F08AF" w:rsidRDefault="00000000">
                            <w:pPr>
                              <w:rPr>
                                <w:lang w:val="fr-FR"/>
                              </w:rPr>
                            </w:pPr>
                            <w:r>
                              <w:rPr>
                                <w:lang w:val="fr-FR"/>
                              </w:rPr>
                              <w:t>Work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22B4" id="_x0000_s1032" type="#_x0000_t202" style="position:absolute;margin-left:122.15pt;margin-top:479.7pt;width:102.85pt;height:2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" filled="f" stroked="f">
                <v:textbox>
                  <w:txbxContent>
                    <w:p w14:paraId="5C375E06" w14:textId="77777777" w:rsidR="007F08AF" w:rsidRDefault="00000000">
                      <w:pPr>
                        <w:rPr>
                          <w:lang w:val="fr-FR"/>
                        </w:rPr>
                      </w:pPr>
                      <w:r>
                        <w:rPr>
                          <w:lang w:val="fr-FR"/>
                        </w:rPr>
                        <w:t>Work in Progress</w:t>
                      </w:r>
                    </w:p>
                  </w:txbxContent>
                </v:textbox>
              </v:shape>
            </w:pict>
          </mc:Fallback>
        </mc:AlternateContent>
      </w:r>
      <w:r w:rsidRPr="00E43B72">
        <w:rPr>
          <w:noProof/>
          <w:lang w:val="fr-FR"/>
        </w:rPr>
        <mc:AlternateContent>
          <mc:Choice Requires="wps">
            <w:drawing>
              <wp:anchor distT="0" distB="0" distL="114300" distR="114300" simplePos="0" relativeHeight="251658246" behindDoc="0" locked="0" layoutInCell="1" allowOverlap="1" wp14:anchorId="688C295D" wp14:editId="641BB571">
                <wp:simplePos x="0" y="0"/>
                <wp:positionH relativeFrom="column">
                  <wp:posOffset>1210569</wp:posOffset>
                </wp:positionH>
                <wp:positionV relativeFrom="paragraph">
                  <wp:posOffset>6142266</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EE68" id="Rectangle 4" o:spid="_x0000_s1026" style="position:absolute;margin-left:95.3pt;margin-top:483.65pt;width:29.05pt;height:1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" fillcolor="#ffe79a" strokecolor="#09101d [484]" strokeweight="1pt"/>
            </w:pict>
          </mc:Fallback>
        </mc:AlternateContent>
      </w:r>
    </w:p>
    <w:p w14:paraId="531EFD19" w14:textId="6A05A204" w:rsidR="007F08AF" w:rsidRPr="00E43B72" w:rsidRDefault="00000000">
      <w:pPr>
        <w:jc w:val="right"/>
        <w:rPr>
          <w:rFonts w:cs="Arial"/>
          <w:b/>
          <w:bCs/>
          <w:caps/>
          <w:lang w:val="fr-FR"/>
        </w:rPr>
      </w:pPr>
      <w:r w:rsidRPr="00E43B72">
        <w:rPr>
          <w:rFonts w:cs="Arial"/>
          <w:b/>
          <w:caps/>
          <w:lang w:val="fr-FR"/>
        </w:rPr>
        <w:lastRenderedPageBreak/>
        <w:t>Annexe</w:t>
      </w:r>
      <w:r w:rsidR="00C1110D" w:rsidRPr="00E43B72">
        <w:rPr>
          <w:rFonts w:cs="Arial"/>
          <w:b/>
          <w:caps/>
          <w:lang w:val="fr-FR"/>
        </w:rPr>
        <w:t> </w:t>
      </w:r>
      <w:r w:rsidRPr="00E43B72">
        <w:rPr>
          <w:rFonts w:cs="Arial"/>
          <w:b/>
          <w:caps/>
          <w:lang w:val="fr-FR"/>
        </w:rPr>
        <w:t>4</w:t>
      </w:r>
    </w:p>
    <w:p w14:paraId="66E077A7" w14:textId="77777777" w:rsidR="007F08AF" w:rsidRPr="00E43B72" w:rsidRDefault="007F08AF">
      <w:pPr>
        <w:rPr>
          <w:rFonts w:cs="Arial"/>
          <w:lang w:val="fr-FR"/>
        </w:rPr>
      </w:pPr>
    </w:p>
    <w:p w14:paraId="4C5B3E20" w14:textId="77777777" w:rsidR="007F08AF" w:rsidRPr="00E43B72" w:rsidRDefault="00000000">
      <w:pPr>
        <w:jc w:val="center"/>
        <w:rPr>
          <w:rFonts w:cs="Arial"/>
          <w:lang w:val="fr-FR"/>
        </w:rPr>
      </w:pPr>
      <w:r w:rsidRPr="00E43B72">
        <w:rPr>
          <w:rFonts w:cs="Arial"/>
          <w:lang w:val="fr-FR"/>
        </w:rPr>
        <w:t>PROJETS DE DÉCISION</w:t>
      </w:r>
    </w:p>
    <w:p w14:paraId="636B2026" w14:textId="77777777" w:rsidR="007F08AF" w:rsidRPr="00E43B72" w:rsidRDefault="007F08AF">
      <w:pPr>
        <w:rPr>
          <w:rFonts w:cs="Arial"/>
          <w:lang w:val="fr-FR"/>
        </w:rPr>
      </w:pPr>
    </w:p>
    <w:p w14:paraId="1FBD396F" w14:textId="77777777" w:rsidR="007F08AF" w:rsidRPr="00E43B72" w:rsidRDefault="007F08AF">
      <w:pPr>
        <w:rPr>
          <w:rFonts w:cs="Arial"/>
          <w:lang w:val="fr-FR"/>
        </w:rPr>
      </w:pPr>
    </w:p>
    <w:p w14:paraId="395112D1" w14:textId="77777777" w:rsidR="007F08AF" w:rsidRPr="00E43B72" w:rsidRDefault="00000000">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sidRPr="00E43B72">
        <w:rPr>
          <w:rFonts w:cs="Arial"/>
          <w:b/>
          <w:caps/>
          <w:lang w:val="fr-FR"/>
        </w:rPr>
        <w:t>TORTUES MARINES</w:t>
      </w:r>
    </w:p>
    <w:p w14:paraId="764BBE4E" w14:textId="77777777" w:rsidR="007F08AF" w:rsidRPr="00E43B72" w:rsidRDefault="007F08AF">
      <w:pPr>
        <w:jc w:val="both"/>
        <w:rPr>
          <w:rFonts w:cs="Arial"/>
          <w:lang w:val="fr-FR"/>
        </w:rPr>
      </w:pPr>
    </w:p>
    <w:p w14:paraId="52D0A322" w14:textId="77777777" w:rsidR="007F08AF" w:rsidRPr="00E43B72" w:rsidRDefault="007F08AF">
      <w:pPr>
        <w:jc w:val="both"/>
        <w:rPr>
          <w:rFonts w:cs="Arial"/>
          <w:iCs/>
          <w:lang w:val="fr-FR"/>
        </w:rPr>
      </w:pPr>
    </w:p>
    <w:p w14:paraId="290F1F4D" w14:textId="53D51964"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des Parties </w:t>
      </w:r>
    </w:p>
    <w:p w14:paraId="44309F8B" w14:textId="77777777" w:rsidR="007F08AF" w:rsidRPr="00E43B72" w:rsidRDefault="007F08AF">
      <w:pPr>
        <w:jc w:val="both"/>
        <w:rPr>
          <w:rFonts w:cs="Arial"/>
          <w:lang w:val="fr-FR"/>
        </w:rPr>
      </w:pPr>
    </w:p>
    <w:p w14:paraId="186577C8" w14:textId="546937A0" w:rsidR="007F08AF" w:rsidRPr="00E43B72" w:rsidRDefault="00000000" w:rsidP="005C3DBE">
      <w:pPr>
        <w:ind w:left="851" w:hanging="851"/>
        <w:jc w:val="both"/>
        <w:rPr>
          <w:rFonts w:cs="Arial"/>
          <w:iCs/>
          <w:lang w:val="fr-FR"/>
        </w:rPr>
      </w:pPr>
      <w:r w:rsidRPr="00E43B72">
        <w:rPr>
          <w:rFonts w:cs="Arial"/>
          <w:lang w:val="fr-FR"/>
        </w:rPr>
        <w:t>15.AA</w:t>
      </w:r>
      <w:r w:rsidRPr="00E43B72">
        <w:rPr>
          <w:rFonts w:cs="Arial"/>
          <w:lang w:val="fr-FR"/>
        </w:rPr>
        <w:tab/>
      </w:r>
      <w:r w:rsidRPr="00E43B72">
        <w:rPr>
          <w:rFonts w:cs="Arial"/>
          <w:iCs/>
          <w:lang w:val="fr-FR"/>
        </w:rPr>
        <w:t xml:space="preserve">Les Parties sont </w:t>
      </w:r>
      <w:r w:rsidRPr="00E43B72">
        <w:rPr>
          <w:rFonts w:cs="Arial"/>
          <w:lang w:val="fr-FR"/>
        </w:rPr>
        <w:t xml:space="preserve">encouragées à </w:t>
      </w:r>
      <w:r w:rsidRPr="00E43B72">
        <w:rPr>
          <w:rFonts w:cs="Arial"/>
          <w:iCs/>
          <w:lang w:val="fr-FR"/>
        </w:rPr>
        <w:t>utiliser les orientations élaborées dans le cadre du MdE sur les tortues marines de l</w:t>
      </w:r>
      <w:r w:rsidR="00C2697F" w:rsidRPr="00E43B72">
        <w:rPr>
          <w:rFonts w:cs="Arial"/>
          <w:iCs/>
          <w:lang w:val="fr-FR"/>
        </w:rPr>
        <w:t>’</w:t>
      </w:r>
      <w:r w:rsidRPr="00E43B72">
        <w:rPr>
          <w:rFonts w:cs="Arial"/>
          <w:iCs/>
          <w:lang w:val="fr-FR"/>
        </w:rPr>
        <w:t xml:space="preserve">IOSEA </w:t>
      </w:r>
      <w:r w:rsidRPr="00E43B72">
        <w:rPr>
          <w:lang w:val="fr-FR"/>
        </w:rPr>
        <w:t>accessibles à l</w:t>
      </w:r>
      <w:r w:rsidR="00C2697F" w:rsidRPr="00E43B72">
        <w:rPr>
          <w:lang w:val="fr-FR"/>
        </w:rPr>
        <w:t>’</w:t>
      </w:r>
      <w:r w:rsidRPr="00E43B72">
        <w:rPr>
          <w:lang w:val="fr-FR"/>
        </w:rPr>
        <w:t>adresse suivante</w:t>
      </w:r>
      <w:r w:rsidR="00C421BB" w:rsidRPr="00E43B72">
        <w:rPr>
          <w:lang w:val="fr-FR"/>
        </w:rPr>
        <w:t> :</w:t>
      </w:r>
      <w:r w:rsidRPr="00E43B72">
        <w:rPr>
          <w:lang w:val="fr-FR"/>
        </w:rPr>
        <w:t xml:space="preserve"> </w:t>
      </w:r>
      <w:hyperlink r:id="rId66" w:history="1">
        <w:r w:rsidR="007F08AF" w:rsidRPr="00E43B72">
          <w:rPr>
            <w:rStyle w:val="Hyperlink"/>
            <w:lang w:val="fr-FR"/>
          </w:rPr>
          <w:t>https://www.cms.int/iosea-turtles/fr/node/22370</w:t>
        </w:r>
      </w:hyperlink>
      <w:r w:rsidRPr="00E43B72">
        <w:rPr>
          <w:rFonts w:cs="Arial"/>
          <w:iCs/>
          <w:lang w:val="fr-FR"/>
        </w:rPr>
        <w:t xml:space="preserve"> pour</w:t>
      </w:r>
      <w:r w:rsidR="00C421BB" w:rsidRPr="00E43B72">
        <w:rPr>
          <w:rFonts w:cs="Arial"/>
          <w:iCs/>
          <w:lang w:val="fr-FR"/>
        </w:rPr>
        <w:t> :</w:t>
      </w:r>
      <w:r w:rsidRPr="00E43B72">
        <w:rPr>
          <w:rFonts w:cs="Arial"/>
          <w:iCs/>
          <w:lang w:val="fr-FR"/>
        </w:rPr>
        <w:t xml:space="preserve"> </w:t>
      </w:r>
    </w:p>
    <w:p w14:paraId="07B0F6CC" w14:textId="77777777" w:rsidR="007F08AF" w:rsidRPr="00E43B72" w:rsidRDefault="007F08AF">
      <w:pPr>
        <w:ind w:left="709" w:hanging="709"/>
        <w:jc w:val="both"/>
        <w:rPr>
          <w:rFonts w:cs="Arial"/>
          <w:iCs/>
          <w:lang w:val="fr-FR"/>
        </w:rPr>
      </w:pPr>
    </w:p>
    <w:p w14:paraId="2AF899FF" w14:textId="2F4C392C" w:rsidR="007F08AF" w:rsidRPr="00E43B72" w:rsidRDefault="00000000" w:rsidP="005C3DBE">
      <w:pPr>
        <w:pStyle w:val="ListParagraph"/>
        <w:numPr>
          <w:ilvl w:val="2"/>
          <w:numId w:val="4"/>
        </w:numPr>
        <w:ind w:left="1418" w:hanging="425"/>
        <w:contextualSpacing w:val="0"/>
        <w:jc w:val="both"/>
        <w:rPr>
          <w:rFonts w:cs="Arial"/>
          <w:iCs/>
          <w:lang w:val="fr-FR"/>
        </w:rPr>
      </w:pPr>
      <w:r w:rsidRPr="00E43B72">
        <w:rPr>
          <w:rFonts w:cs="Arial"/>
          <w:iCs/>
          <w:lang w:val="fr-FR"/>
        </w:rPr>
        <w:t>examiner les lignes directrices nationales en vigueur en matière de gestion des plages pour s</w:t>
      </w:r>
      <w:r w:rsidR="00C2697F" w:rsidRPr="00E43B72">
        <w:rPr>
          <w:rFonts w:cs="Arial"/>
          <w:iCs/>
          <w:lang w:val="fr-FR"/>
        </w:rPr>
        <w:t>’</w:t>
      </w:r>
      <w:r w:rsidRPr="00E43B72">
        <w:rPr>
          <w:rFonts w:cs="Arial"/>
          <w:iCs/>
          <w:lang w:val="fr-FR"/>
        </w:rPr>
        <w:t>assurer que les besoins de protection des tortues marines sont satisfaits</w:t>
      </w:r>
      <w:r w:rsidR="00C421BB" w:rsidRPr="00E43B72">
        <w:rPr>
          <w:rFonts w:cs="Arial"/>
          <w:iCs/>
          <w:lang w:val="fr-FR"/>
        </w:rPr>
        <w:t> ;</w:t>
      </w:r>
    </w:p>
    <w:p w14:paraId="1E3893B8" w14:textId="77777777" w:rsidR="007F08AF" w:rsidRPr="00E43B72" w:rsidRDefault="007F08AF" w:rsidP="005C3DBE">
      <w:pPr>
        <w:pStyle w:val="ListParagraph"/>
        <w:ind w:left="1418" w:hanging="425"/>
        <w:contextualSpacing w:val="0"/>
        <w:jc w:val="both"/>
        <w:rPr>
          <w:rFonts w:cs="Arial"/>
          <w:iCs/>
          <w:lang w:val="fr-FR"/>
        </w:rPr>
      </w:pPr>
    </w:p>
    <w:p w14:paraId="7B87C9A4" w14:textId="77777777" w:rsidR="007F08AF" w:rsidRPr="00E43B72" w:rsidRDefault="00000000" w:rsidP="005C3DBE">
      <w:pPr>
        <w:pStyle w:val="ListParagraph"/>
        <w:numPr>
          <w:ilvl w:val="2"/>
          <w:numId w:val="4"/>
        </w:numPr>
        <w:ind w:left="1418" w:hanging="425"/>
        <w:contextualSpacing w:val="0"/>
        <w:jc w:val="both"/>
        <w:rPr>
          <w:rFonts w:cs="Arial"/>
          <w:iCs/>
          <w:lang w:val="fr-FR"/>
        </w:rPr>
      </w:pPr>
      <w:r w:rsidRPr="00E43B72">
        <w:rPr>
          <w:rFonts w:cs="Arial"/>
          <w:iCs/>
          <w:lang w:val="fr-FR"/>
        </w:rPr>
        <w:t>identifier et cartographier les sites de nidification existants.</w:t>
      </w:r>
    </w:p>
    <w:p w14:paraId="234F8394" w14:textId="77777777" w:rsidR="007F08AF" w:rsidRPr="00E43B72" w:rsidRDefault="007F08AF">
      <w:pPr>
        <w:jc w:val="both"/>
        <w:rPr>
          <w:rFonts w:cs="Arial"/>
          <w:lang w:val="fr-FR"/>
        </w:rPr>
      </w:pPr>
    </w:p>
    <w:p w14:paraId="3C7786EE" w14:textId="25D79316" w:rsidR="007F08AF" w:rsidRPr="00E43B72" w:rsidRDefault="00000000">
      <w:pPr>
        <w:jc w:val="both"/>
        <w:rPr>
          <w:rFonts w:cs="Arial"/>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du Conseil scientifique </w:t>
      </w:r>
    </w:p>
    <w:p w14:paraId="50801AD9" w14:textId="77777777" w:rsidR="007F08AF" w:rsidRPr="00E43B72" w:rsidRDefault="007F08AF">
      <w:pPr>
        <w:jc w:val="both"/>
        <w:rPr>
          <w:rFonts w:cs="Arial"/>
          <w:lang w:val="fr-FR"/>
        </w:rPr>
      </w:pPr>
    </w:p>
    <w:p w14:paraId="5D92CE1F" w14:textId="6B69736B" w:rsidR="007F08AF" w:rsidRPr="00E43B72" w:rsidRDefault="00000000" w:rsidP="005C3DBE">
      <w:pPr>
        <w:ind w:left="851" w:hanging="851"/>
        <w:jc w:val="both"/>
        <w:rPr>
          <w:rFonts w:cs="Arial"/>
          <w:lang w:val="fr-FR"/>
        </w:rPr>
      </w:pPr>
      <w:r w:rsidRPr="00E43B72">
        <w:rPr>
          <w:rFonts w:cs="Arial"/>
          <w:lang w:val="fr-FR"/>
        </w:rPr>
        <w:t>15.BB</w:t>
      </w:r>
      <w:r w:rsidRPr="00E43B72">
        <w:rPr>
          <w:rFonts w:cs="Arial"/>
          <w:lang w:val="fr-FR"/>
        </w:rPr>
        <w:tab/>
        <w:t>Le Conseil scientifique, sous réserve de la disponibilité des ressources, est invité à</w:t>
      </w:r>
      <w:r w:rsidR="00C421BB" w:rsidRPr="00E43B72">
        <w:rPr>
          <w:rFonts w:cs="Arial"/>
          <w:lang w:val="fr-FR"/>
        </w:rPr>
        <w:t> :</w:t>
      </w:r>
    </w:p>
    <w:p w14:paraId="63FA6C8D" w14:textId="77777777" w:rsidR="007F08AF" w:rsidRPr="00E43B72" w:rsidRDefault="007F08AF">
      <w:pPr>
        <w:ind w:left="720" w:hanging="720"/>
        <w:jc w:val="both"/>
        <w:rPr>
          <w:rFonts w:cs="Arial"/>
          <w:lang w:val="fr-FR"/>
        </w:rPr>
      </w:pPr>
    </w:p>
    <w:p w14:paraId="19234FA4" w14:textId="4246D177" w:rsidR="007F08AF" w:rsidRPr="00E43B72" w:rsidRDefault="00000000" w:rsidP="005C3DBE">
      <w:pPr>
        <w:widowControl w:val="0"/>
        <w:numPr>
          <w:ilvl w:val="0"/>
          <w:numId w:val="7"/>
        </w:numPr>
        <w:autoSpaceDE w:val="0"/>
        <w:autoSpaceDN w:val="0"/>
        <w:adjustRightInd w:val="0"/>
        <w:ind w:left="1418" w:hanging="567"/>
        <w:jc w:val="both"/>
        <w:rPr>
          <w:rFonts w:cs="Arial"/>
          <w:lang w:val="fr-FR"/>
        </w:rPr>
      </w:pPr>
      <w:r w:rsidRPr="00E43B72">
        <w:rPr>
          <w:rFonts w:cs="Arial"/>
          <w:lang w:val="fr-FR"/>
        </w:rPr>
        <w:t xml:space="preserve">soutenir les travaux du Groupe directeur conjoint CMS/IOSEA Nesting Beach Management (gestion des plages de nidification), en collaboration avec </w:t>
      </w:r>
      <w:r w:rsidRPr="00E43B72">
        <w:rPr>
          <w:rFonts w:cs="Arial"/>
          <w:iCs/>
          <w:lang w:val="fr-FR"/>
        </w:rPr>
        <w:t>la Convention interaméricaine pour la protection et la conservation des tortues marines</w:t>
      </w:r>
      <w:r w:rsidRPr="00E43B72">
        <w:rPr>
          <w:rFonts w:cs="Arial"/>
          <w:lang w:val="fr-FR"/>
        </w:rPr>
        <w:t xml:space="preserve"> le cas échéant, visant à renforcer les lignes directrices existantes sur la gestion des plages en tant qu</w:t>
      </w:r>
      <w:r w:rsidR="00C2697F" w:rsidRPr="00E43B72">
        <w:rPr>
          <w:rFonts w:cs="Arial"/>
          <w:lang w:val="fr-FR"/>
        </w:rPr>
        <w:t>’</w:t>
      </w:r>
      <w:r w:rsidRPr="00E43B72">
        <w:rPr>
          <w:rFonts w:cs="Arial"/>
          <w:lang w:val="fr-FR"/>
        </w:rPr>
        <w:t>écosystème et en tant qu</w:t>
      </w:r>
      <w:r w:rsidR="00C2697F" w:rsidRPr="00E43B72">
        <w:rPr>
          <w:rFonts w:cs="Arial"/>
          <w:lang w:val="fr-FR"/>
        </w:rPr>
        <w:t>’</w:t>
      </w:r>
      <w:r w:rsidRPr="00E43B72">
        <w:rPr>
          <w:rFonts w:cs="Arial"/>
          <w:lang w:val="fr-FR"/>
        </w:rPr>
        <w:t>habitat crucial pour les tortues marines et d</w:t>
      </w:r>
      <w:r w:rsidR="00C2697F" w:rsidRPr="00E43B72">
        <w:rPr>
          <w:rFonts w:cs="Arial"/>
          <w:lang w:val="fr-FR"/>
        </w:rPr>
        <w:t>’</w:t>
      </w:r>
      <w:r w:rsidRPr="00E43B72">
        <w:rPr>
          <w:rFonts w:cs="Arial"/>
          <w:lang w:val="fr-FR"/>
        </w:rPr>
        <w:t xml:space="preserve">autres </w:t>
      </w:r>
      <w:r w:rsidRPr="00E43B72">
        <w:rPr>
          <w:rFonts w:eastAsia="Times New Roman" w:cs="Arial"/>
          <w:lang w:val="fr-FR"/>
        </w:rPr>
        <w:t>espèces migratrices qui dépendent des habitats côtiers de sédiments meubles, et formuler des recommandations sur leur mise en œuvre à la COP16</w:t>
      </w:r>
      <w:r w:rsidR="00C421BB" w:rsidRPr="00E43B72">
        <w:rPr>
          <w:rFonts w:cs="Arial"/>
          <w:lang w:val="fr-FR"/>
        </w:rPr>
        <w:t> ;</w:t>
      </w:r>
    </w:p>
    <w:p w14:paraId="7AB30810" w14:textId="77777777" w:rsidR="007F08AF" w:rsidRPr="00E43B72" w:rsidRDefault="007F08AF" w:rsidP="005C3DBE">
      <w:pPr>
        <w:widowControl w:val="0"/>
        <w:autoSpaceDE w:val="0"/>
        <w:autoSpaceDN w:val="0"/>
        <w:adjustRightInd w:val="0"/>
        <w:ind w:left="1418"/>
        <w:jc w:val="both"/>
        <w:rPr>
          <w:rFonts w:cs="Arial"/>
          <w:lang w:val="fr-FR"/>
        </w:rPr>
      </w:pPr>
    </w:p>
    <w:p w14:paraId="41494493" w14:textId="00EDDA77" w:rsidR="007F08AF" w:rsidRPr="00E43B72" w:rsidRDefault="00000000" w:rsidP="005C3DBE">
      <w:pPr>
        <w:widowControl w:val="0"/>
        <w:numPr>
          <w:ilvl w:val="0"/>
          <w:numId w:val="7"/>
        </w:numPr>
        <w:autoSpaceDE w:val="0"/>
        <w:autoSpaceDN w:val="0"/>
        <w:adjustRightInd w:val="0"/>
        <w:ind w:left="1418" w:hanging="567"/>
        <w:jc w:val="both"/>
        <w:rPr>
          <w:rFonts w:cs="Arial"/>
          <w:lang w:val="fr-FR"/>
        </w:rPr>
      </w:pPr>
      <w:r w:rsidRPr="00E43B72">
        <w:rPr>
          <w:rFonts w:cs="Arial"/>
          <w:lang w:val="fr-FR"/>
        </w:rPr>
        <w:t>définir des orientations pour l</w:t>
      </w:r>
      <w:r w:rsidR="00C2697F" w:rsidRPr="00E43B72">
        <w:rPr>
          <w:rFonts w:cs="Arial"/>
          <w:lang w:val="fr-FR"/>
        </w:rPr>
        <w:t>’</w:t>
      </w:r>
      <w:r w:rsidRPr="00E43B72">
        <w:rPr>
          <w:rFonts w:cs="Arial"/>
          <w:lang w:val="fr-FR"/>
        </w:rPr>
        <w:t xml:space="preserve">identification de nouvelles plages de nidification potentielles, en tenant compte des effets anticipés des changements climatiques, étant donné que ces habitats pourraient nécessiter un effort de conservation accru au fil du temps, le cas échéant, en </w:t>
      </w:r>
      <w:r w:rsidRPr="00E43B72">
        <w:rPr>
          <w:rFonts w:cs="Arial"/>
          <w:iCs/>
          <w:lang w:val="fr-FR"/>
        </w:rPr>
        <w:t>collaboration avec le Mémorandum d</w:t>
      </w:r>
      <w:r w:rsidR="00C2697F" w:rsidRPr="00E43B72">
        <w:rPr>
          <w:rFonts w:cs="Arial"/>
          <w:iCs/>
          <w:lang w:val="fr-FR"/>
        </w:rPr>
        <w:t>’</w:t>
      </w:r>
      <w:r w:rsidRPr="00E43B72">
        <w:rPr>
          <w:rFonts w:cs="Arial"/>
          <w:iCs/>
          <w:lang w:val="fr-FR"/>
        </w:rPr>
        <w:t>entente sur la conservation et la gestion des tortues marines et de leurs habitats dans l</w:t>
      </w:r>
      <w:r w:rsidR="00C2697F" w:rsidRPr="00E43B72">
        <w:rPr>
          <w:rFonts w:cs="Arial"/>
          <w:iCs/>
          <w:lang w:val="fr-FR"/>
        </w:rPr>
        <w:t>’</w:t>
      </w:r>
      <w:r w:rsidRPr="00E43B72">
        <w:rPr>
          <w:rFonts w:cs="Arial"/>
          <w:iCs/>
          <w:lang w:val="fr-FR"/>
        </w:rPr>
        <w:t>océan Indien et l</w:t>
      </w:r>
      <w:r w:rsidR="00C2697F" w:rsidRPr="00E43B72">
        <w:rPr>
          <w:rFonts w:cs="Arial"/>
          <w:iCs/>
          <w:lang w:val="fr-FR"/>
        </w:rPr>
        <w:t>’</w:t>
      </w:r>
      <w:r w:rsidRPr="00E43B72">
        <w:rPr>
          <w:rFonts w:cs="Arial"/>
          <w:iCs/>
          <w:lang w:val="fr-FR"/>
        </w:rPr>
        <w:t>Asie du Sud-Est (MdE sur les tortues marines de l</w:t>
      </w:r>
      <w:r w:rsidR="00C2697F" w:rsidRPr="00E43B72">
        <w:rPr>
          <w:rFonts w:cs="Arial"/>
          <w:iCs/>
          <w:lang w:val="fr-FR"/>
        </w:rPr>
        <w:t>’</w:t>
      </w:r>
      <w:r w:rsidRPr="00E43B72">
        <w:rPr>
          <w:rFonts w:cs="Arial"/>
          <w:iCs/>
          <w:lang w:val="fr-FR"/>
        </w:rPr>
        <w:t>IOSEA)</w:t>
      </w:r>
      <w:r w:rsidRPr="00E43B72">
        <w:rPr>
          <w:rFonts w:cs="Arial"/>
          <w:lang w:val="fr-FR"/>
        </w:rPr>
        <w:t xml:space="preserve"> et </w:t>
      </w:r>
      <w:r w:rsidRPr="00E43B72">
        <w:rPr>
          <w:rFonts w:cs="Arial"/>
          <w:iCs/>
          <w:lang w:val="fr-FR"/>
        </w:rPr>
        <w:t>la Convention interaméricaine pour la protection et la conservation des tortues marines.</w:t>
      </w:r>
    </w:p>
    <w:p w14:paraId="32D8917F" w14:textId="77777777" w:rsidR="007F08AF" w:rsidRPr="00E43B72" w:rsidRDefault="007F08AF">
      <w:pPr>
        <w:jc w:val="both"/>
        <w:rPr>
          <w:rFonts w:cs="Arial"/>
          <w:b/>
          <w:i/>
          <w:lang w:val="fr-FR"/>
        </w:rPr>
      </w:pPr>
    </w:p>
    <w:p w14:paraId="395283AA" w14:textId="7A800823"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du Secrétariat</w:t>
      </w:r>
    </w:p>
    <w:p w14:paraId="2D91D206" w14:textId="77777777" w:rsidR="007F08AF" w:rsidRPr="00E43B72" w:rsidRDefault="007F08AF">
      <w:pPr>
        <w:jc w:val="both"/>
        <w:rPr>
          <w:rFonts w:cs="Arial"/>
          <w:lang w:val="fr-FR"/>
        </w:rPr>
      </w:pPr>
    </w:p>
    <w:p w14:paraId="4E32EBAC" w14:textId="3A517424" w:rsidR="007F08AF" w:rsidRPr="00E43B72" w:rsidRDefault="00000000" w:rsidP="005C3DBE">
      <w:pPr>
        <w:ind w:left="851" w:hanging="851"/>
        <w:jc w:val="both"/>
        <w:rPr>
          <w:rFonts w:cs="Arial"/>
          <w:lang w:val="fr-FR"/>
        </w:rPr>
      </w:pPr>
      <w:r w:rsidRPr="00E43B72">
        <w:rPr>
          <w:rFonts w:cs="Arial"/>
          <w:lang w:val="fr-FR"/>
        </w:rPr>
        <w:t>15.CC</w:t>
      </w:r>
      <w:r w:rsidRPr="00E43B72">
        <w:rPr>
          <w:rFonts w:cs="Arial"/>
          <w:lang w:val="fr-FR"/>
        </w:rPr>
        <w:tab/>
        <w:t>Sous réserve de la disponibilité des ressources, le Secrétariat appuie le Conseil scientifique dans la mise en œuvre des activités prévues à la section</w:t>
      </w:r>
      <w:r w:rsidR="00FD6DCF" w:rsidRPr="00E43B72">
        <w:rPr>
          <w:rFonts w:cs="Arial"/>
          <w:lang w:val="fr-FR"/>
        </w:rPr>
        <w:t> </w:t>
      </w:r>
      <w:r w:rsidRPr="00E43B72">
        <w:rPr>
          <w:rFonts w:cs="Arial"/>
          <w:lang w:val="fr-FR"/>
        </w:rPr>
        <w:t>15 BB, selon les besoins.</w:t>
      </w:r>
    </w:p>
    <w:p w14:paraId="128807DE" w14:textId="77777777" w:rsidR="007F08AF" w:rsidRPr="00E43B72" w:rsidRDefault="007F08AF">
      <w:pPr>
        <w:pStyle w:val="Secondnumbering"/>
        <w:numPr>
          <w:ilvl w:val="0"/>
          <w:numId w:val="0"/>
        </w:numPr>
        <w:rPr>
          <w:lang w:val="fr-FR"/>
        </w:rPr>
      </w:pPr>
    </w:p>
    <w:p w14:paraId="07A29616" w14:textId="77777777" w:rsidR="007F08AF" w:rsidRPr="00E43B72" w:rsidRDefault="00000000">
      <w:pPr>
        <w:rPr>
          <w:rFonts w:cs="Arial"/>
          <w:lang w:val="fr-FR"/>
        </w:rPr>
      </w:pPr>
      <w:r w:rsidRPr="00E43B72">
        <w:rPr>
          <w:rFonts w:cs="Arial"/>
          <w:lang w:val="fr-FR"/>
        </w:rPr>
        <w:br w:type="page"/>
      </w:r>
    </w:p>
    <w:p w14:paraId="03647395" w14:textId="166CDB75" w:rsidR="007F08AF" w:rsidRPr="00E43B72" w:rsidRDefault="00000000">
      <w:pPr>
        <w:jc w:val="center"/>
        <w:rPr>
          <w:rFonts w:cs="Arial"/>
          <w:b/>
          <w:caps/>
          <w:lang w:val="fr-FR"/>
        </w:rPr>
      </w:pPr>
      <w:r w:rsidRPr="00E43B72">
        <w:rPr>
          <w:rFonts w:cs="Arial"/>
          <w:b/>
          <w:caps/>
          <w:lang w:val="fr-FR"/>
        </w:rPr>
        <w:lastRenderedPageBreak/>
        <w:t>PLAN D</w:t>
      </w:r>
      <w:r w:rsidR="00C2697F" w:rsidRPr="00E43B72">
        <w:rPr>
          <w:rFonts w:cs="Arial"/>
          <w:b/>
          <w:caps/>
          <w:lang w:val="fr-FR"/>
        </w:rPr>
        <w:t>’</w:t>
      </w:r>
      <w:r w:rsidRPr="00E43B72">
        <w:rPr>
          <w:rFonts w:cs="Arial"/>
          <w:b/>
          <w:caps/>
          <w:lang w:val="fr-FR"/>
        </w:rPr>
        <w:t>ACTION PAR ESPÈCE POUR LA TORTUE IMBRIQUÉE (</w:t>
      </w:r>
      <w:r w:rsidR="005C3DBE">
        <w:rPr>
          <w:rFonts w:cs="Arial"/>
          <w:b/>
          <w:i/>
          <w:iCs/>
          <w:lang w:val="fr-FR"/>
        </w:rPr>
        <w:t>E</w:t>
      </w:r>
      <w:r w:rsidR="005C3DBE" w:rsidRPr="005C3DBE">
        <w:rPr>
          <w:rFonts w:cs="Arial"/>
          <w:b/>
          <w:i/>
          <w:iCs/>
          <w:lang w:val="fr-FR"/>
        </w:rPr>
        <w:t>retmochelys imbricata</w:t>
      </w:r>
      <w:r w:rsidRPr="00E43B72">
        <w:rPr>
          <w:rFonts w:cs="Arial"/>
          <w:b/>
          <w:caps/>
          <w:lang w:val="fr-FR"/>
        </w:rPr>
        <w:t>) EN ASIE DU SUD-EST ET DANS LA RÉGION DU PACIFIQUE OUEST</w:t>
      </w:r>
    </w:p>
    <w:p w14:paraId="3FB2C756" w14:textId="77777777" w:rsidR="007F08AF" w:rsidRPr="00E43B72" w:rsidRDefault="007F08AF">
      <w:pPr>
        <w:jc w:val="both"/>
        <w:rPr>
          <w:rFonts w:cs="Arial"/>
          <w:iCs/>
          <w:lang w:val="fr-FR"/>
        </w:rPr>
      </w:pPr>
    </w:p>
    <w:p w14:paraId="48960E86" w14:textId="77777777" w:rsidR="007F08AF" w:rsidRPr="00E43B72" w:rsidRDefault="007F08AF">
      <w:pPr>
        <w:jc w:val="both"/>
        <w:rPr>
          <w:rFonts w:cs="Arial"/>
          <w:iCs/>
          <w:lang w:val="fr-FR"/>
        </w:rPr>
      </w:pPr>
    </w:p>
    <w:p w14:paraId="3FB8142E" w14:textId="1B5F6C8A" w:rsidR="007F08AF" w:rsidRPr="00E43B72" w:rsidRDefault="00000000">
      <w:pPr>
        <w:jc w:val="both"/>
        <w:rPr>
          <w:rFonts w:cs="Arial"/>
          <w:b/>
          <w:i/>
          <w:lang w:val="fr-FR"/>
        </w:rPr>
      </w:pPr>
      <w:r w:rsidRPr="00E43B72">
        <w:rPr>
          <w:rFonts w:cs="Arial"/>
          <w:b/>
          <w:i/>
          <w:color w:val="000000" w:themeColor="text1"/>
          <w:lang w:val="fr-FR"/>
        </w:rPr>
        <w:t>À l</w:t>
      </w:r>
      <w:r w:rsidR="00C2697F" w:rsidRPr="00E43B72">
        <w:rPr>
          <w:rFonts w:cs="Arial"/>
          <w:b/>
          <w:i/>
          <w:color w:val="000000" w:themeColor="text1"/>
          <w:lang w:val="fr-FR"/>
        </w:rPr>
        <w:t>’</w:t>
      </w:r>
      <w:r w:rsidRPr="00E43B72">
        <w:rPr>
          <w:rFonts w:cs="Arial"/>
          <w:b/>
          <w:i/>
          <w:color w:val="000000" w:themeColor="text1"/>
          <w:lang w:val="fr-FR"/>
        </w:rPr>
        <w:t>adresse des Parties qui sont des États de l</w:t>
      </w:r>
      <w:r w:rsidR="00C2697F" w:rsidRPr="00E43B72">
        <w:rPr>
          <w:rFonts w:cs="Arial"/>
          <w:b/>
          <w:i/>
          <w:color w:val="000000" w:themeColor="text1"/>
          <w:lang w:val="fr-FR"/>
        </w:rPr>
        <w:t>’</w:t>
      </w:r>
      <w:r w:rsidRPr="00E43B72">
        <w:rPr>
          <w:rFonts w:cs="Arial"/>
          <w:b/>
          <w:i/>
          <w:color w:val="000000" w:themeColor="text1"/>
          <w:lang w:val="fr-FR"/>
        </w:rPr>
        <w:t xml:space="preserve">aire de répartition </w:t>
      </w:r>
      <w:r w:rsidRPr="00E43B72">
        <w:rPr>
          <w:rFonts w:cs="Arial"/>
          <w:b/>
          <w:i/>
          <w:lang w:val="fr-FR"/>
        </w:rPr>
        <w:t>du Plan d</w:t>
      </w:r>
      <w:r w:rsidR="00C2697F" w:rsidRPr="00E43B72">
        <w:rPr>
          <w:rFonts w:cs="Arial"/>
          <w:b/>
          <w:i/>
          <w:lang w:val="fr-FR"/>
        </w:rPr>
        <w:t>’</w:t>
      </w:r>
      <w:r w:rsidRPr="00E43B72">
        <w:rPr>
          <w:rFonts w:cs="Arial"/>
          <w:b/>
          <w:i/>
          <w:lang w:val="fr-FR"/>
        </w:rPr>
        <w:t>action par espèce</w:t>
      </w:r>
    </w:p>
    <w:p w14:paraId="13EAF8F6" w14:textId="77777777" w:rsidR="007F08AF" w:rsidRPr="00E43B72" w:rsidRDefault="007F08AF">
      <w:pPr>
        <w:jc w:val="both"/>
        <w:rPr>
          <w:rFonts w:cs="Arial"/>
          <w:lang w:val="fr-FR"/>
        </w:rPr>
      </w:pPr>
    </w:p>
    <w:p w14:paraId="385DBD73" w14:textId="3E9ED1EE" w:rsidR="007F08AF" w:rsidRPr="00E43B72" w:rsidRDefault="00000000" w:rsidP="005C3DBE">
      <w:pPr>
        <w:ind w:left="851" w:hanging="851"/>
        <w:jc w:val="both"/>
        <w:rPr>
          <w:rFonts w:cs="Arial"/>
          <w:iCs/>
          <w:lang w:val="fr-FR"/>
        </w:rPr>
      </w:pPr>
      <w:r w:rsidRPr="00E43B72">
        <w:rPr>
          <w:rFonts w:cs="Arial"/>
          <w:lang w:val="fr-FR"/>
        </w:rPr>
        <w:t>15.DD</w:t>
      </w:r>
      <w:r w:rsidRPr="00E43B72">
        <w:rPr>
          <w:rFonts w:cs="Arial"/>
          <w:lang w:val="fr-FR"/>
        </w:rPr>
        <w:tab/>
      </w:r>
      <w:r w:rsidRPr="00E43B72">
        <w:rPr>
          <w:rFonts w:cs="Arial"/>
          <w:iCs/>
          <w:lang w:val="fr-FR"/>
        </w:rPr>
        <w:t>Les Parties qui sont des États de l</w:t>
      </w:r>
      <w:r w:rsidR="00C2697F" w:rsidRPr="00E43B72">
        <w:rPr>
          <w:rFonts w:cs="Arial"/>
          <w:iCs/>
          <w:lang w:val="fr-FR"/>
        </w:rPr>
        <w:t>’</w:t>
      </w:r>
      <w:r w:rsidRPr="00E43B72">
        <w:rPr>
          <w:rFonts w:cs="Arial"/>
          <w:iCs/>
          <w:lang w:val="fr-FR"/>
        </w:rPr>
        <w:t>aire de répartition du Plan d</w:t>
      </w:r>
      <w:r w:rsidR="00C2697F" w:rsidRPr="00E43B72">
        <w:rPr>
          <w:rFonts w:cs="Arial"/>
          <w:iCs/>
          <w:lang w:val="fr-FR"/>
        </w:rPr>
        <w:t>’</w:t>
      </w:r>
      <w:r w:rsidRPr="00E43B72">
        <w:rPr>
          <w:rFonts w:cs="Arial"/>
          <w:iCs/>
          <w:lang w:val="fr-FR"/>
        </w:rPr>
        <w:t>action par espèce sont priées de</w:t>
      </w:r>
      <w:r w:rsidR="00C421BB" w:rsidRPr="00E43B72">
        <w:rPr>
          <w:rFonts w:cs="Arial"/>
          <w:iCs/>
          <w:lang w:val="fr-FR"/>
        </w:rPr>
        <w:t> :</w:t>
      </w:r>
    </w:p>
    <w:p w14:paraId="7F39B493" w14:textId="77777777" w:rsidR="007F08AF" w:rsidRPr="00E43B72" w:rsidRDefault="007F08AF">
      <w:pPr>
        <w:ind w:left="851" w:hanging="851"/>
        <w:jc w:val="both"/>
        <w:rPr>
          <w:rFonts w:cs="Arial"/>
          <w:i/>
          <w:iCs/>
          <w:lang w:val="fr-FR"/>
        </w:rPr>
      </w:pPr>
    </w:p>
    <w:p w14:paraId="63D15666" w14:textId="436F77B6"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nommer, si cela n</w:t>
      </w:r>
      <w:r w:rsidR="00C2697F" w:rsidRPr="00E43B72">
        <w:rPr>
          <w:rFonts w:cs="Arial"/>
          <w:lang w:val="fr-FR"/>
        </w:rPr>
        <w:t>’</w:t>
      </w:r>
      <w:r w:rsidRPr="00E43B72">
        <w:rPr>
          <w:rFonts w:cs="Arial"/>
          <w:lang w:val="fr-FR"/>
        </w:rPr>
        <w:t>a pas encore été fait, un représentant de l</w:t>
      </w:r>
      <w:r w:rsidR="00C2697F" w:rsidRPr="00E43B72">
        <w:rPr>
          <w:rFonts w:cs="Arial"/>
          <w:lang w:val="fr-FR"/>
        </w:rPr>
        <w:t>’</w:t>
      </w:r>
      <w:r w:rsidRPr="00E43B72">
        <w:rPr>
          <w:rFonts w:cs="Arial"/>
          <w:lang w:val="fr-FR"/>
        </w:rPr>
        <w:t>administration centrale (point focal) et un expert national par État de l</w:t>
      </w:r>
      <w:r w:rsidR="00C2697F" w:rsidRPr="00E43B72">
        <w:rPr>
          <w:rFonts w:cs="Arial"/>
          <w:lang w:val="fr-FR"/>
        </w:rPr>
        <w:t>’</w:t>
      </w:r>
      <w:r w:rsidRPr="00E43B72">
        <w:rPr>
          <w:rFonts w:cs="Arial"/>
          <w:lang w:val="fr-FR"/>
        </w:rPr>
        <w:t>aire de répartition pour siéger au Groupe directeur et en soutenir les activités</w:t>
      </w:r>
      <w:r w:rsidR="00C421BB" w:rsidRPr="00E43B72">
        <w:rPr>
          <w:rFonts w:cs="Arial"/>
          <w:lang w:val="fr-FR"/>
        </w:rPr>
        <w:t> ;</w:t>
      </w:r>
    </w:p>
    <w:p w14:paraId="70EC6F94" w14:textId="77777777" w:rsidR="007F08AF" w:rsidRPr="00E43B72" w:rsidRDefault="007F08AF" w:rsidP="005C3DBE">
      <w:pPr>
        <w:pStyle w:val="ListParagraph"/>
        <w:ind w:left="1418" w:hanging="567"/>
        <w:contextualSpacing w:val="0"/>
        <w:jc w:val="both"/>
        <w:rPr>
          <w:rFonts w:cs="Arial"/>
          <w:lang w:val="fr-FR"/>
        </w:rPr>
      </w:pPr>
    </w:p>
    <w:p w14:paraId="39816984" w14:textId="75002C30"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créer et assurer le fonctionnement de Groupes de travail nationaux composés de points focaux nationaux, de parties prenantes locales et de scientifiques, en particulier ceux qui participeront à la mise en œuvre des actions</w:t>
      </w:r>
      <w:r w:rsidR="00C421BB" w:rsidRPr="00E43B72">
        <w:rPr>
          <w:rFonts w:cs="Arial"/>
          <w:lang w:val="fr-FR"/>
        </w:rPr>
        <w:t> ;</w:t>
      </w:r>
    </w:p>
    <w:p w14:paraId="34B9C465" w14:textId="77777777" w:rsidR="007F08AF" w:rsidRPr="00E43B72" w:rsidRDefault="007F08AF" w:rsidP="005C3DBE">
      <w:pPr>
        <w:pStyle w:val="ListParagraph"/>
        <w:ind w:left="1418" w:hanging="567"/>
        <w:contextualSpacing w:val="0"/>
        <w:jc w:val="both"/>
        <w:rPr>
          <w:rFonts w:cs="Arial"/>
          <w:lang w:val="fr-FR"/>
        </w:rPr>
      </w:pPr>
    </w:p>
    <w:p w14:paraId="55B02F8E" w14:textId="4220812C" w:rsidR="007F08AF" w:rsidRPr="00E43B72" w:rsidRDefault="00000000" w:rsidP="005C3DBE">
      <w:pPr>
        <w:pStyle w:val="ListParagraph"/>
        <w:numPr>
          <w:ilvl w:val="0"/>
          <w:numId w:val="13"/>
        </w:numPr>
        <w:ind w:left="1418" w:hanging="567"/>
        <w:contextualSpacing w:val="0"/>
        <w:jc w:val="both"/>
        <w:rPr>
          <w:iCs/>
          <w:lang w:val="fr-FR"/>
        </w:rPr>
      </w:pPr>
      <w:r w:rsidRPr="00E43B72">
        <w:rPr>
          <w:rFonts w:cs="Arial"/>
          <w:lang w:val="fr-FR"/>
        </w:rPr>
        <w:t xml:space="preserve">élaborer ou mettre à jour un plan de travail national axé sur les actions prioritaires utiles pour leur pays ou territoire, en accordant une attention particulière aux </w:t>
      </w:r>
      <w:r w:rsidRPr="00E43B72">
        <w:rPr>
          <w:lang w:val="fr-FR"/>
        </w:rPr>
        <w:t>actions essentielles et hautement prioritaires du Plan d</w:t>
      </w:r>
      <w:r w:rsidR="00C2697F" w:rsidRPr="00E43B72">
        <w:rPr>
          <w:lang w:val="fr-FR"/>
        </w:rPr>
        <w:t>’</w:t>
      </w:r>
      <w:r w:rsidRPr="00E43B72">
        <w:rPr>
          <w:lang w:val="fr-FR"/>
        </w:rPr>
        <w:t>action par espèce, et commencer à mettre en œuvre les actions pertinentes de priorité moyenne</w:t>
      </w:r>
      <w:r w:rsidR="00C421BB" w:rsidRPr="00E43B72">
        <w:rPr>
          <w:lang w:val="fr-FR"/>
        </w:rPr>
        <w:t> ;</w:t>
      </w:r>
    </w:p>
    <w:p w14:paraId="631D44C2" w14:textId="77777777" w:rsidR="007F08AF" w:rsidRPr="00E43B72" w:rsidRDefault="007F08AF" w:rsidP="005C3DBE">
      <w:pPr>
        <w:pStyle w:val="ListParagraph"/>
        <w:ind w:left="1418" w:hanging="567"/>
        <w:contextualSpacing w:val="0"/>
        <w:jc w:val="both"/>
        <w:rPr>
          <w:rFonts w:cs="Arial"/>
          <w:lang w:val="fr-FR"/>
        </w:rPr>
      </w:pPr>
    </w:p>
    <w:p w14:paraId="74E3AF13" w14:textId="7B15C53B"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encourager activement les États de l</w:t>
      </w:r>
      <w:r w:rsidR="00C2697F" w:rsidRPr="00E43B72">
        <w:rPr>
          <w:rFonts w:cs="Arial"/>
          <w:lang w:val="fr-FR"/>
        </w:rPr>
        <w:t>’</w:t>
      </w:r>
      <w:r w:rsidRPr="00E43B72">
        <w:rPr>
          <w:rFonts w:cs="Arial"/>
          <w:lang w:val="fr-FR"/>
        </w:rPr>
        <w:t>aire de répartition non-Parties à adopter le Plan d</w:t>
      </w:r>
      <w:r w:rsidR="00C2697F" w:rsidRPr="00E43B72">
        <w:rPr>
          <w:rFonts w:cs="Arial"/>
          <w:lang w:val="fr-FR"/>
        </w:rPr>
        <w:t>’</w:t>
      </w:r>
      <w:r w:rsidRPr="00E43B72">
        <w:rPr>
          <w:rFonts w:cs="Arial"/>
          <w:lang w:val="fr-FR"/>
        </w:rPr>
        <w:t>action par espèce pour leur usage</w:t>
      </w:r>
      <w:r w:rsidR="00C421BB" w:rsidRPr="00E43B72">
        <w:rPr>
          <w:rFonts w:cs="Arial"/>
          <w:lang w:val="fr-FR"/>
        </w:rPr>
        <w:t> ;</w:t>
      </w:r>
    </w:p>
    <w:p w14:paraId="5DC05B9E" w14:textId="77777777" w:rsidR="007F08AF" w:rsidRPr="00E43B72" w:rsidRDefault="007F08AF" w:rsidP="005C3DBE">
      <w:pPr>
        <w:ind w:left="1418" w:hanging="567"/>
        <w:jc w:val="both"/>
        <w:rPr>
          <w:rFonts w:cs="Arial"/>
          <w:lang w:val="fr-FR"/>
        </w:rPr>
      </w:pPr>
    </w:p>
    <w:p w14:paraId="3787B602" w14:textId="2F6C52EB"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soumettre, lorsqu</w:t>
      </w:r>
      <w:r w:rsidR="00C2697F" w:rsidRPr="00E43B72">
        <w:rPr>
          <w:rFonts w:cs="Arial"/>
          <w:lang w:val="fr-FR"/>
        </w:rPr>
        <w:t>’</w:t>
      </w:r>
      <w:r w:rsidRPr="00E43B72">
        <w:rPr>
          <w:rFonts w:cs="Arial"/>
          <w:lang w:val="fr-FR"/>
        </w:rPr>
        <w:t>une demande est formulée à cet effet, un rapport national de mise en œuvre, en utilisant le modèle de rapport fourni par le Secrétariat, une fois au cours de la période intersessions.</w:t>
      </w:r>
    </w:p>
    <w:p w14:paraId="6C5E3CFF" w14:textId="77777777" w:rsidR="007F08AF" w:rsidRPr="00E43B72" w:rsidRDefault="007F08AF">
      <w:pPr>
        <w:jc w:val="both"/>
        <w:rPr>
          <w:rFonts w:cs="Arial"/>
          <w:lang w:val="fr-FR"/>
        </w:rPr>
      </w:pPr>
    </w:p>
    <w:p w14:paraId="7656ED68" w14:textId="729FB509"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des États de l</w:t>
      </w:r>
      <w:r w:rsidR="00C2697F" w:rsidRPr="00E43B72">
        <w:rPr>
          <w:rFonts w:cs="Arial"/>
          <w:b/>
          <w:i/>
          <w:lang w:val="fr-FR"/>
        </w:rPr>
        <w:t>’</w:t>
      </w:r>
      <w:r w:rsidRPr="00E43B72">
        <w:rPr>
          <w:rFonts w:cs="Arial"/>
          <w:b/>
          <w:i/>
          <w:lang w:val="fr-FR"/>
        </w:rPr>
        <w:t>aire de répartition non-Parties au Plan d</w:t>
      </w:r>
      <w:r w:rsidR="00C2697F" w:rsidRPr="00E43B72">
        <w:rPr>
          <w:rFonts w:cs="Arial"/>
          <w:b/>
          <w:i/>
          <w:lang w:val="fr-FR"/>
        </w:rPr>
        <w:t>’</w:t>
      </w:r>
      <w:r w:rsidRPr="00E43B72">
        <w:rPr>
          <w:rFonts w:cs="Arial"/>
          <w:b/>
          <w:i/>
          <w:lang w:val="fr-FR"/>
        </w:rPr>
        <w:t>action par espèce</w:t>
      </w:r>
    </w:p>
    <w:p w14:paraId="7FDEA8D6" w14:textId="77777777" w:rsidR="007F08AF" w:rsidRPr="00E43B72" w:rsidRDefault="007F08AF">
      <w:pPr>
        <w:jc w:val="both"/>
        <w:rPr>
          <w:rFonts w:cs="Arial"/>
          <w:lang w:val="fr-FR"/>
        </w:rPr>
      </w:pPr>
    </w:p>
    <w:p w14:paraId="1C0015E7" w14:textId="0678295E" w:rsidR="007F08AF" w:rsidRPr="00E43B72" w:rsidRDefault="00000000" w:rsidP="005C3DBE">
      <w:pPr>
        <w:ind w:left="851" w:hanging="851"/>
        <w:jc w:val="both"/>
        <w:rPr>
          <w:rFonts w:cs="Arial"/>
          <w:lang w:val="fr-FR"/>
        </w:rPr>
      </w:pPr>
      <w:r w:rsidRPr="00E43B72">
        <w:rPr>
          <w:rFonts w:cs="Arial"/>
          <w:lang w:val="fr-FR"/>
        </w:rPr>
        <w:t>15.EE</w:t>
      </w:r>
      <w:r w:rsidRPr="00E43B72">
        <w:rPr>
          <w:rFonts w:cs="Arial"/>
          <w:lang w:val="fr-FR"/>
        </w:rPr>
        <w:tab/>
        <w:t>Les États de l</w:t>
      </w:r>
      <w:r w:rsidR="00C2697F" w:rsidRPr="00E43B72">
        <w:rPr>
          <w:rFonts w:cs="Arial"/>
          <w:lang w:val="fr-FR"/>
        </w:rPr>
        <w:t>’</w:t>
      </w:r>
      <w:r w:rsidRPr="00E43B72">
        <w:rPr>
          <w:rFonts w:cs="Arial"/>
          <w:lang w:val="fr-FR"/>
        </w:rPr>
        <w:t>aire de répartition non-Parties au Plan d</w:t>
      </w:r>
      <w:r w:rsidR="00C2697F" w:rsidRPr="00E43B72">
        <w:rPr>
          <w:rFonts w:cs="Arial"/>
          <w:lang w:val="fr-FR"/>
        </w:rPr>
        <w:t>’</w:t>
      </w:r>
      <w:r w:rsidRPr="00E43B72">
        <w:rPr>
          <w:rFonts w:cs="Arial"/>
          <w:lang w:val="fr-FR"/>
        </w:rPr>
        <w:t>action par espèce sont encouragés à</w:t>
      </w:r>
      <w:r w:rsidR="00C421BB" w:rsidRPr="00E43B72">
        <w:rPr>
          <w:rFonts w:cs="Arial"/>
          <w:lang w:val="fr-FR"/>
        </w:rPr>
        <w:t> :</w:t>
      </w:r>
    </w:p>
    <w:p w14:paraId="4A54F1A5" w14:textId="77777777" w:rsidR="007F08AF" w:rsidRPr="00E43B72" w:rsidRDefault="007F08AF">
      <w:pPr>
        <w:jc w:val="both"/>
        <w:rPr>
          <w:rFonts w:cs="Arial"/>
          <w:lang w:val="fr-FR"/>
        </w:rPr>
      </w:pPr>
    </w:p>
    <w:p w14:paraId="37C71FA8" w14:textId="5F989D34" w:rsidR="007F08AF" w:rsidRPr="00E43B72" w:rsidRDefault="00000000" w:rsidP="005C3DBE">
      <w:pPr>
        <w:widowControl w:val="0"/>
        <w:numPr>
          <w:ilvl w:val="0"/>
          <w:numId w:val="6"/>
        </w:numPr>
        <w:autoSpaceDE w:val="0"/>
        <w:autoSpaceDN w:val="0"/>
        <w:adjustRightInd w:val="0"/>
        <w:ind w:left="1418" w:hanging="567"/>
        <w:jc w:val="both"/>
        <w:rPr>
          <w:rFonts w:cs="Arial"/>
          <w:lang w:val="fr-FR"/>
        </w:rPr>
      </w:pPr>
      <w:r w:rsidRPr="00E43B72">
        <w:rPr>
          <w:rFonts w:cs="Arial"/>
          <w:lang w:val="fr-FR"/>
        </w:rPr>
        <w:t>adopter le Plan d</w:t>
      </w:r>
      <w:r w:rsidR="00C2697F" w:rsidRPr="00E43B72">
        <w:rPr>
          <w:rFonts w:cs="Arial"/>
          <w:lang w:val="fr-FR"/>
        </w:rPr>
        <w:t>’</w:t>
      </w:r>
      <w:r w:rsidRPr="00E43B72">
        <w:rPr>
          <w:rFonts w:cs="Arial"/>
          <w:lang w:val="fr-FR"/>
        </w:rPr>
        <w:t>action par espèce</w:t>
      </w:r>
      <w:r w:rsidR="00C421BB" w:rsidRPr="00E43B72">
        <w:rPr>
          <w:rFonts w:cs="Arial"/>
          <w:lang w:val="fr-FR"/>
        </w:rPr>
        <w:t> ;</w:t>
      </w:r>
    </w:p>
    <w:p w14:paraId="6D164C44" w14:textId="77777777" w:rsidR="007F08AF" w:rsidRPr="00E43B72" w:rsidRDefault="007F08AF" w:rsidP="005C3DBE">
      <w:pPr>
        <w:widowControl w:val="0"/>
        <w:autoSpaceDE w:val="0"/>
        <w:autoSpaceDN w:val="0"/>
        <w:adjustRightInd w:val="0"/>
        <w:ind w:left="1418"/>
        <w:jc w:val="both"/>
        <w:rPr>
          <w:rFonts w:cs="Arial"/>
          <w:lang w:val="fr-FR"/>
        </w:rPr>
      </w:pPr>
    </w:p>
    <w:p w14:paraId="0B78BD8C" w14:textId="504A36AD" w:rsidR="007F08AF" w:rsidRPr="00E43B72" w:rsidRDefault="00000000" w:rsidP="005C3DBE">
      <w:pPr>
        <w:widowControl w:val="0"/>
        <w:numPr>
          <w:ilvl w:val="0"/>
          <w:numId w:val="6"/>
        </w:numPr>
        <w:autoSpaceDE w:val="0"/>
        <w:autoSpaceDN w:val="0"/>
        <w:adjustRightInd w:val="0"/>
        <w:spacing w:after="80"/>
        <w:ind w:left="1418" w:hanging="567"/>
        <w:jc w:val="both"/>
        <w:rPr>
          <w:rFonts w:cs="Arial"/>
          <w:lang w:val="fr-FR"/>
        </w:rPr>
      </w:pPr>
      <w:r w:rsidRPr="00E43B72">
        <w:rPr>
          <w:rFonts w:cs="Arial"/>
          <w:lang w:val="fr-FR"/>
        </w:rPr>
        <w:t>une fois le Plan d</w:t>
      </w:r>
      <w:r w:rsidR="00C2697F" w:rsidRPr="00E43B72">
        <w:rPr>
          <w:rFonts w:cs="Arial"/>
          <w:lang w:val="fr-FR"/>
        </w:rPr>
        <w:t>’</w:t>
      </w:r>
      <w:r w:rsidRPr="00E43B72">
        <w:rPr>
          <w:rFonts w:cs="Arial"/>
          <w:lang w:val="fr-FR"/>
        </w:rPr>
        <w:t>action par espèce adopté</w:t>
      </w:r>
      <w:r w:rsidR="00C421BB" w:rsidRPr="00E43B72">
        <w:rPr>
          <w:rFonts w:cs="Arial"/>
          <w:lang w:val="fr-FR"/>
        </w:rPr>
        <w:t> :</w:t>
      </w:r>
    </w:p>
    <w:p w14:paraId="320C6C9E" w14:textId="637425CC" w:rsidR="007F08AF" w:rsidRPr="00E43B72" w:rsidRDefault="00000000" w:rsidP="005C3DBE">
      <w:pPr>
        <w:numPr>
          <w:ilvl w:val="1"/>
          <w:numId w:val="6"/>
        </w:numPr>
        <w:spacing w:after="80"/>
        <w:ind w:left="1985" w:hanging="425"/>
        <w:rPr>
          <w:rFonts w:cs="Arial"/>
          <w:lang w:val="fr-FR"/>
        </w:rPr>
      </w:pPr>
      <w:r w:rsidRPr="00E43B72">
        <w:rPr>
          <w:rFonts w:cs="Arial"/>
          <w:lang w:val="fr-FR"/>
        </w:rPr>
        <w:t>nommer un représentant de l</w:t>
      </w:r>
      <w:r w:rsidR="00C2697F" w:rsidRPr="00E43B72">
        <w:rPr>
          <w:rFonts w:cs="Arial"/>
          <w:lang w:val="fr-FR"/>
        </w:rPr>
        <w:t>’</w:t>
      </w:r>
      <w:r w:rsidRPr="00E43B72">
        <w:rPr>
          <w:rFonts w:cs="Arial"/>
          <w:lang w:val="fr-FR"/>
        </w:rPr>
        <w:t>administration centrale (point focal) ainsi qu</w:t>
      </w:r>
      <w:r w:rsidR="00C2697F" w:rsidRPr="00E43B72">
        <w:rPr>
          <w:rFonts w:cs="Arial"/>
          <w:lang w:val="fr-FR"/>
        </w:rPr>
        <w:t>’</w:t>
      </w:r>
      <w:r w:rsidRPr="00E43B72">
        <w:rPr>
          <w:rFonts w:cs="Arial"/>
          <w:lang w:val="fr-FR"/>
        </w:rPr>
        <w:t>un expert national par État de l</w:t>
      </w:r>
      <w:r w:rsidR="00C2697F" w:rsidRPr="00E43B72">
        <w:rPr>
          <w:rFonts w:cs="Arial"/>
          <w:lang w:val="fr-FR"/>
        </w:rPr>
        <w:t>’</w:t>
      </w:r>
      <w:r w:rsidRPr="00E43B72">
        <w:rPr>
          <w:rFonts w:cs="Arial"/>
          <w:lang w:val="fr-FR"/>
        </w:rPr>
        <w:t>aire de répartition pour siéger au Groupe directeur</w:t>
      </w:r>
      <w:r w:rsidR="00C421BB" w:rsidRPr="00E43B72">
        <w:rPr>
          <w:rFonts w:cs="Arial"/>
          <w:lang w:val="fr-FR"/>
        </w:rPr>
        <w:t> ;</w:t>
      </w:r>
    </w:p>
    <w:p w14:paraId="21AFAB30" w14:textId="5ED94B3D" w:rsidR="007F08AF" w:rsidRPr="00E43B72" w:rsidRDefault="00000000" w:rsidP="005C3DBE">
      <w:pPr>
        <w:numPr>
          <w:ilvl w:val="1"/>
          <w:numId w:val="6"/>
        </w:numPr>
        <w:spacing w:after="80"/>
        <w:ind w:left="1985" w:hanging="425"/>
        <w:rPr>
          <w:rFonts w:cs="Arial"/>
          <w:lang w:val="fr-FR"/>
        </w:rPr>
      </w:pPr>
      <w:r w:rsidRPr="00E43B72">
        <w:rPr>
          <w:rFonts w:cs="Arial"/>
          <w:lang w:val="fr-FR"/>
        </w:rPr>
        <w:t>créer des Groupes de travail nationaux composés de points focaux nationaux, de parties prenantes locales et de scientifiques, en particulier ceux qui participeront à la mise en œuvre des actions</w:t>
      </w:r>
      <w:r w:rsidR="00C421BB" w:rsidRPr="00E43B72">
        <w:rPr>
          <w:rFonts w:cs="Arial"/>
          <w:lang w:val="fr-FR"/>
        </w:rPr>
        <w:t> ;</w:t>
      </w:r>
    </w:p>
    <w:p w14:paraId="6B471658" w14:textId="1087F15D" w:rsidR="007F08AF" w:rsidRPr="00E43B72" w:rsidRDefault="00000000" w:rsidP="005C3DBE">
      <w:pPr>
        <w:widowControl w:val="0"/>
        <w:numPr>
          <w:ilvl w:val="1"/>
          <w:numId w:val="6"/>
        </w:numPr>
        <w:autoSpaceDE w:val="0"/>
        <w:autoSpaceDN w:val="0"/>
        <w:adjustRightInd w:val="0"/>
        <w:spacing w:after="80"/>
        <w:ind w:left="1985" w:hanging="425"/>
        <w:jc w:val="both"/>
        <w:rPr>
          <w:rFonts w:cs="Arial"/>
          <w:lang w:val="fr-FR"/>
        </w:rPr>
      </w:pPr>
      <w:r w:rsidRPr="00E43B72">
        <w:rPr>
          <w:rFonts w:cs="Arial"/>
          <w:lang w:val="fr-FR"/>
        </w:rPr>
        <w:t>soumettre, lorsqu</w:t>
      </w:r>
      <w:r w:rsidR="00C2697F" w:rsidRPr="00E43B72">
        <w:rPr>
          <w:rFonts w:cs="Arial"/>
          <w:lang w:val="fr-FR"/>
        </w:rPr>
        <w:t>’</w:t>
      </w:r>
      <w:r w:rsidRPr="00E43B72">
        <w:rPr>
          <w:rFonts w:cs="Arial"/>
          <w:lang w:val="fr-FR"/>
        </w:rPr>
        <w:t>une demande est formulée à cet effet, un rapport national de mise en œuvre, en utilisant le modèle de rapport fourni par le Secrétariat, une fois au cours de la période intersessions</w:t>
      </w:r>
      <w:r w:rsidR="00C421BB" w:rsidRPr="00E43B72">
        <w:rPr>
          <w:rFonts w:cs="Arial"/>
          <w:lang w:val="fr-FR"/>
        </w:rPr>
        <w:t> ;</w:t>
      </w:r>
    </w:p>
    <w:p w14:paraId="213119DE" w14:textId="6905C9D0" w:rsidR="007F08AF" w:rsidRPr="00E43B72" w:rsidRDefault="00000000" w:rsidP="005C3DBE">
      <w:pPr>
        <w:widowControl w:val="0"/>
        <w:numPr>
          <w:ilvl w:val="1"/>
          <w:numId w:val="6"/>
        </w:numPr>
        <w:autoSpaceDE w:val="0"/>
        <w:autoSpaceDN w:val="0"/>
        <w:adjustRightInd w:val="0"/>
        <w:ind w:left="1985" w:hanging="425"/>
        <w:jc w:val="both"/>
        <w:rPr>
          <w:rFonts w:cs="Arial"/>
          <w:lang w:val="fr-FR"/>
        </w:rPr>
      </w:pPr>
      <w:r w:rsidRPr="00E43B72">
        <w:rPr>
          <w:rFonts w:cs="Arial"/>
          <w:lang w:val="fr-FR"/>
        </w:rPr>
        <w:t xml:space="preserve">élaborer ou mettre à jour un plan de travail national axé sur les actions prioritaires pertinentes pour leur pays ou territoire, en accordant une attention particulière aux </w:t>
      </w:r>
      <w:r w:rsidRPr="00E43B72">
        <w:rPr>
          <w:lang w:val="fr-FR"/>
        </w:rPr>
        <w:t>actions essentielles et hautement prioritaires du Plan d</w:t>
      </w:r>
      <w:r w:rsidR="00C2697F" w:rsidRPr="00E43B72">
        <w:rPr>
          <w:lang w:val="fr-FR"/>
        </w:rPr>
        <w:t>’</w:t>
      </w:r>
      <w:r w:rsidRPr="00E43B72">
        <w:rPr>
          <w:lang w:val="fr-FR"/>
        </w:rPr>
        <w:t xml:space="preserve">action par espèce, </w:t>
      </w:r>
      <w:r w:rsidRPr="00E43B72">
        <w:rPr>
          <w:rFonts w:cs="Arial"/>
          <w:lang w:val="fr-FR"/>
        </w:rPr>
        <w:t xml:space="preserve">et commencer la mise en œuvre des </w:t>
      </w:r>
      <w:r w:rsidRPr="00E43B72">
        <w:rPr>
          <w:lang w:val="fr-FR"/>
        </w:rPr>
        <w:t>actions correspondantes de priorité moyenne</w:t>
      </w:r>
      <w:r w:rsidRPr="00E43B72">
        <w:rPr>
          <w:rFonts w:cs="Arial"/>
          <w:lang w:val="fr-FR"/>
        </w:rPr>
        <w:t>.</w:t>
      </w:r>
    </w:p>
    <w:p w14:paraId="46D2310D" w14:textId="548FDC16" w:rsidR="007F08AF" w:rsidRPr="00E43B72" w:rsidRDefault="00000000">
      <w:pPr>
        <w:jc w:val="both"/>
        <w:rPr>
          <w:rFonts w:cs="Arial"/>
          <w:b/>
          <w:i/>
          <w:lang w:val="fr-FR"/>
        </w:rPr>
      </w:pPr>
      <w:r w:rsidRPr="00E43B72">
        <w:rPr>
          <w:rFonts w:cs="Arial"/>
          <w:b/>
          <w:i/>
          <w:lang w:val="fr-FR"/>
        </w:rPr>
        <w:lastRenderedPageBreak/>
        <w:t>À l</w:t>
      </w:r>
      <w:r w:rsidR="00C2697F" w:rsidRPr="00E43B72">
        <w:rPr>
          <w:rFonts w:cs="Arial"/>
          <w:b/>
          <w:i/>
          <w:lang w:val="fr-FR"/>
        </w:rPr>
        <w:t>’</w:t>
      </w:r>
      <w:r w:rsidRPr="00E43B72">
        <w:rPr>
          <w:rFonts w:cs="Arial"/>
          <w:b/>
          <w:i/>
          <w:lang w:val="fr-FR"/>
        </w:rPr>
        <w:t>adresse des Parties [qui ne sont pas des États de l</w:t>
      </w:r>
      <w:r w:rsidR="00C2697F" w:rsidRPr="00E43B72">
        <w:rPr>
          <w:rFonts w:cs="Arial"/>
          <w:b/>
          <w:i/>
          <w:lang w:val="fr-FR"/>
        </w:rPr>
        <w:t>’</w:t>
      </w:r>
      <w:r w:rsidRPr="00E43B72">
        <w:rPr>
          <w:rFonts w:cs="Arial"/>
          <w:b/>
          <w:i/>
          <w:lang w:val="fr-FR"/>
        </w:rPr>
        <w:t>aire de répartition du Plan d</w:t>
      </w:r>
      <w:r w:rsidR="00C2697F" w:rsidRPr="00E43B72">
        <w:rPr>
          <w:rFonts w:cs="Arial"/>
          <w:b/>
          <w:i/>
          <w:lang w:val="fr-FR"/>
        </w:rPr>
        <w:t>’</w:t>
      </w:r>
      <w:r w:rsidRPr="00E43B72">
        <w:rPr>
          <w:rFonts w:cs="Arial"/>
          <w:b/>
          <w:i/>
          <w:lang w:val="fr-FR"/>
        </w:rPr>
        <w:t>action par espèce]</w:t>
      </w:r>
    </w:p>
    <w:p w14:paraId="08B09BAA" w14:textId="77777777" w:rsidR="007F08AF" w:rsidRPr="00E43B72" w:rsidRDefault="007F08AF">
      <w:pPr>
        <w:jc w:val="both"/>
        <w:rPr>
          <w:rFonts w:cs="Arial"/>
          <w:lang w:val="fr-FR"/>
        </w:rPr>
      </w:pPr>
    </w:p>
    <w:p w14:paraId="7A50775C" w14:textId="41EF911E" w:rsidR="007F08AF" w:rsidRPr="00E43B72" w:rsidRDefault="00000000" w:rsidP="009570D1">
      <w:pPr>
        <w:ind w:left="851" w:hanging="851"/>
        <w:jc w:val="both"/>
        <w:rPr>
          <w:rFonts w:cs="Arial"/>
          <w:b/>
          <w:i/>
          <w:lang w:val="fr-FR"/>
        </w:rPr>
      </w:pPr>
      <w:r w:rsidRPr="00E43B72">
        <w:rPr>
          <w:rFonts w:cs="Arial"/>
          <w:lang w:val="fr-FR"/>
        </w:rPr>
        <w:t>15.FF</w:t>
      </w:r>
      <w:r w:rsidRPr="00E43B72">
        <w:rPr>
          <w:rFonts w:cs="Arial"/>
          <w:lang w:val="fr-FR"/>
        </w:rPr>
        <w:tab/>
        <w:t>Les Parties qui ne sont pas des États de l</w:t>
      </w:r>
      <w:r w:rsidR="00C2697F" w:rsidRPr="00E43B72">
        <w:rPr>
          <w:rFonts w:cs="Arial"/>
          <w:lang w:val="fr-FR"/>
        </w:rPr>
        <w:t>’</w:t>
      </w:r>
      <w:r w:rsidRPr="00E43B72">
        <w:rPr>
          <w:rFonts w:cs="Arial"/>
          <w:lang w:val="fr-FR"/>
        </w:rPr>
        <w:t xml:space="preserve">aire de répartition sont priées de </w:t>
      </w:r>
      <w:r w:rsidRPr="00E43B72">
        <w:rPr>
          <w:rFonts w:cs="Arial"/>
          <w:iCs/>
          <w:lang w:val="fr-FR"/>
        </w:rPr>
        <w:t xml:space="preserve">fournir un appui technique </w:t>
      </w:r>
      <w:r w:rsidRPr="00E43B72">
        <w:rPr>
          <w:rFonts w:cs="Arial"/>
          <w:lang w:val="fr-FR"/>
        </w:rPr>
        <w:t xml:space="preserve">et en matière de renforcement des capacités </w:t>
      </w:r>
      <w:r w:rsidRPr="00E43B72">
        <w:rPr>
          <w:rFonts w:cs="Arial"/>
          <w:iCs/>
          <w:lang w:val="fr-FR"/>
        </w:rPr>
        <w:t>aux États de l</w:t>
      </w:r>
      <w:r w:rsidR="00C2697F" w:rsidRPr="00E43B72">
        <w:rPr>
          <w:rFonts w:cs="Arial"/>
          <w:iCs/>
          <w:lang w:val="fr-FR"/>
        </w:rPr>
        <w:t>’</w:t>
      </w:r>
      <w:r w:rsidRPr="00E43B72">
        <w:rPr>
          <w:rFonts w:cs="Arial"/>
          <w:iCs/>
          <w:lang w:val="fr-FR"/>
        </w:rPr>
        <w:t xml:space="preserve">aire de répartition </w:t>
      </w:r>
      <w:r w:rsidRPr="00E43B72">
        <w:rPr>
          <w:rFonts w:cs="Arial"/>
          <w:lang w:val="fr-FR"/>
        </w:rPr>
        <w:t xml:space="preserve">pour </w:t>
      </w:r>
      <w:r w:rsidRPr="00E43B72">
        <w:rPr>
          <w:rFonts w:cs="Arial"/>
          <w:iCs/>
          <w:lang w:val="fr-FR"/>
        </w:rPr>
        <w:t xml:space="preserve">la mise en œuvre des activités </w:t>
      </w:r>
      <w:r w:rsidRPr="00E43B72">
        <w:rPr>
          <w:rFonts w:cs="Arial"/>
          <w:lang w:val="fr-FR"/>
        </w:rPr>
        <w:t>décrites dans le plan d</w:t>
      </w:r>
      <w:r w:rsidR="00C2697F" w:rsidRPr="00E43B72">
        <w:rPr>
          <w:rFonts w:cs="Arial"/>
          <w:lang w:val="fr-FR"/>
        </w:rPr>
        <w:t>’</w:t>
      </w:r>
      <w:r w:rsidRPr="00E43B72">
        <w:rPr>
          <w:rFonts w:cs="Arial"/>
          <w:lang w:val="fr-FR"/>
        </w:rPr>
        <w:t>action.</w:t>
      </w:r>
    </w:p>
    <w:p w14:paraId="7C0003DF" w14:textId="61E158A6" w:rsidR="007F08AF" w:rsidRPr="00E43B72" w:rsidRDefault="007F08AF">
      <w:pPr>
        <w:jc w:val="both"/>
        <w:rPr>
          <w:rFonts w:cs="Arial"/>
          <w:bCs/>
          <w:iCs/>
          <w:lang w:val="fr-FR"/>
        </w:rPr>
      </w:pPr>
    </w:p>
    <w:p w14:paraId="27A1812B" w14:textId="53FCC8BB"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des organisations intergouvernementales et non gouvernementales</w:t>
      </w:r>
    </w:p>
    <w:p w14:paraId="79E50B89" w14:textId="77777777" w:rsidR="007F08AF" w:rsidRPr="00E43B72" w:rsidRDefault="007F08AF">
      <w:pPr>
        <w:jc w:val="both"/>
        <w:rPr>
          <w:rFonts w:cs="Arial"/>
          <w:lang w:val="fr-FR"/>
        </w:rPr>
      </w:pPr>
    </w:p>
    <w:p w14:paraId="62F87A75" w14:textId="53D401E0" w:rsidR="007F08AF" w:rsidRPr="00E43B72" w:rsidRDefault="00000000" w:rsidP="009570D1">
      <w:pPr>
        <w:ind w:left="851" w:hanging="851"/>
        <w:jc w:val="both"/>
        <w:rPr>
          <w:rFonts w:cs="Arial"/>
          <w:lang w:val="fr-FR"/>
        </w:rPr>
      </w:pPr>
      <w:r w:rsidRPr="00E43B72">
        <w:rPr>
          <w:rFonts w:cs="Arial"/>
          <w:lang w:val="fr-FR"/>
        </w:rPr>
        <w:t>15.GG</w:t>
      </w:r>
      <w:r w:rsidRPr="00E43B72">
        <w:rPr>
          <w:rFonts w:cs="Arial"/>
          <w:lang w:val="fr-FR"/>
        </w:rPr>
        <w:tab/>
        <w:t>Les organisations intergouvernementales et non gouvernementales sont encouragées à offrir un soutien financier et technique pour la mise en œuvre du Plan d</w:t>
      </w:r>
      <w:r w:rsidR="00C2697F" w:rsidRPr="00E43B72">
        <w:rPr>
          <w:rFonts w:cs="Arial"/>
          <w:lang w:val="fr-FR"/>
        </w:rPr>
        <w:t>’</w:t>
      </w:r>
      <w:r w:rsidRPr="00E43B72">
        <w:rPr>
          <w:rFonts w:cs="Arial"/>
          <w:lang w:val="fr-FR"/>
        </w:rPr>
        <w:t>action par espèce.</w:t>
      </w:r>
    </w:p>
    <w:p w14:paraId="717EC5B9" w14:textId="77777777" w:rsidR="007F08AF" w:rsidRPr="00E43B72" w:rsidRDefault="007F08AF">
      <w:pPr>
        <w:jc w:val="both"/>
        <w:rPr>
          <w:rFonts w:cs="Arial"/>
          <w:lang w:val="fr-FR"/>
        </w:rPr>
      </w:pPr>
    </w:p>
    <w:p w14:paraId="277447A4" w14:textId="7655DD02" w:rsidR="007F08AF" w:rsidRPr="00E43B72" w:rsidRDefault="00000000">
      <w:pPr>
        <w:jc w:val="both"/>
        <w:rPr>
          <w:rFonts w:cs="Arial"/>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du Conseil scientifique </w:t>
      </w:r>
    </w:p>
    <w:p w14:paraId="32ED14C1" w14:textId="77777777" w:rsidR="007F08AF" w:rsidRPr="00E43B72" w:rsidRDefault="007F08AF">
      <w:pPr>
        <w:jc w:val="both"/>
        <w:rPr>
          <w:rFonts w:cs="Arial"/>
          <w:lang w:val="fr-FR"/>
        </w:rPr>
      </w:pPr>
    </w:p>
    <w:p w14:paraId="4C41F01A" w14:textId="56539629" w:rsidR="007F08AF" w:rsidRPr="00E43B72" w:rsidRDefault="00000000" w:rsidP="009570D1">
      <w:pPr>
        <w:ind w:left="851" w:hanging="851"/>
        <w:jc w:val="both"/>
        <w:rPr>
          <w:rFonts w:cs="Arial"/>
          <w:lang w:val="fr-FR"/>
        </w:rPr>
      </w:pPr>
      <w:r w:rsidRPr="00E43B72">
        <w:rPr>
          <w:rFonts w:cs="Arial"/>
          <w:lang w:val="fr-FR"/>
        </w:rPr>
        <w:t>15.HH</w:t>
      </w:r>
      <w:r w:rsidRPr="00E43B72">
        <w:rPr>
          <w:rFonts w:cs="Arial"/>
          <w:lang w:val="fr-FR"/>
        </w:rPr>
        <w:tab/>
        <w:t>Le Conseil scientifique est invité à</w:t>
      </w:r>
      <w:r w:rsidR="00C421BB" w:rsidRPr="00E43B72">
        <w:rPr>
          <w:rFonts w:cs="Arial"/>
          <w:lang w:val="fr-FR"/>
        </w:rPr>
        <w:t> :</w:t>
      </w:r>
    </w:p>
    <w:p w14:paraId="18A4F3EF" w14:textId="77777777" w:rsidR="007F08AF" w:rsidRPr="00E43B72" w:rsidRDefault="007F08AF">
      <w:pPr>
        <w:ind w:left="720" w:hanging="720"/>
        <w:jc w:val="both"/>
        <w:rPr>
          <w:rFonts w:cs="Arial"/>
          <w:lang w:val="fr-FR"/>
        </w:rPr>
      </w:pPr>
    </w:p>
    <w:p w14:paraId="0B2ECD2D" w14:textId="1014FB34" w:rsidR="007F08AF" w:rsidRPr="00E43B72" w:rsidRDefault="00000000" w:rsidP="009570D1">
      <w:pPr>
        <w:pStyle w:val="ListParagraph"/>
        <w:numPr>
          <w:ilvl w:val="0"/>
          <w:numId w:val="9"/>
        </w:numPr>
        <w:ind w:left="1418" w:hanging="567"/>
        <w:contextualSpacing w:val="0"/>
        <w:rPr>
          <w:rFonts w:cs="Arial"/>
          <w:lang w:val="fr-FR"/>
        </w:rPr>
      </w:pPr>
      <w:r w:rsidRPr="00E43B72">
        <w:rPr>
          <w:rFonts w:cs="Arial"/>
          <w:lang w:val="fr-FR"/>
        </w:rPr>
        <w:t>examiner le rapport reçu du Groupe directeur sur la mise en œuvre du Plan d</w:t>
      </w:r>
      <w:r w:rsidR="00C2697F" w:rsidRPr="00E43B72">
        <w:rPr>
          <w:rFonts w:cs="Arial"/>
          <w:lang w:val="fr-FR"/>
        </w:rPr>
        <w:t>’</w:t>
      </w:r>
      <w:r w:rsidRPr="00E43B72">
        <w:rPr>
          <w:rFonts w:cs="Arial"/>
          <w:lang w:val="fr-FR"/>
        </w:rPr>
        <w:t>action</w:t>
      </w:r>
      <w:r w:rsidR="00C421BB" w:rsidRPr="00E43B72">
        <w:rPr>
          <w:rFonts w:cs="Arial"/>
          <w:lang w:val="fr-FR"/>
        </w:rPr>
        <w:t> ;</w:t>
      </w:r>
    </w:p>
    <w:p w14:paraId="1D81F76A" w14:textId="77777777" w:rsidR="007F08AF" w:rsidRPr="00E43B72" w:rsidRDefault="007F08AF" w:rsidP="009570D1">
      <w:pPr>
        <w:pStyle w:val="ListParagraph"/>
        <w:ind w:left="1418" w:hanging="567"/>
        <w:contextualSpacing w:val="0"/>
        <w:rPr>
          <w:rFonts w:cs="Arial"/>
          <w:lang w:val="fr-FR"/>
        </w:rPr>
      </w:pPr>
    </w:p>
    <w:p w14:paraId="1DFD5C9A" w14:textId="1A87F48B" w:rsidR="007F08AF" w:rsidRPr="00E43B72" w:rsidRDefault="00000000" w:rsidP="009570D1">
      <w:pPr>
        <w:pStyle w:val="ListParagraph"/>
        <w:numPr>
          <w:ilvl w:val="0"/>
          <w:numId w:val="9"/>
        </w:numPr>
        <w:ind w:left="1418" w:hanging="567"/>
        <w:contextualSpacing w:val="0"/>
        <w:rPr>
          <w:rFonts w:cs="Arial"/>
          <w:lang w:val="fr-FR"/>
        </w:rPr>
      </w:pPr>
      <w:r w:rsidRPr="00E43B72">
        <w:rPr>
          <w:rFonts w:cs="Arial"/>
          <w:lang w:val="fr-FR"/>
        </w:rPr>
        <w:t>formuler des recommandations sur la poursuite de la mise en œuvre du Plan d</w:t>
      </w:r>
      <w:r w:rsidR="00C2697F" w:rsidRPr="00E43B72">
        <w:rPr>
          <w:rFonts w:cs="Arial"/>
          <w:lang w:val="fr-FR"/>
        </w:rPr>
        <w:t>’</w:t>
      </w:r>
      <w:r w:rsidRPr="00E43B72">
        <w:rPr>
          <w:rFonts w:cs="Arial"/>
          <w:lang w:val="fr-FR"/>
        </w:rPr>
        <w:t>action à la COP16.</w:t>
      </w:r>
    </w:p>
    <w:p w14:paraId="03294BCA" w14:textId="77777777" w:rsidR="007F08AF" w:rsidRPr="00E43B72" w:rsidRDefault="007F08AF">
      <w:pPr>
        <w:jc w:val="both"/>
        <w:rPr>
          <w:rFonts w:cs="Arial"/>
          <w:b/>
          <w:i/>
          <w:lang w:val="fr-FR"/>
        </w:rPr>
      </w:pPr>
    </w:p>
    <w:p w14:paraId="624D3FF3" w14:textId="31C27051"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du Secrétariat</w:t>
      </w:r>
    </w:p>
    <w:p w14:paraId="489B36A1" w14:textId="77777777" w:rsidR="007F08AF" w:rsidRPr="00E43B72" w:rsidRDefault="007F08AF">
      <w:pPr>
        <w:jc w:val="both"/>
        <w:rPr>
          <w:rFonts w:cs="Arial"/>
          <w:lang w:val="fr-FR"/>
        </w:rPr>
      </w:pPr>
    </w:p>
    <w:p w14:paraId="058B97CF" w14:textId="2E609916" w:rsidR="007F08AF" w:rsidRPr="00E43B72" w:rsidRDefault="00000000" w:rsidP="009570D1">
      <w:pPr>
        <w:ind w:left="851" w:hanging="851"/>
        <w:jc w:val="both"/>
        <w:rPr>
          <w:rFonts w:cs="Arial"/>
          <w:iCs/>
          <w:lang w:val="fr-FR"/>
        </w:rPr>
      </w:pPr>
      <w:r w:rsidRPr="00E43B72">
        <w:rPr>
          <w:rFonts w:cs="Arial"/>
          <w:lang w:val="fr-FR"/>
        </w:rPr>
        <w:t>15.II</w:t>
      </w:r>
      <w:r w:rsidRPr="00E43B72">
        <w:rPr>
          <w:rFonts w:cs="Arial"/>
          <w:lang w:val="fr-FR"/>
        </w:rPr>
        <w:tab/>
        <w:t>Le Secrétariat, est prié, sous réserve de la disponibilité des ressources, de</w:t>
      </w:r>
      <w:r w:rsidR="00C421BB" w:rsidRPr="00E43B72">
        <w:rPr>
          <w:rFonts w:cs="Arial"/>
          <w:lang w:val="fr-FR"/>
        </w:rPr>
        <w:t> :</w:t>
      </w:r>
    </w:p>
    <w:p w14:paraId="574B8117" w14:textId="77777777" w:rsidR="007F08AF" w:rsidRPr="00E43B72" w:rsidRDefault="007F08AF">
      <w:pPr>
        <w:widowControl w:val="0"/>
        <w:autoSpaceDE w:val="0"/>
        <w:autoSpaceDN w:val="0"/>
        <w:adjustRightInd w:val="0"/>
        <w:jc w:val="both"/>
        <w:rPr>
          <w:rFonts w:cs="Arial"/>
          <w:lang w:val="fr-FR"/>
        </w:rPr>
      </w:pPr>
    </w:p>
    <w:p w14:paraId="06A44599" w14:textId="5F2B3F44"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encourager les États de l</w:t>
      </w:r>
      <w:r w:rsidR="00C2697F" w:rsidRPr="00E43B72">
        <w:rPr>
          <w:rFonts w:cs="Arial"/>
          <w:lang w:val="fr-FR"/>
        </w:rPr>
        <w:t>’</w:t>
      </w:r>
      <w:r w:rsidRPr="00E43B72">
        <w:rPr>
          <w:rFonts w:cs="Arial"/>
          <w:lang w:val="fr-FR"/>
        </w:rPr>
        <w:t>aire de répartition non-Parties à adopter le Plan d</w:t>
      </w:r>
      <w:r w:rsidR="00C2697F" w:rsidRPr="00E43B72">
        <w:rPr>
          <w:rFonts w:cs="Arial"/>
          <w:lang w:val="fr-FR"/>
        </w:rPr>
        <w:t>’</w:t>
      </w:r>
      <w:r w:rsidRPr="00E43B72">
        <w:rPr>
          <w:rFonts w:cs="Arial"/>
          <w:lang w:val="fr-FR"/>
        </w:rPr>
        <w:t>action par espèce pour leur usage</w:t>
      </w:r>
      <w:r w:rsidR="00C421BB" w:rsidRPr="00E43B72">
        <w:rPr>
          <w:rFonts w:cs="Arial"/>
          <w:lang w:val="fr-FR"/>
        </w:rPr>
        <w:t> ;</w:t>
      </w:r>
    </w:p>
    <w:p w14:paraId="670EA3D2" w14:textId="77777777" w:rsidR="007F08AF" w:rsidRPr="00E43B72" w:rsidRDefault="007F08AF" w:rsidP="009570D1">
      <w:pPr>
        <w:widowControl w:val="0"/>
        <w:autoSpaceDE w:val="0"/>
        <w:autoSpaceDN w:val="0"/>
        <w:adjustRightInd w:val="0"/>
        <w:ind w:left="1418" w:hanging="567"/>
        <w:jc w:val="both"/>
        <w:rPr>
          <w:rFonts w:cs="Arial"/>
          <w:lang w:val="fr-FR"/>
        </w:rPr>
      </w:pPr>
    </w:p>
    <w:p w14:paraId="37AF93B2" w14:textId="0978D0DF"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soutenir les États qui ont adopté le Plan d</w:t>
      </w:r>
      <w:r w:rsidR="00C2697F" w:rsidRPr="00E43B72">
        <w:rPr>
          <w:rFonts w:cs="Arial"/>
          <w:lang w:val="fr-FR"/>
        </w:rPr>
        <w:t>’</w:t>
      </w:r>
      <w:r w:rsidRPr="00E43B72">
        <w:rPr>
          <w:rFonts w:cs="Arial"/>
          <w:lang w:val="fr-FR"/>
        </w:rPr>
        <w:t>action dans sa mise en œuvre en facilitant les réunions du Groupe directeur à des intervalles établis par ce groupe</w:t>
      </w:r>
      <w:r w:rsidR="00C421BB" w:rsidRPr="00E43B72">
        <w:rPr>
          <w:rFonts w:cs="Arial"/>
          <w:lang w:val="fr-FR"/>
        </w:rPr>
        <w:t> ;</w:t>
      </w:r>
    </w:p>
    <w:p w14:paraId="65C1D66C" w14:textId="77777777" w:rsidR="007F08AF" w:rsidRPr="00E43B72" w:rsidRDefault="007F08AF" w:rsidP="009570D1">
      <w:pPr>
        <w:widowControl w:val="0"/>
        <w:autoSpaceDE w:val="0"/>
        <w:autoSpaceDN w:val="0"/>
        <w:adjustRightInd w:val="0"/>
        <w:ind w:left="1418" w:hanging="567"/>
        <w:jc w:val="both"/>
        <w:rPr>
          <w:rFonts w:cs="Arial"/>
          <w:lang w:val="fr-FR"/>
        </w:rPr>
      </w:pPr>
    </w:p>
    <w:p w14:paraId="584BE75E" w14:textId="226D79FD"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demander aux États de l</w:t>
      </w:r>
      <w:r w:rsidR="00C2697F" w:rsidRPr="00E43B72">
        <w:rPr>
          <w:rFonts w:cs="Arial"/>
          <w:lang w:val="fr-FR"/>
        </w:rPr>
        <w:t>’</w:t>
      </w:r>
      <w:r w:rsidRPr="00E43B72">
        <w:rPr>
          <w:rFonts w:cs="Arial"/>
          <w:lang w:val="fr-FR"/>
        </w:rPr>
        <w:t>aire de répartition des rapports nationaux de mise en œuvre, compiler les informations reçues et aider le Groupe directeur à examiner et à analyser ces réponses afin d</w:t>
      </w:r>
      <w:r w:rsidR="00C2697F" w:rsidRPr="00E43B72">
        <w:rPr>
          <w:rFonts w:cs="Arial"/>
          <w:lang w:val="fr-FR"/>
        </w:rPr>
        <w:t>’</w:t>
      </w:r>
      <w:r w:rsidRPr="00E43B72">
        <w:rPr>
          <w:rFonts w:cs="Arial"/>
          <w:lang w:val="fr-FR"/>
        </w:rPr>
        <w:t>évaluer les progrès accomplis dans la mise en œuvre du plan d</w:t>
      </w:r>
      <w:r w:rsidR="00C2697F" w:rsidRPr="00E43B72">
        <w:rPr>
          <w:rFonts w:cs="Arial"/>
          <w:lang w:val="fr-FR"/>
        </w:rPr>
        <w:t>’</w:t>
      </w:r>
      <w:r w:rsidRPr="00E43B72">
        <w:rPr>
          <w:rFonts w:cs="Arial"/>
          <w:lang w:val="fr-FR"/>
        </w:rPr>
        <w:t>action.</w:t>
      </w:r>
    </w:p>
    <w:p w14:paraId="72F7DDD5" w14:textId="77777777" w:rsidR="007F08AF" w:rsidRPr="00E43B72" w:rsidRDefault="007F08AF">
      <w:pPr>
        <w:widowControl w:val="0"/>
        <w:autoSpaceDE w:val="0"/>
        <w:autoSpaceDN w:val="0"/>
        <w:adjustRightInd w:val="0"/>
        <w:jc w:val="both"/>
        <w:rPr>
          <w:rFonts w:cs="Arial"/>
          <w:lang w:val="fr-FR"/>
        </w:rPr>
      </w:pPr>
    </w:p>
    <w:sectPr w:rsidR="007F08AF" w:rsidRPr="00E43B72">
      <w:headerReference w:type="even" r:id="rId67"/>
      <w:headerReference w:type="default" r:id="rId68"/>
      <w:headerReference w:type="first" r:id="rId6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BD1D" w14:textId="77777777" w:rsidR="00A875FA" w:rsidRDefault="00A875FA">
      <w:r>
        <w:rPr>
          <w:lang w:val="fr-FR"/>
        </w:rPr>
        <w:separator/>
      </w:r>
    </w:p>
  </w:endnote>
  <w:endnote w:type="continuationSeparator" w:id="0">
    <w:p w14:paraId="4FA5E4A7" w14:textId="77777777" w:rsidR="00A875FA" w:rsidRDefault="00A875FA">
      <w:r>
        <w:rPr>
          <w:lang w:val="fr-FR"/>
        </w:rPr>
        <w:continuationSeparator/>
      </w:r>
    </w:p>
  </w:endnote>
  <w:endnote w:type="continuationNotice" w:id="1">
    <w:p w14:paraId="38855091" w14:textId="77777777" w:rsidR="00A875FA" w:rsidRDefault="00A87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23723"/>
      <w:docPartObj>
        <w:docPartGallery w:val="Page Numbers (Bottom of Page)"/>
        <w:docPartUnique/>
      </w:docPartObj>
    </w:sdtPr>
    <w:sdtEndPr>
      <w:rPr>
        <w:noProof/>
        <w:sz w:val="18"/>
        <w:szCs w:val="18"/>
      </w:rPr>
    </w:sdtEndPr>
    <w:sdtContent>
      <w:p w14:paraId="0B754F1F" w14:textId="1CCC3AF7" w:rsidR="002639AB" w:rsidRPr="002639AB" w:rsidRDefault="002639AB">
        <w:pPr>
          <w:pStyle w:val="Footer"/>
          <w:jc w:val="center"/>
          <w:rPr>
            <w:sz w:val="18"/>
            <w:szCs w:val="18"/>
          </w:rPr>
        </w:pPr>
        <w:r w:rsidRPr="002639AB">
          <w:rPr>
            <w:sz w:val="18"/>
            <w:szCs w:val="18"/>
          </w:rPr>
          <w:fldChar w:fldCharType="begin"/>
        </w:r>
        <w:r w:rsidRPr="002639AB">
          <w:rPr>
            <w:sz w:val="18"/>
            <w:szCs w:val="18"/>
          </w:rPr>
          <w:instrText xml:space="preserve"> PAGE   \* MERGEFORMAT </w:instrText>
        </w:r>
        <w:r w:rsidRPr="002639AB">
          <w:rPr>
            <w:sz w:val="18"/>
            <w:szCs w:val="18"/>
          </w:rPr>
          <w:fldChar w:fldCharType="separate"/>
        </w:r>
        <w:r w:rsidRPr="002639AB">
          <w:rPr>
            <w:noProof/>
            <w:sz w:val="18"/>
            <w:szCs w:val="18"/>
          </w:rPr>
          <w:t>2</w:t>
        </w:r>
        <w:r w:rsidRPr="002639A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24297"/>
      <w:docPartObj>
        <w:docPartGallery w:val="Page Numbers (Bottom of Page)"/>
        <w:docPartUnique/>
      </w:docPartObj>
    </w:sdtPr>
    <w:sdtEndPr>
      <w:rPr>
        <w:noProof/>
      </w:rPr>
    </w:sdtEndPr>
    <w:sdtContent>
      <w:p w14:paraId="64FF23FF" w14:textId="1CB25875" w:rsidR="00E32765" w:rsidRPr="00E32765" w:rsidRDefault="00E32765" w:rsidP="00E32765">
        <w:pPr>
          <w:pStyle w:val="Footer"/>
          <w:jc w:val="center"/>
          <w:rPr>
            <w:sz w:val="18"/>
            <w:szCs w:val="18"/>
          </w:rPr>
        </w:pPr>
        <w:r w:rsidRPr="00E32765">
          <w:rPr>
            <w:sz w:val="18"/>
            <w:szCs w:val="18"/>
          </w:rPr>
          <w:fldChar w:fldCharType="begin"/>
        </w:r>
        <w:r w:rsidRPr="00E32765">
          <w:rPr>
            <w:sz w:val="18"/>
            <w:szCs w:val="18"/>
          </w:rPr>
          <w:instrText xml:space="preserve"> PAGE   \* MERGEFORMAT </w:instrText>
        </w:r>
        <w:r w:rsidRPr="00E32765">
          <w:rPr>
            <w:sz w:val="18"/>
            <w:szCs w:val="18"/>
          </w:rPr>
          <w:fldChar w:fldCharType="separate"/>
        </w:r>
        <w:r w:rsidRPr="00E32765">
          <w:rPr>
            <w:noProof/>
            <w:sz w:val="18"/>
            <w:szCs w:val="18"/>
          </w:rPr>
          <w:t>2</w:t>
        </w:r>
        <w:r w:rsidRPr="00E3276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265D" w14:textId="77777777" w:rsidR="00A875FA" w:rsidRDefault="00A875FA">
      <w:r>
        <w:rPr>
          <w:lang w:val="fr-FR"/>
        </w:rPr>
        <w:separator/>
      </w:r>
    </w:p>
  </w:footnote>
  <w:footnote w:type="continuationSeparator" w:id="0">
    <w:p w14:paraId="627BB336" w14:textId="77777777" w:rsidR="00A875FA" w:rsidRDefault="00A875FA">
      <w:r>
        <w:rPr>
          <w:lang w:val="fr-FR"/>
        </w:rPr>
        <w:continuationSeparator/>
      </w:r>
    </w:p>
  </w:footnote>
  <w:footnote w:type="continuationNotice" w:id="1">
    <w:p w14:paraId="42811E42" w14:textId="77777777" w:rsidR="00A875FA" w:rsidRDefault="00A875FA"/>
  </w:footnote>
  <w:footnote w:id="2">
    <w:p w14:paraId="548B0D45" w14:textId="1BF79127" w:rsidR="007F08AF" w:rsidRDefault="00000000">
      <w:pPr>
        <w:pStyle w:val="FootnoteText"/>
        <w:jc w:val="both"/>
        <w:rPr>
          <w:lang w:val="fr-FR"/>
        </w:rPr>
      </w:pPr>
      <w:r>
        <w:rPr>
          <w:rStyle w:val="FootnoteReference"/>
          <w:sz w:val="16"/>
          <w:szCs w:val="16"/>
          <w:lang w:val="fr-FR"/>
        </w:rPr>
        <w:footnoteRef/>
      </w:r>
      <w:r>
        <w:rPr>
          <w:b/>
          <w:bCs/>
          <w:sz w:val="16"/>
          <w:szCs w:val="16"/>
          <w:lang w:val="fr-FR"/>
        </w:rPr>
        <w:t xml:space="preserve"> </w:t>
      </w:r>
      <w:r>
        <w:rPr>
          <w:sz w:val="16"/>
          <w:szCs w:val="16"/>
          <w:lang w:val="fr-FR"/>
        </w:rPr>
        <w:t>Liste des États de l</w:t>
      </w:r>
      <w:r w:rsidR="00C2697F">
        <w:rPr>
          <w:sz w:val="16"/>
          <w:szCs w:val="16"/>
          <w:lang w:val="fr-FR"/>
        </w:rPr>
        <w:t>’</w:t>
      </w:r>
      <w:r>
        <w:rPr>
          <w:sz w:val="16"/>
          <w:szCs w:val="16"/>
          <w:lang w:val="fr-FR"/>
        </w:rPr>
        <w:t>aire de répartition</w:t>
      </w:r>
      <w:r w:rsidR="00C1110D">
        <w:rPr>
          <w:sz w:val="16"/>
          <w:szCs w:val="16"/>
          <w:lang w:val="fr-FR"/>
        </w:rPr>
        <w:t> </w:t>
      </w:r>
      <w:r>
        <w:rPr>
          <w:sz w:val="16"/>
          <w:szCs w:val="16"/>
          <w:lang w:val="fr-FR"/>
        </w:rPr>
        <w:t>: (pays ayant présenté un rapport en gras)</w:t>
      </w:r>
      <w:r w:rsidR="00C1110D">
        <w:rPr>
          <w:sz w:val="16"/>
          <w:szCs w:val="16"/>
          <w:lang w:val="fr-FR"/>
        </w:rPr>
        <w:t> </w:t>
      </w:r>
      <w:r>
        <w:rPr>
          <w:sz w:val="16"/>
          <w:szCs w:val="16"/>
          <w:lang w:val="fr-FR"/>
        </w:rPr>
        <w:t xml:space="preserve">: </w:t>
      </w:r>
      <w:r>
        <w:rPr>
          <w:b/>
          <w:bCs/>
          <w:sz w:val="16"/>
          <w:szCs w:val="16"/>
          <w:lang w:val="fr-FR"/>
        </w:rPr>
        <w:t>Australie</w:t>
      </w:r>
      <w:r>
        <w:rPr>
          <w:sz w:val="16"/>
          <w:szCs w:val="16"/>
          <w:lang w:val="fr-FR"/>
        </w:rPr>
        <w:t xml:space="preserve">, Brunei Darussalam, </w:t>
      </w:r>
      <w:r>
        <w:rPr>
          <w:b/>
          <w:bCs/>
          <w:sz w:val="16"/>
          <w:szCs w:val="16"/>
          <w:lang w:val="fr-FR"/>
        </w:rPr>
        <w:t>Cambodge</w:t>
      </w:r>
      <w:r>
        <w:rPr>
          <w:sz w:val="16"/>
          <w:szCs w:val="16"/>
          <w:lang w:val="fr-FR"/>
        </w:rPr>
        <w:t xml:space="preserve">, Chine (Hong Kong et Taïwan), Îles Cook, États fédérés de Micronésie, </w:t>
      </w:r>
      <w:r>
        <w:rPr>
          <w:b/>
          <w:bCs/>
          <w:sz w:val="16"/>
          <w:szCs w:val="16"/>
          <w:lang w:val="fr-FR"/>
        </w:rPr>
        <w:t>Fidji</w:t>
      </w:r>
      <w:r>
        <w:rPr>
          <w:sz w:val="16"/>
          <w:szCs w:val="16"/>
          <w:lang w:val="fr-FR"/>
        </w:rPr>
        <w:t xml:space="preserve">, France (Polynésie française, Nouvelle-Calédonie, Wallis-et-Futuna), Indonésie, Japon, Kiribati, République démocratique populaire lao, </w:t>
      </w:r>
      <w:r>
        <w:rPr>
          <w:b/>
          <w:bCs/>
          <w:sz w:val="16"/>
          <w:szCs w:val="16"/>
          <w:lang w:val="fr-FR"/>
        </w:rPr>
        <w:t>Malaisie</w:t>
      </w:r>
      <w:r>
        <w:rPr>
          <w:sz w:val="16"/>
          <w:szCs w:val="16"/>
          <w:lang w:val="fr-FR"/>
        </w:rPr>
        <w:t xml:space="preserve">, Îles Marshall, Myanmar, Nauru, </w:t>
      </w:r>
      <w:r>
        <w:rPr>
          <w:b/>
          <w:bCs/>
          <w:sz w:val="16"/>
          <w:szCs w:val="16"/>
          <w:lang w:val="fr-FR"/>
        </w:rPr>
        <w:t>Nouvelle-Zélande</w:t>
      </w:r>
      <w:r>
        <w:rPr>
          <w:sz w:val="16"/>
          <w:szCs w:val="16"/>
          <w:lang w:val="fr-FR"/>
        </w:rPr>
        <w:t xml:space="preserve">, Nioué, Palaos, Papouasie-Nouvelle-Guinée, </w:t>
      </w:r>
      <w:r>
        <w:rPr>
          <w:b/>
          <w:bCs/>
          <w:sz w:val="16"/>
          <w:szCs w:val="16"/>
          <w:lang w:val="fr-FR"/>
        </w:rPr>
        <w:t>Philippines</w:t>
      </w:r>
      <w:r>
        <w:rPr>
          <w:sz w:val="16"/>
          <w:szCs w:val="16"/>
          <w:lang w:val="fr-FR"/>
        </w:rPr>
        <w:t xml:space="preserve">, République de Corée, Samoa, Singapour, Îles Salomon, </w:t>
      </w:r>
      <w:r>
        <w:rPr>
          <w:b/>
          <w:bCs/>
          <w:sz w:val="16"/>
          <w:szCs w:val="16"/>
          <w:lang w:val="fr-FR"/>
        </w:rPr>
        <w:t>Thaïlande</w:t>
      </w:r>
      <w:r>
        <w:rPr>
          <w:sz w:val="16"/>
          <w:szCs w:val="16"/>
          <w:lang w:val="fr-FR"/>
        </w:rPr>
        <w:t xml:space="preserve">, Timor-Leste, Tokélaou, Tonga, Tuvalu, </w:t>
      </w:r>
      <w:r>
        <w:rPr>
          <w:b/>
          <w:bCs/>
          <w:sz w:val="16"/>
          <w:szCs w:val="16"/>
          <w:lang w:val="fr-FR"/>
        </w:rPr>
        <w:t>États-Unis</w:t>
      </w:r>
      <w:r>
        <w:rPr>
          <w:sz w:val="16"/>
          <w:szCs w:val="16"/>
          <w:lang w:val="fr-FR"/>
        </w:rPr>
        <w:t xml:space="preserve"> (Amérique, Samoa américaines, Guam, Hawaï, Mariannes du Nord), Vanuatu, Viet 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F91E" w14:textId="36D5FFB8"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UNEP/CMS/COP15/Doc.25.5/Annex</w:t>
    </w:r>
    <w:r w:rsidR="005A7158">
      <w:rPr>
        <w:rFonts w:cs="Arial"/>
        <w:i/>
        <w:sz w:val="18"/>
        <w:szCs w:val="18"/>
        <w:lang w:val="en-PH"/>
      </w:rPr>
      <w:t>e</w:t>
    </w:r>
    <w:r>
      <w:rPr>
        <w:rFonts w:cs="Arial"/>
        <w:i/>
        <w:sz w:val="18"/>
        <w:szCs w:val="18"/>
        <w:lang w:val="en-PH"/>
      </w:rPr>
      <w:t xml:space="preserve"> 2</w:t>
    </w:r>
  </w:p>
  <w:p w14:paraId="2051AA99" w14:textId="77777777" w:rsidR="007F08AF" w:rsidRDefault="007F08AF">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147" w14:textId="4AC006D7"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A7158">
      <w:rPr>
        <w:rFonts w:eastAsia="Times New Roman" w:cs="Arial"/>
        <w:i/>
        <w:sz w:val="18"/>
        <w:szCs w:val="18"/>
      </w:rPr>
      <w:t>e</w:t>
    </w:r>
    <w:r>
      <w:rPr>
        <w:rFonts w:eastAsia="Times New Roman" w:cs="Arial"/>
        <w:i/>
        <w:sz w:val="18"/>
        <w:szCs w:val="18"/>
      </w:rPr>
      <w:t xml:space="preserv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653" w14:textId="3E7C04EE" w:rsidR="002F7A02" w:rsidRPr="002E0DE9" w:rsidRDefault="002F7A02" w:rsidP="005A7158">
    <w:pPr>
      <w:pStyle w:val="Header"/>
      <w:pBdr>
        <w:bottom w:val="single" w:sz="4" w:space="1" w:color="auto"/>
      </w:pBdr>
      <w:jc w:val="right"/>
      <w:rPr>
        <w:rFonts w:ascii="Calibri" w:eastAsia="Calibri" w:hAnsi="Calibri" w:cs="Times New Roman"/>
      </w:rPr>
    </w:pPr>
    <w:r w:rsidRPr="00CE7555">
      <w:rPr>
        <w:rFonts w:cs="Arial"/>
        <w:i/>
        <w:sz w:val="18"/>
        <w:szCs w:val="18"/>
        <w:lang w:val="en-PH"/>
      </w:rPr>
      <w:t>UNEP/CMS/COP15/Doc.25.5/Annex</w:t>
    </w:r>
    <w:r w:rsidR="005A7158">
      <w:rPr>
        <w:rFonts w:cs="Arial"/>
        <w:i/>
        <w:sz w:val="18"/>
        <w:szCs w:val="18"/>
        <w:lang w:val="en-PH"/>
      </w:rPr>
      <w:t>e</w:t>
    </w:r>
    <w:r w:rsidRPr="00CE7555">
      <w:rPr>
        <w:rFonts w:cs="Arial"/>
        <w:i/>
        <w:sz w:val="18"/>
        <w:szCs w:val="18"/>
        <w:lang w:val="en-PH"/>
      </w:rPr>
      <w:t xml:space="preserv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2B0" w14:textId="77777777"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UNEP/CMS/COP15/Doc.25.5/Annex 3</w:t>
    </w:r>
  </w:p>
  <w:p w14:paraId="1D12C62F" w14:textId="77777777" w:rsidR="007F08AF" w:rsidRDefault="007F08AF">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294" w14:textId="43D633DA"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 xml:space="preserve">25.5/Annex </w:t>
    </w:r>
    <w:r w:rsidR="00AE0F93">
      <w:rPr>
        <w:rFonts w:eastAsia="Times New Roman" w:cs="Arial"/>
        <w:i/>
        <w:sz w:val="18"/>
        <w:szCs w:val="18"/>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4290" w14:textId="7A711808" w:rsidR="002F7A02" w:rsidRPr="002E0DE9" w:rsidRDefault="002F7A02" w:rsidP="002F7A02">
    <w:pPr>
      <w:pStyle w:val="Header"/>
      <w:pBdr>
        <w:bottom w:val="single" w:sz="4" w:space="1" w:color="auto"/>
      </w:pBdr>
      <w:jc w:val="right"/>
      <w:rPr>
        <w:rFonts w:ascii="Calibri" w:eastAsia="Calibri" w:hAnsi="Calibri" w:cs="Times New Roman"/>
      </w:rPr>
    </w:pPr>
    <w:r w:rsidRPr="00CE7555">
      <w:rPr>
        <w:rFonts w:cs="Arial"/>
        <w:i/>
        <w:sz w:val="18"/>
        <w:szCs w:val="18"/>
        <w:lang w:val="en-PH"/>
      </w:rPr>
      <w:t>UNEP/CMS/COP15/Doc.25.5/Annex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FE5D" w14:textId="52BE7635"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UNEP/CMS/COP15/Doc.25.5/Annex</w:t>
    </w:r>
    <w:r w:rsidR="009570D1">
      <w:rPr>
        <w:rFonts w:cs="Arial"/>
        <w:i/>
        <w:sz w:val="18"/>
        <w:szCs w:val="18"/>
        <w:lang w:val="en-PH"/>
      </w:rPr>
      <w:t>e</w:t>
    </w:r>
    <w:r>
      <w:rPr>
        <w:rFonts w:cs="Arial"/>
        <w:i/>
        <w:sz w:val="18"/>
        <w:szCs w:val="18"/>
        <w:lang w:val="en-PH"/>
      </w:rPr>
      <w:t xml:space="preserve"> 4</w:t>
    </w:r>
  </w:p>
  <w:p w14:paraId="0FF51240" w14:textId="77777777" w:rsidR="007F08AF" w:rsidRDefault="007F08AF">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AD6" w14:textId="1AC0FD2E" w:rsidR="00AE0F93" w:rsidRPr="002E0DE9" w:rsidRDefault="00AE0F93"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C3DBE">
      <w:rPr>
        <w:rFonts w:eastAsia="Times New Roman" w:cs="Arial"/>
        <w:i/>
        <w:sz w:val="18"/>
        <w:szCs w:val="18"/>
      </w:rPr>
      <w:t>e</w:t>
    </w:r>
    <w:r>
      <w:rPr>
        <w:rFonts w:eastAsia="Times New Roman" w:cs="Arial"/>
        <w:i/>
        <w:sz w:val="18"/>
        <w:szCs w:val="18"/>
      </w:rPr>
      <w:t xml:space="preserve">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3CF" w14:textId="06FF1C93" w:rsidR="002F7A02" w:rsidRPr="002E0DE9" w:rsidRDefault="002F7A02" w:rsidP="002F7A02">
    <w:pPr>
      <w:pStyle w:val="Header"/>
      <w:pBdr>
        <w:bottom w:val="single" w:sz="4" w:space="1" w:color="auto"/>
      </w:pBdr>
      <w:rPr>
        <w:rFonts w:ascii="Calibri" w:eastAsia="Calibri" w:hAnsi="Calibri" w:cs="Times New Roman"/>
      </w:rPr>
    </w:pPr>
    <w:r w:rsidRPr="00CE7555">
      <w:rPr>
        <w:rFonts w:cs="Arial"/>
        <w:i/>
        <w:sz w:val="18"/>
        <w:szCs w:val="18"/>
        <w:lang w:val="en-PH"/>
      </w:rPr>
      <w:t>UNEP/CMS/COP15/Doc.25.5/Annex</w:t>
    </w:r>
    <w:r w:rsidR="005C3DBE">
      <w:rPr>
        <w:rFonts w:cs="Arial"/>
        <w:i/>
        <w:sz w:val="18"/>
        <w:szCs w:val="18"/>
        <w:lang w:val="en-PH"/>
      </w:rPr>
      <w:t>e</w:t>
    </w:r>
    <w:r w:rsidRPr="00CE7555">
      <w:rPr>
        <w:rFonts w:cs="Arial"/>
        <w:i/>
        <w:sz w:val="18"/>
        <w:szCs w:val="18"/>
        <w:lang w:val="en-PH"/>
      </w:rPr>
      <w:t xml:space="preserv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58E706B8" w:rsidR="002E0DE9" w:rsidRPr="002E0DE9" w:rsidRDefault="002E0DE9" w:rsidP="00982EA8">
    <w:pPr>
      <w:pStyle w:val="Header"/>
      <w:pBdr>
        <w:bottom w:val="single" w:sz="4" w:space="1" w:color="auto"/>
      </w:pBdr>
      <w:rPr>
        <w:i/>
        <w:sz w:val="18"/>
        <w:szCs w:val="18"/>
      </w:rPr>
    </w:pPr>
    <w:r w:rsidRPr="002E0DE9">
      <w:rPr>
        <w:rFonts w:eastAsia="Times New Roman" w:cs="Arial"/>
        <w:i/>
        <w:sz w:val="18"/>
        <w:szCs w:val="18"/>
      </w:rPr>
      <w:t>UNEP/CMS/COP1</w:t>
    </w:r>
    <w:r w:rsidR="00DC38BB">
      <w:rPr>
        <w:rFonts w:eastAsia="Times New Roman" w:cs="Arial"/>
        <w:i/>
        <w:sz w:val="18"/>
        <w:szCs w:val="18"/>
      </w:rPr>
      <w:t>5</w:t>
    </w:r>
    <w:r w:rsidRPr="002E0DE9">
      <w:rPr>
        <w:rFonts w:eastAsia="Times New Roman" w:cs="Arial"/>
        <w:i/>
        <w:sz w:val="18"/>
        <w:szCs w:val="18"/>
      </w:rPr>
      <w:t>/Doc.</w:t>
    </w:r>
    <w:r w:rsidR="00F60118">
      <w:rPr>
        <w:rFonts w:eastAsia="Times New Roman" w:cs="Arial"/>
        <w:i/>
        <w:sz w:val="18"/>
        <w:szCs w:val="18"/>
      </w:rPr>
      <w:t>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5EC7" w14:textId="77777777" w:rsidR="00754BB0" w:rsidRPr="00FF59D5" w:rsidRDefault="00754BB0" w:rsidP="00754BB0">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bookmarkStart w:id="6" w:name="_Hlk208560916"/>
    <w:bookmarkStart w:id="7" w:name="_Hlk208560917"/>
    <w:r>
      <w:rPr>
        <w:noProof/>
      </w:rPr>
      <w:drawing>
        <wp:anchor distT="0" distB="0" distL="114300" distR="114300" simplePos="0" relativeHeight="251658242" behindDoc="0" locked="0" layoutInCell="1" allowOverlap="1" wp14:anchorId="34F1FA12" wp14:editId="42134F1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79CE1B4A" wp14:editId="72F9E25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776CF234" wp14:editId="2994A390">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6"/>
    <w:bookmarkEnd w:id="7"/>
  </w:p>
  <w:p w14:paraId="39889752" w14:textId="77777777" w:rsidR="007F08AF" w:rsidRDefault="007F08AF">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203C" w14:textId="77777777" w:rsidR="007F08AF" w:rsidRDefault="00000000">
    <w:pPr>
      <w:pStyle w:val="Header"/>
      <w:pBdr>
        <w:bottom w:val="single" w:sz="4" w:space="1" w:color="auto"/>
      </w:pBdr>
      <w:rPr>
        <w:rFonts w:cs="Arial"/>
        <w:i/>
        <w:sz w:val="18"/>
        <w:szCs w:val="18"/>
        <w:lang w:val="de-DE"/>
      </w:rPr>
    </w:pPr>
    <w:r>
      <w:rPr>
        <w:rFonts w:cs="Arial"/>
        <w:i/>
        <w:sz w:val="18"/>
        <w:szCs w:val="18"/>
        <w:lang w:val="de-DE"/>
      </w:rPr>
      <w:t>UNEP/CMS/COP15/Doc.25.5</w:t>
    </w:r>
  </w:p>
  <w:p w14:paraId="41856847" w14:textId="77777777" w:rsidR="007F08AF" w:rsidRDefault="007F08AF">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DAD1" w14:textId="77777777"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E1F78E9" w:rsidR="00371DE1" w:rsidRPr="002E0DE9" w:rsidRDefault="00371DE1" w:rsidP="00BE2E1F">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517B" w14:textId="3D22D89F"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UNEP/CMS/COP15/Doc.25.5/Annex</w:t>
    </w:r>
    <w:r w:rsidR="005A7158">
      <w:rPr>
        <w:rFonts w:cs="Arial"/>
        <w:i/>
        <w:sz w:val="18"/>
        <w:szCs w:val="18"/>
        <w:lang w:val="en-PH"/>
      </w:rPr>
      <w:t>e</w:t>
    </w:r>
    <w:r>
      <w:rPr>
        <w:rFonts w:cs="Arial"/>
        <w:i/>
        <w:sz w:val="18"/>
        <w:szCs w:val="18"/>
        <w:lang w:val="en-PH"/>
      </w:rPr>
      <w:t xml:space="preserve"> 1</w:t>
    </w:r>
  </w:p>
  <w:p w14:paraId="244BD5E5" w14:textId="77777777" w:rsidR="007F08AF" w:rsidRDefault="007F08AF">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1355" w14:textId="14954272"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A7158">
      <w:rPr>
        <w:rFonts w:eastAsia="Times New Roman" w:cs="Arial"/>
        <w:i/>
        <w:sz w:val="18"/>
        <w:szCs w:val="18"/>
      </w:rPr>
      <w:t>e</w:t>
    </w:r>
    <w:r>
      <w:rPr>
        <w:rFonts w:eastAsia="Times New Roman" w:cs="Arial"/>
        <w:i/>
        <w:sz w:val="18"/>
        <w:szCs w:val="18"/>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82F" w14:textId="014FCBA2" w:rsidR="002F7A02" w:rsidRPr="002E0DE9" w:rsidRDefault="002F7A02" w:rsidP="00E32765">
    <w:pPr>
      <w:pStyle w:val="Header"/>
      <w:pBdr>
        <w:bottom w:val="single" w:sz="4" w:space="1" w:color="auto"/>
      </w:pBdr>
      <w:rPr>
        <w:rFonts w:ascii="Calibri" w:eastAsia="Calibri" w:hAnsi="Calibri" w:cs="Times New Roman"/>
      </w:rPr>
    </w:pPr>
    <w:r w:rsidRPr="00CE7555">
      <w:rPr>
        <w:rFonts w:cs="Arial"/>
        <w:i/>
        <w:sz w:val="18"/>
        <w:szCs w:val="18"/>
        <w:lang w:val="en-PH"/>
      </w:rPr>
      <w:t>UNEP/CMS/COP15/Doc.25.5/Annex</w:t>
    </w:r>
    <w:r w:rsidR="005A7158">
      <w:rPr>
        <w:rFonts w:cs="Arial"/>
        <w:i/>
        <w:sz w:val="18"/>
        <w:szCs w:val="18"/>
        <w:lang w:val="en-PH"/>
      </w:rPr>
      <w:t>e</w:t>
    </w:r>
    <w:r w:rsidRPr="00CE7555">
      <w:rPr>
        <w:rFonts w:cs="Arial"/>
        <w:i/>
        <w:sz w:val="18"/>
        <w:szCs w:val="18"/>
        <w:lang w:val="en-PH"/>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167148"/>
    <w:multiLevelType w:val="hybridMultilevel"/>
    <w:tmpl w:val="D938C2BA"/>
    <w:lvl w:ilvl="0" w:tplc="04090017">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DF41C3"/>
    <w:multiLevelType w:val="hybridMultilevel"/>
    <w:tmpl w:val="13842F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076BA"/>
    <w:multiLevelType w:val="hybridMultilevel"/>
    <w:tmpl w:val="0D20EA36"/>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0"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1" w15:restartNumberingAfterBreak="0">
    <w:nsid w:val="517F2A21"/>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6897291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54673"/>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1906446">
    <w:abstractNumId w:val="20"/>
  </w:num>
  <w:num w:numId="2" w16cid:durableId="308674728">
    <w:abstractNumId w:val="12"/>
  </w:num>
  <w:num w:numId="3" w16cid:durableId="1500343192">
    <w:abstractNumId w:val="1"/>
  </w:num>
  <w:num w:numId="4"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17"/>
  </w:num>
  <w:num w:numId="6"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4"/>
  </w:num>
  <w:num w:numId="9" w16cid:durableId="1581672212">
    <w:abstractNumId w:val="3"/>
  </w:num>
  <w:num w:numId="10" w16cid:durableId="1928268044">
    <w:abstractNumId w:val="15"/>
  </w:num>
  <w:num w:numId="11" w16cid:durableId="1344934547">
    <w:abstractNumId w:val="13"/>
  </w:num>
  <w:num w:numId="12" w16cid:durableId="1045759199">
    <w:abstractNumId w:val="18"/>
  </w:num>
  <w:num w:numId="13" w16cid:durableId="1121001378">
    <w:abstractNumId w:val="10"/>
  </w:num>
  <w:num w:numId="14" w16cid:durableId="1003046972">
    <w:abstractNumId w:val="5"/>
  </w:num>
  <w:num w:numId="15" w16cid:durableId="1822842682">
    <w:abstractNumId w:val="14"/>
  </w:num>
  <w:num w:numId="16" w16cid:durableId="139925751">
    <w:abstractNumId w:val="19"/>
  </w:num>
  <w:num w:numId="17" w16cid:durableId="2012414630">
    <w:abstractNumId w:val="8"/>
  </w:num>
  <w:num w:numId="18" w16cid:durableId="142281230">
    <w:abstractNumId w:val="2"/>
  </w:num>
  <w:num w:numId="19" w16cid:durableId="1731726964">
    <w:abstractNumId w:val="11"/>
  </w:num>
  <w:num w:numId="20" w16cid:durableId="168377261">
    <w:abstractNumId w:val="7"/>
  </w:num>
  <w:num w:numId="21" w16cid:durableId="181556030">
    <w:abstractNumId w:val="9"/>
  </w:num>
  <w:num w:numId="22" w16cid:durableId="984507932">
    <w:abstractNumId w:val="16"/>
  </w:num>
  <w:num w:numId="23" w16cid:durableId="161050251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0F2"/>
    <w:rsid w:val="000014C6"/>
    <w:rsid w:val="00001528"/>
    <w:rsid w:val="0000225C"/>
    <w:rsid w:val="000024C8"/>
    <w:rsid w:val="0000331F"/>
    <w:rsid w:val="00003D4E"/>
    <w:rsid w:val="00003EF3"/>
    <w:rsid w:val="00004218"/>
    <w:rsid w:val="000046F4"/>
    <w:rsid w:val="00004AC6"/>
    <w:rsid w:val="00005B35"/>
    <w:rsid w:val="00006301"/>
    <w:rsid w:val="00006A36"/>
    <w:rsid w:val="00006AC5"/>
    <w:rsid w:val="00006C47"/>
    <w:rsid w:val="00007AE0"/>
    <w:rsid w:val="00010EFB"/>
    <w:rsid w:val="00010F5F"/>
    <w:rsid w:val="0001139B"/>
    <w:rsid w:val="00011DE7"/>
    <w:rsid w:val="00011F4A"/>
    <w:rsid w:val="0001212C"/>
    <w:rsid w:val="00012CF3"/>
    <w:rsid w:val="000135DF"/>
    <w:rsid w:val="00014240"/>
    <w:rsid w:val="0001483A"/>
    <w:rsid w:val="00015F3F"/>
    <w:rsid w:val="0001641D"/>
    <w:rsid w:val="00016F39"/>
    <w:rsid w:val="000173AF"/>
    <w:rsid w:val="000177BD"/>
    <w:rsid w:val="000200E6"/>
    <w:rsid w:val="00020FB0"/>
    <w:rsid w:val="00021FD6"/>
    <w:rsid w:val="00022107"/>
    <w:rsid w:val="0002210E"/>
    <w:rsid w:val="000228C9"/>
    <w:rsid w:val="00022F03"/>
    <w:rsid w:val="0002334E"/>
    <w:rsid w:val="00023A47"/>
    <w:rsid w:val="00024A26"/>
    <w:rsid w:val="000250B1"/>
    <w:rsid w:val="000250CC"/>
    <w:rsid w:val="0002519B"/>
    <w:rsid w:val="00026893"/>
    <w:rsid w:val="00026B22"/>
    <w:rsid w:val="00026BAB"/>
    <w:rsid w:val="000272D7"/>
    <w:rsid w:val="00030F73"/>
    <w:rsid w:val="000313B4"/>
    <w:rsid w:val="00031405"/>
    <w:rsid w:val="0003218A"/>
    <w:rsid w:val="00032859"/>
    <w:rsid w:val="00032F64"/>
    <w:rsid w:val="0003478E"/>
    <w:rsid w:val="000349D9"/>
    <w:rsid w:val="00034A5A"/>
    <w:rsid w:val="000359C9"/>
    <w:rsid w:val="00035CB2"/>
    <w:rsid w:val="000365FF"/>
    <w:rsid w:val="000368A2"/>
    <w:rsid w:val="00036F3E"/>
    <w:rsid w:val="000373AB"/>
    <w:rsid w:val="000406CE"/>
    <w:rsid w:val="00040CE8"/>
    <w:rsid w:val="00041776"/>
    <w:rsid w:val="00042704"/>
    <w:rsid w:val="00045A31"/>
    <w:rsid w:val="00045D6C"/>
    <w:rsid w:val="00046925"/>
    <w:rsid w:val="00046F1A"/>
    <w:rsid w:val="00047FA5"/>
    <w:rsid w:val="00050CBF"/>
    <w:rsid w:val="00050F15"/>
    <w:rsid w:val="00051903"/>
    <w:rsid w:val="00051FAF"/>
    <w:rsid w:val="00052636"/>
    <w:rsid w:val="000541F4"/>
    <w:rsid w:val="0005614F"/>
    <w:rsid w:val="00056D98"/>
    <w:rsid w:val="0005714D"/>
    <w:rsid w:val="000572A6"/>
    <w:rsid w:val="00060796"/>
    <w:rsid w:val="00061912"/>
    <w:rsid w:val="00061B73"/>
    <w:rsid w:val="00062FB5"/>
    <w:rsid w:val="00063046"/>
    <w:rsid w:val="00063D4A"/>
    <w:rsid w:val="000641AD"/>
    <w:rsid w:val="0006425B"/>
    <w:rsid w:val="000642F1"/>
    <w:rsid w:val="000646FB"/>
    <w:rsid w:val="0006553F"/>
    <w:rsid w:val="00065D91"/>
    <w:rsid w:val="0006618D"/>
    <w:rsid w:val="000667B0"/>
    <w:rsid w:val="00066CF9"/>
    <w:rsid w:val="000674B1"/>
    <w:rsid w:val="00067C15"/>
    <w:rsid w:val="00070197"/>
    <w:rsid w:val="0007082D"/>
    <w:rsid w:val="00073C5F"/>
    <w:rsid w:val="00074D15"/>
    <w:rsid w:val="00075395"/>
    <w:rsid w:val="00075B40"/>
    <w:rsid w:val="000762D2"/>
    <w:rsid w:val="00076373"/>
    <w:rsid w:val="000775C4"/>
    <w:rsid w:val="000779E0"/>
    <w:rsid w:val="00077ADD"/>
    <w:rsid w:val="00080FCA"/>
    <w:rsid w:val="000828C6"/>
    <w:rsid w:val="0008293C"/>
    <w:rsid w:val="0008384D"/>
    <w:rsid w:val="00084B00"/>
    <w:rsid w:val="00085335"/>
    <w:rsid w:val="00090783"/>
    <w:rsid w:val="00090D14"/>
    <w:rsid w:val="0009148D"/>
    <w:rsid w:val="0009273D"/>
    <w:rsid w:val="0009315C"/>
    <w:rsid w:val="00094577"/>
    <w:rsid w:val="00094AB7"/>
    <w:rsid w:val="00094EA3"/>
    <w:rsid w:val="00094FA9"/>
    <w:rsid w:val="00095F50"/>
    <w:rsid w:val="0009615E"/>
    <w:rsid w:val="0009638D"/>
    <w:rsid w:val="00096C9C"/>
    <w:rsid w:val="00096E1F"/>
    <w:rsid w:val="000A0422"/>
    <w:rsid w:val="000A0C72"/>
    <w:rsid w:val="000A1981"/>
    <w:rsid w:val="000A20B4"/>
    <w:rsid w:val="000A2434"/>
    <w:rsid w:val="000A286C"/>
    <w:rsid w:val="000A29AC"/>
    <w:rsid w:val="000A36E2"/>
    <w:rsid w:val="000A3B2C"/>
    <w:rsid w:val="000A3D26"/>
    <w:rsid w:val="000A3FE9"/>
    <w:rsid w:val="000A4016"/>
    <w:rsid w:val="000A46BE"/>
    <w:rsid w:val="000A4C50"/>
    <w:rsid w:val="000A537E"/>
    <w:rsid w:val="000A5A1E"/>
    <w:rsid w:val="000A75E0"/>
    <w:rsid w:val="000A782B"/>
    <w:rsid w:val="000A7918"/>
    <w:rsid w:val="000B003C"/>
    <w:rsid w:val="000B15AC"/>
    <w:rsid w:val="000B1A95"/>
    <w:rsid w:val="000B430D"/>
    <w:rsid w:val="000B47A8"/>
    <w:rsid w:val="000B4B71"/>
    <w:rsid w:val="000B50AD"/>
    <w:rsid w:val="000B5ACE"/>
    <w:rsid w:val="000B612C"/>
    <w:rsid w:val="000B676D"/>
    <w:rsid w:val="000B75EC"/>
    <w:rsid w:val="000B7D58"/>
    <w:rsid w:val="000C113A"/>
    <w:rsid w:val="000C23BD"/>
    <w:rsid w:val="000C2408"/>
    <w:rsid w:val="000C349E"/>
    <w:rsid w:val="000C6AEB"/>
    <w:rsid w:val="000C6DE7"/>
    <w:rsid w:val="000C7721"/>
    <w:rsid w:val="000D157D"/>
    <w:rsid w:val="000D1767"/>
    <w:rsid w:val="000D18FE"/>
    <w:rsid w:val="000D1946"/>
    <w:rsid w:val="000D1F2E"/>
    <w:rsid w:val="000D203D"/>
    <w:rsid w:val="000D208D"/>
    <w:rsid w:val="000D267E"/>
    <w:rsid w:val="000D318F"/>
    <w:rsid w:val="000D3260"/>
    <w:rsid w:val="000D34CE"/>
    <w:rsid w:val="000D54FF"/>
    <w:rsid w:val="000D5A68"/>
    <w:rsid w:val="000D628B"/>
    <w:rsid w:val="000E0325"/>
    <w:rsid w:val="000E13E6"/>
    <w:rsid w:val="000E1A3E"/>
    <w:rsid w:val="000E465E"/>
    <w:rsid w:val="000E477B"/>
    <w:rsid w:val="000E54F0"/>
    <w:rsid w:val="000E5AA5"/>
    <w:rsid w:val="000E5D06"/>
    <w:rsid w:val="000E62EB"/>
    <w:rsid w:val="000E65DB"/>
    <w:rsid w:val="000E721D"/>
    <w:rsid w:val="000E778D"/>
    <w:rsid w:val="000E7CA2"/>
    <w:rsid w:val="000F0272"/>
    <w:rsid w:val="000F033A"/>
    <w:rsid w:val="000F1060"/>
    <w:rsid w:val="000F1830"/>
    <w:rsid w:val="000F1B3C"/>
    <w:rsid w:val="000F233E"/>
    <w:rsid w:val="000F2390"/>
    <w:rsid w:val="000F2994"/>
    <w:rsid w:val="000F44F5"/>
    <w:rsid w:val="000F6495"/>
    <w:rsid w:val="000F683F"/>
    <w:rsid w:val="000F6D54"/>
    <w:rsid w:val="000F76F0"/>
    <w:rsid w:val="00100410"/>
    <w:rsid w:val="00100A08"/>
    <w:rsid w:val="00100AF1"/>
    <w:rsid w:val="00102E9F"/>
    <w:rsid w:val="0010300F"/>
    <w:rsid w:val="0010371D"/>
    <w:rsid w:val="00104D7A"/>
    <w:rsid w:val="00104DCE"/>
    <w:rsid w:val="00106E40"/>
    <w:rsid w:val="00107132"/>
    <w:rsid w:val="0010769B"/>
    <w:rsid w:val="00107C0D"/>
    <w:rsid w:val="001102C6"/>
    <w:rsid w:val="00111987"/>
    <w:rsid w:val="00111DAF"/>
    <w:rsid w:val="00112D9A"/>
    <w:rsid w:val="001140FC"/>
    <w:rsid w:val="001147DC"/>
    <w:rsid w:val="00114967"/>
    <w:rsid w:val="0011505D"/>
    <w:rsid w:val="00115720"/>
    <w:rsid w:val="001158C7"/>
    <w:rsid w:val="001158F4"/>
    <w:rsid w:val="00115922"/>
    <w:rsid w:val="00115A8E"/>
    <w:rsid w:val="00116EF4"/>
    <w:rsid w:val="001175D1"/>
    <w:rsid w:val="00117747"/>
    <w:rsid w:val="00117E96"/>
    <w:rsid w:val="00117FEA"/>
    <w:rsid w:val="00120752"/>
    <w:rsid w:val="00120852"/>
    <w:rsid w:val="00120CDD"/>
    <w:rsid w:val="00120FB3"/>
    <w:rsid w:val="00121CFC"/>
    <w:rsid w:val="001220E3"/>
    <w:rsid w:val="00122735"/>
    <w:rsid w:val="0012276A"/>
    <w:rsid w:val="00122C22"/>
    <w:rsid w:val="00122DC0"/>
    <w:rsid w:val="0012380B"/>
    <w:rsid w:val="001239A3"/>
    <w:rsid w:val="0012409C"/>
    <w:rsid w:val="001242E2"/>
    <w:rsid w:val="00124B64"/>
    <w:rsid w:val="00124DB9"/>
    <w:rsid w:val="0012548B"/>
    <w:rsid w:val="001268E8"/>
    <w:rsid w:val="00130F1E"/>
    <w:rsid w:val="001325FD"/>
    <w:rsid w:val="00132FE3"/>
    <w:rsid w:val="00133737"/>
    <w:rsid w:val="00133D7B"/>
    <w:rsid w:val="00133E9D"/>
    <w:rsid w:val="00134B58"/>
    <w:rsid w:val="00134CC3"/>
    <w:rsid w:val="001351B6"/>
    <w:rsid w:val="00135E25"/>
    <w:rsid w:val="00136ABD"/>
    <w:rsid w:val="00136DE2"/>
    <w:rsid w:val="001370FF"/>
    <w:rsid w:val="0013732D"/>
    <w:rsid w:val="00140B44"/>
    <w:rsid w:val="00140B79"/>
    <w:rsid w:val="001410BF"/>
    <w:rsid w:val="00141AF2"/>
    <w:rsid w:val="001424C0"/>
    <w:rsid w:val="00142808"/>
    <w:rsid w:val="0014517E"/>
    <w:rsid w:val="0014545C"/>
    <w:rsid w:val="00145CA8"/>
    <w:rsid w:val="00145DCE"/>
    <w:rsid w:val="001463BB"/>
    <w:rsid w:val="00146498"/>
    <w:rsid w:val="00147776"/>
    <w:rsid w:val="001479BD"/>
    <w:rsid w:val="0015003D"/>
    <w:rsid w:val="001508C7"/>
    <w:rsid w:val="00150E76"/>
    <w:rsid w:val="00151AB8"/>
    <w:rsid w:val="001555CE"/>
    <w:rsid w:val="00155833"/>
    <w:rsid w:val="00155880"/>
    <w:rsid w:val="00155E45"/>
    <w:rsid w:val="001564F6"/>
    <w:rsid w:val="0015679B"/>
    <w:rsid w:val="00156DBF"/>
    <w:rsid w:val="00160AE0"/>
    <w:rsid w:val="00160C29"/>
    <w:rsid w:val="00160E29"/>
    <w:rsid w:val="001611F3"/>
    <w:rsid w:val="001614A1"/>
    <w:rsid w:val="0016177C"/>
    <w:rsid w:val="001639ED"/>
    <w:rsid w:val="00163DC2"/>
    <w:rsid w:val="001644D1"/>
    <w:rsid w:val="00164625"/>
    <w:rsid w:val="0016722B"/>
    <w:rsid w:val="00167AF9"/>
    <w:rsid w:val="00167C2C"/>
    <w:rsid w:val="001703AA"/>
    <w:rsid w:val="001710F8"/>
    <w:rsid w:val="001715B7"/>
    <w:rsid w:val="001717F9"/>
    <w:rsid w:val="0017238D"/>
    <w:rsid w:val="0017266D"/>
    <w:rsid w:val="00172C49"/>
    <w:rsid w:val="00172E1F"/>
    <w:rsid w:val="00173426"/>
    <w:rsid w:val="0017599D"/>
    <w:rsid w:val="00175C25"/>
    <w:rsid w:val="00180BD5"/>
    <w:rsid w:val="00180DDC"/>
    <w:rsid w:val="00181262"/>
    <w:rsid w:val="00181B67"/>
    <w:rsid w:val="0018243E"/>
    <w:rsid w:val="00182591"/>
    <w:rsid w:val="00183509"/>
    <w:rsid w:val="001837F6"/>
    <w:rsid w:val="00184946"/>
    <w:rsid w:val="00184E1A"/>
    <w:rsid w:val="00185024"/>
    <w:rsid w:val="0018565A"/>
    <w:rsid w:val="00185DF1"/>
    <w:rsid w:val="00187160"/>
    <w:rsid w:val="001876CC"/>
    <w:rsid w:val="00187723"/>
    <w:rsid w:val="001878D6"/>
    <w:rsid w:val="00187A72"/>
    <w:rsid w:val="0019039A"/>
    <w:rsid w:val="001926F2"/>
    <w:rsid w:val="0019381B"/>
    <w:rsid w:val="00194564"/>
    <w:rsid w:val="0019594F"/>
    <w:rsid w:val="00195A9A"/>
    <w:rsid w:val="00195C70"/>
    <w:rsid w:val="00195FE5"/>
    <w:rsid w:val="00196D0C"/>
    <w:rsid w:val="00196EE9"/>
    <w:rsid w:val="00197534"/>
    <w:rsid w:val="001A20F8"/>
    <w:rsid w:val="001A2421"/>
    <w:rsid w:val="001A2ED9"/>
    <w:rsid w:val="001A3920"/>
    <w:rsid w:val="001A56D6"/>
    <w:rsid w:val="001A58E3"/>
    <w:rsid w:val="001A5DEC"/>
    <w:rsid w:val="001A5F70"/>
    <w:rsid w:val="001A68C3"/>
    <w:rsid w:val="001A6DBC"/>
    <w:rsid w:val="001A7527"/>
    <w:rsid w:val="001A76AD"/>
    <w:rsid w:val="001B04E5"/>
    <w:rsid w:val="001B0699"/>
    <w:rsid w:val="001B09FD"/>
    <w:rsid w:val="001B1BD5"/>
    <w:rsid w:val="001B219C"/>
    <w:rsid w:val="001B49E6"/>
    <w:rsid w:val="001B5750"/>
    <w:rsid w:val="001B59BE"/>
    <w:rsid w:val="001B610F"/>
    <w:rsid w:val="001B6CAA"/>
    <w:rsid w:val="001B6FBA"/>
    <w:rsid w:val="001C03AB"/>
    <w:rsid w:val="001C1591"/>
    <w:rsid w:val="001C25B7"/>
    <w:rsid w:val="001C3457"/>
    <w:rsid w:val="001C4300"/>
    <w:rsid w:val="001C4B83"/>
    <w:rsid w:val="001C4F69"/>
    <w:rsid w:val="001C64F9"/>
    <w:rsid w:val="001C66BD"/>
    <w:rsid w:val="001C68D6"/>
    <w:rsid w:val="001C6B3A"/>
    <w:rsid w:val="001C786E"/>
    <w:rsid w:val="001C7D3B"/>
    <w:rsid w:val="001D0996"/>
    <w:rsid w:val="001D0A4E"/>
    <w:rsid w:val="001D1074"/>
    <w:rsid w:val="001D143D"/>
    <w:rsid w:val="001D1BD1"/>
    <w:rsid w:val="001D25B3"/>
    <w:rsid w:val="001D2C2C"/>
    <w:rsid w:val="001D3402"/>
    <w:rsid w:val="001D359D"/>
    <w:rsid w:val="001D379B"/>
    <w:rsid w:val="001D3B8B"/>
    <w:rsid w:val="001D4060"/>
    <w:rsid w:val="001D4115"/>
    <w:rsid w:val="001D4B56"/>
    <w:rsid w:val="001D4FD8"/>
    <w:rsid w:val="001D59DF"/>
    <w:rsid w:val="001D5CBA"/>
    <w:rsid w:val="001D623C"/>
    <w:rsid w:val="001D62BA"/>
    <w:rsid w:val="001D6AED"/>
    <w:rsid w:val="001D7648"/>
    <w:rsid w:val="001D7FCE"/>
    <w:rsid w:val="001E0430"/>
    <w:rsid w:val="001E071A"/>
    <w:rsid w:val="001E0741"/>
    <w:rsid w:val="001E1F04"/>
    <w:rsid w:val="001E24B7"/>
    <w:rsid w:val="001E350E"/>
    <w:rsid w:val="001E3DEA"/>
    <w:rsid w:val="001E6117"/>
    <w:rsid w:val="001E6A3A"/>
    <w:rsid w:val="001E6FC1"/>
    <w:rsid w:val="001F0EBB"/>
    <w:rsid w:val="001F1937"/>
    <w:rsid w:val="001F1D53"/>
    <w:rsid w:val="001F228B"/>
    <w:rsid w:val="001F2898"/>
    <w:rsid w:val="001F3D5E"/>
    <w:rsid w:val="001F4BAD"/>
    <w:rsid w:val="001F4CA1"/>
    <w:rsid w:val="001F4F83"/>
    <w:rsid w:val="001F5C18"/>
    <w:rsid w:val="001F65DB"/>
    <w:rsid w:val="001F6911"/>
    <w:rsid w:val="001F6F43"/>
    <w:rsid w:val="00200483"/>
    <w:rsid w:val="00200D1B"/>
    <w:rsid w:val="002012D1"/>
    <w:rsid w:val="002018B4"/>
    <w:rsid w:val="00201D22"/>
    <w:rsid w:val="00201DFA"/>
    <w:rsid w:val="002030B0"/>
    <w:rsid w:val="00203211"/>
    <w:rsid w:val="00204737"/>
    <w:rsid w:val="00206D68"/>
    <w:rsid w:val="00207846"/>
    <w:rsid w:val="002108C3"/>
    <w:rsid w:val="00210DC3"/>
    <w:rsid w:val="0021108A"/>
    <w:rsid w:val="00211E81"/>
    <w:rsid w:val="00211FA0"/>
    <w:rsid w:val="00213CE4"/>
    <w:rsid w:val="0021517B"/>
    <w:rsid w:val="00215359"/>
    <w:rsid w:val="00216146"/>
    <w:rsid w:val="0021653E"/>
    <w:rsid w:val="00217046"/>
    <w:rsid w:val="00220188"/>
    <w:rsid w:val="00221119"/>
    <w:rsid w:val="002211AA"/>
    <w:rsid w:val="002218A8"/>
    <w:rsid w:val="00221B43"/>
    <w:rsid w:val="002227A2"/>
    <w:rsid w:val="002233A3"/>
    <w:rsid w:val="00223516"/>
    <w:rsid w:val="0022354A"/>
    <w:rsid w:val="00223FF8"/>
    <w:rsid w:val="00224365"/>
    <w:rsid w:val="00224EFA"/>
    <w:rsid w:val="00226227"/>
    <w:rsid w:val="0022674A"/>
    <w:rsid w:val="00226B1D"/>
    <w:rsid w:val="00226E25"/>
    <w:rsid w:val="0022796E"/>
    <w:rsid w:val="00230BFC"/>
    <w:rsid w:val="00230E88"/>
    <w:rsid w:val="002323F3"/>
    <w:rsid w:val="0023240D"/>
    <w:rsid w:val="0023253F"/>
    <w:rsid w:val="002331B9"/>
    <w:rsid w:val="00233D16"/>
    <w:rsid w:val="0023435E"/>
    <w:rsid w:val="002343EF"/>
    <w:rsid w:val="00234BEC"/>
    <w:rsid w:val="00235DF4"/>
    <w:rsid w:val="002361A7"/>
    <w:rsid w:val="00236529"/>
    <w:rsid w:val="0023673F"/>
    <w:rsid w:val="00236D69"/>
    <w:rsid w:val="00237002"/>
    <w:rsid w:val="00237117"/>
    <w:rsid w:val="00237970"/>
    <w:rsid w:val="002403EA"/>
    <w:rsid w:val="00240F90"/>
    <w:rsid w:val="002426B5"/>
    <w:rsid w:val="002428C9"/>
    <w:rsid w:val="002431D7"/>
    <w:rsid w:val="002439F4"/>
    <w:rsid w:val="00243D8D"/>
    <w:rsid w:val="00243E7B"/>
    <w:rsid w:val="00243EAE"/>
    <w:rsid w:val="00244B56"/>
    <w:rsid w:val="002459DB"/>
    <w:rsid w:val="00246971"/>
    <w:rsid w:val="00246EDC"/>
    <w:rsid w:val="00250B85"/>
    <w:rsid w:val="00250F22"/>
    <w:rsid w:val="002510F4"/>
    <w:rsid w:val="002523F4"/>
    <w:rsid w:val="00252769"/>
    <w:rsid w:val="00252B12"/>
    <w:rsid w:val="00252D2B"/>
    <w:rsid w:val="0025303B"/>
    <w:rsid w:val="00253710"/>
    <w:rsid w:val="00253807"/>
    <w:rsid w:val="002538E5"/>
    <w:rsid w:val="00253ADB"/>
    <w:rsid w:val="00253BC7"/>
    <w:rsid w:val="002545E5"/>
    <w:rsid w:val="002546AE"/>
    <w:rsid w:val="002550B9"/>
    <w:rsid w:val="002563ED"/>
    <w:rsid w:val="00256AC8"/>
    <w:rsid w:val="00260FB9"/>
    <w:rsid w:val="00261624"/>
    <w:rsid w:val="00261893"/>
    <w:rsid w:val="00262847"/>
    <w:rsid w:val="002631A3"/>
    <w:rsid w:val="002639AB"/>
    <w:rsid w:val="00263B3D"/>
    <w:rsid w:val="00264EED"/>
    <w:rsid w:val="00264F76"/>
    <w:rsid w:val="002652F3"/>
    <w:rsid w:val="00265EE5"/>
    <w:rsid w:val="00266386"/>
    <w:rsid w:val="00266631"/>
    <w:rsid w:val="00267C6B"/>
    <w:rsid w:val="002721EE"/>
    <w:rsid w:val="002723D1"/>
    <w:rsid w:val="002728CF"/>
    <w:rsid w:val="002743F7"/>
    <w:rsid w:val="00274ED1"/>
    <w:rsid w:val="0027617B"/>
    <w:rsid w:val="00276531"/>
    <w:rsid w:val="002772A4"/>
    <w:rsid w:val="00277633"/>
    <w:rsid w:val="002800F8"/>
    <w:rsid w:val="0028058C"/>
    <w:rsid w:val="002807C2"/>
    <w:rsid w:val="00281B9F"/>
    <w:rsid w:val="00281BAF"/>
    <w:rsid w:val="00282E78"/>
    <w:rsid w:val="0028319F"/>
    <w:rsid w:val="00283540"/>
    <w:rsid w:val="0028501C"/>
    <w:rsid w:val="002850FD"/>
    <w:rsid w:val="00285234"/>
    <w:rsid w:val="002857E8"/>
    <w:rsid w:val="00286F9C"/>
    <w:rsid w:val="00287076"/>
    <w:rsid w:val="00290082"/>
    <w:rsid w:val="002910AA"/>
    <w:rsid w:val="00291641"/>
    <w:rsid w:val="00291A62"/>
    <w:rsid w:val="00291EB0"/>
    <w:rsid w:val="00292069"/>
    <w:rsid w:val="00292073"/>
    <w:rsid w:val="00293122"/>
    <w:rsid w:val="00294726"/>
    <w:rsid w:val="00294A36"/>
    <w:rsid w:val="00295DFD"/>
    <w:rsid w:val="00296187"/>
    <w:rsid w:val="002961FB"/>
    <w:rsid w:val="00296AA4"/>
    <w:rsid w:val="00297A7A"/>
    <w:rsid w:val="002A012C"/>
    <w:rsid w:val="002A02D5"/>
    <w:rsid w:val="002A0905"/>
    <w:rsid w:val="002A0A6B"/>
    <w:rsid w:val="002A1FD6"/>
    <w:rsid w:val="002A217E"/>
    <w:rsid w:val="002A2C51"/>
    <w:rsid w:val="002A2D44"/>
    <w:rsid w:val="002A37B2"/>
    <w:rsid w:val="002A426F"/>
    <w:rsid w:val="002A4325"/>
    <w:rsid w:val="002A440F"/>
    <w:rsid w:val="002A644C"/>
    <w:rsid w:val="002A6A5F"/>
    <w:rsid w:val="002A7680"/>
    <w:rsid w:val="002A7841"/>
    <w:rsid w:val="002A7C5C"/>
    <w:rsid w:val="002A7DDA"/>
    <w:rsid w:val="002A7F53"/>
    <w:rsid w:val="002B0687"/>
    <w:rsid w:val="002B09F3"/>
    <w:rsid w:val="002B0E18"/>
    <w:rsid w:val="002B19C5"/>
    <w:rsid w:val="002B2424"/>
    <w:rsid w:val="002B2765"/>
    <w:rsid w:val="002B44F7"/>
    <w:rsid w:val="002B5CC5"/>
    <w:rsid w:val="002B7D09"/>
    <w:rsid w:val="002B7F27"/>
    <w:rsid w:val="002C013B"/>
    <w:rsid w:val="002C01CC"/>
    <w:rsid w:val="002C0681"/>
    <w:rsid w:val="002C0708"/>
    <w:rsid w:val="002C089D"/>
    <w:rsid w:val="002C1135"/>
    <w:rsid w:val="002C1E1B"/>
    <w:rsid w:val="002C1E39"/>
    <w:rsid w:val="002C2383"/>
    <w:rsid w:val="002C2AD1"/>
    <w:rsid w:val="002C4982"/>
    <w:rsid w:val="002C6367"/>
    <w:rsid w:val="002C6A24"/>
    <w:rsid w:val="002C6A6C"/>
    <w:rsid w:val="002C6BD6"/>
    <w:rsid w:val="002C7B5B"/>
    <w:rsid w:val="002C7EB7"/>
    <w:rsid w:val="002D03FC"/>
    <w:rsid w:val="002D0E36"/>
    <w:rsid w:val="002D1704"/>
    <w:rsid w:val="002D2846"/>
    <w:rsid w:val="002D2DD7"/>
    <w:rsid w:val="002D2F6F"/>
    <w:rsid w:val="002D3E4B"/>
    <w:rsid w:val="002D4137"/>
    <w:rsid w:val="002D4CF8"/>
    <w:rsid w:val="002D4D1D"/>
    <w:rsid w:val="002D4E6F"/>
    <w:rsid w:val="002D5121"/>
    <w:rsid w:val="002D5999"/>
    <w:rsid w:val="002D5B06"/>
    <w:rsid w:val="002D6582"/>
    <w:rsid w:val="002D7492"/>
    <w:rsid w:val="002E0075"/>
    <w:rsid w:val="002E07D2"/>
    <w:rsid w:val="002E08AD"/>
    <w:rsid w:val="002E0DE9"/>
    <w:rsid w:val="002E1BF7"/>
    <w:rsid w:val="002E20DC"/>
    <w:rsid w:val="002E295B"/>
    <w:rsid w:val="002E3050"/>
    <w:rsid w:val="002E3235"/>
    <w:rsid w:val="002E34F6"/>
    <w:rsid w:val="002E3CE3"/>
    <w:rsid w:val="002E56EC"/>
    <w:rsid w:val="002E5872"/>
    <w:rsid w:val="002E5BE2"/>
    <w:rsid w:val="002E6183"/>
    <w:rsid w:val="002E6436"/>
    <w:rsid w:val="002E6A6C"/>
    <w:rsid w:val="002E74A1"/>
    <w:rsid w:val="002E7792"/>
    <w:rsid w:val="002F1221"/>
    <w:rsid w:val="002F3056"/>
    <w:rsid w:val="002F3199"/>
    <w:rsid w:val="002F3679"/>
    <w:rsid w:val="002F3FD8"/>
    <w:rsid w:val="002F54DE"/>
    <w:rsid w:val="002F5B06"/>
    <w:rsid w:val="002F614A"/>
    <w:rsid w:val="002F7A02"/>
    <w:rsid w:val="002F7F38"/>
    <w:rsid w:val="00300412"/>
    <w:rsid w:val="0030051A"/>
    <w:rsid w:val="00300F09"/>
    <w:rsid w:val="003017B2"/>
    <w:rsid w:val="0030292C"/>
    <w:rsid w:val="00302C0F"/>
    <w:rsid w:val="00302CFE"/>
    <w:rsid w:val="0030410D"/>
    <w:rsid w:val="00304FA0"/>
    <w:rsid w:val="0030518B"/>
    <w:rsid w:val="00305918"/>
    <w:rsid w:val="00305ABB"/>
    <w:rsid w:val="003063A0"/>
    <w:rsid w:val="00306B83"/>
    <w:rsid w:val="00306FBB"/>
    <w:rsid w:val="00306FC9"/>
    <w:rsid w:val="00307531"/>
    <w:rsid w:val="0030765A"/>
    <w:rsid w:val="00307893"/>
    <w:rsid w:val="00310287"/>
    <w:rsid w:val="003109DF"/>
    <w:rsid w:val="00310B43"/>
    <w:rsid w:val="00311B5B"/>
    <w:rsid w:val="003121AD"/>
    <w:rsid w:val="00312311"/>
    <w:rsid w:val="00312959"/>
    <w:rsid w:val="00312C90"/>
    <w:rsid w:val="00313487"/>
    <w:rsid w:val="00313497"/>
    <w:rsid w:val="003153D4"/>
    <w:rsid w:val="00315A75"/>
    <w:rsid w:val="003179DE"/>
    <w:rsid w:val="003204D6"/>
    <w:rsid w:val="003211A8"/>
    <w:rsid w:val="003219A2"/>
    <w:rsid w:val="00321FEA"/>
    <w:rsid w:val="00322248"/>
    <w:rsid w:val="003224A0"/>
    <w:rsid w:val="003226E7"/>
    <w:rsid w:val="003229AE"/>
    <w:rsid w:val="00323002"/>
    <w:rsid w:val="0032385D"/>
    <w:rsid w:val="00323E06"/>
    <w:rsid w:val="003243D3"/>
    <w:rsid w:val="00324448"/>
    <w:rsid w:val="00324877"/>
    <w:rsid w:val="00324912"/>
    <w:rsid w:val="0032599F"/>
    <w:rsid w:val="00326074"/>
    <w:rsid w:val="00326639"/>
    <w:rsid w:val="00326FE6"/>
    <w:rsid w:val="0032731D"/>
    <w:rsid w:val="00331167"/>
    <w:rsid w:val="00331524"/>
    <w:rsid w:val="0033294D"/>
    <w:rsid w:val="00332CEC"/>
    <w:rsid w:val="0033363D"/>
    <w:rsid w:val="003348E0"/>
    <w:rsid w:val="00334BC2"/>
    <w:rsid w:val="00334FC9"/>
    <w:rsid w:val="00335E2E"/>
    <w:rsid w:val="003363B0"/>
    <w:rsid w:val="0033652B"/>
    <w:rsid w:val="00336A76"/>
    <w:rsid w:val="003373D7"/>
    <w:rsid w:val="0033753B"/>
    <w:rsid w:val="003378DA"/>
    <w:rsid w:val="00340C6E"/>
    <w:rsid w:val="003412BB"/>
    <w:rsid w:val="00341751"/>
    <w:rsid w:val="00341D90"/>
    <w:rsid w:val="00342921"/>
    <w:rsid w:val="003434A3"/>
    <w:rsid w:val="003436CD"/>
    <w:rsid w:val="00343715"/>
    <w:rsid w:val="003438A0"/>
    <w:rsid w:val="00343DBA"/>
    <w:rsid w:val="00344195"/>
    <w:rsid w:val="00346463"/>
    <w:rsid w:val="003467BC"/>
    <w:rsid w:val="00346A11"/>
    <w:rsid w:val="003503DA"/>
    <w:rsid w:val="00350CD5"/>
    <w:rsid w:val="00352119"/>
    <w:rsid w:val="003531B9"/>
    <w:rsid w:val="00353A19"/>
    <w:rsid w:val="00353AA4"/>
    <w:rsid w:val="00353EE1"/>
    <w:rsid w:val="00353F94"/>
    <w:rsid w:val="00354966"/>
    <w:rsid w:val="00355472"/>
    <w:rsid w:val="00356C4C"/>
    <w:rsid w:val="00360838"/>
    <w:rsid w:val="00360E51"/>
    <w:rsid w:val="003622DF"/>
    <w:rsid w:val="003622EC"/>
    <w:rsid w:val="00362B87"/>
    <w:rsid w:val="00362E1B"/>
    <w:rsid w:val="003631C0"/>
    <w:rsid w:val="003645AC"/>
    <w:rsid w:val="0036487F"/>
    <w:rsid w:val="003654C7"/>
    <w:rsid w:val="0036589A"/>
    <w:rsid w:val="003659C0"/>
    <w:rsid w:val="00366491"/>
    <w:rsid w:val="00366D99"/>
    <w:rsid w:val="00367990"/>
    <w:rsid w:val="00367CC3"/>
    <w:rsid w:val="003709AC"/>
    <w:rsid w:val="00371826"/>
    <w:rsid w:val="00371DE1"/>
    <w:rsid w:val="003744E8"/>
    <w:rsid w:val="00375F6E"/>
    <w:rsid w:val="00376484"/>
    <w:rsid w:val="003764DC"/>
    <w:rsid w:val="003765E7"/>
    <w:rsid w:val="00376FDA"/>
    <w:rsid w:val="00380652"/>
    <w:rsid w:val="00383651"/>
    <w:rsid w:val="00384563"/>
    <w:rsid w:val="00386A00"/>
    <w:rsid w:val="00386A5F"/>
    <w:rsid w:val="003879AC"/>
    <w:rsid w:val="003904A5"/>
    <w:rsid w:val="00390D41"/>
    <w:rsid w:val="00390F05"/>
    <w:rsid w:val="003910B0"/>
    <w:rsid w:val="00391157"/>
    <w:rsid w:val="00391A72"/>
    <w:rsid w:val="00391D6B"/>
    <w:rsid w:val="00392513"/>
    <w:rsid w:val="00392DC9"/>
    <w:rsid w:val="00393320"/>
    <w:rsid w:val="00393B89"/>
    <w:rsid w:val="003946B8"/>
    <w:rsid w:val="003946DF"/>
    <w:rsid w:val="00394AFB"/>
    <w:rsid w:val="00395315"/>
    <w:rsid w:val="0039652B"/>
    <w:rsid w:val="00397744"/>
    <w:rsid w:val="0039786F"/>
    <w:rsid w:val="003A017E"/>
    <w:rsid w:val="003A0555"/>
    <w:rsid w:val="003A0853"/>
    <w:rsid w:val="003A226C"/>
    <w:rsid w:val="003A2C95"/>
    <w:rsid w:val="003A2ED9"/>
    <w:rsid w:val="003A389D"/>
    <w:rsid w:val="003A3D7F"/>
    <w:rsid w:val="003A4B4D"/>
    <w:rsid w:val="003A5759"/>
    <w:rsid w:val="003A5C59"/>
    <w:rsid w:val="003A6070"/>
    <w:rsid w:val="003A66F8"/>
    <w:rsid w:val="003A67DB"/>
    <w:rsid w:val="003A6F9A"/>
    <w:rsid w:val="003A7F37"/>
    <w:rsid w:val="003A7FAF"/>
    <w:rsid w:val="003B13DB"/>
    <w:rsid w:val="003B210B"/>
    <w:rsid w:val="003B25AB"/>
    <w:rsid w:val="003B2748"/>
    <w:rsid w:val="003B2E30"/>
    <w:rsid w:val="003B5449"/>
    <w:rsid w:val="003B571A"/>
    <w:rsid w:val="003B64A2"/>
    <w:rsid w:val="003B6574"/>
    <w:rsid w:val="003B663F"/>
    <w:rsid w:val="003B754B"/>
    <w:rsid w:val="003C033E"/>
    <w:rsid w:val="003C041A"/>
    <w:rsid w:val="003C08E7"/>
    <w:rsid w:val="003C09A8"/>
    <w:rsid w:val="003C131D"/>
    <w:rsid w:val="003C2606"/>
    <w:rsid w:val="003C3C86"/>
    <w:rsid w:val="003C4920"/>
    <w:rsid w:val="003C4A7D"/>
    <w:rsid w:val="003C502C"/>
    <w:rsid w:val="003C56B7"/>
    <w:rsid w:val="003C574C"/>
    <w:rsid w:val="003C6309"/>
    <w:rsid w:val="003C63C2"/>
    <w:rsid w:val="003C7380"/>
    <w:rsid w:val="003C7FC2"/>
    <w:rsid w:val="003D1004"/>
    <w:rsid w:val="003D11CB"/>
    <w:rsid w:val="003D16C5"/>
    <w:rsid w:val="003D1896"/>
    <w:rsid w:val="003D1CBE"/>
    <w:rsid w:val="003D22AB"/>
    <w:rsid w:val="003D2CA6"/>
    <w:rsid w:val="003D31F8"/>
    <w:rsid w:val="003D387F"/>
    <w:rsid w:val="003D69A5"/>
    <w:rsid w:val="003D77E5"/>
    <w:rsid w:val="003E013B"/>
    <w:rsid w:val="003E0726"/>
    <w:rsid w:val="003E0AE7"/>
    <w:rsid w:val="003E0F1E"/>
    <w:rsid w:val="003E2C97"/>
    <w:rsid w:val="003E3ADD"/>
    <w:rsid w:val="003E3EB0"/>
    <w:rsid w:val="003E406C"/>
    <w:rsid w:val="003E49AA"/>
    <w:rsid w:val="003E4CF5"/>
    <w:rsid w:val="003E5218"/>
    <w:rsid w:val="003E5259"/>
    <w:rsid w:val="003E5693"/>
    <w:rsid w:val="003E62B3"/>
    <w:rsid w:val="003E6325"/>
    <w:rsid w:val="003E6CE0"/>
    <w:rsid w:val="003E752B"/>
    <w:rsid w:val="003E7699"/>
    <w:rsid w:val="003E7DB2"/>
    <w:rsid w:val="003F0C7C"/>
    <w:rsid w:val="003F0CFE"/>
    <w:rsid w:val="003F0F62"/>
    <w:rsid w:val="003F1CA3"/>
    <w:rsid w:val="003F236E"/>
    <w:rsid w:val="003F3685"/>
    <w:rsid w:val="003F49A0"/>
    <w:rsid w:val="003F55A8"/>
    <w:rsid w:val="003F6B67"/>
    <w:rsid w:val="003F7BCD"/>
    <w:rsid w:val="003F7C9D"/>
    <w:rsid w:val="003F7E50"/>
    <w:rsid w:val="0040049A"/>
    <w:rsid w:val="00400CC7"/>
    <w:rsid w:val="004010FC"/>
    <w:rsid w:val="004017A3"/>
    <w:rsid w:val="00401DF4"/>
    <w:rsid w:val="00403A1A"/>
    <w:rsid w:val="00403DF2"/>
    <w:rsid w:val="00405149"/>
    <w:rsid w:val="00406A55"/>
    <w:rsid w:val="0041060D"/>
    <w:rsid w:val="00410648"/>
    <w:rsid w:val="00410B40"/>
    <w:rsid w:val="00410FE1"/>
    <w:rsid w:val="004135A6"/>
    <w:rsid w:val="00413F43"/>
    <w:rsid w:val="00414982"/>
    <w:rsid w:val="004149D7"/>
    <w:rsid w:val="00415491"/>
    <w:rsid w:val="004155A2"/>
    <w:rsid w:val="00417239"/>
    <w:rsid w:val="0041737F"/>
    <w:rsid w:val="004202EF"/>
    <w:rsid w:val="00420674"/>
    <w:rsid w:val="00420677"/>
    <w:rsid w:val="00420690"/>
    <w:rsid w:val="004222B6"/>
    <w:rsid w:val="00424E4D"/>
    <w:rsid w:val="00425E88"/>
    <w:rsid w:val="00426731"/>
    <w:rsid w:val="00426775"/>
    <w:rsid w:val="0042683A"/>
    <w:rsid w:val="00427086"/>
    <w:rsid w:val="0043051E"/>
    <w:rsid w:val="00430CF1"/>
    <w:rsid w:val="00431E8F"/>
    <w:rsid w:val="00431EBD"/>
    <w:rsid w:val="00432503"/>
    <w:rsid w:val="0043278D"/>
    <w:rsid w:val="00432FBD"/>
    <w:rsid w:val="00433299"/>
    <w:rsid w:val="00434E7E"/>
    <w:rsid w:val="00435AB9"/>
    <w:rsid w:val="0043614A"/>
    <w:rsid w:val="004364E7"/>
    <w:rsid w:val="00436594"/>
    <w:rsid w:val="0043673C"/>
    <w:rsid w:val="0043754B"/>
    <w:rsid w:val="00437552"/>
    <w:rsid w:val="00437565"/>
    <w:rsid w:val="0043789C"/>
    <w:rsid w:val="00437A75"/>
    <w:rsid w:val="00440356"/>
    <w:rsid w:val="00442842"/>
    <w:rsid w:val="004429B4"/>
    <w:rsid w:val="00443448"/>
    <w:rsid w:val="00443751"/>
    <w:rsid w:val="00443C97"/>
    <w:rsid w:val="00444341"/>
    <w:rsid w:val="0044590A"/>
    <w:rsid w:val="004464C3"/>
    <w:rsid w:val="004465F6"/>
    <w:rsid w:val="0044687F"/>
    <w:rsid w:val="00446EDF"/>
    <w:rsid w:val="0044745A"/>
    <w:rsid w:val="0044760E"/>
    <w:rsid w:val="00450CE8"/>
    <w:rsid w:val="00451632"/>
    <w:rsid w:val="00451B91"/>
    <w:rsid w:val="004523B4"/>
    <w:rsid w:val="00452C31"/>
    <w:rsid w:val="00452CF8"/>
    <w:rsid w:val="00453661"/>
    <w:rsid w:val="00453872"/>
    <w:rsid w:val="00453B71"/>
    <w:rsid w:val="00453E2F"/>
    <w:rsid w:val="0045472F"/>
    <w:rsid w:val="004554DF"/>
    <w:rsid w:val="00455A6D"/>
    <w:rsid w:val="00456D2F"/>
    <w:rsid w:val="0046165F"/>
    <w:rsid w:val="00462A14"/>
    <w:rsid w:val="0046394B"/>
    <w:rsid w:val="004717DC"/>
    <w:rsid w:val="00471AF4"/>
    <w:rsid w:val="004723FD"/>
    <w:rsid w:val="00472A2F"/>
    <w:rsid w:val="0047494A"/>
    <w:rsid w:val="004749A4"/>
    <w:rsid w:val="004753A1"/>
    <w:rsid w:val="00475804"/>
    <w:rsid w:val="004765DF"/>
    <w:rsid w:val="00477A36"/>
    <w:rsid w:val="00477EF8"/>
    <w:rsid w:val="00477F08"/>
    <w:rsid w:val="004807D0"/>
    <w:rsid w:val="004809FF"/>
    <w:rsid w:val="00480D3F"/>
    <w:rsid w:val="00480DDA"/>
    <w:rsid w:val="0048118D"/>
    <w:rsid w:val="004818FC"/>
    <w:rsid w:val="00482389"/>
    <w:rsid w:val="004828A0"/>
    <w:rsid w:val="00482D28"/>
    <w:rsid w:val="00483713"/>
    <w:rsid w:val="0048399D"/>
    <w:rsid w:val="004843A3"/>
    <w:rsid w:val="004849C7"/>
    <w:rsid w:val="00484A07"/>
    <w:rsid w:val="00485962"/>
    <w:rsid w:val="004873EE"/>
    <w:rsid w:val="0048762F"/>
    <w:rsid w:val="004877C0"/>
    <w:rsid w:val="00487C02"/>
    <w:rsid w:val="00487C08"/>
    <w:rsid w:val="00490C17"/>
    <w:rsid w:val="00491D79"/>
    <w:rsid w:val="00492194"/>
    <w:rsid w:val="00492D6F"/>
    <w:rsid w:val="00494F6D"/>
    <w:rsid w:val="0049509A"/>
    <w:rsid w:val="00495D80"/>
    <w:rsid w:val="0049606A"/>
    <w:rsid w:val="00496BDD"/>
    <w:rsid w:val="00496E08"/>
    <w:rsid w:val="00496F58"/>
    <w:rsid w:val="00497B2E"/>
    <w:rsid w:val="004A21BC"/>
    <w:rsid w:val="004A30EE"/>
    <w:rsid w:val="004A3915"/>
    <w:rsid w:val="004A3ADF"/>
    <w:rsid w:val="004A55E1"/>
    <w:rsid w:val="004A604E"/>
    <w:rsid w:val="004A60A4"/>
    <w:rsid w:val="004A625C"/>
    <w:rsid w:val="004A6844"/>
    <w:rsid w:val="004A6C98"/>
    <w:rsid w:val="004A6DDF"/>
    <w:rsid w:val="004A7A05"/>
    <w:rsid w:val="004B0CCB"/>
    <w:rsid w:val="004B0FC5"/>
    <w:rsid w:val="004B1166"/>
    <w:rsid w:val="004B15EE"/>
    <w:rsid w:val="004B3B55"/>
    <w:rsid w:val="004B3D98"/>
    <w:rsid w:val="004B510E"/>
    <w:rsid w:val="004B51DC"/>
    <w:rsid w:val="004B51DF"/>
    <w:rsid w:val="004B55F2"/>
    <w:rsid w:val="004B603C"/>
    <w:rsid w:val="004B6852"/>
    <w:rsid w:val="004B6FC5"/>
    <w:rsid w:val="004B7071"/>
    <w:rsid w:val="004C0A77"/>
    <w:rsid w:val="004C22AA"/>
    <w:rsid w:val="004C4B51"/>
    <w:rsid w:val="004C4ED6"/>
    <w:rsid w:val="004C5F4A"/>
    <w:rsid w:val="004C6D43"/>
    <w:rsid w:val="004D054F"/>
    <w:rsid w:val="004D12BB"/>
    <w:rsid w:val="004D1EDC"/>
    <w:rsid w:val="004D2227"/>
    <w:rsid w:val="004D259D"/>
    <w:rsid w:val="004D298C"/>
    <w:rsid w:val="004D2DA2"/>
    <w:rsid w:val="004D3829"/>
    <w:rsid w:val="004D39EB"/>
    <w:rsid w:val="004D3AF6"/>
    <w:rsid w:val="004D3C90"/>
    <w:rsid w:val="004D4021"/>
    <w:rsid w:val="004D61CA"/>
    <w:rsid w:val="004D6218"/>
    <w:rsid w:val="004D62D4"/>
    <w:rsid w:val="004D7079"/>
    <w:rsid w:val="004E299B"/>
    <w:rsid w:val="004E2B5E"/>
    <w:rsid w:val="004E2E2E"/>
    <w:rsid w:val="004E3738"/>
    <w:rsid w:val="004E3BB5"/>
    <w:rsid w:val="004E428D"/>
    <w:rsid w:val="004E48AE"/>
    <w:rsid w:val="004E4BCD"/>
    <w:rsid w:val="004E6C92"/>
    <w:rsid w:val="004E7012"/>
    <w:rsid w:val="004F03D4"/>
    <w:rsid w:val="004F0B90"/>
    <w:rsid w:val="004F1B5A"/>
    <w:rsid w:val="004F1E43"/>
    <w:rsid w:val="004F21B3"/>
    <w:rsid w:val="004F29A2"/>
    <w:rsid w:val="004F32EC"/>
    <w:rsid w:val="004F406A"/>
    <w:rsid w:val="004F4DFD"/>
    <w:rsid w:val="004F5654"/>
    <w:rsid w:val="004F6852"/>
    <w:rsid w:val="004F6ABB"/>
    <w:rsid w:val="004F6FE9"/>
    <w:rsid w:val="004F7916"/>
    <w:rsid w:val="00500061"/>
    <w:rsid w:val="0050082B"/>
    <w:rsid w:val="005015AD"/>
    <w:rsid w:val="00502AD5"/>
    <w:rsid w:val="00504A23"/>
    <w:rsid w:val="00504AF1"/>
    <w:rsid w:val="00504E67"/>
    <w:rsid w:val="00505009"/>
    <w:rsid w:val="00505052"/>
    <w:rsid w:val="0050620C"/>
    <w:rsid w:val="00506856"/>
    <w:rsid w:val="00507339"/>
    <w:rsid w:val="0050762B"/>
    <w:rsid w:val="00507669"/>
    <w:rsid w:val="00510701"/>
    <w:rsid w:val="0051186D"/>
    <w:rsid w:val="00513E6D"/>
    <w:rsid w:val="00513F2F"/>
    <w:rsid w:val="00514C88"/>
    <w:rsid w:val="00515687"/>
    <w:rsid w:val="00515AE2"/>
    <w:rsid w:val="005160E2"/>
    <w:rsid w:val="0051629B"/>
    <w:rsid w:val="005168DC"/>
    <w:rsid w:val="00517BF2"/>
    <w:rsid w:val="00517F67"/>
    <w:rsid w:val="0052022A"/>
    <w:rsid w:val="00520357"/>
    <w:rsid w:val="005208DF"/>
    <w:rsid w:val="005214E3"/>
    <w:rsid w:val="00521B21"/>
    <w:rsid w:val="00522FA9"/>
    <w:rsid w:val="00523ABC"/>
    <w:rsid w:val="00525194"/>
    <w:rsid w:val="005255CB"/>
    <w:rsid w:val="00525878"/>
    <w:rsid w:val="00525EC5"/>
    <w:rsid w:val="005267DF"/>
    <w:rsid w:val="0052696D"/>
    <w:rsid w:val="00526AB7"/>
    <w:rsid w:val="00526B08"/>
    <w:rsid w:val="00526F36"/>
    <w:rsid w:val="00527465"/>
    <w:rsid w:val="005277F7"/>
    <w:rsid w:val="00527FA1"/>
    <w:rsid w:val="005309D1"/>
    <w:rsid w:val="00530D76"/>
    <w:rsid w:val="005316F6"/>
    <w:rsid w:val="00531C74"/>
    <w:rsid w:val="00531E08"/>
    <w:rsid w:val="00532AFF"/>
    <w:rsid w:val="005330E7"/>
    <w:rsid w:val="005330F7"/>
    <w:rsid w:val="00533225"/>
    <w:rsid w:val="005336AF"/>
    <w:rsid w:val="005349AD"/>
    <w:rsid w:val="005359A2"/>
    <w:rsid w:val="00536BAE"/>
    <w:rsid w:val="00537668"/>
    <w:rsid w:val="0054066A"/>
    <w:rsid w:val="00540C89"/>
    <w:rsid w:val="005411CA"/>
    <w:rsid w:val="0054167B"/>
    <w:rsid w:val="00541D9E"/>
    <w:rsid w:val="00544392"/>
    <w:rsid w:val="0054456C"/>
    <w:rsid w:val="00546527"/>
    <w:rsid w:val="00546685"/>
    <w:rsid w:val="0054696B"/>
    <w:rsid w:val="00546D53"/>
    <w:rsid w:val="00547137"/>
    <w:rsid w:val="00547439"/>
    <w:rsid w:val="005502DB"/>
    <w:rsid w:val="00551024"/>
    <w:rsid w:val="00551606"/>
    <w:rsid w:val="00551779"/>
    <w:rsid w:val="005530D1"/>
    <w:rsid w:val="00553681"/>
    <w:rsid w:val="00553D6B"/>
    <w:rsid w:val="00555E4C"/>
    <w:rsid w:val="005560B0"/>
    <w:rsid w:val="0055781E"/>
    <w:rsid w:val="00557A4D"/>
    <w:rsid w:val="00557D5D"/>
    <w:rsid w:val="00557D5E"/>
    <w:rsid w:val="0056008D"/>
    <w:rsid w:val="005603DE"/>
    <w:rsid w:val="005617D2"/>
    <w:rsid w:val="0056214C"/>
    <w:rsid w:val="0056229D"/>
    <w:rsid w:val="00562348"/>
    <w:rsid w:val="0056284D"/>
    <w:rsid w:val="00562A3C"/>
    <w:rsid w:val="00563471"/>
    <w:rsid w:val="00563598"/>
    <w:rsid w:val="0056370A"/>
    <w:rsid w:val="005645EE"/>
    <w:rsid w:val="00565814"/>
    <w:rsid w:val="0056621D"/>
    <w:rsid w:val="00570CDA"/>
    <w:rsid w:val="00570F67"/>
    <w:rsid w:val="00571AE1"/>
    <w:rsid w:val="00571CEF"/>
    <w:rsid w:val="00571E6C"/>
    <w:rsid w:val="00572C5D"/>
    <w:rsid w:val="005732D2"/>
    <w:rsid w:val="00573F94"/>
    <w:rsid w:val="00574FEC"/>
    <w:rsid w:val="00575455"/>
    <w:rsid w:val="00575A8A"/>
    <w:rsid w:val="0057685E"/>
    <w:rsid w:val="005774F4"/>
    <w:rsid w:val="00577545"/>
    <w:rsid w:val="00580705"/>
    <w:rsid w:val="00581547"/>
    <w:rsid w:val="00581FEF"/>
    <w:rsid w:val="00582017"/>
    <w:rsid w:val="005827CB"/>
    <w:rsid w:val="00582828"/>
    <w:rsid w:val="0058289D"/>
    <w:rsid w:val="005842EA"/>
    <w:rsid w:val="0058508E"/>
    <w:rsid w:val="0058509D"/>
    <w:rsid w:val="00585182"/>
    <w:rsid w:val="005854FF"/>
    <w:rsid w:val="00587122"/>
    <w:rsid w:val="00587484"/>
    <w:rsid w:val="00590CED"/>
    <w:rsid w:val="00591632"/>
    <w:rsid w:val="0059163F"/>
    <w:rsid w:val="00592CD9"/>
    <w:rsid w:val="00593D80"/>
    <w:rsid w:val="00594AF9"/>
    <w:rsid w:val="00594CCE"/>
    <w:rsid w:val="0059739D"/>
    <w:rsid w:val="0059751B"/>
    <w:rsid w:val="00597ACE"/>
    <w:rsid w:val="005A00F6"/>
    <w:rsid w:val="005A124C"/>
    <w:rsid w:val="005A1C26"/>
    <w:rsid w:val="005A2951"/>
    <w:rsid w:val="005A32BB"/>
    <w:rsid w:val="005A3B82"/>
    <w:rsid w:val="005A418E"/>
    <w:rsid w:val="005A4573"/>
    <w:rsid w:val="005A4649"/>
    <w:rsid w:val="005A4CC2"/>
    <w:rsid w:val="005A5477"/>
    <w:rsid w:val="005A556E"/>
    <w:rsid w:val="005A7158"/>
    <w:rsid w:val="005A7782"/>
    <w:rsid w:val="005A7B54"/>
    <w:rsid w:val="005A7E2C"/>
    <w:rsid w:val="005B04C6"/>
    <w:rsid w:val="005B075A"/>
    <w:rsid w:val="005B1596"/>
    <w:rsid w:val="005B237C"/>
    <w:rsid w:val="005B2D50"/>
    <w:rsid w:val="005B314A"/>
    <w:rsid w:val="005B3FAC"/>
    <w:rsid w:val="005B419A"/>
    <w:rsid w:val="005B4629"/>
    <w:rsid w:val="005B50DE"/>
    <w:rsid w:val="005B51AA"/>
    <w:rsid w:val="005B5815"/>
    <w:rsid w:val="005B5B46"/>
    <w:rsid w:val="005B6406"/>
    <w:rsid w:val="005B7526"/>
    <w:rsid w:val="005B77B9"/>
    <w:rsid w:val="005C0C00"/>
    <w:rsid w:val="005C1480"/>
    <w:rsid w:val="005C182B"/>
    <w:rsid w:val="005C18E1"/>
    <w:rsid w:val="005C1E35"/>
    <w:rsid w:val="005C200E"/>
    <w:rsid w:val="005C283A"/>
    <w:rsid w:val="005C3DBE"/>
    <w:rsid w:val="005C3F7D"/>
    <w:rsid w:val="005C4233"/>
    <w:rsid w:val="005C46CB"/>
    <w:rsid w:val="005C570B"/>
    <w:rsid w:val="005C5F4A"/>
    <w:rsid w:val="005C6784"/>
    <w:rsid w:val="005C68AE"/>
    <w:rsid w:val="005C782E"/>
    <w:rsid w:val="005C79D1"/>
    <w:rsid w:val="005D0197"/>
    <w:rsid w:val="005D0BFA"/>
    <w:rsid w:val="005D1D51"/>
    <w:rsid w:val="005D2258"/>
    <w:rsid w:val="005D27F9"/>
    <w:rsid w:val="005D2930"/>
    <w:rsid w:val="005D3326"/>
    <w:rsid w:val="005D345E"/>
    <w:rsid w:val="005D488F"/>
    <w:rsid w:val="005D4C19"/>
    <w:rsid w:val="005D56BE"/>
    <w:rsid w:val="005D63DD"/>
    <w:rsid w:val="005D7F76"/>
    <w:rsid w:val="005E0034"/>
    <w:rsid w:val="005E034D"/>
    <w:rsid w:val="005E096F"/>
    <w:rsid w:val="005E143A"/>
    <w:rsid w:val="005E1815"/>
    <w:rsid w:val="005E195B"/>
    <w:rsid w:val="005E1C4B"/>
    <w:rsid w:val="005E1DAD"/>
    <w:rsid w:val="005E25A3"/>
    <w:rsid w:val="005E3395"/>
    <w:rsid w:val="005E354B"/>
    <w:rsid w:val="005E4AD1"/>
    <w:rsid w:val="005E5A53"/>
    <w:rsid w:val="005E61A0"/>
    <w:rsid w:val="005E646F"/>
    <w:rsid w:val="005E68A9"/>
    <w:rsid w:val="005E6D45"/>
    <w:rsid w:val="005E6E3A"/>
    <w:rsid w:val="005E6EE6"/>
    <w:rsid w:val="005E79FC"/>
    <w:rsid w:val="005F03E1"/>
    <w:rsid w:val="005F1703"/>
    <w:rsid w:val="005F1D0C"/>
    <w:rsid w:val="005F1F45"/>
    <w:rsid w:val="005F339B"/>
    <w:rsid w:val="005F38D3"/>
    <w:rsid w:val="005F46BA"/>
    <w:rsid w:val="005F521B"/>
    <w:rsid w:val="005F61C2"/>
    <w:rsid w:val="005F6F0F"/>
    <w:rsid w:val="005F708D"/>
    <w:rsid w:val="005F7E0A"/>
    <w:rsid w:val="006005F8"/>
    <w:rsid w:val="00600B90"/>
    <w:rsid w:val="00601032"/>
    <w:rsid w:val="00601E48"/>
    <w:rsid w:val="00602DFB"/>
    <w:rsid w:val="00602E98"/>
    <w:rsid w:val="006033DA"/>
    <w:rsid w:val="0060350E"/>
    <w:rsid w:val="0060502E"/>
    <w:rsid w:val="006054D8"/>
    <w:rsid w:val="00605A70"/>
    <w:rsid w:val="006067A8"/>
    <w:rsid w:val="006071CB"/>
    <w:rsid w:val="0060746B"/>
    <w:rsid w:val="00607BE8"/>
    <w:rsid w:val="00607C32"/>
    <w:rsid w:val="006100C4"/>
    <w:rsid w:val="00610A17"/>
    <w:rsid w:val="00611824"/>
    <w:rsid w:val="00611A8D"/>
    <w:rsid w:val="006122FF"/>
    <w:rsid w:val="0061337B"/>
    <w:rsid w:val="006136F1"/>
    <w:rsid w:val="00613989"/>
    <w:rsid w:val="00614028"/>
    <w:rsid w:val="006156B6"/>
    <w:rsid w:val="0061628A"/>
    <w:rsid w:val="0061633A"/>
    <w:rsid w:val="00620BC0"/>
    <w:rsid w:val="00621011"/>
    <w:rsid w:val="0062123D"/>
    <w:rsid w:val="0062195E"/>
    <w:rsid w:val="0062308F"/>
    <w:rsid w:val="00623A33"/>
    <w:rsid w:val="006256F8"/>
    <w:rsid w:val="0062591E"/>
    <w:rsid w:val="00627A1E"/>
    <w:rsid w:val="00627E8E"/>
    <w:rsid w:val="0063026B"/>
    <w:rsid w:val="00631BB0"/>
    <w:rsid w:val="00631D55"/>
    <w:rsid w:val="00631F54"/>
    <w:rsid w:val="00632116"/>
    <w:rsid w:val="00632D43"/>
    <w:rsid w:val="00632E8C"/>
    <w:rsid w:val="0063345A"/>
    <w:rsid w:val="006344BE"/>
    <w:rsid w:val="00634B56"/>
    <w:rsid w:val="006351B2"/>
    <w:rsid w:val="0063538E"/>
    <w:rsid w:val="00635587"/>
    <w:rsid w:val="006358F9"/>
    <w:rsid w:val="00637263"/>
    <w:rsid w:val="00637472"/>
    <w:rsid w:val="006379F6"/>
    <w:rsid w:val="00640146"/>
    <w:rsid w:val="00640F5D"/>
    <w:rsid w:val="00641BA3"/>
    <w:rsid w:val="00641DC7"/>
    <w:rsid w:val="0064248C"/>
    <w:rsid w:val="0064258B"/>
    <w:rsid w:val="00643E0F"/>
    <w:rsid w:val="0064545F"/>
    <w:rsid w:val="0064570C"/>
    <w:rsid w:val="00645B4B"/>
    <w:rsid w:val="006476F9"/>
    <w:rsid w:val="006501DA"/>
    <w:rsid w:val="00650451"/>
    <w:rsid w:val="0065052A"/>
    <w:rsid w:val="0065089C"/>
    <w:rsid w:val="00652364"/>
    <w:rsid w:val="00652A4B"/>
    <w:rsid w:val="00652C3C"/>
    <w:rsid w:val="00653446"/>
    <w:rsid w:val="006538CF"/>
    <w:rsid w:val="00653F98"/>
    <w:rsid w:val="00654BA4"/>
    <w:rsid w:val="00655058"/>
    <w:rsid w:val="00655C61"/>
    <w:rsid w:val="00655E6D"/>
    <w:rsid w:val="006566E2"/>
    <w:rsid w:val="00656C99"/>
    <w:rsid w:val="00656D2E"/>
    <w:rsid w:val="00656F39"/>
    <w:rsid w:val="006578AE"/>
    <w:rsid w:val="0065793B"/>
    <w:rsid w:val="006603C2"/>
    <w:rsid w:val="00660A58"/>
    <w:rsid w:val="00660B2A"/>
    <w:rsid w:val="00661792"/>
    <w:rsid w:val="00661875"/>
    <w:rsid w:val="00661C9A"/>
    <w:rsid w:val="00661DA8"/>
    <w:rsid w:val="006624D6"/>
    <w:rsid w:val="006629E0"/>
    <w:rsid w:val="00664EBD"/>
    <w:rsid w:val="00665328"/>
    <w:rsid w:val="00665600"/>
    <w:rsid w:val="00667B3D"/>
    <w:rsid w:val="00670235"/>
    <w:rsid w:val="00670BE4"/>
    <w:rsid w:val="00671AC8"/>
    <w:rsid w:val="00672525"/>
    <w:rsid w:val="00673538"/>
    <w:rsid w:val="0067415B"/>
    <w:rsid w:val="0067436F"/>
    <w:rsid w:val="006743CB"/>
    <w:rsid w:val="00675299"/>
    <w:rsid w:val="00675AF4"/>
    <w:rsid w:val="006764AC"/>
    <w:rsid w:val="00676915"/>
    <w:rsid w:val="00676BBD"/>
    <w:rsid w:val="00680003"/>
    <w:rsid w:val="00680831"/>
    <w:rsid w:val="00681B58"/>
    <w:rsid w:val="00681B6C"/>
    <w:rsid w:val="00681FA3"/>
    <w:rsid w:val="00682ECA"/>
    <w:rsid w:val="00683AE1"/>
    <w:rsid w:val="00684629"/>
    <w:rsid w:val="00684A8D"/>
    <w:rsid w:val="00685C10"/>
    <w:rsid w:val="00685DD2"/>
    <w:rsid w:val="006861A2"/>
    <w:rsid w:val="00686758"/>
    <w:rsid w:val="00686D43"/>
    <w:rsid w:val="00691CFE"/>
    <w:rsid w:val="006920CD"/>
    <w:rsid w:val="00692135"/>
    <w:rsid w:val="0069299D"/>
    <w:rsid w:val="00693DF6"/>
    <w:rsid w:val="00695AAD"/>
    <w:rsid w:val="00695B37"/>
    <w:rsid w:val="00696257"/>
    <w:rsid w:val="00696317"/>
    <w:rsid w:val="00696A2F"/>
    <w:rsid w:val="0069797E"/>
    <w:rsid w:val="006A0651"/>
    <w:rsid w:val="006A0D1E"/>
    <w:rsid w:val="006A0F38"/>
    <w:rsid w:val="006A137E"/>
    <w:rsid w:val="006A1CE9"/>
    <w:rsid w:val="006A2CB7"/>
    <w:rsid w:val="006A2CD9"/>
    <w:rsid w:val="006A2D70"/>
    <w:rsid w:val="006A32BF"/>
    <w:rsid w:val="006A32DE"/>
    <w:rsid w:val="006A36CA"/>
    <w:rsid w:val="006A3AF4"/>
    <w:rsid w:val="006A43C8"/>
    <w:rsid w:val="006A4606"/>
    <w:rsid w:val="006A5EA8"/>
    <w:rsid w:val="006A6487"/>
    <w:rsid w:val="006A6749"/>
    <w:rsid w:val="006A7521"/>
    <w:rsid w:val="006A7784"/>
    <w:rsid w:val="006A7CB5"/>
    <w:rsid w:val="006A7E98"/>
    <w:rsid w:val="006B0524"/>
    <w:rsid w:val="006B0B4A"/>
    <w:rsid w:val="006B1688"/>
    <w:rsid w:val="006B1A68"/>
    <w:rsid w:val="006B2733"/>
    <w:rsid w:val="006B75FA"/>
    <w:rsid w:val="006C012F"/>
    <w:rsid w:val="006C05F9"/>
    <w:rsid w:val="006C0EC4"/>
    <w:rsid w:val="006C130B"/>
    <w:rsid w:val="006C1514"/>
    <w:rsid w:val="006C17AF"/>
    <w:rsid w:val="006C18E8"/>
    <w:rsid w:val="006C212F"/>
    <w:rsid w:val="006C2675"/>
    <w:rsid w:val="006C3041"/>
    <w:rsid w:val="006C3FE4"/>
    <w:rsid w:val="006C42C8"/>
    <w:rsid w:val="006C4352"/>
    <w:rsid w:val="006C4636"/>
    <w:rsid w:val="006C4AA3"/>
    <w:rsid w:val="006C4F87"/>
    <w:rsid w:val="006C5734"/>
    <w:rsid w:val="006C5998"/>
    <w:rsid w:val="006C5F20"/>
    <w:rsid w:val="006C7112"/>
    <w:rsid w:val="006D0F96"/>
    <w:rsid w:val="006D17EA"/>
    <w:rsid w:val="006D1DF3"/>
    <w:rsid w:val="006D25FC"/>
    <w:rsid w:val="006D354A"/>
    <w:rsid w:val="006D4C4D"/>
    <w:rsid w:val="006D555A"/>
    <w:rsid w:val="006D55C0"/>
    <w:rsid w:val="006D5D57"/>
    <w:rsid w:val="006D5F6B"/>
    <w:rsid w:val="006D63EC"/>
    <w:rsid w:val="006D66B3"/>
    <w:rsid w:val="006D6734"/>
    <w:rsid w:val="006D69A6"/>
    <w:rsid w:val="006D7C9F"/>
    <w:rsid w:val="006E0CEF"/>
    <w:rsid w:val="006E132A"/>
    <w:rsid w:val="006E192D"/>
    <w:rsid w:val="006E1B5F"/>
    <w:rsid w:val="006E1BA6"/>
    <w:rsid w:val="006E4AA9"/>
    <w:rsid w:val="006E4D4C"/>
    <w:rsid w:val="006E5314"/>
    <w:rsid w:val="006E5EA3"/>
    <w:rsid w:val="006E76A7"/>
    <w:rsid w:val="006F116F"/>
    <w:rsid w:val="006F3740"/>
    <w:rsid w:val="006F38D7"/>
    <w:rsid w:val="006F3C8A"/>
    <w:rsid w:val="006F3D4B"/>
    <w:rsid w:val="006F41F1"/>
    <w:rsid w:val="006F4F21"/>
    <w:rsid w:val="006F5169"/>
    <w:rsid w:val="006F53C7"/>
    <w:rsid w:val="006F79E6"/>
    <w:rsid w:val="006F7FC0"/>
    <w:rsid w:val="007002B7"/>
    <w:rsid w:val="007003AA"/>
    <w:rsid w:val="007006C3"/>
    <w:rsid w:val="00700AD3"/>
    <w:rsid w:val="00700D54"/>
    <w:rsid w:val="00700EA5"/>
    <w:rsid w:val="007016D1"/>
    <w:rsid w:val="00702708"/>
    <w:rsid w:val="0070354E"/>
    <w:rsid w:val="007035FB"/>
    <w:rsid w:val="00703A91"/>
    <w:rsid w:val="0070419C"/>
    <w:rsid w:val="00704731"/>
    <w:rsid w:val="00705D5C"/>
    <w:rsid w:val="00707F50"/>
    <w:rsid w:val="00710389"/>
    <w:rsid w:val="00710764"/>
    <w:rsid w:val="007107AB"/>
    <w:rsid w:val="007115F2"/>
    <w:rsid w:val="00711A29"/>
    <w:rsid w:val="00711BE6"/>
    <w:rsid w:val="00711E2A"/>
    <w:rsid w:val="00712BB4"/>
    <w:rsid w:val="00713B8E"/>
    <w:rsid w:val="00714255"/>
    <w:rsid w:val="00715AB6"/>
    <w:rsid w:val="00715C77"/>
    <w:rsid w:val="00716051"/>
    <w:rsid w:val="00716E2B"/>
    <w:rsid w:val="00716E7B"/>
    <w:rsid w:val="0071759C"/>
    <w:rsid w:val="00717994"/>
    <w:rsid w:val="00717F5B"/>
    <w:rsid w:val="00720B7A"/>
    <w:rsid w:val="007211A0"/>
    <w:rsid w:val="00722559"/>
    <w:rsid w:val="007229F6"/>
    <w:rsid w:val="007241CE"/>
    <w:rsid w:val="007262D2"/>
    <w:rsid w:val="00726655"/>
    <w:rsid w:val="007267AD"/>
    <w:rsid w:val="00726AD3"/>
    <w:rsid w:val="007272D2"/>
    <w:rsid w:val="00727FC0"/>
    <w:rsid w:val="00730E5D"/>
    <w:rsid w:val="00732541"/>
    <w:rsid w:val="00732546"/>
    <w:rsid w:val="0073325B"/>
    <w:rsid w:val="0073333D"/>
    <w:rsid w:val="00733646"/>
    <w:rsid w:val="00733DF6"/>
    <w:rsid w:val="00734D91"/>
    <w:rsid w:val="00735921"/>
    <w:rsid w:val="00736169"/>
    <w:rsid w:val="00736E4C"/>
    <w:rsid w:val="00737200"/>
    <w:rsid w:val="00737B8D"/>
    <w:rsid w:val="007425A4"/>
    <w:rsid w:val="007430E9"/>
    <w:rsid w:val="0074336C"/>
    <w:rsid w:val="007433AD"/>
    <w:rsid w:val="007436A3"/>
    <w:rsid w:val="00743B3C"/>
    <w:rsid w:val="00743BB9"/>
    <w:rsid w:val="00744178"/>
    <w:rsid w:val="0074432A"/>
    <w:rsid w:val="00744938"/>
    <w:rsid w:val="00745272"/>
    <w:rsid w:val="00745928"/>
    <w:rsid w:val="0074634C"/>
    <w:rsid w:val="00747461"/>
    <w:rsid w:val="0075056C"/>
    <w:rsid w:val="00750B85"/>
    <w:rsid w:val="00751EA7"/>
    <w:rsid w:val="00752099"/>
    <w:rsid w:val="00752682"/>
    <w:rsid w:val="00754372"/>
    <w:rsid w:val="00754BB0"/>
    <w:rsid w:val="00756442"/>
    <w:rsid w:val="007572E4"/>
    <w:rsid w:val="00757531"/>
    <w:rsid w:val="00760B2E"/>
    <w:rsid w:val="00761481"/>
    <w:rsid w:val="00762F1B"/>
    <w:rsid w:val="007630DF"/>
    <w:rsid w:val="00764333"/>
    <w:rsid w:val="0076455A"/>
    <w:rsid w:val="00764C35"/>
    <w:rsid w:val="00765D96"/>
    <w:rsid w:val="00766185"/>
    <w:rsid w:val="007667F9"/>
    <w:rsid w:val="00766907"/>
    <w:rsid w:val="007670CE"/>
    <w:rsid w:val="00767D4A"/>
    <w:rsid w:val="00770AB3"/>
    <w:rsid w:val="00771127"/>
    <w:rsid w:val="007716B2"/>
    <w:rsid w:val="00772243"/>
    <w:rsid w:val="0077260C"/>
    <w:rsid w:val="00772B34"/>
    <w:rsid w:val="00772F6B"/>
    <w:rsid w:val="00773FF7"/>
    <w:rsid w:val="007761B1"/>
    <w:rsid w:val="007763FC"/>
    <w:rsid w:val="007765A7"/>
    <w:rsid w:val="0077698E"/>
    <w:rsid w:val="00776D50"/>
    <w:rsid w:val="007770B1"/>
    <w:rsid w:val="007771FD"/>
    <w:rsid w:val="00777B9C"/>
    <w:rsid w:val="00781A5F"/>
    <w:rsid w:val="00782F0B"/>
    <w:rsid w:val="00784917"/>
    <w:rsid w:val="00784A97"/>
    <w:rsid w:val="00785515"/>
    <w:rsid w:val="00786115"/>
    <w:rsid w:val="00790C46"/>
    <w:rsid w:val="007916A5"/>
    <w:rsid w:val="00791FDA"/>
    <w:rsid w:val="00792D81"/>
    <w:rsid w:val="00793043"/>
    <w:rsid w:val="00793CDB"/>
    <w:rsid w:val="0079503B"/>
    <w:rsid w:val="007976EF"/>
    <w:rsid w:val="007A12E3"/>
    <w:rsid w:val="007A1719"/>
    <w:rsid w:val="007A23DF"/>
    <w:rsid w:val="007A2F3C"/>
    <w:rsid w:val="007A3AE5"/>
    <w:rsid w:val="007A520F"/>
    <w:rsid w:val="007A533E"/>
    <w:rsid w:val="007A5939"/>
    <w:rsid w:val="007A6685"/>
    <w:rsid w:val="007B03A2"/>
    <w:rsid w:val="007B1E13"/>
    <w:rsid w:val="007B2989"/>
    <w:rsid w:val="007B582C"/>
    <w:rsid w:val="007B5E2B"/>
    <w:rsid w:val="007B64F1"/>
    <w:rsid w:val="007B7089"/>
    <w:rsid w:val="007B74EF"/>
    <w:rsid w:val="007B7D9F"/>
    <w:rsid w:val="007C0889"/>
    <w:rsid w:val="007C112E"/>
    <w:rsid w:val="007C12D8"/>
    <w:rsid w:val="007C1682"/>
    <w:rsid w:val="007C39F2"/>
    <w:rsid w:val="007C500B"/>
    <w:rsid w:val="007C5536"/>
    <w:rsid w:val="007C565C"/>
    <w:rsid w:val="007C5BC4"/>
    <w:rsid w:val="007C63DD"/>
    <w:rsid w:val="007C666D"/>
    <w:rsid w:val="007C7454"/>
    <w:rsid w:val="007D25D4"/>
    <w:rsid w:val="007D38D1"/>
    <w:rsid w:val="007D39E9"/>
    <w:rsid w:val="007D415C"/>
    <w:rsid w:val="007D600E"/>
    <w:rsid w:val="007D6D59"/>
    <w:rsid w:val="007D6E21"/>
    <w:rsid w:val="007D77D9"/>
    <w:rsid w:val="007E0DED"/>
    <w:rsid w:val="007E1751"/>
    <w:rsid w:val="007E17C8"/>
    <w:rsid w:val="007E190D"/>
    <w:rsid w:val="007E1CA0"/>
    <w:rsid w:val="007E240B"/>
    <w:rsid w:val="007E2B3E"/>
    <w:rsid w:val="007E2F77"/>
    <w:rsid w:val="007E486D"/>
    <w:rsid w:val="007E491E"/>
    <w:rsid w:val="007E4F8A"/>
    <w:rsid w:val="007E583C"/>
    <w:rsid w:val="007E588E"/>
    <w:rsid w:val="007E595E"/>
    <w:rsid w:val="007E641E"/>
    <w:rsid w:val="007E6DEA"/>
    <w:rsid w:val="007E75E5"/>
    <w:rsid w:val="007E77AE"/>
    <w:rsid w:val="007E7AD0"/>
    <w:rsid w:val="007F05A1"/>
    <w:rsid w:val="007F0728"/>
    <w:rsid w:val="007F08AF"/>
    <w:rsid w:val="007F09F8"/>
    <w:rsid w:val="007F16AB"/>
    <w:rsid w:val="007F1DD4"/>
    <w:rsid w:val="007F2C34"/>
    <w:rsid w:val="007F353C"/>
    <w:rsid w:val="007F3B55"/>
    <w:rsid w:val="007F3CCA"/>
    <w:rsid w:val="007F3E35"/>
    <w:rsid w:val="007F56FA"/>
    <w:rsid w:val="007F624E"/>
    <w:rsid w:val="007F6629"/>
    <w:rsid w:val="007F6B56"/>
    <w:rsid w:val="007F6C3E"/>
    <w:rsid w:val="00800B74"/>
    <w:rsid w:val="00800ED8"/>
    <w:rsid w:val="008013D9"/>
    <w:rsid w:val="008015D7"/>
    <w:rsid w:val="008018E5"/>
    <w:rsid w:val="00802A0C"/>
    <w:rsid w:val="008038B5"/>
    <w:rsid w:val="00803CE1"/>
    <w:rsid w:val="00804ADE"/>
    <w:rsid w:val="00804BB7"/>
    <w:rsid w:val="00805A35"/>
    <w:rsid w:val="0080629B"/>
    <w:rsid w:val="00806431"/>
    <w:rsid w:val="00807887"/>
    <w:rsid w:val="00810AE8"/>
    <w:rsid w:val="00811C0E"/>
    <w:rsid w:val="00811D15"/>
    <w:rsid w:val="00811E69"/>
    <w:rsid w:val="008146F7"/>
    <w:rsid w:val="00814E6D"/>
    <w:rsid w:val="008156DF"/>
    <w:rsid w:val="008158E5"/>
    <w:rsid w:val="008163B9"/>
    <w:rsid w:val="00817848"/>
    <w:rsid w:val="00820F60"/>
    <w:rsid w:val="008226C3"/>
    <w:rsid w:val="00822CC3"/>
    <w:rsid w:val="008249E2"/>
    <w:rsid w:val="00825404"/>
    <w:rsid w:val="00825C3A"/>
    <w:rsid w:val="00825CA2"/>
    <w:rsid w:val="00826747"/>
    <w:rsid w:val="00826D4A"/>
    <w:rsid w:val="00830A44"/>
    <w:rsid w:val="00831057"/>
    <w:rsid w:val="00831DC2"/>
    <w:rsid w:val="00833D09"/>
    <w:rsid w:val="00833F08"/>
    <w:rsid w:val="00833FAC"/>
    <w:rsid w:val="008343EA"/>
    <w:rsid w:val="00834B45"/>
    <w:rsid w:val="008355C0"/>
    <w:rsid w:val="0083603C"/>
    <w:rsid w:val="00836120"/>
    <w:rsid w:val="008364AE"/>
    <w:rsid w:val="008371EB"/>
    <w:rsid w:val="0083720F"/>
    <w:rsid w:val="0083764D"/>
    <w:rsid w:val="008405AB"/>
    <w:rsid w:val="00841FF0"/>
    <w:rsid w:val="008429AD"/>
    <w:rsid w:val="00843044"/>
    <w:rsid w:val="0084341B"/>
    <w:rsid w:val="0084351E"/>
    <w:rsid w:val="00843A5F"/>
    <w:rsid w:val="00843A69"/>
    <w:rsid w:val="00843F79"/>
    <w:rsid w:val="00844105"/>
    <w:rsid w:val="00844109"/>
    <w:rsid w:val="008444D0"/>
    <w:rsid w:val="008449FC"/>
    <w:rsid w:val="00845558"/>
    <w:rsid w:val="00845BF2"/>
    <w:rsid w:val="00846AB6"/>
    <w:rsid w:val="00846B0B"/>
    <w:rsid w:val="00846F1C"/>
    <w:rsid w:val="00847537"/>
    <w:rsid w:val="00850046"/>
    <w:rsid w:val="00850BBD"/>
    <w:rsid w:val="0085140B"/>
    <w:rsid w:val="008514E3"/>
    <w:rsid w:val="00852F81"/>
    <w:rsid w:val="00852FC2"/>
    <w:rsid w:val="00853577"/>
    <w:rsid w:val="00853D48"/>
    <w:rsid w:val="00854541"/>
    <w:rsid w:val="00854568"/>
    <w:rsid w:val="008547B0"/>
    <w:rsid w:val="0085495E"/>
    <w:rsid w:val="00854E53"/>
    <w:rsid w:val="0085526D"/>
    <w:rsid w:val="00855BF1"/>
    <w:rsid w:val="00856DCD"/>
    <w:rsid w:val="008574D5"/>
    <w:rsid w:val="00857850"/>
    <w:rsid w:val="0085794E"/>
    <w:rsid w:val="00857980"/>
    <w:rsid w:val="00857E09"/>
    <w:rsid w:val="00860521"/>
    <w:rsid w:val="008605FD"/>
    <w:rsid w:val="00861A94"/>
    <w:rsid w:val="008624AD"/>
    <w:rsid w:val="008628F5"/>
    <w:rsid w:val="008638D7"/>
    <w:rsid w:val="00863CF0"/>
    <w:rsid w:val="008657C0"/>
    <w:rsid w:val="00865ACE"/>
    <w:rsid w:val="00865E7C"/>
    <w:rsid w:val="00866771"/>
    <w:rsid w:val="008674C0"/>
    <w:rsid w:val="0086774F"/>
    <w:rsid w:val="00870055"/>
    <w:rsid w:val="0087037B"/>
    <w:rsid w:val="00870E86"/>
    <w:rsid w:val="008720C7"/>
    <w:rsid w:val="00872779"/>
    <w:rsid w:val="0087346F"/>
    <w:rsid w:val="0087382C"/>
    <w:rsid w:val="00873A23"/>
    <w:rsid w:val="00873EA8"/>
    <w:rsid w:val="00874AC6"/>
    <w:rsid w:val="00874AE2"/>
    <w:rsid w:val="00874C20"/>
    <w:rsid w:val="00875187"/>
    <w:rsid w:val="008755FE"/>
    <w:rsid w:val="00876286"/>
    <w:rsid w:val="00877F0A"/>
    <w:rsid w:val="008809FF"/>
    <w:rsid w:val="00880A80"/>
    <w:rsid w:val="00880DC4"/>
    <w:rsid w:val="008814C9"/>
    <w:rsid w:val="00882215"/>
    <w:rsid w:val="00882970"/>
    <w:rsid w:val="008836AA"/>
    <w:rsid w:val="00883797"/>
    <w:rsid w:val="008839F2"/>
    <w:rsid w:val="00883D71"/>
    <w:rsid w:val="008847AA"/>
    <w:rsid w:val="00885144"/>
    <w:rsid w:val="008858C9"/>
    <w:rsid w:val="0088597B"/>
    <w:rsid w:val="008867FD"/>
    <w:rsid w:val="00887594"/>
    <w:rsid w:val="008876A9"/>
    <w:rsid w:val="00887C7A"/>
    <w:rsid w:val="008908B8"/>
    <w:rsid w:val="00891C5E"/>
    <w:rsid w:val="008942A4"/>
    <w:rsid w:val="008943E2"/>
    <w:rsid w:val="0089481B"/>
    <w:rsid w:val="008973F0"/>
    <w:rsid w:val="00897FFB"/>
    <w:rsid w:val="008A08DC"/>
    <w:rsid w:val="008A0C5D"/>
    <w:rsid w:val="008A114C"/>
    <w:rsid w:val="008A1BD6"/>
    <w:rsid w:val="008A2730"/>
    <w:rsid w:val="008A3C37"/>
    <w:rsid w:val="008A3FCC"/>
    <w:rsid w:val="008A53D2"/>
    <w:rsid w:val="008A5841"/>
    <w:rsid w:val="008A5D05"/>
    <w:rsid w:val="008A601A"/>
    <w:rsid w:val="008A604F"/>
    <w:rsid w:val="008A691C"/>
    <w:rsid w:val="008A7C1B"/>
    <w:rsid w:val="008A7E87"/>
    <w:rsid w:val="008B048F"/>
    <w:rsid w:val="008B09CB"/>
    <w:rsid w:val="008B0AC3"/>
    <w:rsid w:val="008B0E0B"/>
    <w:rsid w:val="008B1154"/>
    <w:rsid w:val="008B14CD"/>
    <w:rsid w:val="008B15D1"/>
    <w:rsid w:val="008B18C5"/>
    <w:rsid w:val="008B1B21"/>
    <w:rsid w:val="008B1B57"/>
    <w:rsid w:val="008B1F25"/>
    <w:rsid w:val="008B2B09"/>
    <w:rsid w:val="008B2CAC"/>
    <w:rsid w:val="008B2D1E"/>
    <w:rsid w:val="008B30C3"/>
    <w:rsid w:val="008B30C8"/>
    <w:rsid w:val="008B3B2F"/>
    <w:rsid w:val="008B732F"/>
    <w:rsid w:val="008C048D"/>
    <w:rsid w:val="008C19EB"/>
    <w:rsid w:val="008C22DB"/>
    <w:rsid w:val="008C2BFF"/>
    <w:rsid w:val="008C3429"/>
    <w:rsid w:val="008C3546"/>
    <w:rsid w:val="008C3B20"/>
    <w:rsid w:val="008C3CC0"/>
    <w:rsid w:val="008C51F1"/>
    <w:rsid w:val="008C54F6"/>
    <w:rsid w:val="008C5847"/>
    <w:rsid w:val="008C70E8"/>
    <w:rsid w:val="008C70E9"/>
    <w:rsid w:val="008D0C09"/>
    <w:rsid w:val="008D2632"/>
    <w:rsid w:val="008D3B6D"/>
    <w:rsid w:val="008D41A0"/>
    <w:rsid w:val="008D485F"/>
    <w:rsid w:val="008D5169"/>
    <w:rsid w:val="008D6532"/>
    <w:rsid w:val="008D665D"/>
    <w:rsid w:val="008D66E6"/>
    <w:rsid w:val="008D6F73"/>
    <w:rsid w:val="008E04E8"/>
    <w:rsid w:val="008E0653"/>
    <w:rsid w:val="008E0C45"/>
    <w:rsid w:val="008E0D44"/>
    <w:rsid w:val="008E0E7C"/>
    <w:rsid w:val="008E1722"/>
    <w:rsid w:val="008E1BC4"/>
    <w:rsid w:val="008E4F32"/>
    <w:rsid w:val="008E5BB3"/>
    <w:rsid w:val="008E5BBD"/>
    <w:rsid w:val="008E5E46"/>
    <w:rsid w:val="008E68BF"/>
    <w:rsid w:val="008E6FCF"/>
    <w:rsid w:val="008F0036"/>
    <w:rsid w:val="008F1263"/>
    <w:rsid w:val="008F12BC"/>
    <w:rsid w:val="008F12D8"/>
    <w:rsid w:val="008F1494"/>
    <w:rsid w:val="008F176A"/>
    <w:rsid w:val="008F2372"/>
    <w:rsid w:val="008F23CD"/>
    <w:rsid w:val="008F29BF"/>
    <w:rsid w:val="008F39D8"/>
    <w:rsid w:val="008F3F31"/>
    <w:rsid w:val="008F47B5"/>
    <w:rsid w:val="008F5995"/>
    <w:rsid w:val="008F5A1A"/>
    <w:rsid w:val="008F5F27"/>
    <w:rsid w:val="008F66AE"/>
    <w:rsid w:val="008F6DA3"/>
    <w:rsid w:val="008F7318"/>
    <w:rsid w:val="009004F7"/>
    <w:rsid w:val="00901445"/>
    <w:rsid w:val="009026E9"/>
    <w:rsid w:val="0090362D"/>
    <w:rsid w:val="00903D5A"/>
    <w:rsid w:val="00903D5B"/>
    <w:rsid w:val="00905352"/>
    <w:rsid w:val="0090648C"/>
    <w:rsid w:val="00906E1A"/>
    <w:rsid w:val="00906EC7"/>
    <w:rsid w:val="009072DE"/>
    <w:rsid w:val="009072F8"/>
    <w:rsid w:val="00910D07"/>
    <w:rsid w:val="009111D9"/>
    <w:rsid w:val="00912393"/>
    <w:rsid w:val="00912502"/>
    <w:rsid w:val="0091362C"/>
    <w:rsid w:val="00913736"/>
    <w:rsid w:val="009149ED"/>
    <w:rsid w:val="00914C1E"/>
    <w:rsid w:val="0091574F"/>
    <w:rsid w:val="00915978"/>
    <w:rsid w:val="00916469"/>
    <w:rsid w:val="009179C9"/>
    <w:rsid w:val="00920063"/>
    <w:rsid w:val="0092032C"/>
    <w:rsid w:val="0092134E"/>
    <w:rsid w:val="0092285F"/>
    <w:rsid w:val="00922C4A"/>
    <w:rsid w:val="00924351"/>
    <w:rsid w:val="00925E46"/>
    <w:rsid w:val="00926087"/>
    <w:rsid w:val="00926261"/>
    <w:rsid w:val="009310B5"/>
    <w:rsid w:val="00931143"/>
    <w:rsid w:val="00931FCA"/>
    <w:rsid w:val="009323BC"/>
    <w:rsid w:val="00933A2C"/>
    <w:rsid w:val="00933A49"/>
    <w:rsid w:val="00934FB6"/>
    <w:rsid w:val="00936296"/>
    <w:rsid w:val="0094066C"/>
    <w:rsid w:val="009415CD"/>
    <w:rsid w:val="009427E1"/>
    <w:rsid w:val="00942B57"/>
    <w:rsid w:val="00943E7D"/>
    <w:rsid w:val="00944F00"/>
    <w:rsid w:val="00945471"/>
    <w:rsid w:val="009463A8"/>
    <w:rsid w:val="009469B3"/>
    <w:rsid w:val="0094780D"/>
    <w:rsid w:val="00947FE4"/>
    <w:rsid w:val="0095026B"/>
    <w:rsid w:val="009502FD"/>
    <w:rsid w:val="00950DFA"/>
    <w:rsid w:val="00951699"/>
    <w:rsid w:val="00951982"/>
    <w:rsid w:val="009524B8"/>
    <w:rsid w:val="00952A9F"/>
    <w:rsid w:val="0095435F"/>
    <w:rsid w:val="009544FE"/>
    <w:rsid w:val="00954B15"/>
    <w:rsid w:val="00956A54"/>
    <w:rsid w:val="00956E0A"/>
    <w:rsid w:val="009570D1"/>
    <w:rsid w:val="009573E9"/>
    <w:rsid w:val="0095793E"/>
    <w:rsid w:val="009602A5"/>
    <w:rsid w:val="009603CD"/>
    <w:rsid w:val="0096066B"/>
    <w:rsid w:val="00961E58"/>
    <w:rsid w:val="00962DA3"/>
    <w:rsid w:val="00964BE4"/>
    <w:rsid w:val="00964C43"/>
    <w:rsid w:val="009654C0"/>
    <w:rsid w:val="00965D9F"/>
    <w:rsid w:val="00965DCF"/>
    <w:rsid w:val="009663D5"/>
    <w:rsid w:val="009664F2"/>
    <w:rsid w:val="009666E4"/>
    <w:rsid w:val="00966884"/>
    <w:rsid w:val="00966C94"/>
    <w:rsid w:val="00970A84"/>
    <w:rsid w:val="00971369"/>
    <w:rsid w:val="009715F8"/>
    <w:rsid w:val="009719B1"/>
    <w:rsid w:val="00971B82"/>
    <w:rsid w:val="0097216C"/>
    <w:rsid w:val="00972391"/>
    <w:rsid w:val="009730F4"/>
    <w:rsid w:val="00973D85"/>
    <w:rsid w:val="00973EA0"/>
    <w:rsid w:val="00974C93"/>
    <w:rsid w:val="009754A3"/>
    <w:rsid w:val="00975EC3"/>
    <w:rsid w:val="00976FBF"/>
    <w:rsid w:val="00977040"/>
    <w:rsid w:val="009804B0"/>
    <w:rsid w:val="0098131F"/>
    <w:rsid w:val="009815AF"/>
    <w:rsid w:val="00981C2B"/>
    <w:rsid w:val="00982323"/>
    <w:rsid w:val="00982860"/>
    <w:rsid w:val="009828C1"/>
    <w:rsid w:val="00982B05"/>
    <w:rsid w:val="00982EA8"/>
    <w:rsid w:val="00982F6A"/>
    <w:rsid w:val="009837E7"/>
    <w:rsid w:val="009845CF"/>
    <w:rsid w:val="00985C8A"/>
    <w:rsid w:val="009863DD"/>
    <w:rsid w:val="00986651"/>
    <w:rsid w:val="00986991"/>
    <w:rsid w:val="00986BC0"/>
    <w:rsid w:val="0098702E"/>
    <w:rsid w:val="00987B44"/>
    <w:rsid w:val="00987DC0"/>
    <w:rsid w:val="00991404"/>
    <w:rsid w:val="0099140C"/>
    <w:rsid w:val="00991504"/>
    <w:rsid w:val="00991873"/>
    <w:rsid w:val="00991C48"/>
    <w:rsid w:val="009921DA"/>
    <w:rsid w:val="00992FD3"/>
    <w:rsid w:val="00993AB9"/>
    <w:rsid w:val="00994328"/>
    <w:rsid w:val="00995221"/>
    <w:rsid w:val="009961CF"/>
    <w:rsid w:val="009964A0"/>
    <w:rsid w:val="00996711"/>
    <w:rsid w:val="00997001"/>
    <w:rsid w:val="0099782D"/>
    <w:rsid w:val="00997CE9"/>
    <w:rsid w:val="00997FEA"/>
    <w:rsid w:val="009A05F0"/>
    <w:rsid w:val="009A0F2E"/>
    <w:rsid w:val="009A16D3"/>
    <w:rsid w:val="009A19FA"/>
    <w:rsid w:val="009A1D37"/>
    <w:rsid w:val="009A2187"/>
    <w:rsid w:val="009A29B2"/>
    <w:rsid w:val="009A35F1"/>
    <w:rsid w:val="009A38A2"/>
    <w:rsid w:val="009A4E52"/>
    <w:rsid w:val="009A51BE"/>
    <w:rsid w:val="009A60F4"/>
    <w:rsid w:val="009A6436"/>
    <w:rsid w:val="009A68E2"/>
    <w:rsid w:val="009A72B5"/>
    <w:rsid w:val="009A76F8"/>
    <w:rsid w:val="009A7876"/>
    <w:rsid w:val="009B0499"/>
    <w:rsid w:val="009B132D"/>
    <w:rsid w:val="009B13C8"/>
    <w:rsid w:val="009B2BA2"/>
    <w:rsid w:val="009B2BB2"/>
    <w:rsid w:val="009B41C4"/>
    <w:rsid w:val="009B4731"/>
    <w:rsid w:val="009B4DE6"/>
    <w:rsid w:val="009B6054"/>
    <w:rsid w:val="009B6888"/>
    <w:rsid w:val="009B73E2"/>
    <w:rsid w:val="009C08A9"/>
    <w:rsid w:val="009C0C78"/>
    <w:rsid w:val="009C103F"/>
    <w:rsid w:val="009C1079"/>
    <w:rsid w:val="009C2290"/>
    <w:rsid w:val="009C2348"/>
    <w:rsid w:val="009C2C5E"/>
    <w:rsid w:val="009C30BE"/>
    <w:rsid w:val="009C5F22"/>
    <w:rsid w:val="009C6D4C"/>
    <w:rsid w:val="009C72FB"/>
    <w:rsid w:val="009C7658"/>
    <w:rsid w:val="009D0319"/>
    <w:rsid w:val="009D070C"/>
    <w:rsid w:val="009D0BC5"/>
    <w:rsid w:val="009D1367"/>
    <w:rsid w:val="009D2486"/>
    <w:rsid w:val="009D49BC"/>
    <w:rsid w:val="009D505B"/>
    <w:rsid w:val="009D5A79"/>
    <w:rsid w:val="009D5FB7"/>
    <w:rsid w:val="009D6884"/>
    <w:rsid w:val="009D6EC7"/>
    <w:rsid w:val="009D6F88"/>
    <w:rsid w:val="009D76A6"/>
    <w:rsid w:val="009E2721"/>
    <w:rsid w:val="009E275B"/>
    <w:rsid w:val="009E4B76"/>
    <w:rsid w:val="009E577E"/>
    <w:rsid w:val="009E6CA4"/>
    <w:rsid w:val="009E748B"/>
    <w:rsid w:val="009E7C39"/>
    <w:rsid w:val="009F18D9"/>
    <w:rsid w:val="009F2629"/>
    <w:rsid w:val="009F2BCF"/>
    <w:rsid w:val="009F2C2F"/>
    <w:rsid w:val="009F2E06"/>
    <w:rsid w:val="009F3474"/>
    <w:rsid w:val="009F3D0A"/>
    <w:rsid w:val="009F3E64"/>
    <w:rsid w:val="009F4CFF"/>
    <w:rsid w:val="009F51FB"/>
    <w:rsid w:val="009F5293"/>
    <w:rsid w:val="009F5E8C"/>
    <w:rsid w:val="009F6123"/>
    <w:rsid w:val="009F6371"/>
    <w:rsid w:val="009F6596"/>
    <w:rsid w:val="009F709A"/>
    <w:rsid w:val="009F7CB6"/>
    <w:rsid w:val="009F7EB9"/>
    <w:rsid w:val="00A00787"/>
    <w:rsid w:val="00A01CFE"/>
    <w:rsid w:val="00A03242"/>
    <w:rsid w:val="00A05E3B"/>
    <w:rsid w:val="00A0687D"/>
    <w:rsid w:val="00A06C34"/>
    <w:rsid w:val="00A06E69"/>
    <w:rsid w:val="00A06ED5"/>
    <w:rsid w:val="00A07495"/>
    <w:rsid w:val="00A10552"/>
    <w:rsid w:val="00A1112F"/>
    <w:rsid w:val="00A13B1B"/>
    <w:rsid w:val="00A14155"/>
    <w:rsid w:val="00A14573"/>
    <w:rsid w:val="00A1469A"/>
    <w:rsid w:val="00A14E4A"/>
    <w:rsid w:val="00A21813"/>
    <w:rsid w:val="00A22164"/>
    <w:rsid w:val="00A229B5"/>
    <w:rsid w:val="00A22F7C"/>
    <w:rsid w:val="00A245D4"/>
    <w:rsid w:val="00A2548A"/>
    <w:rsid w:val="00A27990"/>
    <w:rsid w:val="00A30516"/>
    <w:rsid w:val="00A31520"/>
    <w:rsid w:val="00A3152E"/>
    <w:rsid w:val="00A31E3B"/>
    <w:rsid w:val="00A3298C"/>
    <w:rsid w:val="00A337F9"/>
    <w:rsid w:val="00A33ED6"/>
    <w:rsid w:val="00A34291"/>
    <w:rsid w:val="00A349A1"/>
    <w:rsid w:val="00A37E7E"/>
    <w:rsid w:val="00A37FD2"/>
    <w:rsid w:val="00A41F9F"/>
    <w:rsid w:val="00A4442E"/>
    <w:rsid w:val="00A445BF"/>
    <w:rsid w:val="00A45425"/>
    <w:rsid w:val="00A45EE9"/>
    <w:rsid w:val="00A4621A"/>
    <w:rsid w:val="00A471F0"/>
    <w:rsid w:val="00A47C75"/>
    <w:rsid w:val="00A47C80"/>
    <w:rsid w:val="00A508A5"/>
    <w:rsid w:val="00A52D83"/>
    <w:rsid w:val="00A53BBA"/>
    <w:rsid w:val="00A541CA"/>
    <w:rsid w:val="00A543EF"/>
    <w:rsid w:val="00A54634"/>
    <w:rsid w:val="00A54B1C"/>
    <w:rsid w:val="00A5718B"/>
    <w:rsid w:val="00A574F1"/>
    <w:rsid w:val="00A57CC0"/>
    <w:rsid w:val="00A60942"/>
    <w:rsid w:val="00A623C3"/>
    <w:rsid w:val="00A62C65"/>
    <w:rsid w:val="00A6341A"/>
    <w:rsid w:val="00A63519"/>
    <w:rsid w:val="00A65B14"/>
    <w:rsid w:val="00A66404"/>
    <w:rsid w:val="00A66D7B"/>
    <w:rsid w:val="00A70250"/>
    <w:rsid w:val="00A7055A"/>
    <w:rsid w:val="00A71F05"/>
    <w:rsid w:val="00A72CD1"/>
    <w:rsid w:val="00A73AD9"/>
    <w:rsid w:val="00A76723"/>
    <w:rsid w:val="00A775A2"/>
    <w:rsid w:val="00A775D8"/>
    <w:rsid w:val="00A77893"/>
    <w:rsid w:val="00A77F6F"/>
    <w:rsid w:val="00A80289"/>
    <w:rsid w:val="00A80327"/>
    <w:rsid w:val="00A81290"/>
    <w:rsid w:val="00A815E6"/>
    <w:rsid w:val="00A82175"/>
    <w:rsid w:val="00A82A70"/>
    <w:rsid w:val="00A82D98"/>
    <w:rsid w:val="00A836DB"/>
    <w:rsid w:val="00A83776"/>
    <w:rsid w:val="00A83D66"/>
    <w:rsid w:val="00A83DB1"/>
    <w:rsid w:val="00A84C67"/>
    <w:rsid w:val="00A85094"/>
    <w:rsid w:val="00A85D29"/>
    <w:rsid w:val="00A862D9"/>
    <w:rsid w:val="00A86681"/>
    <w:rsid w:val="00A8684B"/>
    <w:rsid w:val="00A86B7C"/>
    <w:rsid w:val="00A86F0E"/>
    <w:rsid w:val="00A875FA"/>
    <w:rsid w:val="00A87880"/>
    <w:rsid w:val="00A907D6"/>
    <w:rsid w:val="00A92389"/>
    <w:rsid w:val="00A928EA"/>
    <w:rsid w:val="00A92EFB"/>
    <w:rsid w:val="00A932E4"/>
    <w:rsid w:val="00A9364F"/>
    <w:rsid w:val="00A943DA"/>
    <w:rsid w:val="00A94689"/>
    <w:rsid w:val="00A9496E"/>
    <w:rsid w:val="00A95091"/>
    <w:rsid w:val="00A95EC9"/>
    <w:rsid w:val="00A97881"/>
    <w:rsid w:val="00AA0055"/>
    <w:rsid w:val="00AA147E"/>
    <w:rsid w:val="00AA15F5"/>
    <w:rsid w:val="00AA1EDC"/>
    <w:rsid w:val="00AA4FDA"/>
    <w:rsid w:val="00AA7EAC"/>
    <w:rsid w:val="00AB1486"/>
    <w:rsid w:val="00AB26B4"/>
    <w:rsid w:val="00AB3C39"/>
    <w:rsid w:val="00AB3CF3"/>
    <w:rsid w:val="00AB4428"/>
    <w:rsid w:val="00AB5301"/>
    <w:rsid w:val="00AB6F23"/>
    <w:rsid w:val="00AB6F5E"/>
    <w:rsid w:val="00AB7FA5"/>
    <w:rsid w:val="00AC1D83"/>
    <w:rsid w:val="00AC2FE1"/>
    <w:rsid w:val="00AC3B74"/>
    <w:rsid w:val="00AC3FF6"/>
    <w:rsid w:val="00AC4469"/>
    <w:rsid w:val="00AC55D0"/>
    <w:rsid w:val="00AC6CFC"/>
    <w:rsid w:val="00AC7E91"/>
    <w:rsid w:val="00AD00BB"/>
    <w:rsid w:val="00AD01C2"/>
    <w:rsid w:val="00AD0B80"/>
    <w:rsid w:val="00AD0DD2"/>
    <w:rsid w:val="00AD1521"/>
    <w:rsid w:val="00AD1692"/>
    <w:rsid w:val="00AD1B5E"/>
    <w:rsid w:val="00AD2DD6"/>
    <w:rsid w:val="00AD2FC6"/>
    <w:rsid w:val="00AD489A"/>
    <w:rsid w:val="00AD4D67"/>
    <w:rsid w:val="00AD5E64"/>
    <w:rsid w:val="00AD71D7"/>
    <w:rsid w:val="00AD73A9"/>
    <w:rsid w:val="00AD7DA6"/>
    <w:rsid w:val="00AD7DB8"/>
    <w:rsid w:val="00AE0086"/>
    <w:rsid w:val="00AE0841"/>
    <w:rsid w:val="00AE0933"/>
    <w:rsid w:val="00AE0F93"/>
    <w:rsid w:val="00AE1BB9"/>
    <w:rsid w:val="00AE2624"/>
    <w:rsid w:val="00AE2EE2"/>
    <w:rsid w:val="00AE35B6"/>
    <w:rsid w:val="00AE3FCD"/>
    <w:rsid w:val="00AE4014"/>
    <w:rsid w:val="00AE6104"/>
    <w:rsid w:val="00AE65AD"/>
    <w:rsid w:val="00AE67A3"/>
    <w:rsid w:val="00AE67D6"/>
    <w:rsid w:val="00AE6B47"/>
    <w:rsid w:val="00AE6CCD"/>
    <w:rsid w:val="00AE71FF"/>
    <w:rsid w:val="00AE78BB"/>
    <w:rsid w:val="00AF00BF"/>
    <w:rsid w:val="00AF05D9"/>
    <w:rsid w:val="00AF13DB"/>
    <w:rsid w:val="00AF1F95"/>
    <w:rsid w:val="00AF2683"/>
    <w:rsid w:val="00AF33FF"/>
    <w:rsid w:val="00AF3D99"/>
    <w:rsid w:val="00AF4755"/>
    <w:rsid w:val="00AF571A"/>
    <w:rsid w:val="00AF5FF3"/>
    <w:rsid w:val="00AF678E"/>
    <w:rsid w:val="00B003BE"/>
    <w:rsid w:val="00B02498"/>
    <w:rsid w:val="00B0253A"/>
    <w:rsid w:val="00B02958"/>
    <w:rsid w:val="00B02C0F"/>
    <w:rsid w:val="00B0304F"/>
    <w:rsid w:val="00B03789"/>
    <w:rsid w:val="00B04103"/>
    <w:rsid w:val="00B04409"/>
    <w:rsid w:val="00B05491"/>
    <w:rsid w:val="00B05F0E"/>
    <w:rsid w:val="00B060B1"/>
    <w:rsid w:val="00B062E9"/>
    <w:rsid w:val="00B0758F"/>
    <w:rsid w:val="00B0768A"/>
    <w:rsid w:val="00B07C13"/>
    <w:rsid w:val="00B1115D"/>
    <w:rsid w:val="00B126BE"/>
    <w:rsid w:val="00B141FB"/>
    <w:rsid w:val="00B14A50"/>
    <w:rsid w:val="00B14B03"/>
    <w:rsid w:val="00B14FB5"/>
    <w:rsid w:val="00B15059"/>
    <w:rsid w:val="00B15325"/>
    <w:rsid w:val="00B167F4"/>
    <w:rsid w:val="00B16D21"/>
    <w:rsid w:val="00B173A0"/>
    <w:rsid w:val="00B17ED7"/>
    <w:rsid w:val="00B20188"/>
    <w:rsid w:val="00B21784"/>
    <w:rsid w:val="00B2197C"/>
    <w:rsid w:val="00B21DB4"/>
    <w:rsid w:val="00B23248"/>
    <w:rsid w:val="00B24318"/>
    <w:rsid w:val="00B250EB"/>
    <w:rsid w:val="00B263F2"/>
    <w:rsid w:val="00B26ABC"/>
    <w:rsid w:val="00B26FA9"/>
    <w:rsid w:val="00B31287"/>
    <w:rsid w:val="00B31CDB"/>
    <w:rsid w:val="00B326FA"/>
    <w:rsid w:val="00B328FD"/>
    <w:rsid w:val="00B333AB"/>
    <w:rsid w:val="00B34265"/>
    <w:rsid w:val="00B3431E"/>
    <w:rsid w:val="00B343FD"/>
    <w:rsid w:val="00B34C18"/>
    <w:rsid w:val="00B34F60"/>
    <w:rsid w:val="00B3572C"/>
    <w:rsid w:val="00B3670B"/>
    <w:rsid w:val="00B36D75"/>
    <w:rsid w:val="00B36EB7"/>
    <w:rsid w:val="00B40606"/>
    <w:rsid w:val="00B418ED"/>
    <w:rsid w:val="00B43F8D"/>
    <w:rsid w:val="00B44461"/>
    <w:rsid w:val="00B46AEC"/>
    <w:rsid w:val="00B4708E"/>
    <w:rsid w:val="00B476C9"/>
    <w:rsid w:val="00B47B15"/>
    <w:rsid w:val="00B47D0E"/>
    <w:rsid w:val="00B47E90"/>
    <w:rsid w:val="00B5037C"/>
    <w:rsid w:val="00B50644"/>
    <w:rsid w:val="00B507CA"/>
    <w:rsid w:val="00B5091F"/>
    <w:rsid w:val="00B5142A"/>
    <w:rsid w:val="00B51BCB"/>
    <w:rsid w:val="00B53A52"/>
    <w:rsid w:val="00B53D81"/>
    <w:rsid w:val="00B551DB"/>
    <w:rsid w:val="00B55B6B"/>
    <w:rsid w:val="00B57E93"/>
    <w:rsid w:val="00B614F6"/>
    <w:rsid w:val="00B616DA"/>
    <w:rsid w:val="00B62468"/>
    <w:rsid w:val="00B63C38"/>
    <w:rsid w:val="00B63EAF"/>
    <w:rsid w:val="00B6411A"/>
    <w:rsid w:val="00B64A6C"/>
    <w:rsid w:val="00B65065"/>
    <w:rsid w:val="00B66027"/>
    <w:rsid w:val="00B67607"/>
    <w:rsid w:val="00B708FF"/>
    <w:rsid w:val="00B70C17"/>
    <w:rsid w:val="00B71AE3"/>
    <w:rsid w:val="00B72227"/>
    <w:rsid w:val="00B72899"/>
    <w:rsid w:val="00B73AAC"/>
    <w:rsid w:val="00B74254"/>
    <w:rsid w:val="00B74765"/>
    <w:rsid w:val="00B77C1E"/>
    <w:rsid w:val="00B77E5B"/>
    <w:rsid w:val="00B801BF"/>
    <w:rsid w:val="00B80D42"/>
    <w:rsid w:val="00B81240"/>
    <w:rsid w:val="00B81AA5"/>
    <w:rsid w:val="00B82A26"/>
    <w:rsid w:val="00B82A74"/>
    <w:rsid w:val="00B84283"/>
    <w:rsid w:val="00B843AF"/>
    <w:rsid w:val="00B852AA"/>
    <w:rsid w:val="00B852E4"/>
    <w:rsid w:val="00B8559B"/>
    <w:rsid w:val="00B86104"/>
    <w:rsid w:val="00B86494"/>
    <w:rsid w:val="00B867A5"/>
    <w:rsid w:val="00B86EFC"/>
    <w:rsid w:val="00B872EA"/>
    <w:rsid w:val="00B90218"/>
    <w:rsid w:val="00B903CF"/>
    <w:rsid w:val="00B91262"/>
    <w:rsid w:val="00B92AE7"/>
    <w:rsid w:val="00B92F5B"/>
    <w:rsid w:val="00B93520"/>
    <w:rsid w:val="00B93C1F"/>
    <w:rsid w:val="00B943E2"/>
    <w:rsid w:val="00B9486D"/>
    <w:rsid w:val="00B94C7A"/>
    <w:rsid w:val="00B94CE5"/>
    <w:rsid w:val="00BA0F41"/>
    <w:rsid w:val="00BA120C"/>
    <w:rsid w:val="00BA2042"/>
    <w:rsid w:val="00BA2049"/>
    <w:rsid w:val="00BA23D0"/>
    <w:rsid w:val="00BA359D"/>
    <w:rsid w:val="00BA3AF8"/>
    <w:rsid w:val="00BA3CDA"/>
    <w:rsid w:val="00BA473F"/>
    <w:rsid w:val="00BA4C0A"/>
    <w:rsid w:val="00BA512F"/>
    <w:rsid w:val="00BA5473"/>
    <w:rsid w:val="00BA5748"/>
    <w:rsid w:val="00BA5A8E"/>
    <w:rsid w:val="00BA61B4"/>
    <w:rsid w:val="00BA6589"/>
    <w:rsid w:val="00BA767E"/>
    <w:rsid w:val="00BB00DE"/>
    <w:rsid w:val="00BB2683"/>
    <w:rsid w:val="00BB294C"/>
    <w:rsid w:val="00BB33BE"/>
    <w:rsid w:val="00BB45FF"/>
    <w:rsid w:val="00BB46FA"/>
    <w:rsid w:val="00BB5933"/>
    <w:rsid w:val="00BB5A3A"/>
    <w:rsid w:val="00BB5C08"/>
    <w:rsid w:val="00BB5FD2"/>
    <w:rsid w:val="00BB6068"/>
    <w:rsid w:val="00BB6CC9"/>
    <w:rsid w:val="00BB7B8E"/>
    <w:rsid w:val="00BB7C62"/>
    <w:rsid w:val="00BC0F6A"/>
    <w:rsid w:val="00BC1B72"/>
    <w:rsid w:val="00BC1FF2"/>
    <w:rsid w:val="00BC22D0"/>
    <w:rsid w:val="00BC2D18"/>
    <w:rsid w:val="00BC63E7"/>
    <w:rsid w:val="00BC66BB"/>
    <w:rsid w:val="00BC6D43"/>
    <w:rsid w:val="00BD0009"/>
    <w:rsid w:val="00BD053F"/>
    <w:rsid w:val="00BD0A1F"/>
    <w:rsid w:val="00BD105C"/>
    <w:rsid w:val="00BD14C3"/>
    <w:rsid w:val="00BD1C5C"/>
    <w:rsid w:val="00BD30CA"/>
    <w:rsid w:val="00BD41D8"/>
    <w:rsid w:val="00BD4979"/>
    <w:rsid w:val="00BD50A1"/>
    <w:rsid w:val="00BD57AA"/>
    <w:rsid w:val="00BD6E37"/>
    <w:rsid w:val="00BE0EA7"/>
    <w:rsid w:val="00BE2B72"/>
    <w:rsid w:val="00BE2E1F"/>
    <w:rsid w:val="00BE31F8"/>
    <w:rsid w:val="00BE4290"/>
    <w:rsid w:val="00BE4E86"/>
    <w:rsid w:val="00BE50EF"/>
    <w:rsid w:val="00BE57F9"/>
    <w:rsid w:val="00BE6D4F"/>
    <w:rsid w:val="00BE6F3B"/>
    <w:rsid w:val="00BE743D"/>
    <w:rsid w:val="00BE7AFC"/>
    <w:rsid w:val="00BF0B15"/>
    <w:rsid w:val="00BF1BF3"/>
    <w:rsid w:val="00BF2F5A"/>
    <w:rsid w:val="00BF3159"/>
    <w:rsid w:val="00BF3266"/>
    <w:rsid w:val="00BF32F7"/>
    <w:rsid w:val="00BF3A3D"/>
    <w:rsid w:val="00BF3D9C"/>
    <w:rsid w:val="00BF4444"/>
    <w:rsid w:val="00BF497B"/>
    <w:rsid w:val="00BF4DF0"/>
    <w:rsid w:val="00BF52EA"/>
    <w:rsid w:val="00BF5C6F"/>
    <w:rsid w:val="00BF5D8B"/>
    <w:rsid w:val="00BF5DC8"/>
    <w:rsid w:val="00BF6288"/>
    <w:rsid w:val="00BF644D"/>
    <w:rsid w:val="00BF6648"/>
    <w:rsid w:val="00BF6F20"/>
    <w:rsid w:val="00BF73D9"/>
    <w:rsid w:val="00BF781D"/>
    <w:rsid w:val="00C0012B"/>
    <w:rsid w:val="00C00350"/>
    <w:rsid w:val="00C007D1"/>
    <w:rsid w:val="00C019B5"/>
    <w:rsid w:val="00C01DDC"/>
    <w:rsid w:val="00C02048"/>
    <w:rsid w:val="00C02407"/>
    <w:rsid w:val="00C03CC4"/>
    <w:rsid w:val="00C03E82"/>
    <w:rsid w:val="00C04099"/>
    <w:rsid w:val="00C040C7"/>
    <w:rsid w:val="00C043EE"/>
    <w:rsid w:val="00C04E1C"/>
    <w:rsid w:val="00C04E73"/>
    <w:rsid w:val="00C0523F"/>
    <w:rsid w:val="00C054D8"/>
    <w:rsid w:val="00C05E83"/>
    <w:rsid w:val="00C07606"/>
    <w:rsid w:val="00C10AAB"/>
    <w:rsid w:val="00C1110D"/>
    <w:rsid w:val="00C126CB"/>
    <w:rsid w:val="00C13A50"/>
    <w:rsid w:val="00C13B44"/>
    <w:rsid w:val="00C14292"/>
    <w:rsid w:val="00C15318"/>
    <w:rsid w:val="00C158DF"/>
    <w:rsid w:val="00C15971"/>
    <w:rsid w:val="00C176C3"/>
    <w:rsid w:val="00C20042"/>
    <w:rsid w:val="00C2025E"/>
    <w:rsid w:val="00C20A0C"/>
    <w:rsid w:val="00C22602"/>
    <w:rsid w:val="00C229C4"/>
    <w:rsid w:val="00C24FD3"/>
    <w:rsid w:val="00C25E64"/>
    <w:rsid w:val="00C2697F"/>
    <w:rsid w:val="00C2719B"/>
    <w:rsid w:val="00C27A08"/>
    <w:rsid w:val="00C27D46"/>
    <w:rsid w:val="00C31F85"/>
    <w:rsid w:val="00C33909"/>
    <w:rsid w:val="00C33F19"/>
    <w:rsid w:val="00C34432"/>
    <w:rsid w:val="00C344E3"/>
    <w:rsid w:val="00C354EE"/>
    <w:rsid w:val="00C3559B"/>
    <w:rsid w:val="00C35A98"/>
    <w:rsid w:val="00C35BF1"/>
    <w:rsid w:val="00C35E5D"/>
    <w:rsid w:val="00C370E2"/>
    <w:rsid w:val="00C37B2A"/>
    <w:rsid w:val="00C421BB"/>
    <w:rsid w:val="00C426EA"/>
    <w:rsid w:val="00C431F5"/>
    <w:rsid w:val="00C43236"/>
    <w:rsid w:val="00C43574"/>
    <w:rsid w:val="00C44620"/>
    <w:rsid w:val="00C44D2C"/>
    <w:rsid w:val="00C4568E"/>
    <w:rsid w:val="00C45914"/>
    <w:rsid w:val="00C47044"/>
    <w:rsid w:val="00C50547"/>
    <w:rsid w:val="00C508D6"/>
    <w:rsid w:val="00C508F9"/>
    <w:rsid w:val="00C50E36"/>
    <w:rsid w:val="00C5206D"/>
    <w:rsid w:val="00C53CD0"/>
    <w:rsid w:val="00C55BCD"/>
    <w:rsid w:val="00C56661"/>
    <w:rsid w:val="00C57B57"/>
    <w:rsid w:val="00C60512"/>
    <w:rsid w:val="00C6227F"/>
    <w:rsid w:val="00C629A9"/>
    <w:rsid w:val="00C63149"/>
    <w:rsid w:val="00C63D53"/>
    <w:rsid w:val="00C64092"/>
    <w:rsid w:val="00C64D08"/>
    <w:rsid w:val="00C660D7"/>
    <w:rsid w:val="00C662A2"/>
    <w:rsid w:val="00C66857"/>
    <w:rsid w:val="00C674A7"/>
    <w:rsid w:val="00C71E52"/>
    <w:rsid w:val="00C7434D"/>
    <w:rsid w:val="00C745A1"/>
    <w:rsid w:val="00C751CA"/>
    <w:rsid w:val="00C7675A"/>
    <w:rsid w:val="00C828EF"/>
    <w:rsid w:val="00C82FE7"/>
    <w:rsid w:val="00C83571"/>
    <w:rsid w:val="00C837F2"/>
    <w:rsid w:val="00C84C8D"/>
    <w:rsid w:val="00C85AD5"/>
    <w:rsid w:val="00C8619A"/>
    <w:rsid w:val="00C86378"/>
    <w:rsid w:val="00C86AFB"/>
    <w:rsid w:val="00C86E02"/>
    <w:rsid w:val="00C86F17"/>
    <w:rsid w:val="00C8717A"/>
    <w:rsid w:val="00C90DBA"/>
    <w:rsid w:val="00C921DB"/>
    <w:rsid w:val="00C92C83"/>
    <w:rsid w:val="00C93461"/>
    <w:rsid w:val="00C93C78"/>
    <w:rsid w:val="00C93CF5"/>
    <w:rsid w:val="00C94751"/>
    <w:rsid w:val="00C94A42"/>
    <w:rsid w:val="00C94FFA"/>
    <w:rsid w:val="00C95090"/>
    <w:rsid w:val="00C9517F"/>
    <w:rsid w:val="00C95592"/>
    <w:rsid w:val="00C95C62"/>
    <w:rsid w:val="00C96673"/>
    <w:rsid w:val="00C96CD0"/>
    <w:rsid w:val="00C970AA"/>
    <w:rsid w:val="00CA00AB"/>
    <w:rsid w:val="00CA0120"/>
    <w:rsid w:val="00CA0B1D"/>
    <w:rsid w:val="00CA1508"/>
    <w:rsid w:val="00CA184C"/>
    <w:rsid w:val="00CA2C89"/>
    <w:rsid w:val="00CA2EB7"/>
    <w:rsid w:val="00CA3776"/>
    <w:rsid w:val="00CA3950"/>
    <w:rsid w:val="00CA3DDC"/>
    <w:rsid w:val="00CA4C13"/>
    <w:rsid w:val="00CA63BB"/>
    <w:rsid w:val="00CA65A5"/>
    <w:rsid w:val="00CA674F"/>
    <w:rsid w:val="00CA71A3"/>
    <w:rsid w:val="00CA77A5"/>
    <w:rsid w:val="00CA7BBD"/>
    <w:rsid w:val="00CB21ED"/>
    <w:rsid w:val="00CB33E0"/>
    <w:rsid w:val="00CB4904"/>
    <w:rsid w:val="00CB4CDA"/>
    <w:rsid w:val="00CB5725"/>
    <w:rsid w:val="00CB5FD7"/>
    <w:rsid w:val="00CB63C7"/>
    <w:rsid w:val="00CB69BB"/>
    <w:rsid w:val="00CB7355"/>
    <w:rsid w:val="00CB7A08"/>
    <w:rsid w:val="00CC01CB"/>
    <w:rsid w:val="00CC0F54"/>
    <w:rsid w:val="00CC11F4"/>
    <w:rsid w:val="00CC1D06"/>
    <w:rsid w:val="00CC22CB"/>
    <w:rsid w:val="00CC2D72"/>
    <w:rsid w:val="00CC5ED5"/>
    <w:rsid w:val="00CC63C8"/>
    <w:rsid w:val="00CC65F5"/>
    <w:rsid w:val="00CC7852"/>
    <w:rsid w:val="00CD053E"/>
    <w:rsid w:val="00CD0D91"/>
    <w:rsid w:val="00CD10D5"/>
    <w:rsid w:val="00CD3232"/>
    <w:rsid w:val="00CD3F7C"/>
    <w:rsid w:val="00CD462B"/>
    <w:rsid w:val="00CD49A3"/>
    <w:rsid w:val="00CD4EF0"/>
    <w:rsid w:val="00CD52D2"/>
    <w:rsid w:val="00CD55D9"/>
    <w:rsid w:val="00CD5866"/>
    <w:rsid w:val="00CD6D4D"/>
    <w:rsid w:val="00CD7BD6"/>
    <w:rsid w:val="00CE0FDC"/>
    <w:rsid w:val="00CE18FD"/>
    <w:rsid w:val="00CE2DB4"/>
    <w:rsid w:val="00CE2FD2"/>
    <w:rsid w:val="00CE43A2"/>
    <w:rsid w:val="00CE4EB8"/>
    <w:rsid w:val="00CE51B6"/>
    <w:rsid w:val="00CE52DA"/>
    <w:rsid w:val="00CE573C"/>
    <w:rsid w:val="00CE6284"/>
    <w:rsid w:val="00CE6791"/>
    <w:rsid w:val="00CE7555"/>
    <w:rsid w:val="00CF21E0"/>
    <w:rsid w:val="00CF2A73"/>
    <w:rsid w:val="00CF3E99"/>
    <w:rsid w:val="00CF4B55"/>
    <w:rsid w:val="00CF4FC7"/>
    <w:rsid w:val="00CF6CA9"/>
    <w:rsid w:val="00CF7550"/>
    <w:rsid w:val="00CF7AB0"/>
    <w:rsid w:val="00CF7B89"/>
    <w:rsid w:val="00D005F9"/>
    <w:rsid w:val="00D0065F"/>
    <w:rsid w:val="00D00F0F"/>
    <w:rsid w:val="00D01155"/>
    <w:rsid w:val="00D0256B"/>
    <w:rsid w:val="00D034D3"/>
    <w:rsid w:val="00D03B25"/>
    <w:rsid w:val="00D0531F"/>
    <w:rsid w:val="00D06000"/>
    <w:rsid w:val="00D0777D"/>
    <w:rsid w:val="00D07E9E"/>
    <w:rsid w:val="00D10343"/>
    <w:rsid w:val="00D10893"/>
    <w:rsid w:val="00D13129"/>
    <w:rsid w:val="00D132B3"/>
    <w:rsid w:val="00D13424"/>
    <w:rsid w:val="00D14EEF"/>
    <w:rsid w:val="00D155D3"/>
    <w:rsid w:val="00D16B11"/>
    <w:rsid w:val="00D16E17"/>
    <w:rsid w:val="00D17054"/>
    <w:rsid w:val="00D17142"/>
    <w:rsid w:val="00D17156"/>
    <w:rsid w:val="00D1720D"/>
    <w:rsid w:val="00D172DD"/>
    <w:rsid w:val="00D17FD8"/>
    <w:rsid w:val="00D2035F"/>
    <w:rsid w:val="00D21DCA"/>
    <w:rsid w:val="00D22448"/>
    <w:rsid w:val="00D23B80"/>
    <w:rsid w:val="00D27013"/>
    <w:rsid w:val="00D275F4"/>
    <w:rsid w:val="00D30269"/>
    <w:rsid w:val="00D3047B"/>
    <w:rsid w:val="00D31264"/>
    <w:rsid w:val="00D31B80"/>
    <w:rsid w:val="00D3261F"/>
    <w:rsid w:val="00D32F88"/>
    <w:rsid w:val="00D34290"/>
    <w:rsid w:val="00D34EF7"/>
    <w:rsid w:val="00D3519B"/>
    <w:rsid w:val="00D35C49"/>
    <w:rsid w:val="00D36946"/>
    <w:rsid w:val="00D36ECD"/>
    <w:rsid w:val="00D37970"/>
    <w:rsid w:val="00D41485"/>
    <w:rsid w:val="00D41690"/>
    <w:rsid w:val="00D41AAE"/>
    <w:rsid w:val="00D41ED1"/>
    <w:rsid w:val="00D42052"/>
    <w:rsid w:val="00D4217B"/>
    <w:rsid w:val="00D426C6"/>
    <w:rsid w:val="00D428D7"/>
    <w:rsid w:val="00D4296B"/>
    <w:rsid w:val="00D4479A"/>
    <w:rsid w:val="00D44D07"/>
    <w:rsid w:val="00D45234"/>
    <w:rsid w:val="00D45A42"/>
    <w:rsid w:val="00D4696B"/>
    <w:rsid w:val="00D46A0D"/>
    <w:rsid w:val="00D5023B"/>
    <w:rsid w:val="00D5071D"/>
    <w:rsid w:val="00D50D0C"/>
    <w:rsid w:val="00D510FE"/>
    <w:rsid w:val="00D51F38"/>
    <w:rsid w:val="00D537E4"/>
    <w:rsid w:val="00D54658"/>
    <w:rsid w:val="00D5483E"/>
    <w:rsid w:val="00D549D9"/>
    <w:rsid w:val="00D54C9E"/>
    <w:rsid w:val="00D55D6A"/>
    <w:rsid w:val="00D56AE0"/>
    <w:rsid w:val="00D570AD"/>
    <w:rsid w:val="00D572ED"/>
    <w:rsid w:val="00D57515"/>
    <w:rsid w:val="00D57534"/>
    <w:rsid w:val="00D602A3"/>
    <w:rsid w:val="00D60F6F"/>
    <w:rsid w:val="00D62828"/>
    <w:rsid w:val="00D62BBD"/>
    <w:rsid w:val="00D63AC8"/>
    <w:rsid w:val="00D63E29"/>
    <w:rsid w:val="00D64CAE"/>
    <w:rsid w:val="00D64CE7"/>
    <w:rsid w:val="00D6599E"/>
    <w:rsid w:val="00D6631D"/>
    <w:rsid w:val="00D6659F"/>
    <w:rsid w:val="00D66B8F"/>
    <w:rsid w:val="00D677E5"/>
    <w:rsid w:val="00D6781F"/>
    <w:rsid w:val="00D67FF1"/>
    <w:rsid w:val="00D70D83"/>
    <w:rsid w:val="00D71AE9"/>
    <w:rsid w:val="00D72266"/>
    <w:rsid w:val="00D7348A"/>
    <w:rsid w:val="00D73FBA"/>
    <w:rsid w:val="00D74D9B"/>
    <w:rsid w:val="00D74DE3"/>
    <w:rsid w:val="00D75576"/>
    <w:rsid w:val="00D75734"/>
    <w:rsid w:val="00D76317"/>
    <w:rsid w:val="00D76900"/>
    <w:rsid w:val="00D77E5D"/>
    <w:rsid w:val="00D80C4F"/>
    <w:rsid w:val="00D8266A"/>
    <w:rsid w:val="00D84DDC"/>
    <w:rsid w:val="00D85A53"/>
    <w:rsid w:val="00D86402"/>
    <w:rsid w:val="00D878A4"/>
    <w:rsid w:val="00D87B5E"/>
    <w:rsid w:val="00D902E9"/>
    <w:rsid w:val="00D90C2F"/>
    <w:rsid w:val="00D90C58"/>
    <w:rsid w:val="00D91ECE"/>
    <w:rsid w:val="00D9229B"/>
    <w:rsid w:val="00D93A10"/>
    <w:rsid w:val="00D93C03"/>
    <w:rsid w:val="00D949DE"/>
    <w:rsid w:val="00D95DA6"/>
    <w:rsid w:val="00D969C1"/>
    <w:rsid w:val="00D97C20"/>
    <w:rsid w:val="00DA0E51"/>
    <w:rsid w:val="00DA0FE3"/>
    <w:rsid w:val="00DA112B"/>
    <w:rsid w:val="00DA4544"/>
    <w:rsid w:val="00DA4BB9"/>
    <w:rsid w:val="00DA4E91"/>
    <w:rsid w:val="00DA5FDA"/>
    <w:rsid w:val="00DA6074"/>
    <w:rsid w:val="00DA6A51"/>
    <w:rsid w:val="00DA77D3"/>
    <w:rsid w:val="00DB12D3"/>
    <w:rsid w:val="00DB281E"/>
    <w:rsid w:val="00DB4AF3"/>
    <w:rsid w:val="00DB4DA3"/>
    <w:rsid w:val="00DB5979"/>
    <w:rsid w:val="00DB5AEE"/>
    <w:rsid w:val="00DC09AE"/>
    <w:rsid w:val="00DC16DC"/>
    <w:rsid w:val="00DC2058"/>
    <w:rsid w:val="00DC2931"/>
    <w:rsid w:val="00DC316D"/>
    <w:rsid w:val="00DC31A9"/>
    <w:rsid w:val="00DC3311"/>
    <w:rsid w:val="00DC38BB"/>
    <w:rsid w:val="00DC43DE"/>
    <w:rsid w:val="00DC4B9A"/>
    <w:rsid w:val="00DC4FDF"/>
    <w:rsid w:val="00DD031C"/>
    <w:rsid w:val="00DD07FD"/>
    <w:rsid w:val="00DD0AFE"/>
    <w:rsid w:val="00DD17F4"/>
    <w:rsid w:val="00DD22C5"/>
    <w:rsid w:val="00DD22EC"/>
    <w:rsid w:val="00DD3227"/>
    <w:rsid w:val="00DD3E44"/>
    <w:rsid w:val="00DD42B9"/>
    <w:rsid w:val="00DD6976"/>
    <w:rsid w:val="00DD6F10"/>
    <w:rsid w:val="00DD7BFE"/>
    <w:rsid w:val="00DD7C44"/>
    <w:rsid w:val="00DE08D0"/>
    <w:rsid w:val="00DE1992"/>
    <w:rsid w:val="00DE1AD5"/>
    <w:rsid w:val="00DE1FCA"/>
    <w:rsid w:val="00DE247B"/>
    <w:rsid w:val="00DE27A9"/>
    <w:rsid w:val="00DE2828"/>
    <w:rsid w:val="00DE2CB4"/>
    <w:rsid w:val="00DE46B1"/>
    <w:rsid w:val="00DE58C6"/>
    <w:rsid w:val="00DE596A"/>
    <w:rsid w:val="00DE5A77"/>
    <w:rsid w:val="00DE68FF"/>
    <w:rsid w:val="00DE7401"/>
    <w:rsid w:val="00DE7CCE"/>
    <w:rsid w:val="00DF024A"/>
    <w:rsid w:val="00DF0685"/>
    <w:rsid w:val="00DF0D4A"/>
    <w:rsid w:val="00DF273B"/>
    <w:rsid w:val="00DF3268"/>
    <w:rsid w:val="00DF4FE6"/>
    <w:rsid w:val="00DF6027"/>
    <w:rsid w:val="00DF6258"/>
    <w:rsid w:val="00DF6B18"/>
    <w:rsid w:val="00E001C6"/>
    <w:rsid w:val="00E00FBA"/>
    <w:rsid w:val="00E01D08"/>
    <w:rsid w:val="00E03C85"/>
    <w:rsid w:val="00E04C76"/>
    <w:rsid w:val="00E04F2D"/>
    <w:rsid w:val="00E05211"/>
    <w:rsid w:val="00E05A67"/>
    <w:rsid w:val="00E05F27"/>
    <w:rsid w:val="00E06080"/>
    <w:rsid w:val="00E06100"/>
    <w:rsid w:val="00E06547"/>
    <w:rsid w:val="00E076CD"/>
    <w:rsid w:val="00E108E4"/>
    <w:rsid w:val="00E11251"/>
    <w:rsid w:val="00E11BFC"/>
    <w:rsid w:val="00E12722"/>
    <w:rsid w:val="00E12947"/>
    <w:rsid w:val="00E13865"/>
    <w:rsid w:val="00E14411"/>
    <w:rsid w:val="00E14887"/>
    <w:rsid w:val="00E14AA5"/>
    <w:rsid w:val="00E14D53"/>
    <w:rsid w:val="00E15850"/>
    <w:rsid w:val="00E16BDD"/>
    <w:rsid w:val="00E16BFA"/>
    <w:rsid w:val="00E16D81"/>
    <w:rsid w:val="00E1795E"/>
    <w:rsid w:val="00E2009E"/>
    <w:rsid w:val="00E2027B"/>
    <w:rsid w:val="00E2125D"/>
    <w:rsid w:val="00E21C44"/>
    <w:rsid w:val="00E22FFB"/>
    <w:rsid w:val="00E234BF"/>
    <w:rsid w:val="00E2613F"/>
    <w:rsid w:val="00E3079D"/>
    <w:rsid w:val="00E30A75"/>
    <w:rsid w:val="00E31E87"/>
    <w:rsid w:val="00E32039"/>
    <w:rsid w:val="00E323DB"/>
    <w:rsid w:val="00E3267E"/>
    <w:rsid w:val="00E32765"/>
    <w:rsid w:val="00E3328D"/>
    <w:rsid w:val="00E33D8F"/>
    <w:rsid w:val="00E34963"/>
    <w:rsid w:val="00E34C1C"/>
    <w:rsid w:val="00E34E3A"/>
    <w:rsid w:val="00E3585B"/>
    <w:rsid w:val="00E36794"/>
    <w:rsid w:val="00E37A10"/>
    <w:rsid w:val="00E40B70"/>
    <w:rsid w:val="00E40F89"/>
    <w:rsid w:val="00E434B7"/>
    <w:rsid w:val="00E4386B"/>
    <w:rsid w:val="00E43B72"/>
    <w:rsid w:val="00E444D0"/>
    <w:rsid w:val="00E44947"/>
    <w:rsid w:val="00E44CFF"/>
    <w:rsid w:val="00E44ED6"/>
    <w:rsid w:val="00E451D1"/>
    <w:rsid w:val="00E46E6B"/>
    <w:rsid w:val="00E47034"/>
    <w:rsid w:val="00E4779B"/>
    <w:rsid w:val="00E47B6B"/>
    <w:rsid w:val="00E47E24"/>
    <w:rsid w:val="00E50833"/>
    <w:rsid w:val="00E5108B"/>
    <w:rsid w:val="00E5188E"/>
    <w:rsid w:val="00E52C2E"/>
    <w:rsid w:val="00E53A6E"/>
    <w:rsid w:val="00E53BAC"/>
    <w:rsid w:val="00E53BE5"/>
    <w:rsid w:val="00E53C3A"/>
    <w:rsid w:val="00E54932"/>
    <w:rsid w:val="00E54E8D"/>
    <w:rsid w:val="00E55CDD"/>
    <w:rsid w:val="00E6033E"/>
    <w:rsid w:val="00E6174D"/>
    <w:rsid w:val="00E62078"/>
    <w:rsid w:val="00E6282A"/>
    <w:rsid w:val="00E64BA1"/>
    <w:rsid w:val="00E65BF4"/>
    <w:rsid w:val="00E66034"/>
    <w:rsid w:val="00E66CB9"/>
    <w:rsid w:val="00E66E72"/>
    <w:rsid w:val="00E67BFE"/>
    <w:rsid w:val="00E70813"/>
    <w:rsid w:val="00E70EEE"/>
    <w:rsid w:val="00E7107B"/>
    <w:rsid w:val="00E712D6"/>
    <w:rsid w:val="00E712FA"/>
    <w:rsid w:val="00E737DE"/>
    <w:rsid w:val="00E748D3"/>
    <w:rsid w:val="00E76646"/>
    <w:rsid w:val="00E77549"/>
    <w:rsid w:val="00E77A9E"/>
    <w:rsid w:val="00E77B19"/>
    <w:rsid w:val="00E80443"/>
    <w:rsid w:val="00E82A50"/>
    <w:rsid w:val="00E82CD7"/>
    <w:rsid w:val="00E849E9"/>
    <w:rsid w:val="00E853EA"/>
    <w:rsid w:val="00E85DFE"/>
    <w:rsid w:val="00E86054"/>
    <w:rsid w:val="00E867A2"/>
    <w:rsid w:val="00E87436"/>
    <w:rsid w:val="00E874A6"/>
    <w:rsid w:val="00E92033"/>
    <w:rsid w:val="00E92B20"/>
    <w:rsid w:val="00E9374B"/>
    <w:rsid w:val="00E94F9A"/>
    <w:rsid w:val="00E95518"/>
    <w:rsid w:val="00E97F40"/>
    <w:rsid w:val="00EA016C"/>
    <w:rsid w:val="00EA1133"/>
    <w:rsid w:val="00EA149A"/>
    <w:rsid w:val="00EA154F"/>
    <w:rsid w:val="00EA258D"/>
    <w:rsid w:val="00EA2CBB"/>
    <w:rsid w:val="00EA36A3"/>
    <w:rsid w:val="00EA580B"/>
    <w:rsid w:val="00EA59EE"/>
    <w:rsid w:val="00EA65C4"/>
    <w:rsid w:val="00EA6BDD"/>
    <w:rsid w:val="00EA7126"/>
    <w:rsid w:val="00EA72D7"/>
    <w:rsid w:val="00EA75B6"/>
    <w:rsid w:val="00EB00A4"/>
    <w:rsid w:val="00EB0546"/>
    <w:rsid w:val="00EB0886"/>
    <w:rsid w:val="00EB1421"/>
    <w:rsid w:val="00EB16FD"/>
    <w:rsid w:val="00EB1DF7"/>
    <w:rsid w:val="00EB573D"/>
    <w:rsid w:val="00EB5E1A"/>
    <w:rsid w:val="00EB65E5"/>
    <w:rsid w:val="00EB6E50"/>
    <w:rsid w:val="00EB7E44"/>
    <w:rsid w:val="00EC0AB5"/>
    <w:rsid w:val="00EC160B"/>
    <w:rsid w:val="00EC1C65"/>
    <w:rsid w:val="00EC2269"/>
    <w:rsid w:val="00EC23AE"/>
    <w:rsid w:val="00EC24DE"/>
    <w:rsid w:val="00EC25FE"/>
    <w:rsid w:val="00EC297F"/>
    <w:rsid w:val="00EC2F90"/>
    <w:rsid w:val="00EC32BB"/>
    <w:rsid w:val="00EC4CEF"/>
    <w:rsid w:val="00EC4F04"/>
    <w:rsid w:val="00EC5AD3"/>
    <w:rsid w:val="00EC67B5"/>
    <w:rsid w:val="00EC6AF1"/>
    <w:rsid w:val="00EC6EE1"/>
    <w:rsid w:val="00EC76A3"/>
    <w:rsid w:val="00EC785B"/>
    <w:rsid w:val="00EC7DF4"/>
    <w:rsid w:val="00ED0707"/>
    <w:rsid w:val="00ED08E4"/>
    <w:rsid w:val="00ED2CEA"/>
    <w:rsid w:val="00ED39D4"/>
    <w:rsid w:val="00ED3ACB"/>
    <w:rsid w:val="00ED4D75"/>
    <w:rsid w:val="00ED5C91"/>
    <w:rsid w:val="00ED7CEE"/>
    <w:rsid w:val="00EE050B"/>
    <w:rsid w:val="00EE3FC8"/>
    <w:rsid w:val="00EE4363"/>
    <w:rsid w:val="00EE44D7"/>
    <w:rsid w:val="00EE4961"/>
    <w:rsid w:val="00EE6689"/>
    <w:rsid w:val="00EE7A7D"/>
    <w:rsid w:val="00EE7D9B"/>
    <w:rsid w:val="00EF0723"/>
    <w:rsid w:val="00EF13FA"/>
    <w:rsid w:val="00EF3352"/>
    <w:rsid w:val="00EF351D"/>
    <w:rsid w:val="00EF3B2D"/>
    <w:rsid w:val="00EF3FDC"/>
    <w:rsid w:val="00EF4B0E"/>
    <w:rsid w:val="00EF4B16"/>
    <w:rsid w:val="00EF52C0"/>
    <w:rsid w:val="00EF7153"/>
    <w:rsid w:val="00EF7B47"/>
    <w:rsid w:val="00EF7CEA"/>
    <w:rsid w:val="00F00FC4"/>
    <w:rsid w:val="00F0156C"/>
    <w:rsid w:val="00F01974"/>
    <w:rsid w:val="00F02B82"/>
    <w:rsid w:val="00F03250"/>
    <w:rsid w:val="00F03308"/>
    <w:rsid w:val="00F03882"/>
    <w:rsid w:val="00F04260"/>
    <w:rsid w:val="00F04DCF"/>
    <w:rsid w:val="00F05093"/>
    <w:rsid w:val="00F0656A"/>
    <w:rsid w:val="00F07D11"/>
    <w:rsid w:val="00F1028A"/>
    <w:rsid w:val="00F10EDD"/>
    <w:rsid w:val="00F11558"/>
    <w:rsid w:val="00F118AA"/>
    <w:rsid w:val="00F118DB"/>
    <w:rsid w:val="00F1224E"/>
    <w:rsid w:val="00F130CC"/>
    <w:rsid w:val="00F145AE"/>
    <w:rsid w:val="00F151C4"/>
    <w:rsid w:val="00F15240"/>
    <w:rsid w:val="00F15340"/>
    <w:rsid w:val="00F15889"/>
    <w:rsid w:val="00F15A88"/>
    <w:rsid w:val="00F15DE6"/>
    <w:rsid w:val="00F1642C"/>
    <w:rsid w:val="00F16F28"/>
    <w:rsid w:val="00F16FA0"/>
    <w:rsid w:val="00F17224"/>
    <w:rsid w:val="00F1723E"/>
    <w:rsid w:val="00F17510"/>
    <w:rsid w:val="00F179C6"/>
    <w:rsid w:val="00F20D35"/>
    <w:rsid w:val="00F210C7"/>
    <w:rsid w:val="00F213E5"/>
    <w:rsid w:val="00F21D85"/>
    <w:rsid w:val="00F22AC6"/>
    <w:rsid w:val="00F245D5"/>
    <w:rsid w:val="00F24F0A"/>
    <w:rsid w:val="00F25669"/>
    <w:rsid w:val="00F25E90"/>
    <w:rsid w:val="00F2747A"/>
    <w:rsid w:val="00F31CD8"/>
    <w:rsid w:val="00F33326"/>
    <w:rsid w:val="00F33C43"/>
    <w:rsid w:val="00F33D7F"/>
    <w:rsid w:val="00F340AC"/>
    <w:rsid w:val="00F341F3"/>
    <w:rsid w:val="00F34C5D"/>
    <w:rsid w:val="00F34D28"/>
    <w:rsid w:val="00F358A5"/>
    <w:rsid w:val="00F35CD4"/>
    <w:rsid w:val="00F363AB"/>
    <w:rsid w:val="00F36495"/>
    <w:rsid w:val="00F367C0"/>
    <w:rsid w:val="00F36C58"/>
    <w:rsid w:val="00F37622"/>
    <w:rsid w:val="00F4040D"/>
    <w:rsid w:val="00F41B59"/>
    <w:rsid w:val="00F42BA0"/>
    <w:rsid w:val="00F42D67"/>
    <w:rsid w:val="00F437E8"/>
    <w:rsid w:val="00F44373"/>
    <w:rsid w:val="00F44B70"/>
    <w:rsid w:val="00F45664"/>
    <w:rsid w:val="00F45D50"/>
    <w:rsid w:val="00F50569"/>
    <w:rsid w:val="00F50C61"/>
    <w:rsid w:val="00F517F0"/>
    <w:rsid w:val="00F53048"/>
    <w:rsid w:val="00F55454"/>
    <w:rsid w:val="00F55AD0"/>
    <w:rsid w:val="00F55FF3"/>
    <w:rsid w:val="00F57D7A"/>
    <w:rsid w:val="00F57FAC"/>
    <w:rsid w:val="00F6002E"/>
    <w:rsid w:val="00F60118"/>
    <w:rsid w:val="00F601D8"/>
    <w:rsid w:val="00F61195"/>
    <w:rsid w:val="00F621DE"/>
    <w:rsid w:val="00F62A93"/>
    <w:rsid w:val="00F6394D"/>
    <w:rsid w:val="00F64646"/>
    <w:rsid w:val="00F64760"/>
    <w:rsid w:val="00F647E1"/>
    <w:rsid w:val="00F6553F"/>
    <w:rsid w:val="00F6565A"/>
    <w:rsid w:val="00F657C6"/>
    <w:rsid w:val="00F6673F"/>
    <w:rsid w:val="00F701E4"/>
    <w:rsid w:val="00F7086F"/>
    <w:rsid w:val="00F70C29"/>
    <w:rsid w:val="00F7106A"/>
    <w:rsid w:val="00F711E4"/>
    <w:rsid w:val="00F7144A"/>
    <w:rsid w:val="00F71D3F"/>
    <w:rsid w:val="00F727B1"/>
    <w:rsid w:val="00F72C55"/>
    <w:rsid w:val="00F72E52"/>
    <w:rsid w:val="00F734E1"/>
    <w:rsid w:val="00F745C5"/>
    <w:rsid w:val="00F76D0D"/>
    <w:rsid w:val="00F77C25"/>
    <w:rsid w:val="00F77EC3"/>
    <w:rsid w:val="00F80236"/>
    <w:rsid w:val="00F81B4A"/>
    <w:rsid w:val="00F82447"/>
    <w:rsid w:val="00F833C5"/>
    <w:rsid w:val="00F838B6"/>
    <w:rsid w:val="00F83EC7"/>
    <w:rsid w:val="00F8633F"/>
    <w:rsid w:val="00F86C9C"/>
    <w:rsid w:val="00F86E8F"/>
    <w:rsid w:val="00F90F43"/>
    <w:rsid w:val="00F9305F"/>
    <w:rsid w:val="00F93C56"/>
    <w:rsid w:val="00F9479A"/>
    <w:rsid w:val="00F94C1D"/>
    <w:rsid w:val="00F94D96"/>
    <w:rsid w:val="00F97017"/>
    <w:rsid w:val="00F9772B"/>
    <w:rsid w:val="00FA11C8"/>
    <w:rsid w:val="00FA1BD3"/>
    <w:rsid w:val="00FA2E8E"/>
    <w:rsid w:val="00FA4815"/>
    <w:rsid w:val="00FA563B"/>
    <w:rsid w:val="00FA682C"/>
    <w:rsid w:val="00FA715C"/>
    <w:rsid w:val="00FB0E3A"/>
    <w:rsid w:val="00FB1333"/>
    <w:rsid w:val="00FB1D1E"/>
    <w:rsid w:val="00FB475A"/>
    <w:rsid w:val="00FB57D8"/>
    <w:rsid w:val="00FB68C1"/>
    <w:rsid w:val="00FB6AB5"/>
    <w:rsid w:val="00FB6D8C"/>
    <w:rsid w:val="00FB701E"/>
    <w:rsid w:val="00FB72C2"/>
    <w:rsid w:val="00FB754B"/>
    <w:rsid w:val="00FC0663"/>
    <w:rsid w:val="00FC0863"/>
    <w:rsid w:val="00FC09AD"/>
    <w:rsid w:val="00FC2283"/>
    <w:rsid w:val="00FC272C"/>
    <w:rsid w:val="00FC27CD"/>
    <w:rsid w:val="00FC28D6"/>
    <w:rsid w:val="00FC3180"/>
    <w:rsid w:val="00FC31A4"/>
    <w:rsid w:val="00FC409E"/>
    <w:rsid w:val="00FC470F"/>
    <w:rsid w:val="00FC6429"/>
    <w:rsid w:val="00FC7585"/>
    <w:rsid w:val="00FC79C9"/>
    <w:rsid w:val="00FD0A38"/>
    <w:rsid w:val="00FD1457"/>
    <w:rsid w:val="00FD1793"/>
    <w:rsid w:val="00FD211E"/>
    <w:rsid w:val="00FD2B7C"/>
    <w:rsid w:val="00FD2D0F"/>
    <w:rsid w:val="00FD3734"/>
    <w:rsid w:val="00FD414A"/>
    <w:rsid w:val="00FD4EAD"/>
    <w:rsid w:val="00FD6DCF"/>
    <w:rsid w:val="00FD6E3E"/>
    <w:rsid w:val="00FE00E5"/>
    <w:rsid w:val="00FE14E8"/>
    <w:rsid w:val="00FE3BF0"/>
    <w:rsid w:val="00FE3FC8"/>
    <w:rsid w:val="00FE4012"/>
    <w:rsid w:val="00FE484F"/>
    <w:rsid w:val="00FE4B0C"/>
    <w:rsid w:val="00FE59AB"/>
    <w:rsid w:val="00FE5A0C"/>
    <w:rsid w:val="00FE753A"/>
    <w:rsid w:val="00FF0100"/>
    <w:rsid w:val="00FF1219"/>
    <w:rsid w:val="00FF2C82"/>
    <w:rsid w:val="00FF3950"/>
    <w:rsid w:val="00FF48B5"/>
    <w:rsid w:val="00FF4D84"/>
    <w:rsid w:val="00FF51BF"/>
    <w:rsid w:val="00FF56D9"/>
    <w:rsid w:val="00FF5FE8"/>
    <w:rsid w:val="00FF72DB"/>
    <w:rsid w:val="0192A291"/>
    <w:rsid w:val="02617691"/>
    <w:rsid w:val="02A65F7C"/>
    <w:rsid w:val="051539C0"/>
    <w:rsid w:val="055C028B"/>
    <w:rsid w:val="05D6D50B"/>
    <w:rsid w:val="069D7066"/>
    <w:rsid w:val="06E8C185"/>
    <w:rsid w:val="0787A2E2"/>
    <w:rsid w:val="07F7D6ED"/>
    <w:rsid w:val="0AA90067"/>
    <w:rsid w:val="0B94433D"/>
    <w:rsid w:val="0BF52A8B"/>
    <w:rsid w:val="0CC059C1"/>
    <w:rsid w:val="0F0E472F"/>
    <w:rsid w:val="0FF7640F"/>
    <w:rsid w:val="1131D134"/>
    <w:rsid w:val="149A3190"/>
    <w:rsid w:val="1838794B"/>
    <w:rsid w:val="196ED988"/>
    <w:rsid w:val="1BC6296A"/>
    <w:rsid w:val="1C4F6FC9"/>
    <w:rsid w:val="1C68F2DE"/>
    <w:rsid w:val="200E37E0"/>
    <w:rsid w:val="20C776C3"/>
    <w:rsid w:val="21A517C0"/>
    <w:rsid w:val="2703898A"/>
    <w:rsid w:val="27CBDEDE"/>
    <w:rsid w:val="28CDD443"/>
    <w:rsid w:val="299C4AD3"/>
    <w:rsid w:val="320DC240"/>
    <w:rsid w:val="327E2F68"/>
    <w:rsid w:val="3416049C"/>
    <w:rsid w:val="34ED6356"/>
    <w:rsid w:val="34F4D466"/>
    <w:rsid w:val="356A6E35"/>
    <w:rsid w:val="356EEF46"/>
    <w:rsid w:val="36FFA279"/>
    <w:rsid w:val="3719D552"/>
    <w:rsid w:val="373D2E72"/>
    <w:rsid w:val="37797D32"/>
    <w:rsid w:val="37E380F8"/>
    <w:rsid w:val="39B1C528"/>
    <w:rsid w:val="3E03B54C"/>
    <w:rsid w:val="3E2427BE"/>
    <w:rsid w:val="3E5D7164"/>
    <w:rsid w:val="3F56C487"/>
    <w:rsid w:val="43792ADE"/>
    <w:rsid w:val="4398C3D6"/>
    <w:rsid w:val="43A40760"/>
    <w:rsid w:val="4483CCFB"/>
    <w:rsid w:val="46097392"/>
    <w:rsid w:val="476750E2"/>
    <w:rsid w:val="49C9DEE5"/>
    <w:rsid w:val="4A4EC0A9"/>
    <w:rsid w:val="4ACEDF61"/>
    <w:rsid w:val="4BCCA035"/>
    <w:rsid w:val="4C4C5A50"/>
    <w:rsid w:val="50D489C6"/>
    <w:rsid w:val="52089601"/>
    <w:rsid w:val="523D2598"/>
    <w:rsid w:val="57D29872"/>
    <w:rsid w:val="580C7681"/>
    <w:rsid w:val="5B1B90F0"/>
    <w:rsid w:val="5CD30717"/>
    <w:rsid w:val="5E25A5E3"/>
    <w:rsid w:val="5FBD06A2"/>
    <w:rsid w:val="62837DBD"/>
    <w:rsid w:val="632BCC51"/>
    <w:rsid w:val="646CC12B"/>
    <w:rsid w:val="64DD1E6E"/>
    <w:rsid w:val="65D4DA53"/>
    <w:rsid w:val="67A58FA3"/>
    <w:rsid w:val="6E535DB8"/>
    <w:rsid w:val="6FD7C01F"/>
    <w:rsid w:val="7002F9F2"/>
    <w:rsid w:val="7252D5AC"/>
    <w:rsid w:val="751BB53A"/>
    <w:rsid w:val="754EF2BE"/>
    <w:rsid w:val="78193EFB"/>
    <w:rsid w:val="78AAA9AE"/>
    <w:rsid w:val="78FE600E"/>
    <w:rsid w:val="7BA1E63B"/>
    <w:rsid w:val="7BB52BB1"/>
    <w:rsid w:val="7C2A96C5"/>
    <w:rsid w:val="7C5AF83C"/>
    <w:rsid w:val="7C655FE3"/>
    <w:rsid w:val="7E07EAEE"/>
    <w:rsid w:val="7E8A4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ACE1497-FAFC-44EE-AF3E-697B5612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1BA3"/>
    <w:pPr>
      <w:keepNext/>
      <w:keepLines/>
      <w:outlineLvl w:val="0"/>
    </w:pPr>
    <w:rPr>
      <w:rFonts w:eastAsiaTheme="majorEastAsia" w:cs="Arial"/>
      <w:b/>
      <w:bCs/>
    </w:rPr>
  </w:style>
  <w:style w:type="paragraph" w:styleId="Heading9">
    <w:name w:val="heading 9"/>
    <w:basedOn w:val="Normal"/>
    <w:next w:val="Normal"/>
    <w:link w:val="Heading9Char"/>
    <w:uiPriority w:val="9"/>
    <w:semiHidden/>
    <w:unhideWhenUsed/>
    <w:qFormat/>
    <w:rsid w:val="005C79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rPr>
      <w:lang w:val="en-GB"/>
    </w:rPr>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rPr>
      <w:lang w:val="en-GB"/>
    </w:rPr>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lang w:val="en-GB"/>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641BA3"/>
    <w:rPr>
      <w:rFonts w:eastAsiaTheme="majorEastAsia" w:cs="Arial"/>
      <w:b/>
      <w:bCs/>
      <w:lang w:val="en-GB"/>
    </w:rPr>
  </w:style>
  <w:style w:type="paragraph" w:styleId="NormalWeb">
    <w:name w:val="Normal (Web)"/>
    <w:basedOn w:val="Normal"/>
    <w:uiPriority w:val="99"/>
    <w:semiHidden/>
    <w:unhideWhenUsed/>
    <w:rsid w:val="00C92C83"/>
    <w:rPr>
      <w:rFonts w:ascii="Times New Roman" w:hAnsi="Times New Roman" w:cs="Times New Roman"/>
      <w:sz w:val="24"/>
      <w:szCs w:val="24"/>
    </w:rPr>
  </w:style>
  <w:style w:type="character" w:styleId="Emphasis">
    <w:name w:val="Emphasis"/>
    <w:basedOn w:val="DefaultParagraphFont"/>
    <w:uiPriority w:val="20"/>
    <w:qFormat/>
    <w:rsid w:val="009B41C4"/>
    <w:rPr>
      <w:i/>
      <w:iCs/>
    </w:rPr>
  </w:style>
  <w:style w:type="character" w:customStyle="1" w:styleId="Heading9Char">
    <w:name w:val="Heading 9 Char"/>
    <w:basedOn w:val="DefaultParagraphFont"/>
    <w:link w:val="Heading9"/>
    <w:uiPriority w:val="9"/>
    <w:semiHidden/>
    <w:rsid w:val="005C79D1"/>
    <w:rPr>
      <w:rFonts w:asciiTheme="majorHAnsi" w:eastAsiaTheme="majorEastAsia" w:hAnsiTheme="majorHAnsi" w:cstheme="majorBidi"/>
      <w:i/>
      <w:iCs/>
      <w:color w:val="272727" w:themeColor="text1" w:themeTint="D8"/>
      <w:sz w:val="21"/>
      <w:szCs w:val="21"/>
      <w:lang w:val="en-GB"/>
    </w:rPr>
  </w:style>
  <w:style w:type="character" w:styleId="Strong">
    <w:name w:val="Strong"/>
    <w:basedOn w:val="DefaultParagraphFont"/>
    <w:uiPriority w:val="22"/>
    <w:qFormat/>
    <w:rsid w:val="005C79D1"/>
    <w:rPr>
      <w:b/>
      <w:bCs/>
    </w:rPr>
  </w:style>
  <w:style w:type="table" w:styleId="TableGrid">
    <w:name w:val="Table Grid"/>
    <w:basedOn w:val="TableNormal"/>
    <w:uiPriority w:val="39"/>
    <w:rsid w:val="00F11558"/>
    <w:pPr>
      <w:jc w:val="both"/>
    </w:pPr>
    <w:rPr>
      <w:rFonts w:asciiTheme="minorHAnsi" w:hAnsiTheme="minorHAnsi"/>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51869375">
      <w:bodyDiv w:val="1"/>
      <w:marLeft w:val="0"/>
      <w:marRight w:val="0"/>
      <w:marTop w:val="0"/>
      <w:marBottom w:val="0"/>
      <w:divBdr>
        <w:top w:val="none" w:sz="0" w:space="0" w:color="auto"/>
        <w:left w:val="none" w:sz="0" w:space="0" w:color="auto"/>
        <w:bottom w:val="none" w:sz="0" w:space="0" w:color="auto"/>
        <w:right w:val="none" w:sz="0" w:space="0" w:color="auto"/>
      </w:divBdr>
    </w:div>
    <w:div w:id="243497226">
      <w:bodyDiv w:val="1"/>
      <w:marLeft w:val="0"/>
      <w:marRight w:val="0"/>
      <w:marTop w:val="0"/>
      <w:marBottom w:val="0"/>
      <w:divBdr>
        <w:top w:val="none" w:sz="0" w:space="0" w:color="auto"/>
        <w:left w:val="none" w:sz="0" w:space="0" w:color="auto"/>
        <w:bottom w:val="none" w:sz="0" w:space="0" w:color="auto"/>
        <w:right w:val="none" w:sz="0" w:space="0" w:color="auto"/>
      </w:divBdr>
    </w:div>
    <w:div w:id="355734253">
      <w:bodyDiv w:val="1"/>
      <w:marLeft w:val="0"/>
      <w:marRight w:val="0"/>
      <w:marTop w:val="0"/>
      <w:marBottom w:val="0"/>
      <w:divBdr>
        <w:top w:val="none" w:sz="0" w:space="0" w:color="auto"/>
        <w:left w:val="none" w:sz="0" w:space="0" w:color="auto"/>
        <w:bottom w:val="none" w:sz="0" w:space="0" w:color="auto"/>
        <w:right w:val="none" w:sz="0" w:space="0" w:color="auto"/>
      </w:divBdr>
    </w:div>
    <w:div w:id="408892858">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51424660">
      <w:bodyDiv w:val="1"/>
      <w:marLeft w:val="0"/>
      <w:marRight w:val="0"/>
      <w:marTop w:val="0"/>
      <w:marBottom w:val="0"/>
      <w:divBdr>
        <w:top w:val="none" w:sz="0" w:space="0" w:color="auto"/>
        <w:left w:val="none" w:sz="0" w:space="0" w:color="auto"/>
        <w:bottom w:val="none" w:sz="0" w:space="0" w:color="auto"/>
        <w:right w:val="none" w:sz="0" w:space="0" w:color="auto"/>
      </w:divBdr>
    </w:div>
    <w:div w:id="66074077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8203738">
      <w:bodyDiv w:val="1"/>
      <w:marLeft w:val="0"/>
      <w:marRight w:val="0"/>
      <w:marTop w:val="0"/>
      <w:marBottom w:val="0"/>
      <w:divBdr>
        <w:top w:val="none" w:sz="0" w:space="0" w:color="auto"/>
        <w:left w:val="none" w:sz="0" w:space="0" w:color="auto"/>
        <w:bottom w:val="none" w:sz="0" w:space="0" w:color="auto"/>
        <w:right w:val="none" w:sz="0" w:space="0" w:color="auto"/>
      </w:divBdr>
    </w:div>
    <w:div w:id="7946409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141371">
      <w:bodyDiv w:val="1"/>
      <w:marLeft w:val="0"/>
      <w:marRight w:val="0"/>
      <w:marTop w:val="0"/>
      <w:marBottom w:val="0"/>
      <w:divBdr>
        <w:top w:val="none" w:sz="0" w:space="0" w:color="auto"/>
        <w:left w:val="none" w:sz="0" w:space="0" w:color="auto"/>
        <w:bottom w:val="none" w:sz="0" w:space="0" w:color="auto"/>
        <w:right w:val="none" w:sz="0" w:space="0" w:color="auto"/>
      </w:divBdr>
    </w:div>
    <w:div w:id="985233582">
      <w:bodyDiv w:val="1"/>
      <w:marLeft w:val="0"/>
      <w:marRight w:val="0"/>
      <w:marTop w:val="0"/>
      <w:marBottom w:val="0"/>
      <w:divBdr>
        <w:top w:val="none" w:sz="0" w:space="0" w:color="auto"/>
        <w:left w:val="none" w:sz="0" w:space="0" w:color="auto"/>
        <w:bottom w:val="none" w:sz="0" w:space="0" w:color="auto"/>
        <w:right w:val="none" w:sz="0" w:space="0" w:color="auto"/>
      </w:divBdr>
    </w:div>
    <w:div w:id="9882177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64840740">
      <w:bodyDiv w:val="1"/>
      <w:marLeft w:val="0"/>
      <w:marRight w:val="0"/>
      <w:marTop w:val="0"/>
      <w:marBottom w:val="0"/>
      <w:divBdr>
        <w:top w:val="none" w:sz="0" w:space="0" w:color="auto"/>
        <w:left w:val="none" w:sz="0" w:space="0" w:color="auto"/>
        <w:bottom w:val="none" w:sz="0" w:space="0" w:color="auto"/>
        <w:right w:val="none" w:sz="0" w:space="0" w:color="auto"/>
      </w:divBdr>
    </w:div>
    <w:div w:id="1083453396">
      <w:bodyDiv w:val="1"/>
      <w:marLeft w:val="0"/>
      <w:marRight w:val="0"/>
      <w:marTop w:val="0"/>
      <w:marBottom w:val="0"/>
      <w:divBdr>
        <w:top w:val="none" w:sz="0" w:space="0" w:color="auto"/>
        <w:left w:val="none" w:sz="0" w:space="0" w:color="auto"/>
        <w:bottom w:val="none" w:sz="0" w:space="0" w:color="auto"/>
        <w:right w:val="none" w:sz="0" w:space="0" w:color="auto"/>
      </w:divBdr>
    </w:div>
    <w:div w:id="1179004050">
      <w:bodyDiv w:val="1"/>
      <w:marLeft w:val="0"/>
      <w:marRight w:val="0"/>
      <w:marTop w:val="0"/>
      <w:marBottom w:val="0"/>
      <w:divBdr>
        <w:top w:val="none" w:sz="0" w:space="0" w:color="auto"/>
        <w:left w:val="none" w:sz="0" w:space="0" w:color="auto"/>
        <w:bottom w:val="none" w:sz="0" w:space="0" w:color="auto"/>
        <w:right w:val="none" w:sz="0" w:space="0" w:color="auto"/>
      </w:divBdr>
    </w:div>
    <w:div w:id="1179467437">
      <w:bodyDiv w:val="1"/>
      <w:marLeft w:val="0"/>
      <w:marRight w:val="0"/>
      <w:marTop w:val="0"/>
      <w:marBottom w:val="0"/>
      <w:divBdr>
        <w:top w:val="none" w:sz="0" w:space="0" w:color="auto"/>
        <w:left w:val="none" w:sz="0" w:space="0" w:color="auto"/>
        <w:bottom w:val="none" w:sz="0" w:space="0" w:color="auto"/>
        <w:right w:val="none" w:sz="0" w:space="0" w:color="auto"/>
      </w:divBdr>
    </w:div>
    <w:div w:id="123269540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66914043">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42269338">
      <w:bodyDiv w:val="1"/>
      <w:marLeft w:val="0"/>
      <w:marRight w:val="0"/>
      <w:marTop w:val="0"/>
      <w:marBottom w:val="0"/>
      <w:divBdr>
        <w:top w:val="none" w:sz="0" w:space="0" w:color="auto"/>
        <w:left w:val="none" w:sz="0" w:space="0" w:color="auto"/>
        <w:bottom w:val="none" w:sz="0" w:space="0" w:color="auto"/>
        <w:right w:val="none" w:sz="0" w:space="0" w:color="auto"/>
      </w:divBdr>
    </w:div>
    <w:div w:id="166284816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1444906">
      <w:bodyDiv w:val="1"/>
      <w:marLeft w:val="0"/>
      <w:marRight w:val="0"/>
      <w:marTop w:val="0"/>
      <w:marBottom w:val="0"/>
      <w:divBdr>
        <w:top w:val="none" w:sz="0" w:space="0" w:color="auto"/>
        <w:left w:val="none" w:sz="0" w:space="0" w:color="auto"/>
        <w:bottom w:val="none" w:sz="0" w:space="0" w:color="auto"/>
        <w:right w:val="none" w:sz="0" w:space="0" w:color="auto"/>
      </w:divBdr>
    </w:div>
    <w:div w:id="1761413411">
      <w:bodyDiv w:val="1"/>
      <w:marLeft w:val="0"/>
      <w:marRight w:val="0"/>
      <w:marTop w:val="0"/>
      <w:marBottom w:val="0"/>
      <w:divBdr>
        <w:top w:val="none" w:sz="0" w:space="0" w:color="auto"/>
        <w:left w:val="none" w:sz="0" w:space="0" w:color="auto"/>
        <w:bottom w:val="none" w:sz="0" w:space="0" w:color="auto"/>
        <w:right w:val="none" w:sz="0" w:space="0" w:color="auto"/>
      </w:divBdr>
    </w:div>
    <w:div w:id="1776365227">
      <w:bodyDiv w:val="1"/>
      <w:marLeft w:val="0"/>
      <w:marRight w:val="0"/>
      <w:marTop w:val="0"/>
      <w:marBottom w:val="0"/>
      <w:divBdr>
        <w:top w:val="none" w:sz="0" w:space="0" w:color="auto"/>
        <w:left w:val="none" w:sz="0" w:space="0" w:color="auto"/>
        <w:bottom w:val="none" w:sz="0" w:space="0" w:color="auto"/>
        <w:right w:val="none" w:sz="0" w:space="0" w:color="auto"/>
      </w:divBdr>
    </w:div>
    <w:div w:id="1799180823">
      <w:bodyDiv w:val="1"/>
      <w:marLeft w:val="0"/>
      <w:marRight w:val="0"/>
      <w:marTop w:val="0"/>
      <w:marBottom w:val="0"/>
      <w:divBdr>
        <w:top w:val="none" w:sz="0" w:space="0" w:color="auto"/>
        <w:left w:val="none" w:sz="0" w:space="0" w:color="auto"/>
        <w:bottom w:val="none" w:sz="0" w:space="0" w:color="auto"/>
        <w:right w:val="none" w:sz="0" w:space="0" w:color="auto"/>
      </w:divBdr>
    </w:div>
    <w:div w:id="1948929220">
      <w:bodyDiv w:val="1"/>
      <w:marLeft w:val="0"/>
      <w:marRight w:val="0"/>
      <w:marTop w:val="0"/>
      <w:marBottom w:val="0"/>
      <w:divBdr>
        <w:top w:val="none" w:sz="0" w:space="0" w:color="auto"/>
        <w:left w:val="none" w:sz="0" w:space="0" w:color="auto"/>
        <w:bottom w:val="none" w:sz="0" w:space="0" w:color="auto"/>
        <w:right w:val="none" w:sz="0" w:space="0" w:color="auto"/>
      </w:divBdr>
    </w:div>
    <w:div w:id="2062711831">
      <w:bodyDiv w:val="1"/>
      <w:marLeft w:val="0"/>
      <w:marRight w:val="0"/>
      <w:marTop w:val="0"/>
      <w:marBottom w:val="0"/>
      <w:divBdr>
        <w:top w:val="none" w:sz="0" w:space="0" w:color="auto"/>
        <w:left w:val="none" w:sz="0" w:space="0" w:color="auto"/>
        <w:bottom w:val="none" w:sz="0" w:space="0" w:color="auto"/>
        <w:right w:val="none" w:sz="0" w:space="0" w:color="auto"/>
      </w:divBdr>
    </w:div>
    <w:div w:id="2081780281">
      <w:bodyDiv w:val="1"/>
      <w:marLeft w:val="0"/>
      <w:marRight w:val="0"/>
      <w:marTop w:val="0"/>
      <w:marBottom w:val="0"/>
      <w:divBdr>
        <w:top w:val="none" w:sz="0" w:space="0" w:color="auto"/>
        <w:left w:val="none" w:sz="0" w:space="0" w:color="auto"/>
        <w:bottom w:val="none" w:sz="0" w:space="0" w:color="auto"/>
        <w:right w:val="none" w:sz="0" w:space="0" w:color="auto"/>
      </w:divBdr>
    </w:div>
    <w:div w:id="2143880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urtlestatus.org/cpp-dashboard" TargetMode="External"/><Relationship Id="rId21" Type="http://schemas.openxmlformats.org/officeDocument/2006/relationships/hyperlink" Target="https://www.int-res.com/abstracts/esr/v56/esr01385" TargetMode="External"/><Relationship Id="rId42" Type="http://schemas.openxmlformats.org/officeDocument/2006/relationships/header" Target="header6.xml"/><Relationship Id="rId47" Type="http://schemas.openxmlformats.org/officeDocument/2006/relationships/hyperlink" Target="https://doi.org/10.3389/fmars.2020.00693" TargetMode="External"/><Relationship Id="rId63" Type="http://schemas.openxmlformats.org/officeDocument/2006/relationships/header" Target="header13.xml"/><Relationship Id="rId68"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iosea-turtles/fr/node/25444" TargetMode="External"/><Relationship Id="rId11" Type="http://schemas.openxmlformats.org/officeDocument/2006/relationships/image" Target="media/image1.wmf"/><Relationship Id="rId24" Type="http://schemas.openxmlformats.org/officeDocument/2006/relationships/hyperlink" Target="https://www.seaturtlestatus.org/cpp-dashboard" TargetMode="External"/><Relationship Id="rId32"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37" Type="http://schemas.openxmlformats.org/officeDocument/2006/relationships/hyperlink" Target="https://www.cms.int/fr/news/2025004-mise-en-&#339;uvre-du-plan-daction-par-esp&#232;ce-pour-la-tortue-imbriqu&#233;e-en-asie-du-sud-est-et" TargetMode="External"/><Relationship Id="rId40" Type="http://schemas.openxmlformats.org/officeDocument/2006/relationships/header" Target="header4.xml"/><Relationship Id="rId45" Type="http://schemas.openxmlformats.org/officeDocument/2006/relationships/hyperlink" Target="https://doi.org/10.3389/fmars.2021.699521" TargetMode="External"/><Relationship Id="rId53" Type="http://schemas.openxmlformats.org/officeDocument/2006/relationships/header" Target="header9.xml"/><Relationship Id="rId58" Type="http://schemas.openxmlformats.org/officeDocument/2006/relationships/header" Target="header12.xml"/><Relationship Id="rId66" Type="http://schemas.openxmlformats.org/officeDocument/2006/relationships/hyperlink" Target="http://www.cms.int/iosea-turtles/en/page/capacity-building-resources" TargetMode="External"/><Relationship Id="rId5" Type="http://schemas.openxmlformats.org/officeDocument/2006/relationships/numbering" Target="numbering.xml"/><Relationship Id="rId61" Type="http://schemas.openxmlformats.org/officeDocument/2006/relationships/hyperlink" Target="https://www.cms.int/iosea-turtles/fr/node/25442" TargetMode="External"/><Relationship Id="rId19" Type="http://schemas.openxmlformats.org/officeDocument/2006/relationships/hyperlink" Target="https://www.cms.int/fr/document/plan-d&#8217;action-par-esp&#232;ce-pour-la-tortue-caouanne-caretta-caretta-dans-l&#8217;oc&#233;an-pacifique-sud" TargetMode="External"/><Relationship Id="rId14" Type="http://schemas.openxmlformats.org/officeDocument/2006/relationships/footer" Target="footer1.xml"/><Relationship Id="rId22" Type="http://schemas.openxmlformats.org/officeDocument/2006/relationships/hyperlink" Target="https://www.iucn-mtsg.org/regional-management-units" TargetMode="External"/><Relationship Id="rId27" Type="http://schemas.openxmlformats.org/officeDocument/2006/relationships/hyperlink" Target="https://www.seaturtlestatus.org/swot-report-vol-20" TargetMode="External"/><Relationship Id="rId30" Type="http://schemas.openxmlformats.org/officeDocument/2006/relationships/hyperlink" Target="https://www.cms.int/en/document/beach-management-and-hatchery-practices-0" TargetMode="External"/><Relationship Id="rId35" Type="http://schemas.openxmlformats.org/officeDocument/2006/relationships/hyperlink" Target="https://www.cms.int/fr/node/25265" TargetMode="External"/><Relationship Id="rId43" Type="http://schemas.openxmlformats.org/officeDocument/2006/relationships/footer" Target="footer3.xml"/><Relationship Id="rId48" Type="http://schemas.openxmlformats.org/officeDocument/2006/relationships/hyperlink" Target="https://doi.org/10.1098/rspb.2024.2367" TargetMode="External"/><Relationship Id="rId56" Type="http://schemas.openxmlformats.org/officeDocument/2006/relationships/header" Target="header10.xml"/><Relationship Id="rId64" Type="http://schemas.openxmlformats.org/officeDocument/2006/relationships/header" Target="header14.xml"/><Relationship Id="rId69"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atlantic-turtles/fr/" TargetMode="External"/><Relationship Id="rId25" Type="http://schemas.openxmlformats.org/officeDocument/2006/relationships/image" Target="media/image5.png"/><Relationship Id="rId33" Type="http://schemas.openxmlformats.org/officeDocument/2006/relationships/hyperlink" Target="https://www.cms.int/en/document/bycatch-and-other-fisheries-induced-mortality" TargetMode="External"/><Relationship Id="rId38" Type="http://schemas.openxmlformats.org/officeDocument/2006/relationships/hyperlink" Target="https://www.cms.int/en/document/analysis-implementation-reports-single-species-action-plan-hawksbill-turtle" TargetMode="External"/><Relationship Id="rId46" Type="http://schemas.openxmlformats.org/officeDocument/2006/relationships/hyperlink" Target="https://doi.org/10.1016/j.marpolbul.2024.116141" TargetMode="External"/><Relationship Id="rId59" Type="http://schemas.openxmlformats.org/officeDocument/2006/relationships/hyperlink" Target="https://www.cms.int/en/document/analysis-implementation-reports-single-species-action-plan-hawksbill-turtle" TargetMode="External"/><Relationship Id="rId67" Type="http://schemas.openxmlformats.org/officeDocument/2006/relationships/header" Target="header16.xml"/><Relationship Id="rId20" Type="http://schemas.openxmlformats.org/officeDocument/2006/relationships/hyperlink" Target="https://www.cms.int/fr/node/25265" TargetMode="External"/><Relationship Id="rId41" Type="http://schemas.openxmlformats.org/officeDocument/2006/relationships/header" Target="header5.xml"/><Relationship Id="rId54" Type="http://schemas.openxmlformats.org/officeDocument/2006/relationships/hyperlink" Target="https://7enews.net/en/news-en/gcc-en/qatar-release-of-first-young-hawksbill-turtles-from-turtle-reserve-in-ras-laffan-industrial-city/" TargetMode="External"/><Relationship Id="rId62" Type="http://schemas.openxmlformats.org/officeDocument/2006/relationships/hyperlink" Target="https://www.cms.int/fr/news/2025004-mise-en-&#339;uvre-du-plan-daction-par-esp&#232;ce-pour-la-tortue-imbriqu&#233;e-en-asie-du-sud-est-e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eaturtlestatus.org/cpp-dashboard" TargetMode="External"/><Relationship Id="rId28" Type="http://schemas.openxmlformats.org/officeDocument/2006/relationships/hyperlink" Target="https://www.cms.int/iosea-turtles/fr/node/25330" TargetMode="External"/><Relationship Id="rId36" Type="http://schemas.openxmlformats.org/officeDocument/2006/relationships/hyperlink" Target="https://www.cms.int/iosea-turtles/en/document/single-species-action-plan-hawksbill-turtle-eretmochelys-imbricata-south-east-asia-and-4" TargetMode="External"/><Relationship Id="rId49" Type="http://schemas.openxmlformats.org/officeDocument/2006/relationships/hyperlink" Target="https://doi.org/10.1016/j.marpolbul.2021.112363" TargetMode="Externa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cms.int/en/document/priorities-area-based-conservation-marine-migratory-species" TargetMode="External"/><Relationship Id="rId44" Type="http://schemas.openxmlformats.org/officeDocument/2006/relationships/hyperlink" Target="https://doi.org/10.3389/fmars.2020.00301" TargetMode="External"/><Relationship Id="rId52" Type="http://schemas.openxmlformats.org/officeDocument/2006/relationships/header" Target="header8.xml"/><Relationship Id="rId60" Type="http://schemas.openxmlformats.org/officeDocument/2006/relationships/hyperlink" Target="https://www.cms.int/fr/node/25265" TargetMode="Externa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iosea-turtles/fr/" TargetMode="External"/><Relationship Id="rId39" Type="http://schemas.openxmlformats.org/officeDocument/2006/relationships/hyperlink" Target="https://www.cms.int/en/document/bycatch-and-other-fisheries-induced-mortality" TargetMode="External"/><Relationship Id="rId34" Type="http://schemas.openxmlformats.org/officeDocument/2006/relationships/hyperlink" Target="https://www.cms.int/en/document/review-technical-and-operational-measures-mitigate-bycatch-marine-turtles-commercial" TargetMode="External"/><Relationship Id="rId50" Type="http://schemas.openxmlformats.org/officeDocument/2006/relationships/hyperlink" Target="http://dx.doi.org/10.1098/rspb.2014.1209" TargetMode="External"/><Relationship Id="rId55" Type="http://schemas.openxmlformats.org/officeDocument/2006/relationships/hyperlink" Target="https://www.gulf-times.com/article/708280/qatar/2025-nesting-season-for-hawksbill-turtles-end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1F2F776-C0FB-4C43-BD70-0815EFCA7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24</Pages>
  <Words>10646</Words>
  <Characters>60683</Characters>
  <Application>Microsoft Office Word</Application>
  <DocSecurity>0</DocSecurity>
  <Lines>505</Lines>
  <Paragraphs>142</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
      <vt:lpstr/>
      <vt:lpstr>    TORTUES MARINES</vt:lpstr>
      <vt:lpstr>    TORTUES MARINES</vt:lpstr>
      <vt:lpstr>Introduction</vt:lpstr>
      <vt:lpstr>Principales conclusions</vt:lpstr>
      <vt:lpstr>Recommandations </vt:lpstr>
      <vt:lpstr>    TORTUES MARINES</vt:lpstr>
    </vt:vector>
  </TitlesOfParts>
  <Company/>
  <LinksUpToDate>false</LinksUpToDate>
  <CharactersWithSpaces>71187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35</cp:revision>
  <cp:lastPrinted>2019-09-23T05:54:00Z</cp:lastPrinted>
  <dcterms:created xsi:type="dcterms:W3CDTF">2025-09-19T11:51:00Z</dcterms:created>
  <dcterms:modified xsi:type="dcterms:W3CDTF">2025-11-11T15:25:00Z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