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3BE6B119" w:rsidR="00002A97" w:rsidRPr="005D346C"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5D346C">
              <w:rPr>
                <w:rFonts w:eastAsia="Times New Roman" w:cs="Arial"/>
                <w:szCs w:val="24"/>
                <w:lang w:val="es-ES" w:eastAsia="es-ES"/>
              </w:rPr>
              <w:t>UNEP/CMS/COP1</w:t>
            </w:r>
            <w:r w:rsidR="00C22155" w:rsidRPr="005D346C">
              <w:rPr>
                <w:rFonts w:eastAsia="Times New Roman" w:cs="Arial"/>
                <w:szCs w:val="24"/>
                <w:lang w:val="es-ES" w:eastAsia="es-ES"/>
              </w:rPr>
              <w:t>5</w:t>
            </w:r>
            <w:r w:rsidRPr="005D346C">
              <w:rPr>
                <w:rFonts w:eastAsia="Times New Roman" w:cs="Arial"/>
                <w:szCs w:val="24"/>
                <w:lang w:val="es-ES" w:eastAsia="es-ES"/>
              </w:rPr>
              <w:t>/</w:t>
            </w:r>
            <w:r w:rsidR="00800CB3" w:rsidRPr="005D346C">
              <w:rPr>
                <w:rFonts w:eastAsia="Times New Roman" w:cs="Arial"/>
                <w:szCs w:val="24"/>
                <w:lang w:val="es-ES" w:eastAsia="es-ES"/>
              </w:rPr>
              <w:t>Doc</w:t>
            </w:r>
            <w:r w:rsidRPr="005D346C">
              <w:rPr>
                <w:rFonts w:eastAsia="Times New Roman" w:cs="Arial"/>
                <w:szCs w:val="24"/>
                <w:lang w:val="es-ES" w:eastAsia="es-ES"/>
              </w:rPr>
              <w:t>.</w:t>
            </w:r>
            <w:r w:rsidR="00E22D3C" w:rsidRPr="005D346C">
              <w:rPr>
                <w:rFonts w:eastAsia="Times New Roman" w:cs="Arial"/>
                <w:szCs w:val="24"/>
                <w:lang w:val="es-ES" w:eastAsia="es-ES"/>
              </w:rPr>
              <w:t>25.4.1</w:t>
            </w:r>
          </w:p>
          <w:p w14:paraId="5F9B9DE6" w14:textId="22CCDD01" w:rsidR="00002A97" w:rsidRPr="005D346C" w:rsidRDefault="00EF0155"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5D346C">
              <w:rPr>
                <w:rFonts w:eastAsia="Times New Roman" w:cs="Arial"/>
                <w:szCs w:val="24"/>
                <w:lang w:val="es-ES" w:eastAsia="es-ES"/>
              </w:rPr>
              <w:t>9 de septiembre</w:t>
            </w:r>
            <w:r w:rsidR="00EF1D13" w:rsidRPr="005D346C">
              <w:rPr>
                <w:rFonts w:eastAsia="Times New Roman" w:cs="Arial"/>
                <w:szCs w:val="24"/>
                <w:lang w:val="es-ES" w:eastAsia="es-ES"/>
              </w:rPr>
              <w:t xml:space="preserve"> </w:t>
            </w:r>
            <w:r w:rsidR="00002A97" w:rsidRPr="005D346C">
              <w:rPr>
                <w:rFonts w:eastAsia="Times New Roman" w:cs="Arial"/>
                <w:szCs w:val="24"/>
                <w:lang w:val="es-ES" w:eastAsia="es-ES"/>
              </w:rPr>
              <w:t>20</w:t>
            </w:r>
            <w:r w:rsidR="000F4BDA" w:rsidRPr="005D346C">
              <w:rPr>
                <w:rFonts w:eastAsia="Times New Roman" w:cs="Arial"/>
                <w:szCs w:val="24"/>
                <w:lang w:val="es-ES" w:eastAsia="es-ES"/>
              </w:rPr>
              <w:t>2</w:t>
            </w:r>
            <w:r w:rsidR="00BE6C85" w:rsidRPr="005D346C">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7C211E01"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EF0155">
        <w:rPr>
          <w:rFonts w:eastAsia="Times New Roman" w:cs="Arial"/>
          <w:szCs w:val="24"/>
          <w:lang w:val="es-ES" w:eastAsia="es-ES"/>
        </w:rPr>
        <w:t>25.4.1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40B2FACF" w14:textId="77777777" w:rsidR="005D346C" w:rsidRPr="00D0409E" w:rsidRDefault="005D346C" w:rsidP="005D346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11"/>
        <w:jc w:val="center"/>
        <w:textAlignment w:val="baseline"/>
        <w:outlineLvl w:val="1"/>
        <w:rPr>
          <w:rFonts w:eastAsia="Times New Roman" w:cs="Arial"/>
          <w:b/>
          <w:bCs/>
          <w:lang w:val="es-ES"/>
        </w:rPr>
      </w:pPr>
      <w:bookmarkStart w:id="0" w:name="_Toc201154084"/>
      <w:bookmarkStart w:id="1" w:name="_Toc201243565"/>
      <w:bookmarkStart w:id="2" w:name="_Toc201243929"/>
      <w:r w:rsidRPr="00D0409E">
        <w:rPr>
          <w:rFonts w:eastAsia="Times New Roman" w:cs="Arial"/>
          <w:b/>
          <w:bCs/>
          <w:lang w:val="es-ES"/>
        </w:rPr>
        <w:t>PRIORIDADES DE CONSERVACIÓN PARA LOS CETÁCEOS</w:t>
      </w:r>
      <w:bookmarkEnd w:id="0"/>
      <w:bookmarkEnd w:id="1"/>
      <w:bookmarkEnd w:id="2"/>
    </w:p>
    <w:p w14:paraId="649BC530" w14:textId="5451F611" w:rsidR="00002A97" w:rsidRPr="005D346C" w:rsidRDefault="005D346C" w:rsidP="005D346C">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D0409E">
        <w:rPr>
          <w:rFonts w:eastAsia="Times New Roman" w:cs="Arial"/>
          <w:i/>
          <w:lang w:val="es-ES"/>
        </w:rPr>
        <w:t xml:space="preserve">(Preparado por la Secretaría y el Grupo de Trabajo sobre Mamíferos Acuáticos del </w:t>
      </w:r>
      <w:proofErr w:type="spellStart"/>
      <w:r w:rsidRPr="00D0409E">
        <w:rPr>
          <w:rFonts w:eastAsia="Times New Roman" w:cs="Arial"/>
          <w:i/>
          <w:lang w:val="es-ES"/>
        </w:rPr>
        <w:t>S</w:t>
      </w:r>
      <w:r w:rsidR="007549D1">
        <w:rPr>
          <w:rFonts w:eastAsia="Times New Roman" w:cs="Arial"/>
          <w:i/>
          <w:lang w:val="es-ES"/>
        </w:rPr>
        <w:t>cC</w:t>
      </w:r>
      <w:proofErr w:type="spellEnd"/>
      <w:r w:rsidR="007549D1">
        <w:rPr>
          <w:rFonts w:eastAsia="Times New Roman" w:cs="Arial"/>
          <w:i/>
          <w:lang w:val="es-ES"/>
        </w:rPr>
        <w:t>)</w:t>
      </w:r>
      <w:r w:rsidR="00002A97" w:rsidRPr="005D346C">
        <w:rPr>
          <w:rFonts w:eastAsia="Times New Roman" w:cs="Arial"/>
          <w:i/>
          <w:szCs w:val="24"/>
          <w:lang w:val="es-ES" w:eastAsia="es-ES"/>
        </w:rPr>
        <w:t xml:space="preserve"> </w:t>
      </w:r>
    </w:p>
    <w:p w14:paraId="6A23E363" w14:textId="77777777" w:rsidR="00002A97" w:rsidRPr="005D346C"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5D346C"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7A942E50">
                <wp:simplePos x="0" y="0"/>
                <wp:positionH relativeFrom="column">
                  <wp:posOffset>971550</wp:posOffset>
                </wp:positionH>
                <wp:positionV relativeFrom="paragraph">
                  <wp:posOffset>147320</wp:posOffset>
                </wp:positionV>
                <wp:extent cx="4304666" cy="232410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2324100"/>
                        </a:xfrm>
                        <a:prstGeom prst="rect">
                          <a:avLst/>
                        </a:prstGeom>
                        <a:solidFill>
                          <a:srgbClr val="FFFFFF"/>
                        </a:solidFill>
                        <a:ln w="3172">
                          <a:solidFill>
                            <a:srgbClr val="000000"/>
                          </a:solidFill>
                          <a:prstDash val="solid"/>
                        </a:ln>
                      </wps:spPr>
                      <wps:txbx>
                        <w:txbxContent>
                          <w:p w14:paraId="78EFDF6D" w14:textId="1DCE26E8" w:rsidR="002D5F2A" w:rsidRPr="00713CA4" w:rsidRDefault="002D5F2A" w:rsidP="002D5F2A">
                            <w:pPr>
                              <w:spacing w:after="0"/>
                              <w:rPr>
                                <w:lang w:val="es-ES"/>
                              </w:rPr>
                            </w:pPr>
                            <w:r w:rsidRPr="00713CA4">
                              <w:rPr>
                                <w:rFonts w:eastAsia="Arial" w:cs="Arial"/>
                                <w:lang w:val="es-ES"/>
                              </w:rPr>
                              <w:t>Resumen:</w:t>
                            </w:r>
                          </w:p>
                          <w:p w14:paraId="255B4E63" w14:textId="77777777" w:rsidR="002D5F2A" w:rsidRPr="00713CA4" w:rsidRDefault="002D5F2A" w:rsidP="002D5F2A">
                            <w:pPr>
                              <w:spacing w:after="0"/>
                              <w:rPr>
                                <w:rFonts w:cs="Arial"/>
                                <w:lang w:val="es-ES"/>
                              </w:rPr>
                            </w:pPr>
                          </w:p>
                          <w:p w14:paraId="6BED5B40" w14:textId="77777777" w:rsidR="0025580C" w:rsidRPr="00D0409E" w:rsidRDefault="0025580C" w:rsidP="0025580C">
                            <w:pPr>
                              <w:spacing w:after="0" w:line="240" w:lineRule="auto"/>
                              <w:jc w:val="both"/>
                              <w:rPr>
                                <w:rFonts w:cs="Arial"/>
                                <w:lang w:val="es-ES"/>
                              </w:rPr>
                            </w:pPr>
                            <w:r w:rsidRPr="00D0409E">
                              <w:rPr>
                                <w:rFonts w:cs="Arial"/>
                                <w:lang w:val="es-ES"/>
                              </w:rPr>
                              <w:t>Este documento informa sobre los avances en la implementación de las Decisiones 14.69</w:t>
                            </w:r>
                            <w:r w:rsidRPr="00D0409E">
                              <w:rPr>
                                <w:rFonts w:cs="Arial"/>
                                <w:iCs/>
                                <w:sz w:val="21"/>
                                <w:szCs w:val="21"/>
                                <w:lang w:val="es-ES"/>
                              </w:rPr>
                              <w:t>-</w:t>
                            </w:r>
                            <w:r w:rsidRPr="00D0409E">
                              <w:rPr>
                                <w:rFonts w:cs="Arial"/>
                                <w:lang w:val="es-ES"/>
                              </w:rPr>
                              <w:t xml:space="preserve">14.73 </w:t>
                            </w:r>
                            <w:r w:rsidRPr="00D0409E">
                              <w:rPr>
                                <w:rFonts w:cs="Arial"/>
                                <w:i/>
                                <w:iCs/>
                                <w:lang w:val="es-ES"/>
                              </w:rPr>
                              <w:t>Prioridades de conservación para los cetáceos</w:t>
                            </w:r>
                            <w:r w:rsidRPr="00D0409E">
                              <w:rPr>
                                <w:rFonts w:cs="Arial"/>
                                <w:lang w:val="es-ES"/>
                              </w:rPr>
                              <w:t xml:space="preserve"> y de las Decisiones 14.74</w:t>
                            </w:r>
                            <w:r w:rsidRPr="00D0409E">
                              <w:rPr>
                                <w:rFonts w:cs="Arial"/>
                                <w:iCs/>
                                <w:sz w:val="21"/>
                                <w:szCs w:val="21"/>
                                <w:lang w:val="es-ES"/>
                              </w:rPr>
                              <w:t>-</w:t>
                            </w:r>
                            <w:r w:rsidRPr="00D0409E">
                              <w:rPr>
                                <w:rFonts w:cs="Arial"/>
                                <w:lang w:val="es-ES"/>
                              </w:rPr>
                              <w:t xml:space="preserve">14.75 </w:t>
                            </w:r>
                            <w:r w:rsidRPr="00D0409E">
                              <w:rPr>
                                <w:rFonts w:cs="Arial"/>
                                <w:i/>
                                <w:iCs/>
                                <w:lang w:val="es-ES"/>
                              </w:rPr>
                              <w:t>La importancia de los cetáceos en el funcionamiento del ecosistema</w:t>
                            </w:r>
                            <w:r w:rsidRPr="00D0409E">
                              <w:rPr>
                                <w:rFonts w:cs="Arial"/>
                                <w:lang w:val="es-ES"/>
                              </w:rPr>
                              <w:t xml:space="preserve">, así como de la Resolución 14.9 </w:t>
                            </w:r>
                            <w:r w:rsidRPr="00D0409E">
                              <w:rPr>
                                <w:rFonts w:cs="Arial"/>
                                <w:i/>
                                <w:iCs/>
                                <w:lang w:val="es-ES"/>
                              </w:rPr>
                              <w:t>Prioridades de la conservación de los cetáceos</w:t>
                            </w:r>
                            <w:r w:rsidRPr="00D0409E">
                              <w:rPr>
                                <w:rFonts w:cs="Arial"/>
                                <w:lang w:val="es-ES"/>
                              </w:rPr>
                              <w:t xml:space="preserve">. También incluye proyectos de Decisión. </w:t>
                            </w:r>
                          </w:p>
                          <w:p w14:paraId="0BD2A69B" w14:textId="77777777" w:rsidR="0025580C" w:rsidRPr="00D0409E" w:rsidRDefault="0025580C" w:rsidP="0025580C">
                            <w:pPr>
                              <w:spacing w:after="0" w:line="240" w:lineRule="auto"/>
                              <w:jc w:val="both"/>
                              <w:rPr>
                                <w:rFonts w:cs="Arial"/>
                                <w:sz w:val="24"/>
                                <w:szCs w:val="24"/>
                                <w:lang w:val="es-ES"/>
                              </w:rPr>
                            </w:pPr>
                          </w:p>
                          <w:p w14:paraId="6EC3E321" w14:textId="2B4E41A1" w:rsidR="0025580C" w:rsidRPr="0025580C" w:rsidRDefault="0025580C" w:rsidP="0025580C">
                            <w:pPr>
                              <w:spacing w:after="0" w:line="240" w:lineRule="auto"/>
                              <w:jc w:val="both"/>
                              <w:rPr>
                                <w:rFonts w:cs="Arial"/>
                                <w:lang w:val="es-ES"/>
                              </w:rPr>
                            </w:pPr>
                            <w:r w:rsidRPr="00D0409E">
                              <w:rPr>
                                <w:rFonts w:cs="Arial"/>
                                <w:lang w:val="es-ES"/>
                              </w:rPr>
                              <w:t>Los proyectos de Decisión que se adjuntan contribuirán a la consecución de las Metas 1.1-1.3, 3.1, 3.3, 3.4 y 6.1 del Plan Estratégico de Samarcanda para las Especies Migratorias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8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" strokeweight=".08811mm">
                <v:textbox>
                  <w:txbxContent>
                    <w:p w14:paraId="78EFDF6D" w14:textId="1DCE26E8" w:rsidR="002D5F2A" w:rsidRPr="00713CA4" w:rsidRDefault="002D5F2A" w:rsidP="002D5F2A">
                      <w:pPr>
                        <w:spacing w:after="0"/>
                        <w:rPr>
                          <w:lang w:val="es-ES"/>
                        </w:rPr>
                      </w:pPr>
                      <w:r w:rsidRPr="00713CA4">
                        <w:rPr>
                          <w:rFonts w:eastAsia="Arial" w:cs="Arial"/>
                          <w:lang w:val="es-ES"/>
                        </w:rPr>
                        <w:t>Resumen:</w:t>
                      </w:r>
                    </w:p>
                    <w:p w14:paraId="255B4E63" w14:textId="77777777" w:rsidR="002D5F2A" w:rsidRPr="00713CA4" w:rsidRDefault="002D5F2A" w:rsidP="002D5F2A">
                      <w:pPr>
                        <w:spacing w:after="0"/>
                        <w:rPr>
                          <w:rFonts w:cs="Arial"/>
                          <w:lang w:val="es-ES"/>
                        </w:rPr>
                      </w:pPr>
                    </w:p>
                    <w:p w14:paraId="6BED5B40" w14:textId="77777777" w:rsidR="0025580C" w:rsidRPr="00D0409E" w:rsidRDefault="0025580C" w:rsidP="0025580C">
                      <w:pPr>
                        <w:spacing w:after="0" w:line="240" w:lineRule="auto"/>
                        <w:jc w:val="both"/>
                        <w:rPr>
                          <w:rFonts w:cs="Arial"/>
                          <w:lang w:val="es-ES"/>
                        </w:rPr>
                      </w:pPr>
                      <w:r w:rsidRPr="00D0409E">
                        <w:rPr>
                          <w:rFonts w:cs="Arial"/>
                          <w:lang w:val="es-ES"/>
                        </w:rPr>
                        <w:t>Este documento informa sobre los avances en la implementación de las Decisiones 14.69</w:t>
                      </w:r>
                      <w:r w:rsidRPr="00D0409E">
                        <w:rPr>
                          <w:rFonts w:cs="Arial"/>
                          <w:iCs/>
                          <w:sz w:val="21"/>
                          <w:szCs w:val="21"/>
                          <w:lang w:val="es-ES"/>
                        </w:rPr>
                        <w:t>-</w:t>
                      </w:r>
                      <w:r w:rsidRPr="00D0409E">
                        <w:rPr>
                          <w:rFonts w:cs="Arial"/>
                          <w:lang w:val="es-ES"/>
                        </w:rPr>
                        <w:t xml:space="preserve">14.73 </w:t>
                      </w:r>
                      <w:r w:rsidRPr="00D0409E">
                        <w:rPr>
                          <w:rFonts w:cs="Arial"/>
                          <w:i/>
                          <w:iCs/>
                          <w:lang w:val="es-ES"/>
                        </w:rPr>
                        <w:t>Prioridades de conservación para los cetáceos</w:t>
                      </w:r>
                      <w:r w:rsidRPr="00D0409E">
                        <w:rPr>
                          <w:rFonts w:cs="Arial"/>
                          <w:lang w:val="es-ES"/>
                        </w:rPr>
                        <w:t xml:space="preserve"> y de las Decisiones 14.74</w:t>
                      </w:r>
                      <w:r w:rsidRPr="00D0409E">
                        <w:rPr>
                          <w:rFonts w:cs="Arial"/>
                          <w:iCs/>
                          <w:sz w:val="21"/>
                          <w:szCs w:val="21"/>
                          <w:lang w:val="es-ES"/>
                        </w:rPr>
                        <w:t>-</w:t>
                      </w:r>
                      <w:r w:rsidRPr="00D0409E">
                        <w:rPr>
                          <w:rFonts w:cs="Arial"/>
                          <w:lang w:val="es-ES"/>
                        </w:rPr>
                        <w:t xml:space="preserve">14.75 </w:t>
                      </w:r>
                      <w:r w:rsidRPr="00D0409E">
                        <w:rPr>
                          <w:rFonts w:cs="Arial"/>
                          <w:i/>
                          <w:iCs/>
                          <w:lang w:val="es-ES"/>
                        </w:rPr>
                        <w:t>La importancia de los cetáceos en el funcionamiento del ecosistema</w:t>
                      </w:r>
                      <w:r w:rsidRPr="00D0409E">
                        <w:rPr>
                          <w:rFonts w:cs="Arial"/>
                          <w:lang w:val="es-ES"/>
                        </w:rPr>
                        <w:t xml:space="preserve">, así como de la Resolución 14.9 </w:t>
                      </w:r>
                      <w:r w:rsidRPr="00D0409E">
                        <w:rPr>
                          <w:rFonts w:cs="Arial"/>
                          <w:i/>
                          <w:iCs/>
                          <w:lang w:val="es-ES"/>
                        </w:rPr>
                        <w:t>Prioridades de la conservación de los cetáceos</w:t>
                      </w:r>
                      <w:r w:rsidRPr="00D0409E">
                        <w:rPr>
                          <w:rFonts w:cs="Arial"/>
                          <w:lang w:val="es-ES"/>
                        </w:rPr>
                        <w:t xml:space="preserve">. También incluye proyectos de Decisión. </w:t>
                      </w:r>
                    </w:p>
                    <w:p w14:paraId="0BD2A69B" w14:textId="77777777" w:rsidR="0025580C" w:rsidRPr="00D0409E" w:rsidRDefault="0025580C" w:rsidP="0025580C">
                      <w:pPr>
                        <w:spacing w:after="0" w:line="240" w:lineRule="auto"/>
                        <w:jc w:val="both"/>
                        <w:rPr>
                          <w:rFonts w:cs="Arial"/>
                          <w:sz w:val="24"/>
                          <w:szCs w:val="24"/>
                          <w:lang w:val="es-ES"/>
                        </w:rPr>
                      </w:pPr>
                    </w:p>
                    <w:p w14:paraId="6EC3E321" w14:textId="2B4E41A1" w:rsidR="0025580C" w:rsidRPr="0025580C" w:rsidRDefault="0025580C" w:rsidP="0025580C">
                      <w:pPr>
                        <w:spacing w:after="0" w:line="240" w:lineRule="auto"/>
                        <w:jc w:val="both"/>
                        <w:rPr>
                          <w:rFonts w:cs="Arial"/>
                          <w:lang w:val="es-ES"/>
                        </w:rPr>
                      </w:pPr>
                      <w:r w:rsidRPr="00D0409E">
                        <w:rPr>
                          <w:rFonts w:cs="Arial"/>
                          <w:lang w:val="es-ES"/>
                        </w:rPr>
                        <w:t>Los proyectos de Decisión que se adjuntan contribuirán a la consecución de las Metas 1.1-1.3, 3.1, 3.3, 3.4 y 6.1 del Plan Estratégico de Samarcanda para las Especies Migratorias 2024-2032.</w:t>
                      </w:r>
                    </w:p>
                  </w:txbxContent>
                </v:textbox>
              </v:shape>
            </w:pict>
          </mc:Fallback>
        </mc:AlternateContent>
      </w:r>
    </w:p>
    <w:p w14:paraId="446B2251" w14:textId="3D106049"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5D346C" w:rsidRDefault="002D5F2A">
      <w:pPr>
        <w:rPr>
          <w:rFonts w:eastAsia="Times New Roman" w:cs="Arial"/>
          <w:lang w:val="es-ES" w:eastAsia="es-ES"/>
        </w:rPr>
      </w:pPr>
      <w:r w:rsidRPr="005D346C">
        <w:rPr>
          <w:rFonts w:eastAsia="Times New Roman" w:cs="Arial"/>
          <w:lang w:val="es-ES" w:eastAsia="es-ES"/>
        </w:rPr>
        <w:br w:type="page"/>
      </w:r>
    </w:p>
    <w:p w14:paraId="795A227C" w14:textId="77777777" w:rsidR="009B58DC" w:rsidRPr="00D0409E" w:rsidRDefault="009B58DC" w:rsidP="009B58DC">
      <w:pPr>
        <w:pStyle w:val="Title1"/>
      </w:pPr>
      <w:bookmarkStart w:id="3" w:name="_Toc201154085"/>
      <w:bookmarkStart w:id="4" w:name="_Toc201243566"/>
      <w:bookmarkStart w:id="5" w:name="_Toc201243930"/>
      <w:r w:rsidRPr="00D0409E">
        <w:lastRenderedPageBreak/>
        <w:t>PRIORIDADES DE CONSERVACIÓN PARA C</w:t>
      </w:r>
      <w:bookmarkEnd w:id="3"/>
      <w:bookmarkEnd w:id="4"/>
      <w:bookmarkEnd w:id="5"/>
      <w:r w:rsidRPr="00D0409E">
        <w:t>ETÁCEOS</w:t>
      </w:r>
    </w:p>
    <w:p w14:paraId="11E9DFF8" w14:textId="77777777" w:rsidR="009B58DC" w:rsidRPr="00D0409E" w:rsidRDefault="009B58DC" w:rsidP="009B58DC">
      <w:pPr>
        <w:pStyle w:val="Firstnumbering"/>
        <w:numPr>
          <w:ilvl w:val="0"/>
          <w:numId w:val="0"/>
        </w:numPr>
        <w:ind w:left="567" w:hanging="567"/>
        <w:jc w:val="both"/>
        <w:rPr>
          <w:lang w:val="es-ES"/>
        </w:rPr>
      </w:pPr>
    </w:p>
    <w:p w14:paraId="5441D661" w14:textId="77777777" w:rsidR="009B58DC" w:rsidRPr="00D0409E" w:rsidRDefault="009B58DC" w:rsidP="009B58DC">
      <w:pPr>
        <w:spacing w:after="0" w:line="240" w:lineRule="auto"/>
        <w:rPr>
          <w:lang w:val="es-ES"/>
        </w:rPr>
      </w:pPr>
    </w:p>
    <w:p w14:paraId="7CCA244C" w14:textId="77777777" w:rsidR="009B58DC" w:rsidRPr="00D0409E" w:rsidRDefault="009B58DC" w:rsidP="009B58DC">
      <w:pPr>
        <w:spacing w:after="0" w:line="240" w:lineRule="auto"/>
        <w:rPr>
          <w:u w:val="single"/>
          <w:lang w:val="es-ES"/>
        </w:rPr>
      </w:pPr>
      <w:r w:rsidRPr="00D0409E">
        <w:rPr>
          <w:u w:val="single"/>
          <w:lang w:val="es-ES"/>
        </w:rPr>
        <w:t>Antecedentes</w:t>
      </w:r>
    </w:p>
    <w:p w14:paraId="71DF6860" w14:textId="77777777" w:rsidR="009B58DC" w:rsidRPr="00D0409E" w:rsidRDefault="009B58DC" w:rsidP="009B58DC">
      <w:pPr>
        <w:spacing w:after="0" w:line="240" w:lineRule="auto"/>
        <w:rPr>
          <w:u w:val="single"/>
          <w:lang w:val="es-ES"/>
        </w:rPr>
      </w:pPr>
    </w:p>
    <w:p w14:paraId="22B412F4" w14:textId="3B6C0880" w:rsidR="009B58DC" w:rsidRPr="00D0409E" w:rsidRDefault="009B58DC" w:rsidP="00E21F5D">
      <w:pPr>
        <w:widowControl w:val="0"/>
        <w:numPr>
          <w:ilvl w:val="0"/>
          <w:numId w:val="14"/>
        </w:numPr>
        <w:autoSpaceDE w:val="0"/>
        <w:autoSpaceDN w:val="0"/>
        <w:adjustRightInd w:val="0"/>
        <w:spacing w:after="0" w:line="240" w:lineRule="auto"/>
        <w:ind w:left="562" w:hanging="567"/>
        <w:jc w:val="both"/>
        <w:rPr>
          <w:rFonts w:cs="Arial"/>
          <w:lang w:val="es-ES"/>
        </w:rPr>
      </w:pPr>
      <w:bookmarkStart w:id="6" w:name="_Toc201154086"/>
      <w:bookmarkStart w:id="7" w:name="_Toc201243931"/>
      <w:bookmarkStart w:id="8" w:name="_Toc201244172"/>
      <w:r w:rsidRPr="00D0409E">
        <w:rPr>
          <w:rFonts w:cs="Arial"/>
          <w:lang w:val="es-ES"/>
        </w:rPr>
        <w:t xml:space="preserve">Este documento integra los mandatos de la COP14 relacionados con cetáceos, excepto aquellos relacionados con los planes de acción, que se tratan en </w:t>
      </w:r>
      <w:hyperlink r:id="rId12" w:history="1">
        <w:r w:rsidR="00E71F1B" w:rsidRPr="00E71F1B">
          <w:rPr>
            <w:rStyle w:val="Hyperlink"/>
            <w:rFonts w:cs="Arial"/>
            <w:lang w:val="es-ES"/>
          </w:rPr>
          <w:t>UNEP/CMS/COP15/Doc.25.4.2</w:t>
        </w:r>
      </w:hyperlink>
      <w:r w:rsidRPr="00D0409E">
        <w:rPr>
          <w:rFonts w:cs="Arial"/>
          <w:lang w:val="es-ES"/>
        </w:rPr>
        <w:t xml:space="preserve"> </w:t>
      </w:r>
      <w:r w:rsidRPr="00D0409E">
        <w:rPr>
          <w:rFonts w:cs="Arial"/>
          <w:i/>
          <w:iCs/>
          <w:lang w:val="es-ES"/>
        </w:rPr>
        <w:t>Planes de Acción para cetáceos</w:t>
      </w:r>
      <w:r w:rsidRPr="00D0409E">
        <w:rPr>
          <w:rFonts w:cs="Arial"/>
          <w:lang w:val="es-ES"/>
        </w:rPr>
        <w:t xml:space="preserve">, y las Decisiones 14.57-14.60 </w:t>
      </w:r>
      <w:r w:rsidRPr="00D0409E">
        <w:rPr>
          <w:rFonts w:cs="Arial"/>
          <w:i/>
          <w:iCs/>
          <w:lang w:val="es-ES"/>
        </w:rPr>
        <w:t>Áreas marinas importantes para mamíferos marinos</w:t>
      </w:r>
      <w:r w:rsidRPr="00D0409E">
        <w:rPr>
          <w:rFonts w:cs="Arial"/>
          <w:lang w:val="es-ES"/>
        </w:rPr>
        <w:t xml:space="preserve">, que se abordan en </w:t>
      </w:r>
      <w:hyperlink r:id="rId13" w:history="1">
        <w:r w:rsidR="00F60180" w:rsidRPr="00F92D44">
          <w:rPr>
            <w:rStyle w:val="Hyperlink"/>
            <w:rFonts w:cs="Arial"/>
            <w:lang w:val="es-ES"/>
          </w:rPr>
          <w:t>UNEP/CMS/COP15/Doc.25.3.1</w:t>
        </w:r>
      </w:hyperlink>
      <w:r w:rsidRPr="00D0409E">
        <w:rPr>
          <w:rFonts w:cs="Arial"/>
          <w:lang w:val="es-ES"/>
        </w:rPr>
        <w:t xml:space="preserve"> </w:t>
      </w:r>
      <w:r w:rsidRPr="00D0409E">
        <w:rPr>
          <w:rFonts w:cs="Arial"/>
          <w:i/>
          <w:iCs/>
          <w:lang w:val="es-ES"/>
        </w:rPr>
        <w:t>Prioridades para la conservación basada en áreas de especies migratorias marinas.</w:t>
      </w:r>
    </w:p>
    <w:p w14:paraId="7147D9A7" w14:textId="77777777" w:rsidR="009B58DC" w:rsidRPr="00D0409E" w:rsidRDefault="009B58DC" w:rsidP="00E21F5D">
      <w:pPr>
        <w:widowControl w:val="0"/>
        <w:autoSpaceDE w:val="0"/>
        <w:autoSpaceDN w:val="0"/>
        <w:adjustRightInd w:val="0"/>
        <w:spacing w:after="0" w:line="240" w:lineRule="auto"/>
        <w:ind w:left="562"/>
        <w:jc w:val="both"/>
        <w:rPr>
          <w:rFonts w:cs="Arial"/>
          <w:lang w:val="es-ES"/>
        </w:rPr>
      </w:pPr>
    </w:p>
    <w:p w14:paraId="6C75D2A7" w14:textId="77777777" w:rsidR="009B58DC" w:rsidRPr="00D0409E" w:rsidRDefault="009B58DC" w:rsidP="00E21F5D">
      <w:pPr>
        <w:widowControl w:val="0"/>
        <w:numPr>
          <w:ilvl w:val="0"/>
          <w:numId w:val="14"/>
        </w:numPr>
        <w:autoSpaceDE w:val="0"/>
        <w:autoSpaceDN w:val="0"/>
        <w:adjustRightInd w:val="0"/>
        <w:spacing w:after="80" w:line="240" w:lineRule="auto"/>
        <w:ind w:left="562" w:hanging="567"/>
        <w:jc w:val="both"/>
        <w:rPr>
          <w:rFonts w:cs="Arial"/>
          <w:lang w:val="es-ES"/>
        </w:rPr>
      </w:pPr>
      <w:r w:rsidRPr="00D0409E">
        <w:rPr>
          <w:rFonts w:cs="Arial"/>
          <w:lang w:val="es-ES"/>
        </w:rPr>
        <w:t>Asimismo, contiene las siguientes secciones, cada una de las cuales informa sobre las Decisiones relevantes de la COP14:</w:t>
      </w:r>
    </w:p>
    <w:p w14:paraId="7F1F3B96" w14:textId="77777777" w:rsidR="009B58DC" w:rsidRPr="00D0409E" w:rsidRDefault="009B58DC" w:rsidP="00E21F5D">
      <w:pPr>
        <w:pStyle w:val="ListParagraph"/>
        <w:widowControl w:val="0"/>
        <w:numPr>
          <w:ilvl w:val="1"/>
          <w:numId w:val="21"/>
        </w:numPr>
        <w:autoSpaceDE w:val="0"/>
        <w:autoSpaceDN w:val="0"/>
        <w:adjustRightInd w:val="0"/>
        <w:spacing w:after="80" w:line="240" w:lineRule="auto"/>
        <w:ind w:left="993" w:hanging="426"/>
        <w:jc w:val="both"/>
        <w:rPr>
          <w:rFonts w:cs="Arial"/>
          <w:lang w:val="es-ES"/>
        </w:rPr>
      </w:pPr>
      <w:r w:rsidRPr="00D0409E">
        <w:rPr>
          <w:rFonts w:cs="Arial"/>
          <w:lang w:val="es-ES"/>
        </w:rPr>
        <w:t>Prioridades de conservación para los cetáceos</w:t>
      </w:r>
    </w:p>
    <w:p w14:paraId="6C3DF17C" w14:textId="77777777" w:rsidR="009B58DC" w:rsidRPr="00D0409E" w:rsidRDefault="009B58DC" w:rsidP="00E21F5D">
      <w:pPr>
        <w:pStyle w:val="ListParagraph"/>
        <w:widowControl w:val="0"/>
        <w:numPr>
          <w:ilvl w:val="1"/>
          <w:numId w:val="21"/>
        </w:numPr>
        <w:autoSpaceDE w:val="0"/>
        <w:autoSpaceDN w:val="0"/>
        <w:adjustRightInd w:val="0"/>
        <w:spacing w:after="80" w:line="240" w:lineRule="auto"/>
        <w:ind w:left="993" w:hanging="426"/>
        <w:jc w:val="both"/>
        <w:rPr>
          <w:rFonts w:cs="Arial"/>
          <w:lang w:val="es-ES"/>
        </w:rPr>
      </w:pPr>
      <w:r w:rsidRPr="00D0409E">
        <w:rPr>
          <w:rFonts w:cs="Arial"/>
          <w:lang w:val="es-ES"/>
        </w:rPr>
        <w:t>La importancia de los cetáceos en el funcionamiento del ecosistema</w:t>
      </w:r>
    </w:p>
    <w:p w14:paraId="1F6615F7" w14:textId="77777777" w:rsidR="009B58DC" w:rsidRPr="00D0409E" w:rsidRDefault="009B58DC" w:rsidP="009B58DC">
      <w:pPr>
        <w:pStyle w:val="ListParagraph"/>
        <w:widowControl w:val="0"/>
        <w:numPr>
          <w:ilvl w:val="1"/>
          <w:numId w:val="21"/>
        </w:numPr>
        <w:autoSpaceDE w:val="0"/>
        <w:autoSpaceDN w:val="0"/>
        <w:adjustRightInd w:val="0"/>
        <w:spacing w:after="0" w:line="240" w:lineRule="auto"/>
        <w:ind w:left="993" w:hanging="426"/>
        <w:jc w:val="both"/>
        <w:rPr>
          <w:rFonts w:cs="Arial"/>
          <w:lang w:val="es-ES"/>
        </w:rPr>
      </w:pPr>
      <w:r w:rsidRPr="00D0409E">
        <w:rPr>
          <w:rFonts w:cs="Arial"/>
          <w:lang w:val="es-ES"/>
        </w:rPr>
        <w:t>Términos de Referencia para el Grupo de Trabajo sobre Mamíferos Acuáticos</w:t>
      </w:r>
    </w:p>
    <w:p w14:paraId="2A655835" w14:textId="77777777" w:rsidR="009B58DC" w:rsidRPr="00D0409E" w:rsidRDefault="009B58DC" w:rsidP="009B58DC">
      <w:pPr>
        <w:widowControl w:val="0"/>
        <w:autoSpaceDE w:val="0"/>
        <w:autoSpaceDN w:val="0"/>
        <w:adjustRightInd w:val="0"/>
        <w:spacing w:after="0" w:line="240" w:lineRule="auto"/>
        <w:jc w:val="both"/>
        <w:rPr>
          <w:rFonts w:cs="Arial"/>
          <w:lang w:val="es-ES"/>
        </w:rPr>
      </w:pPr>
    </w:p>
    <w:p w14:paraId="0CF5BAEE" w14:textId="77777777" w:rsidR="009B58DC" w:rsidRPr="00D0409E" w:rsidRDefault="009B58DC" w:rsidP="009B58DC">
      <w:pPr>
        <w:pStyle w:val="ListParagraph"/>
        <w:numPr>
          <w:ilvl w:val="0"/>
          <w:numId w:val="22"/>
        </w:numPr>
        <w:spacing w:after="0" w:line="240" w:lineRule="auto"/>
        <w:ind w:left="567" w:hanging="567"/>
        <w:rPr>
          <w:bCs/>
          <w:lang w:val="es-ES"/>
        </w:rPr>
      </w:pPr>
      <w:r w:rsidRPr="00D0409E">
        <w:rPr>
          <w:bCs/>
          <w:u w:val="single"/>
          <w:lang w:val="es-ES"/>
        </w:rPr>
        <w:t>Prioridades de conservación para los cetáceos</w:t>
      </w:r>
      <w:bookmarkEnd w:id="6"/>
      <w:bookmarkEnd w:id="7"/>
      <w:bookmarkEnd w:id="8"/>
    </w:p>
    <w:p w14:paraId="4A10EF7D" w14:textId="77777777" w:rsidR="009B58DC" w:rsidRPr="00D0409E" w:rsidRDefault="009B58DC" w:rsidP="009B58DC">
      <w:pPr>
        <w:widowControl w:val="0"/>
        <w:autoSpaceDE w:val="0"/>
        <w:autoSpaceDN w:val="0"/>
        <w:adjustRightInd w:val="0"/>
        <w:spacing w:after="0" w:line="240" w:lineRule="auto"/>
        <w:jc w:val="both"/>
        <w:rPr>
          <w:rFonts w:cs="Arial"/>
          <w:lang w:val="es-ES"/>
        </w:rPr>
      </w:pPr>
    </w:p>
    <w:p w14:paraId="30470A3C" w14:textId="144C25C9" w:rsidR="00EF0155" w:rsidRPr="009B58DC" w:rsidRDefault="009B58DC" w:rsidP="009B58DC">
      <w:pPr>
        <w:widowControl w:val="0"/>
        <w:numPr>
          <w:ilvl w:val="0"/>
          <w:numId w:val="14"/>
        </w:numPr>
        <w:autoSpaceDE w:val="0"/>
        <w:autoSpaceDN w:val="0"/>
        <w:adjustRightInd w:val="0"/>
        <w:spacing w:after="0" w:line="240" w:lineRule="auto"/>
        <w:ind w:left="567" w:hanging="567"/>
        <w:jc w:val="both"/>
        <w:rPr>
          <w:rFonts w:cs="Arial"/>
          <w:lang w:val="es-ES"/>
        </w:rPr>
      </w:pPr>
      <w:r w:rsidRPr="00D0409E">
        <w:rPr>
          <w:rFonts w:cs="Arial"/>
          <w:lang w:val="es-ES"/>
        </w:rPr>
        <w:t>La COP14 adoptó la</w:t>
      </w:r>
      <w:r w:rsidR="00F00C95">
        <w:rPr>
          <w:rFonts w:cs="Arial"/>
          <w:lang w:val="es-ES"/>
        </w:rPr>
        <w:t xml:space="preserve"> </w:t>
      </w:r>
      <w:hyperlink r:id="rId14" w:history="1">
        <w:r w:rsidR="00F00C95" w:rsidRPr="00F00C95">
          <w:rPr>
            <w:rStyle w:val="Hyperlink"/>
            <w:rFonts w:cs="Arial"/>
            <w:lang w:val="es-ES"/>
          </w:rPr>
          <w:t>Resolu</w:t>
        </w:r>
        <w:r w:rsidR="001A6F64">
          <w:rPr>
            <w:rStyle w:val="Hyperlink"/>
            <w:rFonts w:cs="Arial"/>
            <w:lang w:val="es-ES"/>
          </w:rPr>
          <w:t>ción</w:t>
        </w:r>
        <w:r w:rsidR="00F00C95" w:rsidRPr="00F00C95">
          <w:rPr>
            <w:rStyle w:val="Hyperlink"/>
            <w:rFonts w:cs="Arial"/>
            <w:lang w:val="es-ES"/>
          </w:rPr>
          <w:t xml:space="preserve"> 14.9</w:t>
        </w:r>
      </w:hyperlink>
      <w:r w:rsidRPr="00D0409E">
        <w:rPr>
          <w:rFonts w:cs="Arial"/>
          <w:lang w:val="es-ES"/>
        </w:rPr>
        <w:t xml:space="preserve"> </w:t>
      </w:r>
      <w:r w:rsidRPr="00D0409E">
        <w:rPr>
          <w:rFonts w:cs="Arial"/>
          <w:i/>
          <w:iCs/>
          <w:lang w:val="es-ES"/>
        </w:rPr>
        <w:t>Prioridades de conservación para los cetáceos</w:t>
      </w:r>
      <w:r w:rsidRPr="00D0409E">
        <w:rPr>
          <w:rFonts w:cs="Arial"/>
          <w:lang w:val="es-ES"/>
        </w:rPr>
        <w:t>, que instaba a las Partes a abordar diversas amenazas, incluyendo la captura incidental, la caza de carne silvestre acuática, la contaminación, el cambio climático, el ruido, las colisiones con embarcaciones, las actividades recreativas y las enfermedades. Asimismo, la COP14 adoptó las siguientes Decisiones en lo que se refiere a esta cuestión</w:t>
      </w:r>
      <w:r w:rsidR="00EF0155" w:rsidRPr="009B58DC">
        <w:rPr>
          <w:rFonts w:cs="Arial"/>
          <w:lang w:val="es-ES"/>
        </w:rPr>
        <w:t>:</w:t>
      </w:r>
    </w:p>
    <w:p w14:paraId="30606927" w14:textId="77777777" w:rsidR="00EF0155" w:rsidRPr="009B58DC" w:rsidRDefault="00EF0155" w:rsidP="00EF0155">
      <w:pPr>
        <w:widowControl w:val="0"/>
        <w:autoSpaceDE w:val="0"/>
        <w:autoSpaceDN w:val="0"/>
        <w:adjustRightInd w:val="0"/>
        <w:spacing w:after="0" w:line="240" w:lineRule="auto"/>
        <w:jc w:val="both"/>
        <w:rPr>
          <w:rFonts w:cs="Arial"/>
          <w:lang w:val="es-ES"/>
        </w:rPr>
      </w:pPr>
    </w:p>
    <w:p w14:paraId="7DAED056" w14:textId="06159A75" w:rsidR="00EF0155" w:rsidRPr="005D74C4" w:rsidRDefault="00EF0155" w:rsidP="00EF0155">
      <w:pPr>
        <w:spacing w:after="0" w:line="240" w:lineRule="auto"/>
        <w:ind w:left="709"/>
        <w:jc w:val="both"/>
        <w:rPr>
          <w:rFonts w:cs="Arial"/>
          <w:b/>
          <w:bCs/>
          <w:i/>
          <w:iCs/>
          <w:sz w:val="20"/>
          <w:szCs w:val="20"/>
          <w:lang w:val="es-ES"/>
        </w:rPr>
      </w:pPr>
      <w:r w:rsidRPr="005D74C4">
        <w:rPr>
          <w:rFonts w:cs="Arial"/>
          <w:b/>
          <w:bCs/>
          <w:i/>
          <w:iCs/>
          <w:sz w:val="20"/>
          <w:szCs w:val="20"/>
          <w:lang w:val="es-ES"/>
        </w:rPr>
        <w:t>Decisi</w:t>
      </w:r>
      <w:r w:rsidR="00FE48D6">
        <w:rPr>
          <w:rFonts w:cs="Arial"/>
          <w:b/>
          <w:bCs/>
          <w:i/>
          <w:iCs/>
          <w:sz w:val="20"/>
          <w:szCs w:val="20"/>
          <w:lang w:val="es-ES"/>
        </w:rPr>
        <w:t>ó</w:t>
      </w:r>
      <w:r w:rsidRPr="005D74C4">
        <w:rPr>
          <w:rFonts w:cs="Arial"/>
          <w:b/>
          <w:bCs/>
          <w:i/>
          <w:iCs/>
          <w:sz w:val="20"/>
          <w:szCs w:val="20"/>
          <w:lang w:val="es-ES"/>
        </w:rPr>
        <w:t xml:space="preserve">n 14.69 </w:t>
      </w:r>
      <w:r w:rsidR="00FE48D6">
        <w:rPr>
          <w:rFonts w:cs="Arial"/>
          <w:b/>
          <w:bCs/>
          <w:i/>
          <w:iCs/>
          <w:sz w:val="20"/>
          <w:szCs w:val="20"/>
          <w:lang w:val="es-ES"/>
        </w:rPr>
        <w:t>d</w:t>
      </w:r>
      <w:r w:rsidR="005D74C4" w:rsidRPr="005D74C4">
        <w:rPr>
          <w:rFonts w:cs="Arial"/>
          <w:b/>
          <w:bCs/>
          <w:i/>
          <w:iCs/>
          <w:sz w:val="20"/>
          <w:szCs w:val="20"/>
          <w:lang w:val="es-ES"/>
        </w:rPr>
        <w:t>irigida a las Partes</w:t>
      </w:r>
    </w:p>
    <w:p w14:paraId="367B64E9" w14:textId="77777777" w:rsidR="00EF0155" w:rsidRPr="005D74C4" w:rsidRDefault="00EF0155" w:rsidP="00EF0155">
      <w:pPr>
        <w:spacing w:after="0" w:line="240" w:lineRule="auto"/>
        <w:ind w:left="709"/>
        <w:jc w:val="both"/>
        <w:rPr>
          <w:rFonts w:cs="Arial"/>
          <w:i/>
          <w:iCs/>
          <w:sz w:val="20"/>
          <w:szCs w:val="20"/>
          <w:lang w:val="es-ES"/>
        </w:rPr>
      </w:pPr>
    </w:p>
    <w:p w14:paraId="6C587FCA" w14:textId="77777777" w:rsidR="00FE48D6" w:rsidRPr="00FE48D6" w:rsidRDefault="00FE48D6" w:rsidP="00FE48D6">
      <w:pPr>
        <w:pStyle w:val="ListParagraph"/>
        <w:spacing w:after="0" w:line="240" w:lineRule="auto"/>
        <w:ind w:left="1080" w:hanging="360"/>
        <w:jc w:val="both"/>
        <w:rPr>
          <w:rFonts w:cs="Arial"/>
          <w:i/>
          <w:iCs/>
          <w:sz w:val="20"/>
          <w:szCs w:val="20"/>
          <w:lang w:val="es-ES"/>
        </w:rPr>
      </w:pPr>
      <w:r w:rsidRPr="00FE48D6">
        <w:rPr>
          <w:rFonts w:cs="Arial"/>
          <w:i/>
          <w:iCs/>
          <w:sz w:val="20"/>
          <w:szCs w:val="20"/>
          <w:lang w:val="es-ES"/>
        </w:rPr>
        <w:t>Se solicita a las Partes:</w:t>
      </w:r>
    </w:p>
    <w:p w14:paraId="1A2B6943" w14:textId="77777777" w:rsidR="00FE48D6" w:rsidRPr="00FE48D6" w:rsidRDefault="00FE48D6" w:rsidP="00FE48D6">
      <w:pPr>
        <w:pStyle w:val="ListParagraph"/>
        <w:spacing w:after="0" w:line="240" w:lineRule="auto"/>
        <w:ind w:left="1080" w:hanging="360"/>
        <w:jc w:val="both"/>
        <w:rPr>
          <w:rFonts w:cs="Arial"/>
          <w:i/>
          <w:iCs/>
          <w:sz w:val="20"/>
          <w:szCs w:val="20"/>
          <w:lang w:val="es-ES"/>
        </w:rPr>
      </w:pPr>
    </w:p>
    <w:p w14:paraId="0E71F301" w14:textId="5EFB23FF" w:rsidR="00FE48D6" w:rsidRPr="00FE48D6" w:rsidRDefault="00FE48D6" w:rsidP="00FE48D6">
      <w:pPr>
        <w:pStyle w:val="ListParagraph"/>
        <w:spacing w:after="0" w:line="240" w:lineRule="auto"/>
        <w:ind w:left="1080" w:hanging="360"/>
        <w:jc w:val="both"/>
        <w:rPr>
          <w:rFonts w:cs="Arial"/>
          <w:i/>
          <w:iCs/>
          <w:sz w:val="20"/>
          <w:szCs w:val="20"/>
          <w:lang w:val="es-ES"/>
        </w:rPr>
      </w:pPr>
      <w:r w:rsidRPr="00FE48D6">
        <w:rPr>
          <w:rFonts w:cs="Arial"/>
          <w:i/>
          <w:iCs/>
          <w:sz w:val="20"/>
          <w:szCs w:val="20"/>
          <w:lang w:val="es-ES"/>
        </w:rPr>
        <w:t>a)</w:t>
      </w:r>
      <w:r w:rsidRPr="00FE48D6">
        <w:rPr>
          <w:rFonts w:cs="Arial"/>
          <w:i/>
          <w:iCs/>
          <w:sz w:val="20"/>
          <w:szCs w:val="20"/>
          <w:lang w:val="es-ES"/>
        </w:rPr>
        <w:tab/>
        <w:t>revisar las prioridades regionales para la conservación de los cetáceos identificadas en el Anexo 2 del documento UNEP/CMS/COP14/Inf.27.</w:t>
      </w:r>
      <w:proofErr w:type="gramStart"/>
      <w:r w:rsidRPr="00FE48D6">
        <w:rPr>
          <w:rFonts w:cs="Arial"/>
          <w:i/>
          <w:iCs/>
          <w:sz w:val="20"/>
          <w:szCs w:val="20"/>
          <w:lang w:val="es-ES"/>
        </w:rPr>
        <w:t>5.1a</w:t>
      </w:r>
      <w:proofErr w:type="gramEnd"/>
      <w:r w:rsidRPr="00FE48D6">
        <w:rPr>
          <w:rFonts w:cs="Arial"/>
          <w:i/>
          <w:iCs/>
          <w:sz w:val="20"/>
          <w:szCs w:val="20"/>
          <w:lang w:val="es-ES"/>
        </w:rPr>
        <w:t xml:space="preserve"> para su región, además de las recomendaciones descritas para cada una de las amenazas en la Resolución 14.9 Prioridades de conservación para los cetáceos y abordarlas con la mayor urgencia posible, y si procediera, coordinándose con otros países de la región;</w:t>
      </w:r>
    </w:p>
    <w:p w14:paraId="448421AA" w14:textId="77777777" w:rsidR="00FE48D6" w:rsidRPr="00FE48D6" w:rsidRDefault="00FE48D6" w:rsidP="00FE48D6">
      <w:pPr>
        <w:pStyle w:val="ListParagraph"/>
        <w:spacing w:after="0" w:line="240" w:lineRule="auto"/>
        <w:ind w:left="1080" w:hanging="360"/>
        <w:jc w:val="both"/>
        <w:rPr>
          <w:rFonts w:cs="Arial"/>
          <w:i/>
          <w:iCs/>
          <w:sz w:val="20"/>
          <w:szCs w:val="20"/>
          <w:lang w:val="es-ES"/>
        </w:rPr>
      </w:pPr>
    </w:p>
    <w:p w14:paraId="1C0C485B" w14:textId="77777777" w:rsidR="00FE48D6" w:rsidRPr="00FE48D6" w:rsidRDefault="00FE48D6" w:rsidP="00FE48D6">
      <w:pPr>
        <w:pStyle w:val="ListParagraph"/>
        <w:spacing w:after="0" w:line="240" w:lineRule="auto"/>
        <w:ind w:left="1080" w:hanging="360"/>
        <w:jc w:val="both"/>
        <w:rPr>
          <w:rFonts w:cs="Arial"/>
          <w:i/>
          <w:iCs/>
          <w:sz w:val="20"/>
          <w:szCs w:val="20"/>
          <w:lang w:val="es-ES"/>
        </w:rPr>
      </w:pPr>
      <w:r w:rsidRPr="00FE48D6">
        <w:rPr>
          <w:rFonts w:cs="Arial"/>
          <w:i/>
          <w:iCs/>
          <w:sz w:val="20"/>
          <w:szCs w:val="20"/>
          <w:lang w:val="es-ES"/>
        </w:rPr>
        <w:t>b)</w:t>
      </w:r>
      <w:r w:rsidRPr="00FE48D6">
        <w:rPr>
          <w:rFonts w:cs="Arial"/>
          <w:i/>
          <w:iCs/>
          <w:sz w:val="20"/>
          <w:szCs w:val="20"/>
          <w:lang w:val="es-ES"/>
        </w:rPr>
        <w:tab/>
        <w:t>dar parte de su progreso a través de sus informes nacionales; y</w:t>
      </w:r>
    </w:p>
    <w:p w14:paraId="1E409D7B" w14:textId="77777777" w:rsidR="00FE48D6" w:rsidRPr="00FE48D6" w:rsidRDefault="00FE48D6" w:rsidP="00FE48D6">
      <w:pPr>
        <w:pStyle w:val="ListParagraph"/>
        <w:spacing w:after="0" w:line="240" w:lineRule="auto"/>
        <w:ind w:left="1080" w:hanging="360"/>
        <w:jc w:val="both"/>
        <w:rPr>
          <w:rFonts w:cs="Arial"/>
          <w:i/>
          <w:iCs/>
          <w:sz w:val="20"/>
          <w:szCs w:val="20"/>
          <w:lang w:val="es-ES"/>
        </w:rPr>
      </w:pPr>
    </w:p>
    <w:p w14:paraId="7EE488D4" w14:textId="2FE64A08" w:rsidR="00EF0155" w:rsidRPr="00FE48D6" w:rsidRDefault="00FE48D6" w:rsidP="00FE48D6">
      <w:pPr>
        <w:pStyle w:val="ListParagraph"/>
        <w:spacing w:after="0" w:line="240" w:lineRule="auto"/>
        <w:ind w:left="1080" w:hanging="360"/>
        <w:contextualSpacing w:val="0"/>
        <w:jc w:val="both"/>
        <w:rPr>
          <w:rFonts w:cs="Arial"/>
          <w:i/>
          <w:iCs/>
          <w:sz w:val="20"/>
          <w:szCs w:val="20"/>
          <w:lang w:val="es-ES"/>
        </w:rPr>
      </w:pPr>
      <w:r w:rsidRPr="00FE48D6">
        <w:rPr>
          <w:rFonts w:cs="Arial"/>
          <w:i/>
          <w:iCs/>
          <w:sz w:val="20"/>
          <w:szCs w:val="20"/>
          <w:lang w:val="es-ES"/>
        </w:rPr>
        <w:t>c)</w:t>
      </w:r>
      <w:r w:rsidRPr="00FE48D6">
        <w:rPr>
          <w:rFonts w:cs="Arial"/>
          <w:i/>
          <w:iCs/>
          <w:sz w:val="20"/>
          <w:szCs w:val="20"/>
          <w:lang w:val="es-ES"/>
        </w:rPr>
        <w:tab/>
        <w:t>cuando sea posible, proporcionar apoyo técnico y al desarrollo de capacidades a otras Partes, según lo requerido para facilitar el intercambio de conocimientos y la colaboración efectiva.</w:t>
      </w:r>
    </w:p>
    <w:p w14:paraId="20621744" w14:textId="77777777" w:rsidR="00EF0155" w:rsidRPr="00FE48D6" w:rsidRDefault="00EF0155" w:rsidP="00EF0155">
      <w:pPr>
        <w:spacing w:after="0" w:line="240" w:lineRule="auto"/>
        <w:ind w:left="709"/>
        <w:jc w:val="both"/>
        <w:rPr>
          <w:rFonts w:cs="Arial"/>
          <w:i/>
          <w:iCs/>
          <w:sz w:val="20"/>
          <w:szCs w:val="20"/>
          <w:lang w:val="es-ES"/>
        </w:rPr>
      </w:pPr>
    </w:p>
    <w:p w14:paraId="6E23550E" w14:textId="0FA5FFBF" w:rsidR="00EF0155" w:rsidRPr="001A5DBE" w:rsidRDefault="00EF0155" w:rsidP="00C64C00">
      <w:pPr>
        <w:spacing w:after="0" w:line="240" w:lineRule="auto"/>
        <w:ind w:left="1080" w:hanging="371"/>
        <w:jc w:val="both"/>
        <w:rPr>
          <w:rFonts w:cs="Arial"/>
          <w:b/>
          <w:bCs/>
          <w:i/>
          <w:iCs/>
          <w:sz w:val="20"/>
          <w:szCs w:val="20"/>
          <w:lang w:val="es-ES"/>
        </w:rPr>
      </w:pPr>
      <w:r w:rsidRPr="001A5DBE">
        <w:rPr>
          <w:rFonts w:cs="Arial"/>
          <w:b/>
          <w:bCs/>
          <w:i/>
          <w:iCs/>
          <w:sz w:val="20"/>
          <w:szCs w:val="20"/>
          <w:lang w:val="es-ES"/>
        </w:rPr>
        <w:t>Decisi</w:t>
      </w:r>
      <w:r w:rsidR="00FE48D6" w:rsidRPr="001A5DBE">
        <w:rPr>
          <w:rFonts w:cs="Arial"/>
          <w:b/>
          <w:bCs/>
          <w:i/>
          <w:iCs/>
          <w:sz w:val="20"/>
          <w:szCs w:val="20"/>
          <w:lang w:val="es-ES"/>
        </w:rPr>
        <w:t>ó</w:t>
      </w:r>
      <w:r w:rsidRPr="001A5DBE">
        <w:rPr>
          <w:rFonts w:cs="Arial"/>
          <w:b/>
          <w:bCs/>
          <w:i/>
          <w:iCs/>
          <w:sz w:val="20"/>
          <w:szCs w:val="20"/>
          <w:lang w:val="es-ES"/>
        </w:rPr>
        <w:t xml:space="preserve">n 14.70 </w:t>
      </w:r>
      <w:r w:rsidR="001A5DBE">
        <w:rPr>
          <w:rFonts w:cs="Arial"/>
          <w:b/>
          <w:bCs/>
          <w:i/>
          <w:iCs/>
          <w:sz w:val="20"/>
          <w:szCs w:val="20"/>
          <w:lang w:val="es-ES"/>
        </w:rPr>
        <w:t>d</w:t>
      </w:r>
      <w:r w:rsidR="001A5DBE" w:rsidRPr="001A5DBE">
        <w:rPr>
          <w:rFonts w:cs="Arial"/>
          <w:b/>
          <w:bCs/>
          <w:i/>
          <w:iCs/>
          <w:sz w:val="20"/>
          <w:szCs w:val="20"/>
          <w:lang w:val="es-ES"/>
        </w:rPr>
        <w:t>irigida a las Partes</w:t>
      </w:r>
    </w:p>
    <w:p w14:paraId="5C82F39E" w14:textId="77777777" w:rsidR="00EF0155" w:rsidRPr="001A5DBE" w:rsidRDefault="00EF0155" w:rsidP="00C64C00">
      <w:pPr>
        <w:spacing w:after="0" w:line="240" w:lineRule="auto"/>
        <w:ind w:left="1080" w:hanging="371"/>
        <w:jc w:val="both"/>
        <w:rPr>
          <w:rFonts w:cs="Arial"/>
          <w:i/>
          <w:iCs/>
          <w:sz w:val="20"/>
          <w:szCs w:val="20"/>
          <w:lang w:val="es-ES"/>
        </w:rPr>
      </w:pPr>
    </w:p>
    <w:p w14:paraId="171583B5" w14:textId="77777777" w:rsidR="00C64C00" w:rsidRPr="00C64C00" w:rsidRDefault="00C64C00" w:rsidP="00C64C00">
      <w:pPr>
        <w:spacing w:after="0" w:line="240" w:lineRule="auto"/>
        <w:ind w:left="1080" w:hanging="371"/>
        <w:jc w:val="both"/>
        <w:rPr>
          <w:rFonts w:cs="Arial"/>
          <w:i/>
          <w:iCs/>
          <w:sz w:val="20"/>
          <w:szCs w:val="20"/>
          <w:lang w:val="es-ES"/>
        </w:rPr>
      </w:pPr>
      <w:r w:rsidRPr="00C64C00">
        <w:rPr>
          <w:rFonts w:cs="Arial"/>
          <w:i/>
          <w:iCs/>
          <w:sz w:val="20"/>
          <w:szCs w:val="20"/>
          <w:lang w:val="es-ES"/>
        </w:rPr>
        <w:t xml:space="preserve">Se alienta a las Partes a: </w:t>
      </w:r>
    </w:p>
    <w:p w14:paraId="2F6A74DF" w14:textId="77777777" w:rsidR="00C64C00" w:rsidRPr="00C64C00" w:rsidRDefault="00C64C00" w:rsidP="00C64C00">
      <w:pPr>
        <w:pStyle w:val="ListParagraph"/>
        <w:spacing w:after="0" w:line="240" w:lineRule="auto"/>
        <w:ind w:left="1080" w:hanging="371"/>
        <w:jc w:val="both"/>
        <w:rPr>
          <w:rFonts w:cs="Arial"/>
          <w:i/>
          <w:iCs/>
          <w:sz w:val="20"/>
          <w:szCs w:val="20"/>
          <w:lang w:val="es-ES"/>
        </w:rPr>
      </w:pPr>
    </w:p>
    <w:p w14:paraId="221258BE" w14:textId="77777777" w:rsidR="00C64C00" w:rsidRPr="00C64C00" w:rsidRDefault="00C64C00" w:rsidP="00C64C00">
      <w:pPr>
        <w:pStyle w:val="ListParagraph"/>
        <w:numPr>
          <w:ilvl w:val="0"/>
          <w:numId w:val="17"/>
        </w:numPr>
        <w:spacing w:after="0" w:line="240" w:lineRule="auto"/>
        <w:ind w:left="1080" w:hanging="371"/>
        <w:jc w:val="both"/>
        <w:rPr>
          <w:rFonts w:cs="Arial"/>
          <w:i/>
          <w:iCs/>
          <w:sz w:val="20"/>
          <w:szCs w:val="20"/>
          <w:lang w:val="es-ES"/>
        </w:rPr>
      </w:pPr>
      <w:r w:rsidRPr="00C64C00">
        <w:rPr>
          <w:rFonts w:cs="Arial"/>
          <w:i/>
          <w:iCs/>
          <w:sz w:val="20"/>
          <w:szCs w:val="20"/>
          <w:lang w:val="es-ES"/>
        </w:rPr>
        <w:t>participar en el proceso de negociación de un instrumento legalmente vinculante para acabar con la contaminación por plásticos;</w:t>
      </w:r>
    </w:p>
    <w:p w14:paraId="34E340AC" w14:textId="77777777" w:rsidR="00C64C00" w:rsidRPr="00C64C00" w:rsidRDefault="00C64C00" w:rsidP="00C64C00">
      <w:pPr>
        <w:pStyle w:val="ListParagraph"/>
        <w:spacing w:after="0" w:line="240" w:lineRule="auto"/>
        <w:ind w:left="1080" w:hanging="371"/>
        <w:jc w:val="both"/>
        <w:rPr>
          <w:rFonts w:cs="Arial"/>
          <w:i/>
          <w:iCs/>
          <w:sz w:val="20"/>
          <w:szCs w:val="20"/>
          <w:lang w:val="es-ES"/>
        </w:rPr>
      </w:pPr>
    </w:p>
    <w:p w14:paraId="0D34E38C" w14:textId="77777777" w:rsidR="00C64C00" w:rsidRPr="00C64C00" w:rsidRDefault="00C64C00" w:rsidP="00C64C00">
      <w:pPr>
        <w:pStyle w:val="ListParagraph"/>
        <w:numPr>
          <w:ilvl w:val="0"/>
          <w:numId w:val="17"/>
        </w:numPr>
        <w:spacing w:after="0" w:line="240" w:lineRule="auto"/>
        <w:ind w:left="1080" w:hanging="371"/>
        <w:jc w:val="both"/>
        <w:rPr>
          <w:rFonts w:cs="Arial"/>
          <w:i/>
          <w:iCs/>
          <w:sz w:val="20"/>
          <w:szCs w:val="20"/>
          <w:lang w:val="es-ES"/>
        </w:rPr>
      </w:pPr>
      <w:r w:rsidRPr="00C64C00">
        <w:rPr>
          <w:rFonts w:cs="Arial"/>
          <w:i/>
          <w:iCs/>
          <w:sz w:val="20"/>
          <w:szCs w:val="20"/>
          <w:lang w:val="es-ES"/>
        </w:rPr>
        <w:t>apoyar la aplicación del Acuerdo dentro del marco de la Convención de las Naciones Unidas sobre el Derecho del Mar relativo a la conservación y el uso sostenible de la biodiversidad marina de áreas situadas fuera de la jurisdicción nacional (BBNJ), en concreto la realización de Evaluaciones de Impacto Ambiental sólidas, modernas y uniformes para las actividades con posibles impactos sobre los cetáceos en áreas situadas dentro y fuera de las jurisdicciones nacionales; y</w:t>
      </w:r>
    </w:p>
    <w:p w14:paraId="410A3C43" w14:textId="77777777" w:rsidR="00C64C00" w:rsidRPr="00C64C00" w:rsidRDefault="00C64C00" w:rsidP="00C64C00">
      <w:pPr>
        <w:pStyle w:val="ListParagraph"/>
        <w:spacing w:after="0" w:line="240" w:lineRule="auto"/>
        <w:ind w:left="1080" w:hanging="371"/>
        <w:jc w:val="both"/>
        <w:rPr>
          <w:rFonts w:cs="Arial"/>
          <w:i/>
          <w:iCs/>
          <w:sz w:val="20"/>
          <w:szCs w:val="20"/>
          <w:lang w:val="es-ES"/>
        </w:rPr>
      </w:pPr>
    </w:p>
    <w:p w14:paraId="38A4CD93" w14:textId="40B6BE57" w:rsidR="00EF0155" w:rsidRPr="00C64C00" w:rsidRDefault="00C64C00" w:rsidP="00C64C00">
      <w:pPr>
        <w:pStyle w:val="ListParagraph"/>
        <w:numPr>
          <w:ilvl w:val="0"/>
          <w:numId w:val="17"/>
        </w:numPr>
        <w:spacing w:after="0" w:line="240" w:lineRule="auto"/>
        <w:ind w:left="1080" w:hanging="371"/>
        <w:contextualSpacing w:val="0"/>
        <w:jc w:val="both"/>
        <w:rPr>
          <w:rFonts w:cs="Arial"/>
          <w:i/>
          <w:iCs/>
          <w:sz w:val="20"/>
          <w:szCs w:val="20"/>
          <w:lang w:val="es-ES"/>
        </w:rPr>
      </w:pPr>
      <w:r w:rsidRPr="00C64C00">
        <w:rPr>
          <w:rFonts w:cs="Arial"/>
          <w:i/>
          <w:iCs/>
          <w:sz w:val="20"/>
          <w:szCs w:val="20"/>
          <w:lang w:val="es-ES"/>
        </w:rPr>
        <w:t>incluir a los cetáceos dentro de sus respectivas Estrategias y Planes de Acción Nacionales de Biodiversidad y asegurar que los objetivos y metas del Marco Global de Biodiversidad Kunming-Montreal sean aplicados de tal manera que se alineen positivamente con las prioridades de conservación para los cetáceos</w:t>
      </w:r>
      <w:r w:rsidR="00EF0155" w:rsidRPr="00C64C00">
        <w:rPr>
          <w:rFonts w:cs="Arial"/>
          <w:i/>
          <w:iCs/>
          <w:sz w:val="20"/>
          <w:szCs w:val="20"/>
          <w:lang w:val="es-ES"/>
        </w:rPr>
        <w:t>.</w:t>
      </w:r>
    </w:p>
    <w:p w14:paraId="3C3EEA30" w14:textId="77777777" w:rsidR="00EF0155" w:rsidRPr="00C64C00" w:rsidRDefault="00EF0155" w:rsidP="00EF0155">
      <w:pPr>
        <w:spacing w:after="0" w:line="240" w:lineRule="auto"/>
        <w:ind w:left="794"/>
        <w:jc w:val="both"/>
        <w:rPr>
          <w:rFonts w:cs="Arial"/>
          <w:i/>
          <w:iCs/>
          <w:sz w:val="20"/>
          <w:szCs w:val="20"/>
          <w:lang w:val="es-ES"/>
        </w:rPr>
      </w:pPr>
    </w:p>
    <w:p w14:paraId="54AB002A" w14:textId="11F4CA5F" w:rsidR="00EF0155" w:rsidRPr="006B68BE" w:rsidRDefault="00EF0155" w:rsidP="00EF0155">
      <w:pPr>
        <w:spacing w:after="0" w:line="240" w:lineRule="auto"/>
        <w:ind w:left="709"/>
        <w:jc w:val="both"/>
        <w:rPr>
          <w:rFonts w:cs="Arial"/>
          <w:b/>
          <w:bCs/>
          <w:i/>
          <w:iCs/>
          <w:sz w:val="20"/>
          <w:szCs w:val="20"/>
          <w:lang w:val="es-ES"/>
        </w:rPr>
      </w:pPr>
      <w:r w:rsidRPr="006B68BE">
        <w:rPr>
          <w:rFonts w:cs="Arial"/>
          <w:b/>
          <w:bCs/>
          <w:i/>
          <w:iCs/>
          <w:sz w:val="20"/>
          <w:szCs w:val="20"/>
          <w:lang w:val="es-ES"/>
        </w:rPr>
        <w:t>Decisi</w:t>
      </w:r>
      <w:r w:rsidR="006B68BE">
        <w:rPr>
          <w:rFonts w:cs="Arial"/>
          <w:b/>
          <w:bCs/>
          <w:i/>
          <w:iCs/>
          <w:sz w:val="20"/>
          <w:szCs w:val="20"/>
          <w:lang w:val="es-ES"/>
        </w:rPr>
        <w:t>ó</w:t>
      </w:r>
      <w:r w:rsidRPr="006B68BE">
        <w:rPr>
          <w:rFonts w:cs="Arial"/>
          <w:b/>
          <w:bCs/>
          <w:i/>
          <w:iCs/>
          <w:sz w:val="20"/>
          <w:szCs w:val="20"/>
          <w:lang w:val="es-ES"/>
        </w:rPr>
        <w:t xml:space="preserve">n 14.71 </w:t>
      </w:r>
      <w:r w:rsidR="006B68BE">
        <w:rPr>
          <w:rFonts w:cs="Arial"/>
          <w:b/>
          <w:bCs/>
          <w:i/>
          <w:iCs/>
          <w:sz w:val="20"/>
          <w:szCs w:val="20"/>
          <w:lang w:val="es-ES"/>
        </w:rPr>
        <w:t>d</w:t>
      </w:r>
      <w:r w:rsidR="006B68BE" w:rsidRPr="006B68BE">
        <w:rPr>
          <w:rFonts w:cs="Arial"/>
          <w:b/>
          <w:bCs/>
          <w:i/>
          <w:iCs/>
          <w:sz w:val="20"/>
          <w:szCs w:val="20"/>
          <w:lang w:val="es-ES"/>
        </w:rPr>
        <w:t>irigida a organizaciones intergubernamentales y no gubernamentales</w:t>
      </w:r>
    </w:p>
    <w:p w14:paraId="3F322519" w14:textId="77777777" w:rsidR="00EF0155" w:rsidRPr="006B68BE" w:rsidRDefault="00EF0155" w:rsidP="00EF0155">
      <w:pPr>
        <w:spacing w:after="0" w:line="240" w:lineRule="auto"/>
        <w:ind w:left="709"/>
        <w:jc w:val="both"/>
        <w:rPr>
          <w:rFonts w:cs="Arial"/>
          <w:i/>
          <w:iCs/>
          <w:sz w:val="20"/>
          <w:szCs w:val="20"/>
          <w:lang w:val="es-ES"/>
        </w:rPr>
      </w:pPr>
    </w:p>
    <w:p w14:paraId="01C601C2" w14:textId="011FB6CD" w:rsidR="00EF0155" w:rsidRPr="00267B81" w:rsidRDefault="00267B81" w:rsidP="00EF0155">
      <w:pPr>
        <w:spacing w:after="0" w:line="240" w:lineRule="auto"/>
        <w:ind w:left="709"/>
        <w:jc w:val="both"/>
        <w:rPr>
          <w:rFonts w:cs="Arial"/>
          <w:i/>
          <w:iCs/>
          <w:sz w:val="20"/>
          <w:szCs w:val="20"/>
          <w:lang w:val="es-ES"/>
        </w:rPr>
      </w:pPr>
      <w:r w:rsidRPr="00267B81">
        <w:rPr>
          <w:rFonts w:cs="Arial"/>
          <w:i/>
          <w:iCs/>
          <w:sz w:val="20"/>
          <w:szCs w:val="20"/>
          <w:lang w:val="es-ES"/>
        </w:rPr>
        <w:t>Se alienta a las organizaciones intergubernamentales y no gubernamentales a apoyar a las Partes en la mitigación de las amenazas prioritarias identificadas para su región en el Anexo 2 del documento UNEP/CMS/COP14/Inf.27.</w:t>
      </w:r>
      <w:proofErr w:type="gramStart"/>
      <w:r w:rsidRPr="00267B81">
        <w:rPr>
          <w:rFonts w:cs="Arial"/>
          <w:i/>
          <w:iCs/>
          <w:sz w:val="20"/>
          <w:szCs w:val="20"/>
          <w:lang w:val="es-ES"/>
        </w:rPr>
        <w:t>5.1a</w:t>
      </w:r>
      <w:proofErr w:type="gramEnd"/>
      <w:r w:rsidRPr="00267B81">
        <w:rPr>
          <w:rFonts w:cs="Arial"/>
          <w:i/>
          <w:iCs/>
          <w:sz w:val="20"/>
          <w:szCs w:val="20"/>
          <w:lang w:val="es-ES"/>
        </w:rPr>
        <w:t>, incluyendo a través de la prestación de apoyo técnico y conocimientos especializados</w:t>
      </w:r>
      <w:r w:rsidR="00EF0155" w:rsidRPr="00267B81">
        <w:rPr>
          <w:rFonts w:cs="Arial"/>
          <w:i/>
          <w:iCs/>
          <w:sz w:val="20"/>
          <w:szCs w:val="20"/>
          <w:lang w:val="es-ES"/>
        </w:rPr>
        <w:t>.</w:t>
      </w:r>
    </w:p>
    <w:p w14:paraId="243E2281" w14:textId="77777777" w:rsidR="00EF0155" w:rsidRPr="00267B81" w:rsidRDefault="00EF0155" w:rsidP="00EF0155">
      <w:pPr>
        <w:spacing w:after="0" w:line="240" w:lineRule="auto"/>
        <w:ind w:left="709"/>
        <w:jc w:val="both"/>
        <w:rPr>
          <w:rFonts w:cs="Arial"/>
          <w:i/>
          <w:iCs/>
          <w:sz w:val="20"/>
          <w:szCs w:val="20"/>
          <w:lang w:val="es-ES"/>
        </w:rPr>
      </w:pPr>
    </w:p>
    <w:p w14:paraId="7EBE7D16" w14:textId="37B0BAA3" w:rsidR="00EF0155" w:rsidRPr="005D346C" w:rsidRDefault="00EF0155" w:rsidP="00EF0155">
      <w:pPr>
        <w:spacing w:after="0" w:line="240" w:lineRule="auto"/>
        <w:ind w:left="709"/>
        <w:jc w:val="both"/>
        <w:rPr>
          <w:rFonts w:cs="Arial"/>
          <w:b/>
          <w:bCs/>
          <w:i/>
          <w:iCs/>
          <w:sz w:val="20"/>
          <w:szCs w:val="20"/>
        </w:rPr>
      </w:pPr>
      <w:proofErr w:type="spellStart"/>
      <w:r w:rsidRPr="005D346C">
        <w:rPr>
          <w:rFonts w:cs="Arial"/>
          <w:b/>
          <w:bCs/>
          <w:i/>
          <w:iCs/>
          <w:sz w:val="20"/>
          <w:szCs w:val="20"/>
        </w:rPr>
        <w:t>Decisi</w:t>
      </w:r>
      <w:r w:rsidR="0031579B" w:rsidRPr="005D346C">
        <w:rPr>
          <w:rFonts w:cs="Arial"/>
          <w:b/>
          <w:bCs/>
          <w:i/>
          <w:iCs/>
          <w:sz w:val="20"/>
          <w:szCs w:val="20"/>
        </w:rPr>
        <w:t>ó</w:t>
      </w:r>
      <w:r w:rsidRPr="005D346C">
        <w:rPr>
          <w:rFonts w:cs="Arial"/>
          <w:b/>
          <w:bCs/>
          <w:i/>
          <w:iCs/>
          <w:sz w:val="20"/>
          <w:szCs w:val="20"/>
        </w:rPr>
        <w:t>n</w:t>
      </w:r>
      <w:proofErr w:type="spellEnd"/>
      <w:r w:rsidRPr="005D346C">
        <w:rPr>
          <w:rFonts w:cs="Arial"/>
          <w:b/>
          <w:bCs/>
          <w:i/>
          <w:iCs/>
          <w:sz w:val="20"/>
          <w:szCs w:val="20"/>
        </w:rPr>
        <w:t xml:space="preserve"> 14.72 </w:t>
      </w:r>
      <w:proofErr w:type="spellStart"/>
      <w:r w:rsidR="0031579B" w:rsidRPr="005D346C">
        <w:rPr>
          <w:rFonts w:cs="Arial"/>
          <w:b/>
          <w:bCs/>
          <w:i/>
          <w:iCs/>
          <w:sz w:val="20"/>
          <w:szCs w:val="20"/>
        </w:rPr>
        <w:t>dirigida</w:t>
      </w:r>
      <w:proofErr w:type="spellEnd"/>
      <w:r w:rsidR="0031579B" w:rsidRPr="005D346C">
        <w:rPr>
          <w:rFonts w:cs="Arial"/>
          <w:b/>
          <w:bCs/>
          <w:i/>
          <w:iCs/>
          <w:sz w:val="20"/>
          <w:szCs w:val="20"/>
        </w:rPr>
        <w:t xml:space="preserve"> al Consejo </w:t>
      </w:r>
      <w:proofErr w:type="spellStart"/>
      <w:r w:rsidR="0031579B" w:rsidRPr="005D346C">
        <w:rPr>
          <w:rFonts w:cs="Arial"/>
          <w:b/>
          <w:bCs/>
          <w:i/>
          <w:iCs/>
          <w:sz w:val="20"/>
          <w:szCs w:val="20"/>
        </w:rPr>
        <w:t>Científico</w:t>
      </w:r>
      <w:proofErr w:type="spellEnd"/>
    </w:p>
    <w:p w14:paraId="6CD1BE1C" w14:textId="77777777" w:rsidR="00EF0155" w:rsidRPr="005D346C" w:rsidRDefault="00EF0155" w:rsidP="00EF0155">
      <w:pPr>
        <w:spacing w:after="0" w:line="240" w:lineRule="auto"/>
        <w:ind w:left="709"/>
        <w:jc w:val="both"/>
        <w:rPr>
          <w:rFonts w:cs="Arial"/>
          <w:i/>
          <w:iCs/>
          <w:sz w:val="20"/>
          <w:szCs w:val="20"/>
        </w:rPr>
      </w:pPr>
    </w:p>
    <w:p w14:paraId="45772199" w14:textId="7D75F889" w:rsidR="00EF0155" w:rsidRPr="00347BFB" w:rsidRDefault="00EF0155" w:rsidP="007A794B">
      <w:pPr>
        <w:spacing w:after="0" w:line="240" w:lineRule="auto"/>
        <w:ind w:left="720" w:hanging="11"/>
        <w:jc w:val="both"/>
        <w:rPr>
          <w:rFonts w:cs="Arial"/>
          <w:i/>
          <w:iCs/>
          <w:sz w:val="20"/>
          <w:szCs w:val="20"/>
        </w:rPr>
      </w:pPr>
      <w:r w:rsidRPr="00347BFB">
        <w:rPr>
          <w:rFonts w:cs="Arial"/>
          <w:i/>
          <w:iCs/>
          <w:sz w:val="20"/>
          <w:szCs w:val="20"/>
        </w:rPr>
        <w:t>The Scientific Council, subject to the availability of external resources and where applicable</w:t>
      </w:r>
      <w:r w:rsidR="007A794B">
        <w:rPr>
          <w:rFonts w:cs="Arial"/>
          <w:i/>
          <w:iCs/>
          <w:sz w:val="20"/>
          <w:szCs w:val="20"/>
        </w:rPr>
        <w:t xml:space="preserve"> </w:t>
      </w:r>
      <w:r w:rsidRPr="00347BFB">
        <w:rPr>
          <w:rFonts w:cs="Arial"/>
          <w:i/>
          <w:iCs/>
          <w:sz w:val="20"/>
          <w:szCs w:val="20"/>
        </w:rPr>
        <w:t>with support from the Aquatic Mammals Working Group, is requested to:</w:t>
      </w:r>
    </w:p>
    <w:p w14:paraId="0650B3F1" w14:textId="77777777" w:rsidR="00EF0155" w:rsidRPr="00347BFB" w:rsidRDefault="00EF0155" w:rsidP="00422BF9">
      <w:pPr>
        <w:spacing w:after="0" w:line="240" w:lineRule="auto"/>
        <w:ind w:left="1080" w:hanging="371"/>
        <w:jc w:val="both"/>
        <w:rPr>
          <w:rFonts w:cs="Arial"/>
          <w:i/>
          <w:iCs/>
          <w:sz w:val="20"/>
          <w:szCs w:val="20"/>
        </w:rPr>
      </w:pPr>
    </w:p>
    <w:p w14:paraId="7586F7A6" w14:textId="77777777" w:rsidR="004D4A80" w:rsidRPr="004D4A80" w:rsidRDefault="004D4A80" w:rsidP="00822C94">
      <w:pPr>
        <w:pStyle w:val="ListParagraph"/>
        <w:spacing w:after="0" w:line="240" w:lineRule="auto"/>
        <w:ind w:hanging="11"/>
        <w:jc w:val="both"/>
        <w:rPr>
          <w:rFonts w:cs="Arial"/>
          <w:i/>
          <w:iCs/>
          <w:sz w:val="20"/>
          <w:szCs w:val="20"/>
          <w:lang w:val="es-ES"/>
        </w:rPr>
      </w:pPr>
      <w:r w:rsidRPr="004D4A80">
        <w:rPr>
          <w:rFonts w:cs="Arial"/>
          <w:i/>
          <w:iCs/>
          <w:sz w:val="20"/>
          <w:szCs w:val="20"/>
          <w:lang w:val="es-ES"/>
        </w:rPr>
        <w:t>Se solicita al Consejo Científico, con sujeción a la disponibilidad de recursos externos y cuando fuera aplicable con el apoyo del Grupo de Trabajo para Mamíferos Acuáticos:</w:t>
      </w:r>
    </w:p>
    <w:p w14:paraId="55D78A46" w14:textId="77777777" w:rsidR="004D4A80" w:rsidRPr="004D4A80" w:rsidRDefault="004D4A80" w:rsidP="00422BF9">
      <w:pPr>
        <w:pStyle w:val="ListParagraph"/>
        <w:spacing w:after="0" w:line="240" w:lineRule="auto"/>
        <w:ind w:left="1080" w:hanging="371"/>
        <w:jc w:val="both"/>
        <w:rPr>
          <w:rFonts w:cs="Arial"/>
          <w:i/>
          <w:iCs/>
          <w:sz w:val="20"/>
          <w:szCs w:val="20"/>
          <w:lang w:val="es-ES"/>
        </w:rPr>
      </w:pPr>
    </w:p>
    <w:p w14:paraId="48E079B8" w14:textId="77777777" w:rsidR="004D4A80" w:rsidRPr="004D4A80" w:rsidRDefault="004D4A80" w:rsidP="00422BF9">
      <w:pPr>
        <w:pStyle w:val="ListParagraph"/>
        <w:spacing w:after="0" w:line="240" w:lineRule="auto"/>
        <w:ind w:left="1080" w:hanging="371"/>
        <w:jc w:val="both"/>
        <w:rPr>
          <w:rFonts w:cs="Arial"/>
          <w:i/>
          <w:iCs/>
          <w:sz w:val="20"/>
          <w:szCs w:val="20"/>
          <w:lang w:val="es-ES"/>
        </w:rPr>
      </w:pPr>
      <w:r w:rsidRPr="004D4A80">
        <w:rPr>
          <w:rFonts w:cs="Arial"/>
          <w:i/>
          <w:iCs/>
          <w:sz w:val="20"/>
          <w:szCs w:val="20"/>
          <w:lang w:val="es-ES"/>
        </w:rPr>
        <w:t>a)</w:t>
      </w:r>
      <w:r w:rsidRPr="004D4A80">
        <w:rPr>
          <w:rFonts w:cs="Arial"/>
          <w:i/>
          <w:iCs/>
          <w:sz w:val="20"/>
          <w:szCs w:val="20"/>
          <w:lang w:val="es-ES"/>
        </w:rPr>
        <w:tab/>
        <w:t>en cooperación con la CBI, cuantificar la captura de carne de ballena y de animales acuáticos silvestres actual de todos los cetáceos incluidos en el Apéndice I de la CMS en todas las regiones, y hacer recomendaciones a las Partes;</w:t>
      </w:r>
    </w:p>
    <w:p w14:paraId="66AA5CF6" w14:textId="77777777" w:rsidR="004D4A80" w:rsidRPr="004D4A80" w:rsidRDefault="004D4A80" w:rsidP="00422BF9">
      <w:pPr>
        <w:pStyle w:val="ListParagraph"/>
        <w:spacing w:after="0" w:line="240" w:lineRule="auto"/>
        <w:ind w:left="1080" w:hanging="371"/>
        <w:jc w:val="both"/>
        <w:rPr>
          <w:rFonts w:cs="Arial"/>
          <w:i/>
          <w:iCs/>
          <w:sz w:val="20"/>
          <w:szCs w:val="20"/>
          <w:lang w:val="es-ES"/>
        </w:rPr>
      </w:pPr>
    </w:p>
    <w:p w14:paraId="30BD3065" w14:textId="77777777" w:rsidR="004D4A80" w:rsidRPr="004D4A80" w:rsidRDefault="004D4A80" w:rsidP="00422BF9">
      <w:pPr>
        <w:pStyle w:val="ListParagraph"/>
        <w:spacing w:after="0" w:line="240" w:lineRule="auto"/>
        <w:ind w:left="1080" w:hanging="371"/>
        <w:jc w:val="both"/>
        <w:rPr>
          <w:rFonts w:cs="Arial"/>
          <w:i/>
          <w:iCs/>
          <w:sz w:val="20"/>
          <w:szCs w:val="20"/>
          <w:lang w:val="es-ES"/>
        </w:rPr>
      </w:pPr>
      <w:r w:rsidRPr="004D4A80">
        <w:rPr>
          <w:rFonts w:cs="Arial"/>
          <w:i/>
          <w:iCs/>
          <w:sz w:val="20"/>
          <w:szCs w:val="20"/>
          <w:lang w:val="es-ES"/>
        </w:rPr>
        <w:t>b)</w:t>
      </w:r>
      <w:r w:rsidRPr="004D4A80">
        <w:rPr>
          <w:rFonts w:cs="Arial"/>
          <w:i/>
          <w:iCs/>
          <w:sz w:val="20"/>
          <w:szCs w:val="20"/>
          <w:lang w:val="es-ES"/>
        </w:rPr>
        <w:tab/>
        <w:t>en el contexto de las amenazas por el cambio climático, elaborar un informe sobre los impactos potenciales que tendrá la migración inducida por el cambio climático tanto en el bienestar como en los resultados de conservación de las especies de cetáceos afectadas, y hacer recomendaciones a las Partes;</w:t>
      </w:r>
    </w:p>
    <w:p w14:paraId="64F6632A" w14:textId="77777777" w:rsidR="004D4A80" w:rsidRPr="004D4A80" w:rsidRDefault="004D4A80" w:rsidP="00422BF9">
      <w:pPr>
        <w:pStyle w:val="ListParagraph"/>
        <w:spacing w:after="0" w:line="240" w:lineRule="auto"/>
        <w:ind w:left="1080" w:hanging="371"/>
        <w:jc w:val="both"/>
        <w:rPr>
          <w:rFonts w:cs="Arial"/>
          <w:i/>
          <w:iCs/>
          <w:sz w:val="20"/>
          <w:szCs w:val="20"/>
          <w:lang w:val="es-ES"/>
        </w:rPr>
      </w:pPr>
    </w:p>
    <w:p w14:paraId="5B471F3E" w14:textId="77777777" w:rsidR="004D4A80" w:rsidRPr="00422BF9" w:rsidRDefault="004D4A80" w:rsidP="00422BF9">
      <w:pPr>
        <w:pStyle w:val="ListParagraph"/>
        <w:spacing w:after="0" w:line="240" w:lineRule="auto"/>
        <w:ind w:left="1080" w:hanging="371"/>
        <w:jc w:val="both"/>
        <w:rPr>
          <w:rFonts w:cs="Arial"/>
          <w:i/>
          <w:iCs/>
          <w:sz w:val="20"/>
          <w:szCs w:val="20"/>
          <w:lang w:val="es-ES"/>
        </w:rPr>
      </w:pPr>
      <w:r w:rsidRPr="00422BF9">
        <w:rPr>
          <w:rFonts w:cs="Arial"/>
          <w:i/>
          <w:iCs/>
          <w:sz w:val="20"/>
          <w:szCs w:val="20"/>
          <w:lang w:val="es-ES"/>
        </w:rPr>
        <w:t>c)</w:t>
      </w:r>
      <w:r w:rsidRPr="00422BF9">
        <w:rPr>
          <w:rFonts w:cs="Arial"/>
          <w:i/>
          <w:iCs/>
          <w:sz w:val="20"/>
          <w:szCs w:val="20"/>
          <w:lang w:val="es-ES"/>
        </w:rPr>
        <w:tab/>
        <w:t>recomendar el uso de protocolos estándar de varamiento y necropsia, teniendo en cuenta el trabajo emprendido por ACCOBAMS, ASCOBANS y la CBI, con el fin de ayudar a investigar las causas de los acontecimientos mortales;</w:t>
      </w:r>
    </w:p>
    <w:p w14:paraId="52867752" w14:textId="77777777" w:rsidR="004D4A80" w:rsidRPr="00422BF9" w:rsidRDefault="004D4A80" w:rsidP="00422BF9">
      <w:pPr>
        <w:pStyle w:val="ListParagraph"/>
        <w:spacing w:after="0" w:line="240" w:lineRule="auto"/>
        <w:ind w:left="1080" w:hanging="371"/>
        <w:jc w:val="both"/>
        <w:rPr>
          <w:rFonts w:cs="Arial"/>
          <w:i/>
          <w:iCs/>
          <w:sz w:val="20"/>
          <w:szCs w:val="20"/>
          <w:lang w:val="es-ES"/>
        </w:rPr>
      </w:pPr>
    </w:p>
    <w:p w14:paraId="0B9C70EA" w14:textId="77777777" w:rsidR="004D4A80" w:rsidRPr="00422BF9" w:rsidRDefault="004D4A80" w:rsidP="00422BF9">
      <w:pPr>
        <w:pStyle w:val="ListParagraph"/>
        <w:spacing w:after="0" w:line="240" w:lineRule="auto"/>
        <w:ind w:left="1080" w:hanging="371"/>
        <w:jc w:val="both"/>
        <w:rPr>
          <w:rFonts w:cs="Arial"/>
          <w:i/>
          <w:iCs/>
          <w:sz w:val="20"/>
          <w:szCs w:val="20"/>
          <w:lang w:val="es-ES"/>
        </w:rPr>
      </w:pPr>
      <w:r w:rsidRPr="00422BF9">
        <w:rPr>
          <w:rFonts w:cs="Arial"/>
          <w:i/>
          <w:iCs/>
          <w:sz w:val="20"/>
          <w:szCs w:val="20"/>
          <w:lang w:val="es-ES"/>
        </w:rPr>
        <w:t>d)</w:t>
      </w:r>
      <w:r w:rsidRPr="00422BF9">
        <w:rPr>
          <w:rFonts w:cs="Arial"/>
          <w:i/>
          <w:iCs/>
          <w:sz w:val="20"/>
          <w:szCs w:val="20"/>
          <w:lang w:val="es-ES"/>
        </w:rPr>
        <w:tab/>
        <w:t>elaborar un informe sobre el seguimiento, el bienestar y la conservación de los cetáceos incluidos en los apéndices de la CMS «fuera de su hábitat», proporcionar consejos sobre la respuesta adecuada hacia ellos, y hacer recomendaciones a las Partes;</w:t>
      </w:r>
    </w:p>
    <w:p w14:paraId="0BA4789C" w14:textId="77777777" w:rsidR="004D4A80" w:rsidRPr="00422BF9" w:rsidRDefault="004D4A80" w:rsidP="00422BF9">
      <w:pPr>
        <w:pStyle w:val="ListParagraph"/>
        <w:spacing w:after="0" w:line="240" w:lineRule="auto"/>
        <w:ind w:left="1080" w:hanging="371"/>
        <w:jc w:val="both"/>
        <w:rPr>
          <w:rFonts w:cs="Arial"/>
          <w:i/>
          <w:iCs/>
          <w:sz w:val="20"/>
          <w:szCs w:val="20"/>
          <w:lang w:val="es-ES"/>
        </w:rPr>
      </w:pPr>
    </w:p>
    <w:p w14:paraId="3B87453A" w14:textId="3FB3A39B" w:rsidR="00EF0155" w:rsidRPr="00422BF9" w:rsidRDefault="004D4A80" w:rsidP="00422BF9">
      <w:pPr>
        <w:pStyle w:val="ListParagraph"/>
        <w:spacing w:after="0" w:line="240" w:lineRule="auto"/>
        <w:ind w:left="1080" w:hanging="371"/>
        <w:jc w:val="both"/>
        <w:rPr>
          <w:rFonts w:cs="Arial"/>
          <w:i/>
          <w:iCs/>
          <w:sz w:val="20"/>
          <w:szCs w:val="20"/>
          <w:lang w:val="es-ES"/>
        </w:rPr>
      </w:pPr>
      <w:r w:rsidRPr="00422BF9">
        <w:rPr>
          <w:rFonts w:cs="Arial"/>
          <w:i/>
          <w:iCs/>
          <w:sz w:val="20"/>
          <w:szCs w:val="20"/>
          <w:lang w:val="es-ES"/>
        </w:rPr>
        <w:t>e)</w:t>
      </w:r>
      <w:r w:rsidRPr="00422BF9">
        <w:rPr>
          <w:rFonts w:cs="Arial"/>
          <w:i/>
          <w:iCs/>
          <w:sz w:val="20"/>
          <w:szCs w:val="20"/>
          <w:lang w:val="es-ES"/>
        </w:rPr>
        <w:tab/>
        <w:t>sintetizar la investigación en la comprensión emergente de cómo el bienestar de los cetáceos puede afectar a los resultados de conservación, y hacer recomendaciones a las Partes; y</w:t>
      </w:r>
    </w:p>
    <w:p w14:paraId="4F779085" w14:textId="77777777" w:rsidR="00EF0155" w:rsidRPr="00422BF9" w:rsidRDefault="00EF0155" w:rsidP="00422BF9">
      <w:pPr>
        <w:pStyle w:val="ListParagraph"/>
        <w:spacing w:after="0" w:line="240" w:lineRule="auto"/>
        <w:ind w:left="1080" w:hanging="371"/>
        <w:jc w:val="both"/>
        <w:rPr>
          <w:rFonts w:cs="Arial"/>
          <w:i/>
          <w:iCs/>
          <w:sz w:val="20"/>
          <w:szCs w:val="20"/>
          <w:lang w:val="es-ES"/>
        </w:rPr>
      </w:pPr>
    </w:p>
    <w:p w14:paraId="38F01EFA" w14:textId="7893FEB9" w:rsidR="00EF0155" w:rsidRPr="00422BF9" w:rsidRDefault="00422BF9" w:rsidP="00422BF9">
      <w:pPr>
        <w:spacing w:after="0" w:line="240" w:lineRule="auto"/>
        <w:ind w:left="1080" w:hanging="371"/>
        <w:jc w:val="both"/>
        <w:rPr>
          <w:rFonts w:cs="Arial"/>
          <w:i/>
          <w:iCs/>
          <w:sz w:val="20"/>
          <w:szCs w:val="20"/>
          <w:lang w:val="es-ES"/>
        </w:rPr>
      </w:pPr>
      <w:r w:rsidRPr="00422BF9">
        <w:rPr>
          <w:rFonts w:cs="Arial"/>
          <w:i/>
          <w:iCs/>
          <w:sz w:val="20"/>
          <w:szCs w:val="20"/>
          <w:lang w:val="es-ES"/>
        </w:rPr>
        <w:t>f)</w:t>
      </w:r>
      <w:r w:rsidRPr="00422BF9">
        <w:rPr>
          <w:rFonts w:cs="Arial"/>
          <w:i/>
          <w:iCs/>
          <w:sz w:val="20"/>
          <w:szCs w:val="20"/>
          <w:lang w:val="es-ES"/>
        </w:rPr>
        <w:tab/>
        <w:t>revisar las recomendaciones para posibles acciones futuras del Consejo Científico, tal y como se incluye en el documento UNEP/CMS/COP14/Inf.27.5.1b y hacer recomendaciones a la 15a reunión de la Conferencia de las Partes acerca de las acciones prioritarias para avanzar durante el siguiente periodo entre sesiones</w:t>
      </w:r>
      <w:r w:rsidR="00EF0155" w:rsidRPr="00422BF9">
        <w:rPr>
          <w:rFonts w:cs="Arial"/>
          <w:i/>
          <w:iCs/>
          <w:sz w:val="20"/>
          <w:szCs w:val="20"/>
          <w:lang w:val="es-ES"/>
        </w:rPr>
        <w:t>.</w:t>
      </w:r>
    </w:p>
    <w:p w14:paraId="6EE11C6F" w14:textId="77777777" w:rsidR="00EF0155" w:rsidRPr="00422BF9" w:rsidRDefault="00EF0155" w:rsidP="00EF0155">
      <w:pPr>
        <w:spacing w:after="0" w:line="240" w:lineRule="auto"/>
        <w:ind w:left="794"/>
        <w:jc w:val="both"/>
        <w:rPr>
          <w:rFonts w:cs="Arial"/>
          <w:i/>
          <w:iCs/>
          <w:sz w:val="20"/>
          <w:szCs w:val="20"/>
          <w:lang w:val="es-ES"/>
        </w:rPr>
      </w:pPr>
    </w:p>
    <w:p w14:paraId="4D0CB054" w14:textId="70424B09" w:rsidR="00EF0155" w:rsidRPr="00D23ECF" w:rsidRDefault="00EF0155" w:rsidP="00EF0155">
      <w:pPr>
        <w:spacing w:after="0" w:line="240" w:lineRule="auto"/>
        <w:ind w:left="709"/>
        <w:jc w:val="both"/>
        <w:rPr>
          <w:rFonts w:cs="Arial"/>
          <w:b/>
          <w:bCs/>
          <w:i/>
          <w:iCs/>
          <w:sz w:val="20"/>
          <w:szCs w:val="20"/>
          <w:lang w:val="es-ES"/>
        </w:rPr>
      </w:pPr>
      <w:r w:rsidRPr="00D23ECF">
        <w:rPr>
          <w:rFonts w:cs="Arial"/>
          <w:b/>
          <w:bCs/>
          <w:i/>
          <w:iCs/>
          <w:sz w:val="20"/>
          <w:szCs w:val="20"/>
          <w:lang w:val="es-ES"/>
        </w:rPr>
        <w:t>Decisi</w:t>
      </w:r>
      <w:r w:rsidR="00A336BD" w:rsidRPr="00D23ECF">
        <w:rPr>
          <w:rFonts w:cs="Arial"/>
          <w:b/>
          <w:bCs/>
          <w:i/>
          <w:iCs/>
          <w:sz w:val="20"/>
          <w:szCs w:val="20"/>
          <w:lang w:val="es-ES"/>
        </w:rPr>
        <w:t>ó</w:t>
      </w:r>
      <w:r w:rsidRPr="00D23ECF">
        <w:rPr>
          <w:rFonts w:cs="Arial"/>
          <w:b/>
          <w:bCs/>
          <w:i/>
          <w:iCs/>
          <w:sz w:val="20"/>
          <w:szCs w:val="20"/>
          <w:lang w:val="es-ES"/>
        </w:rPr>
        <w:t xml:space="preserve">n 14.73 </w:t>
      </w:r>
      <w:r w:rsidR="00A336BD" w:rsidRPr="00D23ECF">
        <w:rPr>
          <w:rFonts w:cs="Arial"/>
          <w:b/>
          <w:bCs/>
          <w:i/>
          <w:iCs/>
          <w:sz w:val="20"/>
          <w:szCs w:val="20"/>
          <w:lang w:val="es-ES"/>
        </w:rPr>
        <w:t>dirigida a la Secretaría</w:t>
      </w:r>
    </w:p>
    <w:p w14:paraId="7AD576D4" w14:textId="77777777" w:rsidR="00EF0155" w:rsidRPr="00D23ECF" w:rsidRDefault="00EF0155" w:rsidP="00EF0155">
      <w:pPr>
        <w:spacing w:after="0" w:line="240" w:lineRule="auto"/>
        <w:ind w:left="794"/>
        <w:jc w:val="both"/>
        <w:rPr>
          <w:rFonts w:cs="Arial"/>
          <w:i/>
          <w:iCs/>
          <w:sz w:val="20"/>
          <w:szCs w:val="20"/>
          <w:lang w:val="es-ES"/>
        </w:rPr>
      </w:pPr>
    </w:p>
    <w:p w14:paraId="6A3CADEE" w14:textId="6D2B79E9" w:rsidR="00EF0155" w:rsidRPr="00D23ECF" w:rsidRDefault="00D23ECF" w:rsidP="00EF0155">
      <w:pPr>
        <w:spacing w:after="0" w:line="240" w:lineRule="auto"/>
        <w:ind w:left="709"/>
        <w:jc w:val="both"/>
        <w:rPr>
          <w:rFonts w:cs="Arial"/>
          <w:i/>
          <w:iCs/>
          <w:sz w:val="20"/>
          <w:szCs w:val="20"/>
          <w:lang w:val="es-ES"/>
        </w:rPr>
      </w:pPr>
      <w:r w:rsidRPr="00D23ECF">
        <w:rPr>
          <w:rFonts w:cs="Arial"/>
          <w:i/>
          <w:iCs/>
          <w:sz w:val="20"/>
          <w:szCs w:val="20"/>
          <w:lang w:val="es-ES"/>
        </w:rPr>
        <w:t>La Secretaría, con sujeción a la disponibilidad de recursos externos, deberá apoyar al Consejo Científico en la elaboración de los informes y las recomendaciones solicitadas en la Decisión 14.72</w:t>
      </w:r>
      <w:r w:rsidR="00EF0155" w:rsidRPr="00D23ECF">
        <w:rPr>
          <w:rFonts w:cs="Arial"/>
          <w:i/>
          <w:iCs/>
          <w:sz w:val="20"/>
          <w:szCs w:val="20"/>
          <w:lang w:val="es-ES"/>
        </w:rPr>
        <w:t>.</w:t>
      </w:r>
    </w:p>
    <w:p w14:paraId="34E97AAC" w14:textId="77777777" w:rsidR="00EF0155" w:rsidRPr="00D23ECF" w:rsidRDefault="00EF0155" w:rsidP="00EF0155">
      <w:pPr>
        <w:spacing w:after="0" w:line="240" w:lineRule="auto"/>
        <w:rPr>
          <w:rFonts w:cs="Arial"/>
          <w:lang w:val="es-ES"/>
        </w:rPr>
      </w:pPr>
    </w:p>
    <w:p w14:paraId="4F010681" w14:textId="77777777" w:rsidR="00822C94" w:rsidRDefault="00822C94">
      <w:pPr>
        <w:rPr>
          <w:rFonts w:cs="Arial"/>
          <w:u w:val="single"/>
          <w:lang w:val="es-ES"/>
        </w:rPr>
      </w:pPr>
      <w:r>
        <w:rPr>
          <w:rFonts w:cs="Arial"/>
          <w:u w:val="single"/>
          <w:lang w:val="es-ES"/>
        </w:rPr>
        <w:br w:type="page"/>
      </w:r>
    </w:p>
    <w:p w14:paraId="5CAE671F" w14:textId="46B9550F" w:rsidR="009028C6" w:rsidRPr="00D0409E" w:rsidRDefault="009028C6" w:rsidP="009028C6">
      <w:pPr>
        <w:widowControl w:val="0"/>
        <w:autoSpaceDE w:val="0"/>
        <w:autoSpaceDN w:val="0"/>
        <w:adjustRightInd w:val="0"/>
        <w:spacing w:after="0" w:line="240" w:lineRule="auto"/>
        <w:jc w:val="both"/>
        <w:rPr>
          <w:rFonts w:cs="Arial"/>
          <w:u w:val="single"/>
          <w:lang w:val="es-ES"/>
        </w:rPr>
      </w:pPr>
      <w:r w:rsidRPr="00D0409E">
        <w:rPr>
          <w:rFonts w:cs="Arial"/>
          <w:u w:val="single"/>
          <w:lang w:val="es-ES"/>
        </w:rPr>
        <w:lastRenderedPageBreak/>
        <w:t>Informe sobre la cuantificación de la caza de ballenas contemporánea y la captura de carne de animales silvestres acuáticos de todos los cetáceos incluidos en el Apéndice I de la CMS en todas las regiones</w:t>
      </w:r>
    </w:p>
    <w:p w14:paraId="29B7024E" w14:textId="77777777" w:rsidR="009028C6" w:rsidRPr="00D0409E" w:rsidRDefault="009028C6" w:rsidP="009028C6">
      <w:pPr>
        <w:widowControl w:val="0"/>
        <w:autoSpaceDE w:val="0"/>
        <w:autoSpaceDN w:val="0"/>
        <w:adjustRightInd w:val="0"/>
        <w:spacing w:after="0" w:line="240" w:lineRule="auto"/>
        <w:ind w:left="567"/>
        <w:jc w:val="both"/>
        <w:rPr>
          <w:rFonts w:cs="Arial"/>
          <w:lang w:val="es-ES"/>
        </w:rPr>
      </w:pPr>
    </w:p>
    <w:p w14:paraId="6CE02F58" w14:textId="1A15DFC6" w:rsidR="009028C6" w:rsidRPr="00D0409E" w:rsidRDefault="009028C6" w:rsidP="009028C6">
      <w:pPr>
        <w:pStyle w:val="ListParagraph"/>
        <w:widowControl w:val="0"/>
        <w:numPr>
          <w:ilvl w:val="0"/>
          <w:numId w:val="14"/>
        </w:numPr>
        <w:autoSpaceDE w:val="0"/>
        <w:autoSpaceDN w:val="0"/>
        <w:adjustRightInd w:val="0"/>
        <w:spacing w:after="0" w:line="240" w:lineRule="auto"/>
        <w:ind w:left="567" w:hanging="567"/>
        <w:contextualSpacing w:val="0"/>
        <w:jc w:val="both"/>
        <w:rPr>
          <w:rFonts w:cs="Arial"/>
          <w:u w:val="single"/>
          <w:lang w:val="es-ES"/>
        </w:rPr>
      </w:pPr>
      <w:r w:rsidRPr="00D0409E">
        <w:rPr>
          <w:rFonts w:cs="Arial"/>
          <w:lang w:val="es-ES"/>
        </w:rPr>
        <w:t xml:space="preserve">La Secretaría, con financiación del Gobierno de Alemania, contrató a un consultor para redactar un informe sobre la cuantificación de la caza de ballenas contemporánea y la captura de carne de animales silvestres acuáticos de todos los cetáceos incluidos en el Apéndice I de la CMS en todas las regiones (Decisión 14.72 [a]). El proyecto de informe se compartió para comentarios con el Grupo de Trabajo sobre la Carne de Animales Silvestres Acuáticos y con el Grupo de Trabajo de Mamíferos Acuáticos (AMWG, por sus siglas en inglés), así como con la Comisión Ballenera Internacional (CBI). La versión final está disponible como </w:t>
      </w:r>
      <w:hyperlink r:id="rId15" w:history="1">
        <w:r w:rsidR="00D57CC4" w:rsidRPr="00D57CC4">
          <w:rPr>
            <w:rStyle w:val="Hyperlink"/>
            <w:rFonts w:cs="Arial"/>
            <w:lang w:val="es-ES"/>
          </w:rPr>
          <w:t>UNEP/CMS/COP15/Inf.25.</w:t>
        </w:r>
        <w:proofErr w:type="gramStart"/>
        <w:r w:rsidR="00D57CC4" w:rsidRPr="00D57CC4">
          <w:rPr>
            <w:rStyle w:val="Hyperlink"/>
            <w:rFonts w:cs="Arial"/>
            <w:lang w:val="es-ES"/>
          </w:rPr>
          <w:t>4.1a</w:t>
        </w:r>
        <w:proofErr w:type="gramEnd"/>
      </w:hyperlink>
      <w:r w:rsidRPr="00D0409E">
        <w:rPr>
          <w:rFonts w:cs="Arial"/>
          <w:lang w:val="es-ES"/>
        </w:rPr>
        <w:t xml:space="preserve">, y el resumen y las recomendaciones clave se adjuntan en el Anexo 1. </w:t>
      </w:r>
    </w:p>
    <w:p w14:paraId="6F8527F8"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p>
    <w:p w14:paraId="625B4F9A"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bookmarkStart w:id="9" w:name="_Hlk205451589"/>
      <w:r w:rsidRPr="00D0409E" w:rsidDel="00EF0502">
        <w:rPr>
          <w:rFonts w:cs="Arial"/>
          <w:u w:val="single"/>
          <w:lang w:val="es-ES"/>
        </w:rPr>
        <w:t>Informe sobre los posibles impactos que la migración inducida por el clima tendrá tanto en el bienestar como en los resultados de conservación de las especies de cetáceos afectadas</w:t>
      </w:r>
      <w:bookmarkEnd w:id="9"/>
    </w:p>
    <w:p w14:paraId="6409A02F" w14:textId="77777777" w:rsidR="009028C6" w:rsidRPr="00D0409E" w:rsidRDefault="009028C6" w:rsidP="009028C6">
      <w:pPr>
        <w:widowControl w:val="0"/>
        <w:autoSpaceDE w:val="0"/>
        <w:autoSpaceDN w:val="0"/>
        <w:adjustRightInd w:val="0"/>
        <w:spacing w:after="0" w:line="240" w:lineRule="auto"/>
        <w:ind w:left="567"/>
        <w:jc w:val="both"/>
        <w:rPr>
          <w:rFonts w:cs="Arial"/>
          <w:highlight w:val="yellow"/>
          <w:lang w:val="es-ES"/>
        </w:rPr>
      </w:pPr>
    </w:p>
    <w:p w14:paraId="605311B9" w14:textId="0F640B62" w:rsidR="009028C6" w:rsidRPr="00D0409E" w:rsidRDefault="009028C6" w:rsidP="009028C6">
      <w:pPr>
        <w:pStyle w:val="ListParagraph"/>
        <w:widowControl w:val="0"/>
        <w:numPr>
          <w:ilvl w:val="0"/>
          <w:numId w:val="14"/>
        </w:numPr>
        <w:autoSpaceDE w:val="0"/>
        <w:autoSpaceDN w:val="0"/>
        <w:adjustRightInd w:val="0"/>
        <w:spacing w:after="0" w:line="240" w:lineRule="auto"/>
        <w:ind w:left="567" w:hanging="567"/>
        <w:contextualSpacing w:val="0"/>
        <w:jc w:val="both"/>
        <w:rPr>
          <w:rFonts w:cs="Arial"/>
          <w:lang w:val="es-ES"/>
        </w:rPr>
      </w:pPr>
      <w:r w:rsidRPr="00D0409E">
        <w:rPr>
          <w:rFonts w:cs="Arial"/>
          <w:lang w:val="es-ES"/>
        </w:rPr>
        <w:t xml:space="preserve">El informe sobre los posibles impactos de la migración inducida por el clima (Decisión 14.72 [b]) fue elaborado por el Gobierno del Reino Unido en consulta con los </w:t>
      </w:r>
      <w:proofErr w:type="gramStart"/>
      <w:r w:rsidRPr="00D0409E">
        <w:rPr>
          <w:rFonts w:cs="Arial"/>
          <w:lang w:val="es-ES"/>
        </w:rPr>
        <w:t>Consejeros</w:t>
      </w:r>
      <w:proofErr w:type="gramEnd"/>
      <w:r w:rsidRPr="00D0409E">
        <w:rPr>
          <w:rFonts w:cs="Arial"/>
          <w:lang w:val="es-ES"/>
        </w:rPr>
        <w:t xml:space="preserve"> designados por la COP para Mamíferos Acuáticos, Contaminación Marina y Cambio Climático. El resumen y las recomendaciones del informe están disponibles en el Anexo 2. El informe completo está disponible como </w:t>
      </w:r>
      <w:hyperlink r:id="rId16" w:history="1">
        <w:r w:rsidR="00DA06E3" w:rsidRPr="00DA06E3">
          <w:rPr>
            <w:rStyle w:val="Hyperlink"/>
            <w:rFonts w:cs="Arial"/>
            <w:lang w:val="es-ES"/>
          </w:rPr>
          <w:t>UNEP/CMS/COP15/Inf.25.4.1b</w:t>
        </w:r>
      </w:hyperlink>
      <w:r w:rsidRPr="00D0409E">
        <w:rPr>
          <w:rFonts w:cs="Arial"/>
          <w:lang w:val="es-ES"/>
        </w:rPr>
        <w:t>.</w:t>
      </w:r>
    </w:p>
    <w:p w14:paraId="6DDBE090" w14:textId="77777777" w:rsidR="009028C6" w:rsidRPr="00D0409E" w:rsidRDefault="009028C6" w:rsidP="009028C6">
      <w:pPr>
        <w:widowControl w:val="0"/>
        <w:autoSpaceDE w:val="0"/>
        <w:autoSpaceDN w:val="0"/>
        <w:adjustRightInd w:val="0"/>
        <w:spacing w:after="0" w:line="240" w:lineRule="auto"/>
        <w:jc w:val="both"/>
        <w:rPr>
          <w:rFonts w:cs="Arial"/>
          <w:lang w:val="es-ES"/>
        </w:rPr>
      </w:pPr>
    </w:p>
    <w:p w14:paraId="2742E5E8"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r w:rsidRPr="00D0409E">
        <w:rPr>
          <w:rFonts w:cs="Arial"/>
          <w:u w:val="single"/>
          <w:lang w:val="es-ES"/>
        </w:rPr>
        <w:t>Protocolos estándar de varamientos y necropsias</w:t>
      </w:r>
    </w:p>
    <w:p w14:paraId="4C7AB6D8" w14:textId="77777777" w:rsidR="009028C6" w:rsidRPr="00D0409E" w:rsidRDefault="009028C6" w:rsidP="009028C6">
      <w:pPr>
        <w:widowControl w:val="0"/>
        <w:autoSpaceDE w:val="0"/>
        <w:autoSpaceDN w:val="0"/>
        <w:adjustRightInd w:val="0"/>
        <w:spacing w:after="0" w:line="240" w:lineRule="auto"/>
        <w:ind w:left="567"/>
        <w:jc w:val="both"/>
        <w:rPr>
          <w:rFonts w:cs="Arial"/>
          <w:lang w:val="es-ES"/>
        </w:rPr>
      </w:pPr>
    </w:p>
    <w:p w14:paraId="1AC553D6" w14:textId="77777777" w:rsidR="009028C6" w:rsidRPr="00D0409E" w:rsidRDefault="009028C6" w:rsidP="009028C6">
      <w:pPr>
        <w:pStyle w:val="ListParagraph"/>
        <w:widowControl w:val="0"/>
        <w:numPr>
          <w:ilvl w:val="0"/>
          <w:numId w:val="14"/>
        </w:numPr>
        <w:autoSpaceDE w:val="0"/>
        <w:autoSpaceDN w:val="0"/>
        <w:adjustRightInd w:val="0"/>
        <w:spacing w:after="0" w:line="240" w:lineRule="auto"/>
        <w:ind w:left="567" w:hanging="567"/>
        <w:contextualSpacing w:val="0"/>
        <w:jc w:val="both"/>
        <w:rPr>
          <w:rFonts w:cs="Arial"/>
          <w:lang w:val="es-ES"/>
        </w:rPr>
      </w:pPr>
      <w:r w:rsidRPr="00D0409E">
        <w:rPr>
          <w:rFonts w:cs="Arial"/>
          <w:lang w:val="es-ES"/>
        </w:rPr>
        <w:t xml:space="preserve">Las Partes pueden beneficiarse del trabajo realizado sobre los protocolos de varamientos y necropsias por los Acuerdos derivados de la CMS. De acuerdo con la Decisión 14.72 (c), se recomiendan los siguientes protocolos a las Partes: </w:t>
      </w:r>
    </w:p>
    <w:p w14:paraId="1F2E0AA4" w14:textId="77777777" w:rsidR="009028C6" w:rsidRPr="00D0409E" w:rsidRDefault="009028C6" w:rsidP="009028C6">
      <w:pPr>
        <w:pStyle w:val="ListParagraph"/>
        <w:widowControl w:val="0"/>
        <w:autoSpaceDE w:val="0"/>
        <w:autoSpaceDN w:val="0"/>
        <w:adjustRightInd w:val="0"/>
        <w:spacing w:after="0" w:line="240" w:lineRule="auto"/>
        <w:ind w:left="567"/>
        <w:contextualSpacing w:val="0"/>
        <w:jc w:val="both"/>
        <w:rPr>
          <w:rFonts w:cs="Arial"/>
          <w:lang w:val="es-ES"/>
        </w:rPr>
      </w:pPr>
    </w:p>
    <w:p w14:paraId="445AFD82" w14:textId="77777777" w:rsidR="009028C6" w:rsidRPr="00D0409E" w:rsidRDefault="009028C6" w:rsidP="009028C6">
      <w:pPr>
        <w:pStyle w:val="ListParagraph"/>
        <w:widowControl w:val="0"/>
        <w:numPr>
          <w:ilvl w:val="0"/>
          <w:numId w:val="20"/>
        </w:numPr>
        <w:autoSpaceDE w:val="0"/>
        <w:autoSpaceDN w:val="0"/>
        <w:adjustRightInd w:val="0"/>
        <w:spacing w:after="0" w:line="240" w:lineRule="auto"/>
        <w:jc w:val="both"/>
        <w:rPr>
          <w:rFonts w:cs="Arial"/>
          <w:lang w:val="es-ES"/>
        </w:rPr>
      </w:pPr>
      <w:r w:rsidRPr="00D0409E">
        <w:rPr>
          <w:rFonts w:cs="Arial"/>
          <w:i/>
          <w:iCs/>
          <w:lang w:val="es-ES"/>
        </w:rPr>
        <w:t>Las mejores prácticas sobre la investigación post mortem de cetáceos y el muestreo de tejidos,</w:t>
      </w:r>
      <w:r w:rsidRPr="00933C8C">
        <w:rPr>
          <w:rStyle w:val="FootnoteReference"/>
          <w:rFonts w:cs="Arial"/>
          <w:i/>
          <w:iCs/>
          <w:vertAlign w:val="superscript"/>
          <w:lang w:val="es-ES"/>
        </w:rPr>
        <w:footnoteReference w:id="1"/>
      </w:r>
      <w:r w:rsidRPr="00D0409E">
        <w:rPr>
          <w:rFonts w:cs="Arial"/>
          <w:i/>
          <w:iCs/>
          <w:lang w:val="es-ES"/>
        </w:rPr>
        <w:t xml:space="preserve"> </w:t>
      </w:r>
      <w:proofErr w:type="spellStart"/>
      <w:r w:rsidRPr="00D0409E">
        <w:rPr>
          <w:rFonts w:cs="Arial"/>
          <w:lang w:val="es-ES"/>
        </w:rPr>
        <w:t>co-desarrolladas</w:t>
      </w:r>
      <w:proofErr w:type="spellEnd"/>
      <w:r w:rsidRPr="00D0409E">
        <w:rPr>
          <w:rFonts w:cs="Arial"/>
          <w:lang w:val="es-ES"/>
        </w:rPr>
        <w:t xml:space="preserve"> por ACCOBAMS y ASCOBANS, constituyen un protocolo integral y multinivel que ofrece un marco para la recopilación e interpretación de datos, adecuado a los recursos disponibles. Este protocolo fue desarrollado por destacados patólogos de cetáceos y adoptado en la 9.</w:t>
      </w:r>
      <w:r w:rsidRPr="00D0409E">
        <w:rPr>
          <w:rFonts w:cs="Arial"/>
          <w:vertAlign w:val="superscript"/>
          <w:lang w:val="es-ES"/>
        </w:rPr>
        <w:t>ª</w:t>
      </w:r>
      <w:r w:rsidRPr="00D0409E">
        <w:rPr>
          <w:rFonts w:cs="Arial"/>
          <w:lang w:val="es-ES"/>
        </w:rPr>
        <w:t xml:space="preserve"> Reunión de las Partes (MOP9) de ASCOBANS. El protocolo no está diseñado para reemplazar los protocolos existentes, especialmente los de laboratorios y redes de varamientos consolidados y de larga trayectoria, sino que ofrece un marco para mejorar la coherencia en Europa al realizar exámenes de cetáceos muertos. </w:t>
      </w:r>
    </w:p>
    <w:p w14:paraId="71BC4C73" w14:textId="77777777" w:rsidR="009028C6" w:rsidRPr="00D0409E" w:rsidRDefault="009028C6" w:rsidP="009028C6">
      <w:pPr>
        <w:pStyle w:val="ListParagraph"/>
        <w:widowControl w:val="0"/>
        <w:autoSpaceDE w:val="0"/>
        <w:autoSpaceDN w:val="0"/>
        <w:adjustRightInd w:val="0"/>
        <w:spacing w:after="0" w:line="240" w:lineRule="auto"/>
        <w:ind w:left="927"/>
        <w:jc w:val="both"/>
        <w:rPr>
          <w:rFonts w:cs="Arial"/>
          <w:lang w:val="es-ES"/>
        </w:rPr>
      </w:pPr>
    </w:p>
    <w:p w14:paraId="5FCDCB04" w14:textId="77777777" w:rsidR="009028C6" w:rsidRPr="00D0409E" w:rsidRDefault="009028C6" w:rsidP="009028C6">
      <w:pPr>
        <w:pStyle w:val="ListParagraph"/>
        <w:widowControl w:val="0"/>
        <w:numPr>
          <w:ilvl w:val="0"/>
          <w:numId w:val="20"/>
        </w:numPr>
        <w:autoSpaceDE w:val="0"/>
        <w:autoSpaceDN w:val="0"/>
        <w:adjustRightInd w:val="0"/>
        <w:spacing w:after="0" w:line="240" w:lineRule="auto"/>
        <w:jc w:val="both"/>
        <w:rPr>
          <w:rFonts w:cs="Arial"/>
          <w:u w:val="single"/>
          <w:lang w:val="es-ES"/>
        </w:rPr>
      </w:pPr>
      <w:r w:rsidRPr="00D0409E">
        <w:rPr>
          <w:rFonts w:cs="Arial"/>
          <w:i/>
          <w:iCs/>
          <w:lang w:val="es-ES"/>
        </w:rPr>
        <w:t>Los marcos de evaluación diagnóstica basados en la evidencia para necropsias de cetáceos sobre problemas o amenazas específicos</w:t>
      </w:r>
      <w:r w:rsidRPr="00933C8C">
        <w:rPr>
          <w:rStyle w:val="FootnoteReference"/>
          <w:rFonts w:cs="Arial"/>
          <w:vertAlign w:val="superscript"/>
          <w:lang w:val="es-ES"/>
        </w:rPr>
        <w:footnoteReference w:id="2"/>
      </w:r>
      <w:r w:rsidRPr="00D0409E">
        <w:rPr>
          <w:rFonts w:cs="Arial"/>
          <w:lang w:val="es-ES"/>
        </w:rPr>
        <w:t xml:space="preserve"> adoptados por la MOP7 de ACCOBAMS, constituyen un resumen operativo de las </w:t>
      </w:r>
      <w:r w:rsidRPr="00D0409E">
        <w:rPr>
          <w:rFonts w:cs="Arial"/>
          <w:i/>
          <w:iCs/>
          <w:lang w:val="es-ES"/>
        </w:rPr>
        <w:t>Mejores prácticas para la investigación post mortem de cetáceos y el muestreo de tejidos</w:t>
      </w:r>
      <w:r w:rsidRPr="00D0409E">
        <w:rPr>
          <w:rFonts w:cs="Arial"/>
          <w:lang w:val="es-ES"/>
        </w:rPr>
        <w:t xml:space="preserve">, y pueden apoyar la interpretación de los datos y observaciones recopilados durante una necropsia completa y exhaustiva realizada por un patólogo veterinario y/o un veterinario del gobierno. </w:t>
      </w:r>
    </w:p>
    <w:p w14:paraId="74F24060" w14:textId="77777777" w:rsidR="009028C6" w:rsidRPr="00D0409E" w:rsidRDefault="009028C6" w:rsidP="009028C6">
      <w:pPr>
        <w:pStyle w:val="ListParagraph"/>
        <w:widowControl w:val="0"/>
        <w:autoSpaceDE w:val="0"/>
        <w:autoSpaceDN w:val="0"/>
        <w:adjustRightInd w:val="0"/>
        <w:spacing w:after="0" w:line="240" w:lineRule="auto"/>
        <w:ind w:left="927"/>
        <w:jc w:val="both"/>
        <w:rPr>
          <w:rFonts w:cs="Arial"/>
          <w:u w:val="single"/>
          <w:lang w:val="es-ES"/>
        </w:rPr>
      </w:pPr>
    </w:p>
    <w:p w14:paraId="0C9CA09C" w14:textId="77777777" w:rsidR="009028C6" w:rsidRPr="00D0409E" w:rsidRDefault="009028C6" w:rsidP="009028C6">
      <w:pPr>
        <w:pStyle w:val="ListParagraph"/>
        <w:widowControl w:val="0"/>
        <w:numPr>
          <w:ilvl w:val="0"/>
          <w:numId w:val="20"/>
        </w:numPr>
        <w:autoSpaceDE w:val="0"/>
        <w:autoSpaceDN w:val="0"/>
        <w:adjustRightInd w:val="0"/>
        <w:spacing w:after="0" w:line="240" w:lineRule="auto"/>
        <w:jc w:val="both"/>
        <w:rPr>
          <w:rFonts w:cs="Arial"/>
          <w:u w:val="single"/>
          <w:lang w:val="es-ES"/>
        </w:rPr>
      </w:pPr>
      <w:r w:rsidRPr="00D0409E">
        <w:rPr>
          <w:rFonts w:cs="Arial"/>
          <w:i/>
          <w:iCs/>
          <w:lang w:val="es-ES"/>
        </w:rPr>
        <w:t>La Iniciativa de Varamientos,</w:t>
      </w:r>
      <w:r w:rsidRPr="00933C8C">
        <w:rPr>
          <w:rStyle w:val="FootnoteReference"/>
          <w:rFonts w:cs="Arial"/>
          <w:vertAlign w:val="superscript"/>
          <w:lang w:val="es-ES"/>
        </w:rPr>
        <w:footnoteReference w:id="3"/>
      </w:r>
      <w:r w:rsidRPr="00D0409E">
        <w:rPr>
          <w:rFonts w:cs="Arial"/>
          <w:lang w:val="es-ES"/>
        </w:rPr>
        <w:t xml:space="preserve"> establecida por la CBI, proporciona asesoramiento especializado, formación práctica, recopilación de datos y apoyo en tiempo real a los responsables de varamientos en todo el mundo. Se lanzó en 2016.</w:t>
      </w:r>
    </w:p>
    <w:p w14:paraId="6FCA2C5A"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p>
    <w:p w14:paraId="3A1474ED"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r w:rsidRPr="00D0409E">
        <w:rPr>
          <w:rFonts w:cs="Arial"/>
          <w:u w:val="single"/>
          <w:lang w:val="es-ES"/>
        </w:rPr>
        <w:lastRenderedPageBreak/>
        <w:t>Informe sobre el seguimiento, el bienestar y la conservación de cetáceos incluidos en la CMS que se encuentran «fuera de su hábitat»</w:t>
      </w:r>
    </w:p>
    <w:p w14:paraId="3DD6883B" w14:textId="77777777" w:rsidR="009028C6" w:rsidRPr="00D0409E" w:rsidRDefault="009028C6" w:rsidP="009028C6">
      <w:pPr>
        <w:widowControl w:val="0"/>
        <w:autoSpaceDE w:val="0"/>
        <w:autoSpaceDN w:val="0"/>
        <w:adjustRightInd w:val="0"/>
        <w:spacing w:after="0" w:line="240" w:lineRule="auto"/>
        <w:ind w:left="567"/>
        <w:jc w:val="both"/>
        <w:rPr>
          <w:rFonts w:cs="Arial"/>
          <w:lang w:val="es-ES"/>
        </w:rPr>
      </w:pPr>
    </w:p>
    <w:p w14:paraId="6A351AFE" w14:textId="41DDCA0A" w:rsidR="009028C6" w:rsidRPr="00D0409E" w:rsidRDefault="009028C6" w:rsidP="009028C6">
      <w:pPr>
        <w:pStyle w:val="ListParagraph"/>
        <w:widowControl w:val="0"/>
        <w:numPr>
          <w:ilvl w:val="0"/>
          <w:numId w:val="14"/>
        </w:numPr>
        <w:autoSpaceDE w:val="0"/>
        <w:autoSpaceDN w:val="0"/>
        <w:adjustRightInd w:val="0"/>
        <w:spacing w:after="0" w:line="240" w:lineRule="auto"/>
        <w:ind w:left="567" w:hanging="567"/>
        <w:contextualSpacing w:val="0"/>
        <w:jc w:val="both"/>
        <w:rPr>
          <w:rFonts w:cs="Arial"/>
          <w:i/>
          <w:iCs/>
          <w:u w:val="single"/>
          <w:lang w:val="es-ES"/>
        </w:rPr>
      </w:pPr>
      <w:r w:rsidRPr="00D0409E">
        <w:rPr>
          <w:rFonts w:cs="Arial"/>
          <w:lang w:val="es-ES"/>
        </w:rPr>
        <w:t>Un cetáceo «fuera de su hábitat» es aquel que se encuentra fuera de su área de distribución natural, o dentro de su área de distribución natural, pero en un hábitat que no es óptimo para su salud o supervivencia debido a la falta de condiciones adecuadas y/o a un posible conflicto con los humanos. El AMWG identificó a los «cetáceos fuera de su hábitat» y a los migrantes climáticos</w:t>
      </w:r>
      <w:r w:rsidRPr="00D0409E">
        <w:rPr>
          <w:rFonts w:cs="Arial"/>
          <w:color w:val="EE0000"/>
          <w:lang w:val="es-ES"/>
        </w:rPr>
        <w:t xml:space="preserve"> </w:t>
      </w:r>
      <w:r w:rsidRPr="00D0409E">
        <w:rPr>
          <w:rFonts w:cs="Arial"/>
          <w:lang w:val="es-ES"/>
        </w:rPr>
        <w:t xml:space="preserve">como individuos que están en riesgo particular en </w:t>
      </w:r>
      <w:hyperlink r:id="rId17" w:history="1">
        <w:r w:rsidR="00504438" w:rsidRPr="00504438">
          <w:rPr>
            <w:rStyle w:val="Hyperlink"/>
            <w:rFonts w:cs="Arial"/>
            <w:lang w:val="es-ES"/>
          </w:rPr>
          <w:t>UNEP/CMS/COP14/Inf.27.5.1a</w:t>
        </w:r>
      </w:hyperlink>
      <w:r w:rsidRPr="00D0409E">
        <w:rPr>
          <w:rFonts w:cs="Arial"/>
          <w:lang w:val="es-ES"/>
        </w:rPr>
        <w:t xml:space="preserve"> </w:t>
      </w:r>
      <w:r w:rsidRPr="00D0409E">
        <w:rPr>
          <w:rFonts w:cs="Arial"/>
          <w:i/>
          <w:iCs/>
          <w:lang w:val="es-ES"/>
        </w:rPr>
        <w:t>Una revisión para apoyar el desarrollo de un segundo Programa de Trabajo de Cetáceos de la CMS (2024-2035)</w:t>
      </w:r>
      <w:r w:rsidRPr="00D0409E">
        <w:rPr>
          <w:rFonts w:cs="Arial"/>
          <w:lang w:val="es-ES"/>
        </w:rPr>
        <w:t xml:space="preserve">. </w:t>
      </w:r>
    </w:p>
    <w:p w14:paraId="12598121" w14:textId="77777777" w:rsidR="009028C6" w:rsidRPr="00D0409E" w:rsidRDefault="009028C6" w:rsidP="009028C6">
      <w:pPr>
        <w:pStyle w:val="ListParagraph"/>
        <w:widowControl w:val="0"/>
        <w:autoSpaceDE w:val="0"/>
        <w:autoSpaceDN w:val="0"/>
        <w:adjustRightInd w:val="0"/>
        <w:spacing w:after="0" w:line="240" w:lineRule="auto"/>
        <w:ind w:left="567"/>
        <w:contextualSpacing w:val="0"/>
        <w:jc w:val="both"/>
        <w:rPr>
          <w:rFonts w:cs="Arial"/>
          <w:u w:val="single"/>
          <w:lang w:val="es-ES"/>
        </w:rPr>
      </w:pPr>
    </w:p>
    <w:p w14:paraId="0EBB9653" w14:textId="0818FE49" w:rsidR="009028C6" w:rsidRPr="00D0409E" w:rsidRDefault="009028C6" w:rsidP="009028C6">
      <w:pPr>
        <w:pStyle w:val="ListParagraph"/>
        <w:widowControl w:val="0"/>
        <w:numPr>
          <w:ilvl w:val="0"/>
          <w:numId w:val="14"/>
        </w:numPr>
        <w:autoSpaceDE w:val="0"/>
        <w:autoSpaceDN w:val="0"/>
        <w:adjustRightInd w:val="0"/>
        <w:spacing w:after="0" w:line="240" w:lineRule="auto"/>
        <w:ind w:left="567" w:hanging="567"/>
        <w:contextualSpacing w:val="0"/>
        <w:jc w:val="both"/>
        <w:rPr>
          <w:rFonts w:cs="Arial"/>
          <w:i/>
          <w:iCs/>
          <w:u w:val="single"/>
          <w:lang w:val="es-ES"/>
        </w:rPr>
      </w:pPr>
      <w:r w:rsidRPr="00D0409E">
        <w:rPr>
          <w:rFonts w:cs="Arial"/>
          <w:lang w:val="es-ES"/>
        </w:rPr>
        <w:t xml:space="preserve">El informe mencionado anteriormente, solicitado en la Decisión 14.72 (d), se publicó como el </w:t>
      </w:r>
      <w:hyperlink r:id="rId18" w:history="1">
        <w:r w:rsidRPr="00D0409E">
          <w:rPr>
            <w:rStyle w:val="Hyperlink"/>
            <w:rFonts w:cs="Arial"/>
            <w:lang w:val="es-ES"/>
          </w:rPr>
          <w:t>artículo de acceso abierto</w:t>
        </w:r>
      </w:hyperlink>
      <w:r w:rsidRPr="00D0409E">
        <w:rPr>
          <w:rFonts w:cs="Arial"/>
          <w:lang w:val="es-ES"/>
        </w:rPr>
        <w:t xml:space="preserve"> </w:t>
      </w:r>
      <w:r w:rsidRPr="00D0409E">
        <w:rPr>
          <w:rFonts w:cs="Arial"/>
          <w:i/>
          <w:iCs/>
          <w:lang w:val="es-ES"/>
        </w:rPr>
        <w:t>Mamíferos marinos fuera de su hábitat: identificación, causas y recomendaciones de gestión</w:t>
      </w:r>
      <w:r w:rsidRPr="00D0409E">
        <w:rPr>
          <w:rFonts w:cs="Arial"/>
          <w:lang w:val="es-ES"/>
        </w:rPr>
        <w:t xml:space="preserve"> (</w:t>
      </w:r>
      <w:proofErr w:type="spellStart"/>
      <w:r w:rsidRPr="00D0409E">
        <w:rPr>
          <w:rFonts w:cs="Arial"/>
          <w:lang w:val="es-ES"/>
        </w:rPr>
        <w:t>Nunny</w:t>
      </w:r>
      <w:proofErr w:type="spellEnd"/>
      <w:r w:rsidRPr="00D0409E">
        <w:rPr>
          <w:rFonts w:cs="Arial"/>
          <w:lang w:val="es-ES"/>
        </w:rPr>
        <w:t xml:space="preserve"> et al., 2025) y está disponible como </w:t>
      </w:r>
      <w:hyperlink r:id="rId19" w:history="1">
        <w:r w:rsidR="00F57365" w:rsidRPr="00F57365">
          <w:rPr>
            <w:rStyle w:val="Hyperlink"/>
            <w:rFonts w:cs="Arial"/>
            <w:lang w:val="es-ES"/>
          </w:rPr>
          <w:t>UNEP/CMS/COP15/Inf.25.4.1c</w:t>
        </w:r>
      </w:hyperlink>
      <w:r w:rsidRPr="00D0409E">
        <w:rPr>
          <w:rFonts w:cs="Arial"/>
          <w:lang w:val="es-ES"/>
        </w:rPr>
        <w:t xml:space="preserve">. Un resumen de los principales hallazgos y recomendaciones se puede encontrar en el Anexo 3. </w:t>
      </w:r>
    </w:p>
    <w:p w14:paraId="4D829EA1"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p>
    <w:p w14:paraId="270C7456"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r w:rsidRPr="00D0409E">
        <w:rPr>
          <w:rFonts w:cs="Arial"/>
          <w:u w:val="single"/>
          <w:lang w:val="es-ES"/>
        </w:rPr>
        <w:t>Sintetizar la investigación en comprensión emergente de cómo el bienestar de los cetáceos puede afectar a los resultados de conservación</w:t>
      </w:r>
    </w:p>
    <w:p w14:paraId="23D7C5A9" w14:textId="77777777" w:rsidR="009028C6" w:rsidRPr="00D0409E" w:rsidRDefault="009028C6" w:rsidP="009028C6">
      <w:pPr>
        <w:widowControl w:val="0"/>
        <w:autoSpaceDE w:val="0"/>
        <w:autoSpaceDN w:val="0"/>
        <w:adjustRightInd w:val="0"/>
        <w:spacing w:after="0" w:line="240" w:lineRule="auto"/>
        <w:ind w:left="567"/>
        <w:jc w:val="both"/>
        <w:rPr>
          <w:rFonts w:cs="Arial"/>
          <w:lang w:val="es-ES"/>
        </w:rPr>
      </w:pPr>
    </w:p>
    <w:p w14:paraId="27C6A3A3" w14:textId="451F3C4E" w:rsidR="009028C6" w:rsidRPr="00D0409E" w:rsidRDefault="009028C6" w:rsidP="009028C6">
      <w:pPr>
        <w:pStyle w:val="ListParagraph"/>
        <w:widowControl w:val="0"/>
        <w:numPr>
          <w:ilvl w:val="0"/>
          <w:numId w:val="14"/>
        </w:numPr>
        <w:autoSpaceDE w:val="0"/>
        <w:autoSpaceDN w:val="0"/>
        <w:adjustRightInd w:val="0"/>
        <w:spacing w:after="0" w:line="240" w:lineRule="auto"/>
        <w:ind w:left="567" w:hanging="567"/>
        <w:contextualSpacing w:val="0"/>
        <w:jc w:val="both"/>
        <w:rPr>
          <w:rFonts w:cs="Arial"/>
          <w:u w:val="single"/>
          <w:lang w:val="es-ES"/>
        </w:rPr>
      </w:pPr>
      <w:r w:rsidRPr="00D0409E">
        <w:rPr>
          <w:rFonts w:cs="Arial"/>
          <w:lang w:val="es-ES"/>
        </w:rPr>
        <w:t xml:space="preserve">Debido al breve período entre sesiones, la síntesis solicitada en la Decisión 14.72 (e) no ha sido finalizada. Por lo tanto, se propone la renovación de esta Decisión en el Anexo </w:t>
      </w:r>
      <w:r w:rsidR="00E84343">
        <w:rPr>
          <w:rFonts w:cs="Arial"/>
          <w:lang w:val="es-ES"/>
        </w:rPr>
        <w:t>6</w:t>
      </w:r>
      <w:r w:rsidRPr="00D0409E">
        <w:rPr>
          <w:rFonts w:cs="Arial"/>
          <w:lang w:val="es-ES"/>
        </w:rPr>
        <w:t xml:space="preserve">. </w:t>
      </w:r>
    </w:p>
    <w:p w14:paraId="0A806362"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p>
    <w:p w14:paraId="7A715ECB"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r w:rsidRPr="00D0409E">
        <w:rPr>
          <w:rFonts w:cs="Arial"/>
          <w:u w:val="single"/>
          <w:lang w:val="es-ES"/>
        </w:rPr>
        <w:t>Revisión de las recomendaciones para posibles acciones futuras por parte del Consejo Científico</w:t>
      </w:r>
    </w:p>
    <w:p w14:paraId="6A4E9ACA" w14:textId="77777777" w:rsidR="009028C6" w:rsidRPr="00D0409E" w:rsidRDefault="009028C6" w:rsidP="009028C6">
      <w:pPr>
        <w:widowControl w:val="0"/>
        <w:autoSpaceDE w:val="0"/>
        <w:autoSpaceDN w:val="0"/>
        <w:adjustRightInd w:val="0"/>
        <w:spacing w:after="0" w:line="240" w:lineRule="auto"/>
        <w:ind w:left="567"/>
        <w:jc w:val="both"/>
        <w:rPr>
          <w:rFonts w:cs="Arial"/>
          <w:highlight w:val="yellow"/>
          <w:lang w:val="es-ES"/>
        </w:rPr>
      </w:pPr>
    </w:p>
    <w:p w14:paraId="649519C3" w14:textId="64CFCC66" w:rsidR="009028C6" w:rsidRPr="00D0409E" w:rsidRDefault="009028C6" w:rsidP="009028C6">
      <w:pPr>
        <w:pStyle w:val="ListParagraph"/>
        <w:widowControl w:val="0"/>
        <w:numPr>
          <w:ilvl w:val="0"/>
          <w:numId w:val="14"/>
        </w:numPr>
        <w:autoSpaceDE w:val="0"/>
        <w:autoSpaceDN w:val="0"/>
        <w:adjustRightInd w:val="0"/>
        <w:spacing w:after="0" w:line="240" w:lineRule="auto"/>
        <w:ind w:left="567" w:hanging="567"/>
        <w:contextualSpacing w:val="0"/>
        <w:jc w:val="both"/>
        <w:rPr>
          <w:rFonts w:cs="Arial"/>
          <w:lang w:val="es-ES"/>
        </w:rPr>
      </w:pPr>
      <w:r w:rsidRPr="00D0409E">
        <w:rPr>
          <w:rFonts w:cs="Arial"/>
          <w:lang w:val="es-ES"/>
        </w:rPr>
        <w:t xml:space="preserve">Según lo indicado en la Decisión 14.72 (f), el Consejero designado por la COP para Mamíferos Acuáticos y la Secretaría revisaron las recomendaciones para posibles acciones futuras por parte del Consejo Científico, tal como se contienen en </w:t>
      </w:r>
      <w:hyperlink r:id="rId20" w:history="1">
        <w:r w:rsidR="005013EE" w:rsidRPr="005013EE">
          <w:rPr>
            <w:rStyle w:val="Hyperlink"/>
            <w:rFonts w:cs="Arial"/>
            <w:lang w:val="es-ES"/>
          </w:rPr>
          <w:t>UNEP/CMS/COP14/Inf.27.5.1b</w:t>
        </w:r>
      </w:hyperlink>
      <w:r w:rsidRPr="00D0409E">
        <w:rPr>
          <w:rFonts w:cs="Arial"/>
          <w:lang w:val="es-ES"/>
        </w:rPr>
        <w:t xml:space="preserve">, e identificaron acciones prioritarias que se han incluido como proyectos de Decisión en el Anexo </w:t>
      </w:r>
      <w:r w:rsidR="00E84343">
        <w:rPr>
          <w:rFonts w:cs="Arial"/>
          <w:lang w:val="es-ES"/>
        </w:rPr>
        <w:t>6</w:t>
      </w:r>
      <w:r w:rsidRPr="00D0409E">
        <w:rPr>
          <w:rFonts w:cs="Arial"/>
          <w:lang w:val="es-ES"/>
        </w:rPr>
        <w:t>. La lista actualizada de recomendaciones para posibles acciones futuras por parte del Consejo Científico se encuentra en</w:t>
      </w:r>
      <w:r w:rsidR="00266B1F">
        <w:rPr>
          <w:rFonts w:cs="Arial"/>
          <w:lang w:val="es-ES"/>
        </w:rPr>
        <w:t xml:space="preserve"> Anexo 4 que figura en este documento</w:t>
      </w:r>
      <w:r w:rsidRPr="00D0409E">
        <w:rPr>
          <w:rFonts w:cs="Arial"/>
          <w:lang w:val="es-ES"/>
        </w:rPr>
        <w:t>.</w:t>
      </w:r>
    </w:p>
    <w:p w14:paraId="470A3AA3"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p>
    <w:p w14:paraId="6E784F29" w14:textId="77777777" w:rsidR="009028C6" w:rsidRPr="00D0409E" w:rsidRDefault="009028C6" w:rsidP="009028C6">
      <w:pPr>
        <w:pStyle w:val="ListParagraph"/>
        <w:numPr>
          <w:ilvl w:val="0"/>
          <w:numId w:val="22"/>
        </w:numPr>
        <w:spacing w:after="0" w:line="240" w:lineRule="auto"/>
        <w:ind w:left="567" w:hanging="567"/>
        <w:rPr>
          <w:bCs/>
          <w:u w:val="single"/>
          <w:lang w:val="es-ES"/>
        </w:rPr>
      </w:pPr>
      <w:bookmarkStart w:id="10" w:name="_Toc201154087"/>
      <w:bookmarkStart w:id="11" w:name="_Toc201243932"/>
      <w:bookmarkStart w:id="12" w:name="_Toc201244173"/>
      <w:bookmarkStart w:id="13" w:name="_Hlk205207375"/>
      <w:r w:rsidRPr="00D0409E">
        <w:rPr>
          <w:bCs/>
          <w:u w:val="single"/>
          <w:lang w:val="es-ES"/>
        </w:rPr>
        <w:t>La importancia de los cetáceos en el funcionamiento del ecosistema</w:t>
      </w:r>
      <w:bookmarkEnd w:id="10"/>
      <w:bookmarkEnd w:id="11"/>
      <w:bookmarkEnd w:id="12"/>
      <w:bookmarkEnd w:id="13"/>
    </w:p>
    <w:p w14:paraId="1881D0D5" w14:textId="77777777" w:rsidR="009028C6" w:rsidRPr="00D0409E" w:rsidRDefault="009028C6" w:rsidP="009028C6">
      <w:pPr>
        <w:spacing w:after="0" w:line="240" w:lineRule="auto"/>
        <w:rPr>
          <w:lang w:val="es-ES"/>
        </w:rPr>
      </w:pPr>
    </w:p>
    <w:p w14:paraId="3C0E10A9" w14:textId="47353573" w:rsidR="00EF0155" w:rsidRPr="009028C6" w:rsidRDefault="009028C6" w:rsidP="009028C6">
      <w:pPr>
        <w:widowControl w:val="0"/>
        <w:numPr>
          <w:ilvl w:val="0"/>
          <w:numId w:val="14"/>
        </w:numPr>
        <w:autoSpaceDE w:val="0"/>
        <w:autoSpaceDN w:val="0"/>
        <w:adjustRightInd w:val="0"/>
        <w:spacing w:after="0" w:line="240" w:lineRule="auto"/>
        <w:ind w:left="567" w:hanging="567"/>
        <w:jc w:val="both"/>
        <w:rPr>
          <w:rFonts w:cs="Arial"/>
          <w:lang w:val="es-ES"/>
        </w:rPr>
      </w:pPr>
      <w:r w:rsidRPr="00D0409E">
        <w:rPr>
          <w:rFonts w:cs="Arial"/>
          <w:lang w:val="es-ES"/>
        </w:rPr>
        <w:t>Con respecto a esta cuestión, la COP14 adoptó las siguientes Decisiones</w:t>
      </w:r>
      <w:r w:rsidR="00EF0155" w:rsidRPr="009028C6">
        <w:rPr>
          <w:rFonts w:cs="Arial"/>
          <w:lang w:val="es-ES"/>
        </w:rPr>
        <w:t>:</w:t>
      </w:r>
    </w:p>
    <w:p w14:paraId="02A1F05A" w14:textId="77777777" w:rsidR="00EF0155" w:rsidRPr="009028C6" w:rsidRDefault="00EF0155" w:rsidP="00EF0155">
      <w:pPr>
        <w:widowControl w:val="0"/>
        <w:autoSpaceDE w:val="0"/>
        <w:autoSpaceDN w:val="0"/>
        <w:adjustRightInd w:val="0"/>
        <w:spacing w:after="0" w:line="240" w:lineRule="auto"/>
        <w:jc w:val="both"/>
        <w:rPr>
          <w:rFonts w:cs="Arial"/>
          <w:lang w:val="es-ES"/>
        </w:rPr>
      </w:pPr>
    </w:p>
    <w:p w14:paraId="198E4EB7" w14:textId="3C8F20D1" w:rsidR="00EF0155" w:rsidRPr="00552936" w:rsidRDefault="00EF0155" w:rsidP="00EF0155">
      <w:pPr>
        <w:spacing w:after="0" w:line="240" w:lineRule="auto"/>
        <w:ind w:left="709"/>
        <w:jc w:val="both"/>
        <w:rPr>
          <w:rFonts w:cs="Arial"/>
          <w:b/>
          <w:bCs/>
          <w:i/>
          <w:iCs/>
          <w:sz w:val="20"/>
          <w:szCs w:val="20"/>
          <w:lang w:val="es-ES"/>
        </w:rPr>
      </w:pPr>
      <w:r w:rsidRPr="00552936">
        <w:rPr>
          <w:rFonts w:cs="Arial"/>
          <w:b/>
          <w:bCs/>
          <w:i/>
          <w:iCs/>
          <w:sz w:val="20"/>
          <w:szCs w:val="20"/>
          <w:lang w:val="es-ES"/>
        </w:rPr>
        <w:t>Decisi</w:t>
      </w:r>
      <w:r w:rsidR="004D3A1B" w:rsidRPr="00552936">
        <w:rPr>
          <w:rFonts w:cs="Arial"/>
          <w:b/>
          <w:bCs/>
          <w:i/>
          <w:iCs/>
          <w:sz w:val="20"/>
          <w:szCs w:val="20"/>
          <w:lang w:val="es-ES"/>
        </w:rPr>
        <w:t>ó</w:t>
      </w:r>
      <w:r w:rsidRPr="00552936">
        <w:rPr>
          <w:rFonts w:cs="Arial"/>
          <w:b/>
          <w:bCs/>
          <w:i/>
          <w:iCs/>
          <w:sz w:val="20"/>
          <w:szCs w:val="20"/>
          <w:lang w:val="es-ES"/>
        </w:rPr>
        <w:t xml:space="preserve">n 14.74 </w:t>
      </w:r>
      <w:r w:rsidR="004D3A1B" w:rsidRPr="00552936">
        <w:rPr>
          <w:rFonts w:cs="Arial"/>
          <w:b/>
          <w:bCs/>
          <w:i/>
          <w:iCs/>
          <w:sz w:val="20"/>
          <w:szCs w:val="20"/>
          <w:lang w:val="es-ES"/>
        </w:rPr>
        <w:t>dirigida al Consejo Científico</w:t>
      </w:r>
    </w:p>
    <w:p w14:paraId="036E87CC" w14:textId="77777777" w:rsidR="00EF0155" w:rsidRPr="00552936" w:rsidRDefault="00EF0155" w:rsidP="00EF0155">
      <w:pPr>
        <w:spacing w:after="0" w:line="240" w:lineRule="auto"/>
        <w:ind w:left="709"/>
        <w:jc w:val="both"/>
        <w:rPr>
          <w:rFonts w:cs="Arial"/>
          <w:i/>
          <w:iCs/>
          <w:sz w:val="20"/>
          <w:szCs w:val="20"/>
          <w:lang w:val="es-ES"/>
        </w:rPr>
      </w:pPr>
    </w:p>
    <w:p w14:paraId="425C41E6" w14:textId="2668E978" w:rsidR="00EF0155" w:rsidRPr="00552936" w:rsidRDefault="00552936" w:rsidP="00EF0155">
      <w:pPr>
        <w:spacing w:after="0" w:line="240" w:lineRule="auto"/>
        <w:ind w:left="709"/>
        <w:jc w:val="both"/>
        <w:rPr>
          <w:rFonts w:cs="Arial"/>
          <w:i/>
          <w:iCs/>
          <w:sz w:val="20"/>
          <w:szCs w:val="20"/>
          <w:lang w:val="es-ES"/>
        </w:rPr>
      </w:pPr>
      <w:r w:rsidRPr="00552936">
        <w:rPr>
          <w:rFonts w:cs="Arial"/>
          <w:i/>
          <w:iCs/>
          <w:sz w:val="20"/>
          <w:szCs w:val="20"/>
          <w:lang w:val="es-ES"/>
        </w:rPr>
        <w:t>Se solicita al Consejo Científico que, a través del Grupo de Trabajo para mamíferos acuáticos, proporcione asesoramiento y comentarios con respecto a la expansión del trabajo sobre el papel de los cetáceos en el funcionamiento del ecosistema en colaboración estrecha con la CBI.</w:t>
      </w:r>
    </w:p>
    <w:p w14:paraId="6858F582" w14:textId="77777777" w:rsidR="00EF0155" w:rsidRPr="00552936" w:rsidRDefault="00EF0155" w:rsidP="00EF0155">
      <w:pPr>
        <w:spacing w:after="0" w:line="240" w:lineRule="auto"/>
        <w:ind w:left="709"/>
        <w:jc w:val="both"/>
        <w:rPr>
          <w:rFonts w:cs="Arial"/>
          <w:b/>
          <w:bCs/>
          <w:i/>
          <w:iCs/>
          <w:sz w:val="20"/>
          <w:szCs w:val="20"/>
          <w:lang w:val="es-ES"/>
        </w:rPr>
      </w:pPr>
    </w:p>
    <w:p w14:paraId="37CF7E14" w14:textId="63AD94FB" w:rsidR="00EF0155" w:rsidRPr="005D346C" w:rsidRDefault="00EF0155" w:rsidP="00EF0155">
      <w:pPr>
        <w:spacing w:after="0" w:line="240" w:lineRule="auto"/>
        <w:ind w:left="709"/>
        <w:jc w:val="both"/>
        <w:rPr>
          <w:rFonts w:cs="Arial"/>
          <w:b/>
          <w:bCs/>
          <w:i/>
          <w:iCs/>
          <w:sz w:val="20"/>
          <w:szCs w:val="20"/>
          <w:lang w:val="es-ES"/>
        </w:rPr>
      </w:pPr>
      <w:r w:rsidRPr="005D346C">
        <w:rPr>
          <w:rFonts w:cs="Arial"/>
          <w:b/>
          <w:bCs/>
          <w:i/>
          <w:iCs/>
          <w:sz w:val="20"/>
          <w:szCs w:val="20"/>
          <w:lang w:val="es-ES"/>
        </w:rPr>
        <w:t>Decisi</w:t>
      </w:r>
      <w:r w:rsidR="00031419" w:rsidRPr="005D346C">
        <w:rPr>
          <w:rFonts w:cs="Arial"/>
          <w:b/>
          <w:bCs/>
          <w:i/>
          <w:iCs/>
          <w:sz w:val="20"/>
          <w:szCs w:val="20"/>
          <w:lang w:val="es-ES"/>
        </w:rPr>
        <w:t>ó</w:t>
      </w:r>
      <w:r w:rsidRPr="005D346C">
        <w:rPr>
          <w:rFonts w:cs="Arial"/>
          <w:b/>
          <w:bCs/>
          <w:i/>
          <w:iCs/>
          <w:sz w:val="20"/>
          <w:szCs w:val="20"/>
          <w:lang w:val="es-ES"/>
        </w:rPr>
        <w:t xml:space="preserve">n 14.75 </w:t>
      </w:r>
      <w:r w:rsidR="00031419" w:rsidRPr="005D346C">
        <w:rPr>
          <w:rFonts w:cs="Arial"/>
          <w:b/>
          <w:bCs/>
          <w:i/>
          <w:iCs/>
          <w:sz w:val="20"/>
          <w:szCs w:val="20"/>
          <w:lang w:val="es-ES"/>
        </w:rPr>
        <w:t>dirigida a la Secretaría</w:t>
      </w:r>
      <w:r w:rsidRPr="005D346C">
        <w:rPr>
          <w:rFonts w:cs="Arial"/>
          <w:b/>
          <w:bCs/>
          <w:i/>
          <w:iCs/>
          <w:sz w:val="20"/>
          <w:szCs w:val="20"/>
          <w:lang w:val="es-ES"/>
        </w:rPr>
        <w:t xml:space="preserve"> </w:t>
      </w:r>
    </w:p>
    <w:p w14:paraId="2E2496CA" w14:textId="77777777" w:rsidR="00EF0155" w:rsidRPr="005D346C" w:rsidRDefault="00EF0155" w:rsidP="00EF0155">
      <w:pPr>
        <w:spacing w:after="0" w:line="240" w:lineRule="auto"/>
        <w:ind w:left="709"/>
        <w:jc w:val="both"/>
        <w:rPr>
          <w:rFonts w:cs="Arial"/>
          <w:i/>
          <w:iCs/>
          <w:sz w:val="20"/>
          <w:szCs w:val="20"/>
          <w:lang w:val="es-ES"/>
        </w:rPr>
      </w:pPr>
    </w:p>
    <w:p w14:paraId="60103738" w14:textId="77777777" w:rsidR="00C03C58" w:rsidRPr="005D346C" w:rsidRDefault="00C03C58" w:rsidP="00C03C58">
      <w:pPr>
        <w:pStyle w:val="ListParagraph"/>
        <w:spacing w:after="0" w:line="240" w:lineRule="auto"/>
        <w:ind w:left="1080" w:hanging="360"/>
        <w:jc w:val="both"/>
        <w:rPr>
          <w:rFonts w:cs="Arial"/>
          <w:i/>
          <w:iCs/>
          <w:sz w:val="20"/>
          <w:szCs w:val="20"/>
          <w:lang w:val="es-ES"/>
        </w:rPr>
      </w:pPr>
      <w:r w:rsidRPr="005D346C">
        <w:rPr>
          <w:rFonts w:cs="Arial"/>
          <w:i/>
          <w:iCs/>
          <w:sz w:val="20"/>
          <w:szCs w:val="20"/>
          <w:lang w:val="es-ES"/>
        </w:rPr>
        <w:t xml:space="preserve">La Secretaría deberá: </w:t>
      </w:r>
    </w:p>
    <w:p w14:paraId="692347B7" w14:textId="77777777" w:rsidR="00C03C58" w:rsidRPr="005D346C" w:rsidRDefault="00C03C58" w:rsidP="00C03C58">
      <w:pPr>
        <w:pStyle w:val="ListParagraph"/>
        <w:spacing w:after="0" w:line="240" w:lineRule="auto"/>
        <w:ind w:left="1080" w:hanging="360"/>
        <w:jc w:val="both"/>
        <w:rPr>
          <w:rFonts w:cs="Arial"/>
          <w:i/>
          <w:iCs/>
          <w:sz w:val="20"/>
          <w:szCs w:val="20"/>
          <w:lang w:val="es-ES"/>
        </w:rPr>
      </w:pPr>
    </w:p>
    <w:p w14:paraId="098338A9" w14:textId="77777777" w:rsidR="00C03C58" w:rsidRPr="00C03C58" w:rsidRDefault="00C03C58" w:rsidP="00C03C58">
      <w:pPr>
        <w:pStyle w:val="ListParagraph"/>
        <w:spacing w:after="0" w:line="240" w:lineRule="auto"/>
        <w:ind w:left="1080" w:hanging="360"/>
        <w:jc w:val="both"/>
        <w:rPr>
          <w:rFonts w:cs="Arial"/>
          <w:i/>
          <w:iCs/>
          <w:sz w:val="20"/>
          <w:szCs w:val="20"/>
          <w:lang w:val="es-ES"/>
        </w:rPr>
      </w:pPr>
      <w:r w:rsidRPr="00C03C58">
        <w:rPr>
          <w:rFonts w:cs="Arial"/>
          <w:i/>
          <w:iCs/>
          <w:sz w:val="20"/>
          <w:szCs w:val="20"/>
          <w:lang w:val="es-ES"/>
        </w:rPr>
        <w:t>a)</w:t>
      </w:r>
      <w:r w:rsidRPr="00C03C58">
        <w:rPr>
          <w:rFonts w:cs="Arial"/>
          <w:i/>
          <w:iCs/>
          <w:sz w:val="20"/>
          <w:szCs w:val="20"/>
          <w:lang w:val="es-ES"/>
        </w:rPr>
        <w:tab/>
        <w:t>continuar su comunicación con la Secretaría de la CBI con respecto al trabajo relativo al papel de los cetáceos en el funcionamiento del ecosistema; y</w:t>
      </w:r>
    </w:p>
    <w:p w14:paraId="0A216492" w14:textId="77777777" w:rsidR="00C03C58" w:rsidRPr="00C03C58" w:rsidRDefault="00C03C58" w:rsidP="00C03C58">
      <w:pPr>
        <w:pStyle w:val="ListParagraph"/>
        <w:spacing w:after="0" w:line="240" w:lineRule="auto"/>
        <w:ind w:left="1080" w:hanging="360"/>
        <w:jc w:val="both"/>
        <w:rPr>
          <w:rFonts w:cs="Arial"/>
          <w:i/>
          <w:iCs/>
          <w:sz w:val="20"/>
          <w:szCs w:val="20"/>
          <w:lang w:val="es-ES"/>
        </w:rPr>
      </w:pPr>
    </w:p>
    <w:p w14:paraId="151E1264" w14:textId="3E1BD8DB" w:rsidR="00EF0155" w:rsidRPr="00C03C58" w:rsidRDefault="00C03C58" w:rsidP="00C03C58">
      <w:pPr>
        <w:pStyle w:val="ListParagraph"/>
        <w:spacing w:after="0" w:line="240" w:lineRule="auto"/>
        <w:ind w:left="1080" w:hanging="360"/>
        <w:contextualSpacing w:val="0"/>
        <w:jc w:val="both"/>
        <w:rPr>
          <w:rFonts w:cs="Arial"/>
          <w:i/>
          <w:iCs/>
          <w:sz w:val="20"/>
          <w:szCs w:val="20"/>
          <w:lang w:val="es-ES"/>
        </w:rPr>
      </w:pPr>
      <w:r w:rsidRPr="00C03C58">
        <w:rPr>
          <w:rFonts w:cs="Arial"/>
          <w:i/>
          <w:iCs/>
          <w:sz w:val="20"/>
          <w:szCs w:val="20"/>
          <w:lang w:val="es-ES"/>
        </w:rPr>
        <w:t>b)</w:t>
      </w:r>
      <w:r w:rsidRPr="00C03C58">
        <w:rPr>
          <w:rFonts w:cs="Arial"/>
          <w:i/>
          <w:iCs/>
          <w:sz w:val="20"/>
          <w:szCs w:val="20"/>
          <w:lang w:val="es-ES"/>
        </w:rPr>
        <w:tab/>
        <w:t>informar sobre los resultados del segundo taller conjunto CBI-CMS sobre el funcionamiento del ecosistema de los cetáceos en la siguiente reunión del Comité del Período de Sesiones del Consejo Científico</w:t>
      </w:r>
      <w:r w:rsidR="00EF0155" w:rsidRPr="00C03C58">
        <w:rPr>
          <w:rFonts w:cs="Arial"/>
          <w:i/>
          <w:iCs/>
          <w:sz w:val="20"/>
          <w:szCs w:val="20"/>
          <w:lang w:val="es-ES"/>
        </w:rPr>
        <w:t>.</w:t>
      </w:r>
    </w:p>
    <w:p w14:paraId="3DB430BD" w14:textId="77777777" w:rsidR="00EF0155" w:rsidRPr="00C03C58" w:rsidRDefault="00EF0155" w:rsidP="00EF0155">
      <w:pPr>
        <w:spacing w:after="0" w:line="240" w:lineRule="auto"/>
        <w:ind w:left="709"/>
        <w:rPr>
          <w:rFonts w:cs="Arial"/>
          <w:u w:val="single"/>
          <w:lang w:val="es-ES"/>
        </w:rPr>
      </w:pPr>
    </w:p>
    <w:p w14:paraId="74F4BFFD" w14:textId="77777777" w:rsidR="005F1CD9" w:rsidRPr="00D0409E" w:rsidRDefault="005F1CD9" w:rsidP="005F1CD9">
      <w:pPr>
        <w:spacing w:after="0" w:line="240" w:lineRule="auto"/>
        <w:rPr>
          <w:rFonts w:cs="Arial"/>
          <w:u w:val="single"/>
          <w:lang w:val="es-ES"/>
        </w:rPr>
      </w:pPr>
      <w:r w:rsidRPr="00D0409E">
        <w:rPr>
          <w:rFonts w:cs="Arial"/>
          <w:u w:val="single"/>
          <w:lang w:val="es-ES"/>
        </w:rPr>
        <w:t>Implementación de las Decisiones relacionadas con la importancia de los cetáceos en el funcionamiento del ecosistema</w:t>
      </w:r>
    </w:p>
    <w:p w14:paraId="6C764F5C" w14:textId="77777777" w:rsidR="005F1CD9" w:rsidRPr="00D0409E" w:rsidRDefault="005F1CD9" w:rsidP="005F1CD9">
      <w:pPr>
        <w:spacing w:after="0" w:line="240" w:lineRule="auto"/>
        <w:rPr>
          <w:rFonts w:cs="Arial"/>
          <w:u w:val="single"/>
          <w:lang w:val="es-ES"/>
        </w:rPr>
      </w:pPr>
    </w:p>
    <w:p w14:paraId="11CF5F68" w14:textId="77777777" w:rsidR="005F1CD9" w:rsidRPr="00D0409E" w:rsidRDefault="005F1CD9" w:rsidP="005F1CD9">
      <w:pPr>
        <w:widowControl w:val="0"/>
        <w:numPr>
          <w:ilvl w:val="0"/>
          <w:numId w:val="14"/>
        </w:numPr>
        <w:autoSpaceDE w:val="0"/>
        <w:autoSpaceDN w:val="0"/>
        <w:adjustRightInd w:val="0"/>
        <w:spacing w:after="0" w:line="240" w:lineRule="auto"/>
        <w:ind w:left="567" w:hanging="567"/>
        <w:jc w:val="both"/>
        <w:rPr>
          <w:rFonts w:cs="Arial"/>
          <w:lang w:val="es-ES"/>
        </w:rPr>
      </w:pPr>
      <w:r w:rsidRPr="00D0409E">
        <w:rPr>
          <w:rFonts w:cs="Arial"/>
          <w:lang w:val="es-ES"/>
        </w:rPr>
        <w:t xml:space="preserve">El trabajo sobre la importancia de los cetáceos en el funcionamiento del ecosistema está liderado por la CBI, que cuenta con dos líneas de trabajo sobre el tema: Una bajo el Comité Científico, que analiza los hallazgos de investigación actuales y las lagunas de conocimiento, en la que la CMS está directamente involucrada; y otra bajo el Comité de Conservación, que investiga el valor económico de los cetáceos en el funcionamiento de los ecosistemas. </w:t>
      </w:r>
    </w:p>
    <w:p w14:paraId="5B8BCA4F" w14:textId="77777777" w:rsidR="005F1CD9" w:rsidRPr="00D0409E" w:rsidRDefault="005F1CD9" w:rsidP="005F1CD9">
      <w:pPr>
        <w:widowControl w:val="0"/>
        <w:autoSpaceDE w:val="0"/>
        <w:autoSpaceDN w:val="0"/>
        <w:adjustRightInd w:val="0"/>
        <w:spacing w:after="0" w:line="240" w:lineRule="auto"/>
        <w:jc w:val="both"/>
        <w:rPr>
          <w:rFonts w:cs="Arial"/>
          <w:highlight w:val="yellow"/>
          <w:lang w:val="es-ES"/>
        </w:rPr>
      </w:pPr>
    </w:p>
    <w:p w14:paraId="1CDD1503" w14:textId="77777777" w:rsidR="005F1CD9" w:rsidRPr="00D0409E" w:rsidRDefault="005F1CD9" w:rsidP="005F1CD9">
      <w:pPr>
        <w:widowControl w:val="0"/>
        <w:numPr>
          <w:ilvl w:val="0"/>
          <w:numId w:val="14"/>
        </w:numPr>
        <w:autoSpaceDE w:val="0"/>
        <w:autoSpaceDN w:val="0"/>
        <w:adjustRightInd w:val="0"/>
        <w:spacing w:after="80" w:line="240" w:lineRule="auto"/>
        <w:ind w:left="567" w:hanging="567"/>
        <w:jc w:val="both"/>
        <w:rPr>
          <w:rFonts w:cs="Arial"/>
          <w:lang w:val="es-ES"/>
        </w:rPr>
      </w:pPr>
      <w:r w:rsidRPr="00D0409E">
        <w:rPr>
          <w:rFonts w:cs="Arial"/>
          <w:lang w:val="es-ES"/>
        </w:rPr>
        <w:t xml:space="preserve">El segundo taller conjunto CBI-CMS se celebró del 14 al 16 de noviembre de 2023 en las instalaciones de la Secretaría de la CMS en Bonn, Alemania. Las recomendaciones generales del taller fueron: </w:t>
      </w:r>
    </w:p>
    <w:p w14:paraId="687BE589" w14:textId="77777777" w:rsidR="005F1CD9" w:rsidRPr="00D0409E" w:rsidRDefault="005F1CD9" w:rsidP="005F1CD9">
      <w:pPr>
        <w:widowControl w:val="0"/>
        <w:numPr>
          <w:ilvl w:val="1"/>
          <w:numId w:val="14"/>
        </w:numPr>
        <w:autoSpaceDE w:val="0"/>
        <w:autoSpaceDN w:val="0"/>
        <w:adjustRightInd w:val="0"/>
        <w:spacing w:after="80" w:line="240" w:lineRule="auto"/>
        <w:ind w:left="993" w:hanging="426"/>
        <w:jc w:val="both"/>
        <w:rPr>
          <w:rFonts w:cs="Arial"/>
          <w:lang w:val="es-ES"/>
        </w:rPr>
      </w:pPr>
      <w:r w:rsidRPr="00D0409E">
        <w:rPr>
          <w:rFonts w:cs="Arial"/>
          <w:lang w:val="es-ES"/>
        </w:rPr>
        <w:t xml:space="preserve">Abordar la cuestión de cómo operan las rutas del carbono a través de las escalas espaciales verticales y horizontales, en particular, la contribución de las ballenas en relación con otros componentes del ecosistema a los mecanismos asociados que estén en funcionamiento (ciclo de nutrientes; fijación de carbono; exportación y secuestro). </w:t>
      </w:r>
    </w:p>
    <w:p w14:paraId="7421A39D" w14:textId="77777777" w:rsidR="005F1CD9" w:rsidRPr="00D0409E" w:rsidRDefault="005F1CD9" w:rsidP="005F1CD9">
      <w:pPr>
        <w:widowControl w:val="0"/>
        <w:numPr>
          <w:ilvl w:val="1"/>
          <w:numId w:val="14"/>
        </w:numPr>
        <w:autoSpaceDE w:val="0"/>
        <w:autoSpaceDN w:val="0"/>
        <w:adjustRightInd w:val="0"/>
        <w:spacing w:after="0" w:line="240" w:lineRule="auto"/>
        <w:ind w:left="993" w:hanging="426"/>
        <w:jc w:val="both"/>
        <w:rPr>
          <w:rFonts w:cs="Arial"/>
          <w:lang w:val="es-ES"/>
        </w:rPr>
      </w:pPr>
      <w:r w:rsidRPr="00D0409E">
        <w:rPr>
          <w:rFonts w:cs="Arial"/>
          <w:lang w:val="es-ES"/>
        </w:rPr>
        <w:t xml:space="preserve">Desarrollar un marco para ilustrar la contribución de los cetáceos a los servicios ecosistémicos (por ejemplo, regulación climática, reciclaje de nutrientes, provisión de hábitat) y el valor potencial que estos proporcionan. </w:t>
      </w:r>
    </w:p>
    <w:p w14:paraId="498EBEFD" w14:textId="77777777" w:rsidR="005F1CD9" w:rsidRPr="00D0409E" w:rsidRDefault="005F1CD9" w:rsidP="005F1CD9">
      <w:pPr>
        <w:pStyle w:val="ListParagraph"/>
        <w:rPr>
          <w:rFonts w:cs="Arial"/>
          <w:lang w:val="es-ES"/>
        </w:rPr>
      </w:pPr>
    </w:p>
    <w:p w14:paraId="0441BA9E" w14:textId="77777777" w:rsidR="005F1CD9" w:rsidRPr="00D0409E" w:rsidRDefault="005F1CD9" w:rsidP="005F1CD9">
      <w:pPr>
        <w:pStyle w:val="ListParagraph"/>
        <w:widowControl w:val="0"/>
        <w:numPr>
          <w:ilvl w:val="0"/>
          <w:numId w:val="14"/>
        </w:numPr>
        <w:autoSpaceDE w:val="0"/>
        <w:autoSpaceDN w:val="0"/>
        <w:adjustRightInd w:val="0"/>
        <w:spacing w:after="0" w:line="240" w:lineRule="auto"/>
        <w:ind w:left="567" w:hanging="567"/>
        <w:contextualSpacing w:val="0"/>
        <w:jc w:val="both"/>
        <w:rPr>
          <w:rFonts w:cs="Arial"/>
          <w:lang w:val="es-ES"/>
        </w:rPr>
      </w:pPr>
      <w:r w:rsidRPr="00D0409E">
        <w:rPr>
          <w:rFonts w:cs="Arial"/>
          <w:lang w:val="es-ES"/>
        </w:rPr>
        <w:t xml:space="preserve">También se revisaron los Términos de Referencia de un proyecto piloto para evaluar la valoración socioeconómica de las funciones ecosistémicas de los cetáceos. </w:t>
      </w:r>
    </w:p>
    <w:p w14:paraId="68A0F68B" w14:textId="77777777" w:rsidR="005F1CD9" w:rsidRPr="00D0409E" w:rsidRDefault="005F1CD9" w:rsidP="005F1CD9">
      <w:pPr>
        <w:widowControl w:val="0"/>
        <w:autoSpaceDE w:val="0"/>
        <w:autoSpaceDN w:val="0"/>
        <w:adjustRightInd w:val="0"/>
        <w:spacing w:after="0" w:line="240" w:lineRule="auto"/>
        <w:jc w:val="both"/>
        <w:rPr>
          <w:rFonts w:cs="Arial"/>
          <w:lang w:val="es-ES"/>
        </w:rPr>
      </w:pPr>
    </w:p>
    <w:p w14:paraId="021F26B7" w14:textId="77777777" w:rsidR="005F1CD9" w:rsidRPr="00202F40" w:rsidRDefault="005F1CD9" w:rsidP="005F1CD9">
      <w:pPr>
        <w:widowControl w:val="0"/>
        <w:numPr>
          <w:ilvl w:val="0"/>
          <w:numId w:val="14"/>
        </w:numPr>
        <w:autoSpaceDE w:val="0"/>
        <w:autoSpaceDN w:val="0"/>
        <w:adjustRightInd w:val="0"/>
        <w:spacing w:after="0" w:line="240" w:lineRule="auto"/>
        <w:ind w:left="567" w:hanging="567"/>
        <w:jc w:val="both"/>
        <w:rPr>
          <w:rFonts w:cs="Arial"/>
          <w:u w:val="single"/>
          <w:lang w:val="es-ES"/>
        </w:rPr>
      </w:pPr>
      <w:r w:rsidRPr="00D0409E">
        <w:rPr>
          <w:rFonts w:cs="Arial"/>
          <w:lang w:val="es-ES"/>
        </w:rPr>
        <w:t>Los resultados del segundo taller conjunto CBI-CMS sobre el funcionamiento de los ecosistemas de cetáceos se informaron al 7.</w:t>
      </w:r>
      <w:r w:rsidRPr="00D0409E">
        <w:rPr>
          <w:rFonts w:cs="Arial"/>
          <w:vertAlign w:val="superscript"/>
          <w:lang w:val="es-ES"/>
        </w:rPr>
        <w:t>º</w:t>
      </w:r>
      <w:r w:rsidRPr="00D0409E">
        <w:rPr>
          <w:rFonts w:cs="Arial"/>
          <w:lang w:val="es-ES"/>
        </w:rPr>
        <w:t xml:space="preserve"> Comité del Período de Sesiones del Consejo Científico en </w:t>
      </w:r>
      <w:hyperlink r:id="rId21" w:history="1">
        <w:r w:rsidRPr="00D0409E">
          <w:rPr>
            <w:rStyle w:val="Hyperlink"/>
            <w:rFonts w:cs="Arial"/>
            <w:lang w:val="es-ES"/>
          </w:rPr>
          <w:t>UNEP/CMS/ScC-SC7/Doc.6.2.1</w:t>
        </w:r>
      </w:hyperlink>
      <w:r w:rsidRPr="00D0409E">
        <w:rPr>
          <w:rFonts w:cs="Arial"/>
          <w:lang w:val="es-ES"/>
        </w:rPr>
        <w:t xml:space="preserve">. El informe del taller elaborado por la CBI se presentó como </w:t>
      </w:r>
      <w:hyperlink r:id="rId22" w:history="1">
        <w:r w:rsidRPr="00D0409E">
          <w:rPr>
            <w:rStyle w:val="Hyperlink"/>
            <w:rFonts w:cs="Arial"/>
            <w:lang w:val="es-ES"/>
          </w:rPr>
          <w:t>UNEP/CMS/ScC-SC7/Inf.6.2.1</w:t>
        </w:r>
      </w:hyperlink>
      <w:r w:rsidRPr="00D0409E">
        <w:rPr>
          <w:rFonts w:cs="Arial"/>
          <w:lang w:val="es-ES"/>
        </w:rPr>
        <w:t xml:space="preserve">. </w:t>
      </w:r>
    </w:p>
    <w:p w14:paraId="1779B847" w14:textId="77777777" w:rsidR="00202F40" w:rsidRPr="00D0409E" w:rsidRDefault="00202F40" w:rsidP="00202F40">
      <w:pPr>
        <w:widowControl w:val="0"/>
        <w:autoSpaceDE w:val="0"/>
        <w:autoSpaceDN w:val="0"/>
        <w:adjustRightInd w:val="0"/>
        <w:spacing w:after="0" w:line="240" w:lineRule="auto"/>
        <w:jc w:val="both"/>
        <w:rPr>
          <w:rFonts w:cs="Arial"/>
          <w:u w:val="single"/>
          <w:lang w:val="es-ES"/>
        </w:rPr>
      </w:pPr>
    </w:p>
    <w:p w14:paraId="001CE365" w14:textId="77777777" w:rsidR="005F1CD9" w:rsidRPr="00D0409E" w:rsidRDefault="005F1CD9" w:rsidP="005F1CD9">
      <w:pPr>
        <w:widowControl w:val="0"/>
        <w:numPr>
          <w:ilvl w:val="0"/>
          <w:numId w:val="14"/>
        </w:numPr>
        <w:autoSpaceDE w:val="0"/>
        <w:autoSpaceDN w:val="0"/>
        <w:adjustRightInd w:val="0"/>
        <w:spacing w:after="0" w:line="240" w:lineRule="auto"/>
        <w:ind w:left="567" w:hanging="567"/>
        <w:jc w:val="both"/>
        <w:rPr>
          <w:rFonts w:cs="Arial"/>
          <w:lang w:val="es-ES"/>
        </w:rPr>
      </w:pPr>
      <w:r w:rsidRPr="00D0409E">
        <w:rPr>
          <w:rFonts w:cs="Arial"/>
          <w:lang w:val="es-ES"/>
        </w:rPr>
        <w:t>La última reunión del Comité Científico de la CBI (SB69B) en abril-mayo de 2024 reconoció los avances logrados durante talleres anteriores sobre el funcionamiento de los ecosistemas de cetáceos y recomendó que la Secretaría de la CBI continúe coordinándose con la Secretaría de la CMS para compartir información que aborde las lagunas de conocimiento/datos identificadas y, en caso de organizar futuros talleres o simposios sobre este tema, considere invitar a colaborar a la Secretaría de la CMS y a otras organizaciones internacionales (por ejemplo, la Convención sobre la Conservación de los Recursos Vivos Marinos Antárticos).</w:t>
      </w:r>
    </w:p>
    <w:p w14:paraId="6F4C53E9" w14:textId="77777777" w:rsidR="005F1CD9" w:rsidRPr="00D0409E" w:rsidRDefault="005F1CD9" w:rsidP="005F1CD9">
      <w:pPr>
        <w:pStyle w:val="ListParagraph"/>
        <w:spacing w:after="0" w:line="240" w:lineRule="auto"/>
        <w:contextualSpacing w:val="0"/>
        <w:rPr>
          <w:rFonts w:cs="Arial"/>
          <w:lang w:val="es-ES"/>
        </w:rPr>
      </w:pPr>
    </w:p>
    <w:p w14:paraId="5E3C07A6" w14:textId="77777777" w:rsidR="005F1CD9" w:rsidRPr="00D0409E" w:rsidRDefault="005F1CD9" w:rsidP="005F1CD9">
      <w:pPr>
        <w:widowControl w:val="0"/>
        <w:numPr>
          <w:ilvl w:val="0"/>
          <w:numId w:val="14"/>
        </w:numPr>
        <w:autoSpaceDE w:val="0"/>
        <w:autoSpaceDN w:val="0"/>
        <w:adjustRightInd w:val="0"/>
        <w:spacing w:after="0" w:line="240" w:lineRule="auto"/>
        <w:ind w:left="567" w:hanging="567"/>
        <w:jc w:val="both"/>
        <w:rPr>
          <w:rFonts w:cs="Arial"/>
          <w:lang w:val="es-ES"/>
        </w:rPr>
      </w:pPr>
      <w:r w:rsidRPr="00D0409E">
        <w:rPr>
          <w:rFonts w:cs="Arial"/>
          <w:lang w:val="es-ES"/>
        </w:rPr>
        <w:t>En la última Reunión Bienal de la Comisión de la CBI (CBI69), en septiembre de 2024, la Comisión respaldó la recomendación del Comité de Conservación de la CBI para un proyecto piloto que evalúe el valor socioeconómico de los servicios ecosistémicos proporcionados por los cetáceos. El proyecto ha sido ahora seleccionado mediante un proceso de licitación. Se buscará desarrollar un modelo ecológico y económico, con un enfoque en la ballena jorobada del Pacífico Norte debido a la abundancia de información precisa que ya está disponible para esa especie en particular. Los resultados se presentarán al Comité Científico de la CBI en abril de 2026.</w:t>
      </w:r>
    </w:p>
    <w:p w14:paraId="3FFE5E9F" w14:textId="77777777" w:rsidR="005F1CD9" w:rsidRPr="00D0409E" w:rsidRDefault="005F1CD9" w:rsidP="005F1CD9">
      <w:pPr>
        <w:spacing w:after="0" w:line="240" w:lineRule="auto"/>
        <w:rPr>
          <w:rFonts w:cs="Arial"/>
          <w:lang w:val="es-ES"/>
        </w:rPr>
      </w:pPr>
    </w:p>
    <w:p w14:paraId="1C80C225" w14:textId="77777777" w:rsidR="005F1CD9" w:rsidRPr="00D0409E" w:rsidRDefault="005F1CD9" w:rsidP="005F1CD9">
      <w:pPr>
        <w:pStyle w:val="ListParagraph"/>
        <w:numPr>
          <w:ilvl w:val="0"/>
          <w:numId w:val="22"/>
        </w:numPr>
        <w:spacing w:after="0" w:line="240" w:lineRule="auto"/>
        <w:ind w:left="567" w:hanging="567"/>
        <w:contextualSpacing w:val="0"/>
        <w:rPr>
          <w:rFonts w:cs="Arial"/>
          <w:bCs/>
          <w:u w:val="single"/>
          <w:lang w:val="es-ES"/>
        </w:rPr>
      </w:pPr>
      <w:r w:rsidRPr="00D0409E">
        <w:rPr>
          <w:rFonts w:cs="Arial"/>
          <w:bCs/>
          <w:u w:val="single"/>
          <w:lang w:val="es-ES"/>
        </w:rPr>
        <w:t>Términos de Referencia para el Grupo de Trabajo sobre Mamíferos Acuáticos</w:t>
      </w:r>
    </w:p>
    <w:p w14:paraId="12A4CAC1" w14:textId="77777777" w:rsidR="005F1CD9" w:rsidRPr="00D0409E" w:rsidRDefault="005F1CD9" w:rsidP="005F1CD9">
      <w:pPr>
        <w:widowControl w:val="0"/>
        <w:autoSpaceDE w:val="0"/>
        <w:autoSpaceDN w:val="0"/>
        <w:adjustRightInd w:val="0"/>
        <w:spacing w:after="0" w:line="240" w:lineRule="auto"/>
        <w:jc w:val="both"/>
        <w:rPr>
          <w:rFonts w:cs="Arial"/>
          <w:u w:val="single"/>
          <w:lang w:val="es-ES"/>
        </w:rPr>
      </w:pPr>
    </w:p>
    <w:p w14:paraId="57030243" w14:textId="17BC469D" w:rsidR="005F1CD9" w:rsidRPr="00D0409E" w:rsidRDefault="005F1CD9" w:rsidP="005F1CD9">
      <w:pPr>
        <w:widowControl w:val="0"/>
        <w:numPr>
          <w:ilvl w:val="0"/>
          <w:numId w:val="14"/>
        </w:numPr>
        <w:autoSpaceDE w:val="0"/>
        <w:autoSpaceDN w:val="0"/>
        <w:adjustRightInd w:val="0"/>
        <w:spacing w:after="0" w:line="240" w:lineRule="auto"/>
        <w:ind w:left="567" w:hanging="567"/>
        <w:jc w:val="both"/>
        <w:rPr>
          <w:rFonts w:cs="Arial"/>
          <w:lang w:val="es-ES"/>
        </w:rPr>
      </w:pPr>
      <w:r w:rsidRPr="00D0409E">
        <w:rPr>
          <w:rFonts w:cs="Arial"/>
          <w:lang w:val="es-ES"/>
        </w:rPr>
        <w:t xml:space="preserve">El Grupo de Trabajo sobre Mamíferos Acuáticos (AMWG), un grupo entre sesiones que incluye expertos </w:t>
      </w:r>
      <w:proofErr w:type="gramStart"/>
      <w:r w:rsidRPr="00D0409E">
        <w:rPr>
          <w:rFonts w:cs="Arial"/>
          <w:lang w:val="es-ES"/>
        </w:rPr>
        <w:t>externos,</w:t>
      </w:r>
      <w:proofErr w:type="gramEnd"/>
      <w:r w:rsidRPr="00D0409E">
        <w:rPr>
          <w:rFonts w:cs="Arial"/>
          <w:lang w:val="es-ES"/>
        </w:rPr>
        <w:t xml:space="preserve"> se estableció en 2011 mediante la Resolución 10.15 </w:t>
      </w:r>
      <w:r w:rsidRPr="00D0409E">
        <w:rPr>
          <w:rFonts w:cs="Arial"/>
          <w:i/>
          <w:iCs/>
          <w:lang w:val="es-ES"/>
        </w:rPr>
        <w:t>Programa de Trabajo Global para Cetáceos.</w:t>
      </w:r>
      <w:r w:rsidRPr="00D0409E">
        <w:rPr>
          <w:rFonts w:cs="Arial"/>
          <w:lang w:val="es-ES"/>
        </w:rPr>
        <w:t xml:space="preserve"> No se acordaron Términos de Referencia </w:t>
      </w:r>
      <w:r w:rsidRPr="00D0409E">
        <w:rPr>
          <w:rFonts w:cs="Arial"/>
          <w:lang w:val="es-ES"/>
        </w:rPr>
        <w:lastRenderedPageBreak/>
        <w:t>(TOR) específicos en ese momento</w:t>
      </w:r>
      <w:r w:rsidRPr="00D0409E">
        <w:rPr>
          <w:rFonts w:cs="Arial"/>
          <w:i/>
          <w:iCs/>
          <w:lang w:val="es-ES"/>
        </w:rPr>
        <w:t xml:space="preserve">. </w:t>
      </w:r>
      <w:r w:rsidRPr="00D0409E">
        <w:rPr>
          <w:rFonts w:cs="Arial"/>
          <w:lang w:val="es-ES"/>
        </w:rPr>
        <w:t xml:space="preserve">Para promover la transparencia y mantener la coherencia junto con las operaciones de otros grupos de trabajo que cuentan con TOR públicos, el proyecto de los TOR del AMWG se presentan en el Anexo </w:t>
      </w:r>
      <w:r w:rsidR="00266B1F">
        <w:rPr>
          <w:rFonts w:cs="Arial"/>
          <w:lang w:val="es-ES"/>
        </w:rPr>
        <w:t>5</w:t>
      </w:r>
      <w:r w:rsidRPr="00D0409E">
        <w:rPr>
          <w:rFonts w:cs="Arial"/>
          <w:lang w:val="es-ES"/>
        </w:rPr>
        <w:t xml:space="preserve"> para su adopción por la COP15. </w:t>
      </w:r>
    </w:p>
    <w:p w14:paraId="297AAE5D" w14:textId="77777777" w:rsidR="005F1CD9" w:rsidRPr="00D0409E" w:rsidRDefault="005F1CD9" w:rsidP="005F1CD9">
      <w:pPr>
        <w:widowControl w:val="0"/>
        <w:autoSpaceDE w:val="0"/>
        <w:autoSpaceDN w:val="0"/>
        <w:adjustRightInd w:val="0"/>
        <w:spacing w:after="0" w:line="240" w:lineRule="auto"/>
        <w:jc w:val="both"/>
        <w:rPr>
          <w:rFonts w:cs="Arial"/>
          <w:u w:val="single"/>
          <w:lang w:val="es-ES"/>
        </w:rPr>
      </w:pPr>
    </w:p>
    <w:p w14:paraId="62800072" w14:textId="77777777" w:rsidR="005F1CD9" w:rsidRPr="00D0409E" w:rsidRDefault="005F1CD9" w:rsidP="005F1CD9">
      <w:pPr>
        <w:spacing w:after="0" w:line="240" w:lineRule="auto"/>
        <w:jc w:val="both"/>
        <w:rPr>
          <w:rFonts w:cs="Arial"/>
          <w:u w:val="single"/>
          <w:lang w:val="es-ES"/>
        </w:rPr>
      </w:pPr>
      <w:r w:rsidRPr="00D0409E">
        <w:rPr>
          <w:rFonts w:cs="Arial"/>
          <w:u w:val="single"/>
          <w:lang w:val="es-ES"/>
        </w:rPr>
        <w:t xml:space="preserve">Debate y análisis </w:t>
      </w:r>
    </w:p>
    <w:p w14:paraId="639E0D5F" w14:textId="77777777" w:rsidR="005F1CD9" w:rsidRPr="00D0409E" w:rsidRDefault="005F1CD9" w:rsidP="005F1CD9">
      <w:pPr>
        <w:spacing w:after="0" w:line="240" w:lineRule="auto"/>
        <w:jc w:val="both"/>
        <w:rPr>
          <w:rFonts w:cs="Arial"/>
          <w:u w:val="single"/>
          <w:lang w:val="es-ES"/>
        </w:rPr>
      </w:pPr>
    </w:p>
    <w:p w14:paraId="4173EE4C" w14:textId="77777777" w:rsidR="005F1CD9" w:rsidRPr="00D0409E" w:rsidRDefault="005F1CD9" w:rsidP="005F1CD9">
      <w:pPr>
        <w:pStyle w:val="ListParagraph"/>
        <w:numPr>
          <w:ilvl w:val="0"/>
          <w:numId w:val="14"/>
        </w:numPr>
        <w:spacing w:after="0" w:line="240" w:lineRule="auto"/>
        <w:ind w:left="567" w:hanging="567"/>
        <w:contextualSpacing w:val="0"/>
        <w:jc w:val="both"/>
        <w:rPr>
          <w:rFonts w:cs="Arial"/>
          <w:u w:val="single"/>
          <w:lang w:val="es-ES"/>
        </w:rPr>
      </w:pPr>
      <w:r w:rsidRPr="00D0409E">
        <w:rPr>
          <w:rFonts w:cs="Arial"/>
          <w:lang w:val="es-ES"/>
        </w:rPr>
        <w:t xml:space="preserve">Los cetáceos desempeñan una función esencial en el funcionamiento de los ecosistemas, pero continúan enfrentándose a numerosas presiones y amenazas. A nivel regional, el estado de conservación y las presiones varían entre las diferentes especies y poblaciones, lo que pone de relieve la necesidad de adoptar enfoques adaptados que incorporen tanto a las partes interesadas internacionales como locales. Como resultado de esta diversidad, la CMS mantiene varias líneas diferentes de trabajo con respecto a la conservación de los cetáceos. </w:t>
      </w:r>
    </w:p>
    <w:p w14:paraId="1789ABF5" w14:textId="77777777" w:rsidR="005F1CD9" w:rsidRPr="00D0409E" w:rsidRDefault="005F1CD9" w:rsidP="005F1CD9">
      <w:pPr>
        <w:pStyle w:val="ListParagraph"/>
        <w:spacing w:after="0" w:line="240" w:lineRule="auto"/>
        <w:ind w:left="567"/>
        <w:jc w:val="both"/>
        <w:rPr>
          <w:rFonts w:cs="Arial"/>
          <w:u w:val="single"/>
          <w:lang w:val="es-ES"/>
        </w:rPr>
      </w:pPr>
    </w:p>
    <w:p w14:paraId="1796A162" w14:textId="77777777" w:rsidR="005F1CD9" w:rsidRPr="00D0409E" w:rsidRDefault="005F1CD9" w:rsidP="005F1CD9">
      <w:pPr>
        <w:pStyle w:val="ListParagraph"/>
        <w:numPr>
          <w:ilvl w:val="0"/>
          <w:numId w:val="14"/>
        </w:numPr>
        <w:spacing w:after="0" w:line="240" w:lineRule="auto"/>
        <w:ind w:left="567" w:hanging="567"/>
        <w:contextualSpacing w:val="0"/>
        <w:jc w:val="both"/>
        <w:rPr>
          <w:rFonts w:cs="Arial"/>
          <w:u w:val="single"/>
          <w:lang w:val="es-ES"/>
        </w:rPr>
      </w:pPr>
      <w:r w:rsidRPr="00D0409E">
        <w:rPr>
          <w:rFonts w:cs="Arial"/>
          <w:lang w:val="es-ES"/>
        </w:rPr>
        <w:t xml:space="preserve">Sigue siendo fundamental que las Partes reconozcan y actualicen las prioridades de conservación de cetáceos identificadas en el Anexo 2 de </w:t>
      </w:r>
      <w:hyperlink r:id="rId23" w:history="1">
        <w:r w:rsidRPr="00D0409E">
          <w:rPr>
            <w:rStyle w:val="Hyperlink"/>
            <w:rFonts w:cs="Arial"/>
            <w:lang w:val="es-ES"/>
          </w:rPr>
          <w:t>UNEP/CMS/COP14/Inf.27.5.1a</w:t>
        </w:r>
      </w:hyperlink>
      <w:r w:rsidRPr="00D0409E">
        <w:rPr>
          <w:rFonts w:cs="Arial"/>
          <w:lang w:val="es-ES"/>
        </w:rPr>
        <w:t xml:space="preserve"> para su región, así como las recomendaciones detalladas establecidas para cada una de las amenazas prioritarias en la </w:t>
      </w:r>
      <w:hyperlink r:id="rId24" w:history="1">
        <w:r w:rsidRPr="00D0409E">
          <w:rPr>
            <w:rStyle w:val="Hyperlink"/>
            <w:rFonts w:cs="Arial"/>
            <w:lang w:val="es-ES"/>
          </w:rPr>
          <w:t>Resolución 14.9</w:t>
        </w:r>
      </w:hyperlink>
      <w:r w:rsidRPr="00D0409E">
        <w:rPr>
          <w:rFonts w:cs="Arial"/>
          <w:lang w:val="es-ES"/>
        </w:rPr>
        <w:t xml:space="preserve"> </w:t>
      </w:r>
      <w:r w:rsidRPr="00D0409E">
        <w:rPr>
          <w:rFonts w:cs="Arial"/>
          <w:i/>
          <w:iCs/>
          <w:lang w:val="es-ES"/>
        </w:rPr>
        <w:t>Prioridades de conservación para los cetáceos,</w:t>
      </w:r>
      <w:r w:rsidRPr="00D0409E">
        <w:rPr>
          <w:rFonts w:cs="Arial"/>
          <w:lang w:val="es-ES"/>
        </w:rPr>
        <w:t xml:space="preserve"> y que aborden las más urgentes, coordinándose cuando sea apropiado con otros países de su región.</w:t>
      </w:r>
    </w:p>
    <w:p w14:paraId="08B9FC1B" w14:textId="1000C9BC" w:rsidR="005F1CD9" w:rsidRPr="00D0409E" w:rsidRDefault="005F1CD9" w:rsidP="005F1CD9">
      <w:pPr>
        <w:spacing w:after="0" w:line="240" w:lineRule="auto"/>
        <w:rPr>
          <w:lang w:val="es-ES"/>
        </w:rPr>
      </w:pPr>
    </w:p>
    <w:p w14:paraId="62094091" w14:textId="77777777" w:rsidR="005F1CD9" w:rsidRPr="00D0409E" w:rsidRDefault="005F1CD9" w:rsidP="005F1CD9">
      <w:pPr>
        <w:pStyle w:val="Secondnumbering"/>
        <w:numPr>
          <w:ilvl w:val="0"/>
          <w:numId w:val="0"/>
        </w:numPr>
        <w:ind w:left="360" w:hanging="360"/>
        <w:rPr>
          <w:u w:val="single"/>
          <w:lang w:val="es-ES"/>
        </w:rPr>
      </w:pPr>
      <w:r w:rsidRPr="00D0409E">
        <w:rPr>
          <w:u w:val="single"/>
          <w:lang w:val="es-ES"/>
        </w:rPr>
        <w:t>Acciones recomendadas</w:t>
      </w:r>
    </w:p>
    <w:p w14:paraId="17FEF3B0" w14:textId="77777777" w:rsidR="005F1CD9" w:rsidRPr="00D0409E" w:rsidRDefault="005F1CD9" w:rsidP="005F1CD9">
      <w:pPr>
        <w:spacing w:after="0" w:line="240" w:lineRule="auto"/>
        <w:rPr>
          <w:rFonts w:cs="Arial"/>
          <w:lang w:val="es-ES"/>
        </w:rPr>
      </w:pPr>
    </w:p>
    <w:p w14:paraId="2AD767D4" w14:textId="77777777" w:rsidR="005F1CD9" w:rsidRPr="00D0409E" w:rsidRDefault="005F1CD9" w:rsidP="005F1CD9">
      <w:pPr>
        <w:widowControl w:val="0"/>
        <w:numPr>
          <w:ilvl w:val="0"/>
          <w:numId w:val="14"/>
        </w:numPr>
        <w:autoSpaceDE w:val="0"/>
        <w:autoSpaceDN w:val="0"/>
        <w:adjustRightInd w:val="0"/>
        <w:spacing w:after="0" w:line="240" w:lineRule="auto"/>
        <w:ind w:left="567" w:hanging="567"/>
        <w:jc w:val="both"/>
        <w:rPr>
          <w:rFonts w:cs="Arial"/>
          <w:lang w:val="es-ES"/>
        </w:rPr>
      </w:pPr>
      <w:r w:rsidRPr="00D0409E">
        <w:rPr>
          <w:rFonts w:cs="Arial"/>
          <w:lang w:val="es-ES" w:eastAsia="es-ES"/>
        </w:rPr>
        <w:t>Se recomienda a la Conferencia de las Partes que:</w:t>
      </w:r>
    </w:p>
    <w:p w14:paraId="24B6EF08" w14:textId="77777777" w:rsidR="005F1CD9" w:rsidRPr="00D0409E" w:rsidRDefault="005F1CD9" w:rsidP="005F1CD9">
      <w:pPr>
        <w:pStyle w:val="Secondnumbering"/>
        <w:numPr>
          <w:ilvl w:val="0"/>
          <w:numId w:val="0"/>
        </w:numPr>
        <w:rPr>
          <w:lang w:val="es-ES"/>
        </w:rPr>
      </w:pPr>
    </w:p>
    <w:p w14:paraId="18FCD688" w14:textId="62C7D998" w:rsidR="005F1CD9" w:rsidRPr="00D0409E" w:rsidRDefault="005F1CD9" w:rsidP="005F1CD9">
      <w:pPr>
        <w:pStyle w:val="Secondnumbering"/>
        <w:ind w:left="993" w:hanging="426"/>
        <w:jc w:val="both"/>
        <w:rPr>
          <w:lang w:val="es-ES"/>
        </w:rPr>
      </w:pPr>
      <w:r w:rsidRPr="00D0409E">
        <w:rPr>
          <w:rFonts w:cs="Arial"/>
          <w:lang w:val="es-ES"/>
        </w:rPr>
        <w:t xml:space="preserve">tenga en cuenta </w:t>
      </w:r>
      <w:bookmarkStart w:id="14" w:name="_Hlk210996050"/>
      <w:r w:rsidRPr="00D0409E">
        <w:rPr>
          <w:rFonts w:cs="Arial"/>
          <w:lang w:val="es-ES"/>
        </w:rPr>
        <w:t xml:space="preserve">el </w:t>
      </w:r>
      <w:r w:rsidR="00DB043A">
        <w:rPr>
          <w:rFonts w:cs="Arial"/>
          <w:lang w:val="es-ES"/>
        </w:rPr>
        <w:t>resumen y las recomendacione</w:t>
      </w:r>
      <w:bookmarkEnd w:id="14"/>
      <w:r w:rsidR="00DB043A">
        <w:rPr>
          <w:rFonts w:cs="Arial"/>
          <w:lang w:val="es-ES"/>
        </w:rPr>
        <w:t xml:space="preserve">s del </w:t>
      </w:r>
      <w:r w:rsidRPr="00D0409E">
        <w:rPr>
          <w:rFonts w:cs="Arial"/>
          <w:lang w:val="es-ES"/>
        </w:rPr>
        <w:t xml:space="preserve">informe sobre </w:t>
      </w:r>
      <w:r w:rsidRPr="00D0409E">
        <w:rPr>
          <w:rFonts w:cs="Arial"/>
          <w:i/>
          <w:iCs/>
          <w:lang w:val="es-ES"/>
        </w:rPr>
        <w:t xml:space="preserve">Caza de ballenas contemporánea y la captura de carne de animales silvestres acuáticos de todos los cetáceos incluidos en el Apéndice I de la CMS </w:t>
      </w:r>
      <w:r w:rsidRPr="00D0409E">
        <w:rPr>
          <w:rFonts w:cs="Arial"/>
          <w:lang w:val="es-ES"/>
        </w:rPr>
        <w:t>contenidos en el Anexo 1 de este documento;</w:t>
      </w:r>
    </w:p>
    <w:p w14:paraId="36BEE3F7" w14:textId="77777777" w:rsidR="005F1CD9" w:rsidRPr="00D0409E" w:rsidRDefault="005F1CD9" w:rsidP="005F1CD9">
      <w:pPr>
        <w:pStyle w:val="Secondnumbering"/>
        <w:numPr>
          <w:ilvl w:val="0"/>
          <w:numId w:val="0"/>
        </w:numPr>
        <w:ind w:left="993" w:hanging="426"/>
        <w:jc w:val="both"/>
        <w:rPr>
          <w:lang w:val="es-ES"/>
        </w:rPr>
      </w:pPr>
    </w:p>
    <w:p w14:paraId="543C5C49" w14:textId="5F4936C7" w:rsidR="005F1CD9" w:rsidRPr="00D0409E" w:rsidRDefault="005F1CD9" w:rsidP="005F1CD9">
      <w:pPr>
        <w:pStyle w:val="Secondnumbering"/>
        <w:ind w:left="993" w:hanging="426"/>
        <w:jc w:val="both"/>
        <w:rPr>
          <w:lang w:val="es-ES"/>
        </w:rPr>
      </w:pPr>
      <w:r w:rsidRPr="00D0409E">
        <w:rPr>
          <w:rFonts w:cs="Arial"/>
          <w:lang w:val="es-ES"/>
        </w:rPr>
        <w:t xml:space="preserve">tenga en cuenta </w:t>
      </w:r>
      <w:r w:rsidR="00DB043A" w:rsidRPr="00DB043A">
        <w:rPr>
          <w:rFonts w:cs="Arial"/>
          <w:lang w:val="es-ES"/>
        </w:rPr>
        <w:t>el resumen y las recomendacione</w:t>
      </w:r>
      <w:r w:rsidR="00DB043A">
        <w:rPr>
          <w:rFonts w:cs="Arial"/>
          <w:lang w:val="es-ES"/>
        </w:rPr>
        <w:t>s d</w:t>
      </w:r>
      <w:r w:rsidRPr="00D0409E">
        <w:rPr>
          <w:rFonts w:cs="Arial"/>
          <w:lang w:val="es-ES"/>
        </w:rPr>
        <w:t xml:space="preserve">el informe sobre </w:t>
      </w:r>
      <w:r w:rsidRPr="00D0409E">
        <w:rPr>
          <w:rFonts w:cs="Arial"/>
          <w:i/>
          <w:iCs/>
          <w:lang w:val="es-ES"/>
        </w:rPr>
        <w:t>Impactos del cambio climático en el bienestar y la conservación de los cetáceos</w:t>
      </w:r>
      <w:r w:rsidRPr="00D0409E">
        <w:rPr>
          <w:rFonts w:cs="Arial"/>
          <w:lang w:val="es-ES"/>
        </w:rPr>
        <w:t xml:space="preserve"> contenidos en el Anexo 2 de este documento;</w:t>
      </w:r>
    </w:p>
    <w:p w14:paraId="2AAD4964" w14:textId="77777777" w:rsidR="005F1CD9" w:rsidRPr="00D0409E" w:rsidRDefault="005F1CD9" w:rsidP="005F1CD9">
      <w:pPr>
        <w:pStyle w:val="Secondnumbering"/>
        <w:numPr>
          <w:ilvl w:val="0"/>
          <w:numId w:val="0"/>
        </w:numPr>
        <w:ind w:left="993" w:hanging="426"/>
        <w:jc w:val="both"/>
        <w:rPr>
          <w:lang w:val="es-ES"/>
        </w:rPr>
      </w:pPr>
    </w:p>
    <w:p w14:paraId="54E5583E" w14:textId="5023F178" w:rsidR="005F1CD9" w:rsidRPr="00D0409E" w:rsidRDefault="005F1CD9" w:rsidP="005F1CD9">
      <w:pPr>
        <w:pStyle w:val="Secondnumbering"/>
        <w:ind w:left="993" w:hanging="426"/>
        <w:jc w:val="both"/>
        <w:rPr>
          <w:lang w:val="es-ES"/>
        </w:rPr>
      </w:pPr>
      <w:r w:rsidRPr="00D0409E">
        <w:rPr>
          <w:rFonts w:cs="Arial"/>
          <w:lang w:val="es-ES"/>
        </w:rPr>
        <w:t>tenga en cuenta el</w:t>
      </w:r>
      <w:r w:rsidR="00834F78" w:rsidRPr="00D0409E">
        <w:rPr>
          <w:rFonts w:cs="Arial"/>
          <w:lang w:val="es-ES"/>
        </w:rPr>
        <w:t xml:space="preserve"> </w:t>
      </w:r>
      <w:r w:rsidR="00834F78">
        <w:rPr>
          <w:rFonts w:cs="Arial"/>
          <w:lang w:val="es-ES"/>
        </w:rPr>
        <w:t>resumen y las recomendaciones</w:t>
      </w:r>
      <w:r w:rsidRPr="00D0409E">
        <w:rPr>
          <w:rFonts w:cs="Arial"/>
          <w:lang w:val="es-ES"/>
        </w:rPr>
        <w:t xml:space="preserve"> </w:t>
      </w:r>
      <w:r w:rsidR="00834F78">
        <w:rPr>
          <w:rFonts w:cs="Arial"/>
          <w:lang w:val="es-ES"/>
        </w:rPr>
        <w:t xml:space="preserve">del </w:t>
      </w:r>
      <w:r w:rsidRPr="00D0409E">
        <w:rPr>
          <w:rFonts w:cs="Arial"/>
          <w:lang w:val="es-ES"/>
        </w:rPr>
        <w:t xml:space="preserve">informe sobre </w:t>
      </w:r>
      <w:r w:rsidRPr="00D0409E">
        <w:rPr>
          <w:rFonts w:cs="Arial"/>
          <w:i/>
          <w:iCs/>
          <w:lang w:val="es-ES"/>
        </w:rPr>
        <w:t>Cetáceos fuera de su hábitat</w:t>
      </w:r>
      <w:r w:rsidRPr="00D0409E">
        <w:rPr>
          <w:rFonts w:cs="Arial"/>
          <w:lang w:val="es-ES"/>
        </w:rPr>
        <w:t xml:space="preserve"> contenidos en el Anexo 3 de este documento; </w:t>
      </w:r>
    </w:p>
    <w:p w14:paraId="7D773755" w14:textId="77777777" w:rsidR="005F1CD9" w:rsidRPr="00D0409E" w:rsidRDefault="005F1CD9" w:rsidP="005F1CD9">
      <w:pPr>
        <w:pStyle w:val="Secondnumbering"/>
        <w:numPr>
          <w:ilvl w:val="0"/>
          <w:numId w:val="0"/>
        </w:numPr>
        <w:ind w:left="993" w:hanging="426"/>
        <w:jc w:val="both"/>
        <w:rPr>
          <w:lang w:val="es-ES"/>
        </w:rPr>
      </w:pPr>
    </w:p>
    <w:p w14:paraId="6192BEE6" w14:textId="4B0A2503" w:rsidR="005F1CD9" w:rsidRPr="00D0409E" w:rsidRDefault="005F1CD9" w:rsidP="005F1CD9">
      <w:pPr>
        <w:pStyle w:val="Secondnumbering"/>
        <w:ind w:left="993" w:hanging="426"/>
        <w:jc w:val="both"/>
        <w:rPr>
          <w:lang w:val="es-ES"/>
        </w:rPr>
      </w:pPr>
      <w:r w:rsidRPr="00D0409E">
        <w:rPr>
          <w:lang w:val="es-ES"/>
        </w:rPr>
        <w:t xml:space="preserve">tenga en cuenta la </w:t>
      </w:r>
      <w:r w:rsidRPr="00D0409E">
        <w:rPr>
          <w:i/>
          <w:iCs/>
          <w:lang w:val="es-ES"/>
        </w:rPr>
        <w:t>Compilación de recomendaciones que podrían dirigirse al Consejo Científico en la COP15 y en futuras COP.</w:t>
      </w:r>
      <w:r w:rsidRPr="00D0409E">
        <w:rPr>
          <w:lang w:val="es-ES"/>
        </w:rPr>
        <w:t xml:space="preserve"> </w:t>
      </w:r>
      <w:r w:rsidR="009F359F">
        <w:rPr>
          <w:lang w:val="es-ES"/>
        </w:rPr>
        <w:t>Contenidos en el Anexo 4 de este documento</w:t>
      </w:r>
      <w:r w:rsidRPr="00D0409E">
        <w:rPr>
          <w:lang w:val="es-ES"/>
        </w:rPr>
        <w:t>;</w:t>
      </w:r>
    </w:p>
    <w:p w14:paraId="55B263AE" w14:textId="77777777" w:rsidR="005F1CD9" w:rsidRPr="00D0409E" w:rsidRDefault="005F1CD9" w:rsidP="005F1CD9">
      <w:pPr>
        <w:pStyle w:val="Secondnumbering"/>
        <w:numPr>
          <w:ilvl w:val="0"/>
          <w:numId w:val="0"/>
        </w:numPr>
        <w:ind w:left="993" w:hanging="426"/>
        <w:jc w:val="both"/>
        <w:rPr>
          <w:lang w:val="es-ES"/>
        </w:rPr>
      </w:pPr>
    </w:p>
    <w:p w14:paraId="37A6FA28" w14:textId="519CD870" w:rsidR="005F1CD9" w:rsidRPr="00D0409E" w:rsidRDefault="005F1CD9" w:rsidP="005F1CD9">
      <w:pPr>
        <w:pStyle w:val="Secondnumbering"/>
        <w:ind w:left="993" w:hanging="426"/>
        <w:jc w:val="both"/>
        <w:rPr>
          <w:lang w:val="es-ES"/>
        </w:rPr>
      </w:pPr>
      <w:r w:rsidRPr="00D0409E">
        <w:rPr>
          <w:lang w:val="es-ES"/>
        </w:rPr>
        <w:t xml:space="preserve">adopte los Términos de Referencia del Grupo de Trabajo sobre Mamíferos Acuáticos contenidos en el Anexo </w:t>
      </w:r>
      <w:r w:rsidR="0065538E">
        <w:rPr>
          <w:lang w:val="es-ES"/>
        </w:rPr>
        <w:t>5</w:t>
      </w:r>
      <w:r w:rsidRPr="00D0409E">
        <w:rPr>
          <w:lang w:val="es-ES"/>
        </w:rPr>
        <w:t xml:space="preserve"> de este documento;</w:t>
      </w:r>
    </w:p>
    <w:p w14:paraId="1BD7923F" w14:textId="77777777" w:rsidR="005F1CD9" w:rsidRPr="00D0409E" w:rsidRDefault="005F1CD9" w:rsidP="005F1CD9">
      <w:pPr>
        <w:pStyle w:val="Secondnumbering"/>
        <w:numPr>
          <w:ilvl w:val="0"/>
          <w:numId w:val="0"/>
        </w:numPr>
        <w:ind w:left="993" w:hanging="426"/>
        <w:jc w:val="both"/>
        <w:rPr>
          <w:lang w:val="es-ES"/>
        </w:rPr>
      </w:pPr>
    </w:p>
    <w:p w14:paraId="381239D4" w14:textId="65A7DB05" w:rsidR="005F1CD9" w:rsidRPr="00D0409E" w:rsidRDefault="005F1CD9" w:rsidP="005F1CD9">
      <w:pPr>
        <w:pStyle w:val="Secondnumbering"/>
        <w:ind w:left="993" w:hanging="426"/>
        <w:jc w:val="both"/>
        <w:rPr>
          <w:lang w:val="es-ES"/>
        </w:rPr>
      </w:pPr>
      <w:r w:rsidRPr="00D0409E">
        <w:rPr>
          <w:rFonts w:cs="Arial"/>
          <w:lang w:val="es-ES"/>
        </w:rPr>
        <w:t>apruebe los proyectos de decisión que figuran en el Anexo </w:t>
      </w:r>
      <w:r w:rsidR="0065538E">
        <w:rPr>
          <w:rFonts w:cs="Arial"/>
          <w:lang w:val="es-ES"/>
        </w:rPr>
        <w:t>6</w:t>
      </w:r>
      <w:r w:rsidRPr="00D0409E">
        <w:rPr>
          <w:rFonts w:cs="Arial"/>
          <w:lang w:val="es-ES"/>
        </w:rPr>
        <w:t xml:space="preserve"> del presente documento; y</w:t>
      </w:r>
    </w:p>
    <w:p w14:paraId="2E4143AC" w14:textId="77777777" w:rsidR="005F1CD9" w:rsidRPr="00D0409E" w:rsidRDefault="005F1CD9" w:rsidP="005F1CD9">
      <w:pPr>
        <w:spacing w:after="0" w:line="240" w:lineRule="auto"/>
        <w:ind w:left="993" w:hanging="426"/>
        <w:jc w:val="both"/>
        <w:rPr>
          <w:rFonts w:cs="Arial"/>
          <w:lang w:val="es-ES"/>
        </w:rPr>
      </w:pPr>
      <w:r w:rsidRPr="00D0409E">
        <w:rPr>
          <w:lang w:val="es-ES"/>
        </w:rPr>
        <w:t xml:space="preserve"> </w:t>
      </w:r>
    </w:p>
    <w:p w14:paraId="559E8564" w14:textId="18CDE62B" w:rsidR="002D5F2A" w:rsidRPr="00EF0155" w:rsidRDefault="005F1CD9" w:rsidP="005F1CD9">
      <w:pPr>
        <w:pStyle w:val="Secondnumbering"/>
        <w:ind w:left="1080" w:hanging="513"/>
        <w:jc w:val="both"/>
      </w:pPr>
      <w:r w:rsidRPr="00D0409E">
        <w:rPr>
          <w:rFonts w:cs="Arial"/>
          <w:lang w:val="es-ES"/>
        </w:rPr>
        <w:t>derogue las Decisiones 14.69</w:t>
      </w:r>
      <w:r w:rsidRPr="00D0409E">
        <w:rPr>
          <w:rFonts w:cs="Arial"/>
          <w:iCs/>
          <w:sz w:val="21"/>
          <w:szCs w:val="21"/>
          <w:lang w:val="es-ES"/>
        </w:rPr>
        <w:t>–</w:t>
      </w:r>
      <w:r w:rsidRPr="00D0409E">
        <w:rPr>
          <w:rFonts w:cs="Arial"/>
          <w:lang w:val="es-ES"/>
        </w:rPr>
        <w:t>14.73 y 14.74</w:t>
      </w:r>
      <w:r w:rsidRPr="00D0409E">
        <w:rPr>
          <w:rFonts w:cs="Arial"/>
          <w:iCs/>
          <w:sz w:val="21"/>
          <w:szCs w:val="21"/>
          <w:lang w:val="es-ES"/>
        </w:rPr>
        <w:t>–</w:t>
      </w:r>
      <w:r w:rsidRPr="00D0409E">
        <w:rPr>
          <w:rFonts w:cs="Arial"/>
          <w:lang w:val="es-ES"/>
        </w:rPr>
        <w:t>14.75</w:t>
      </w:r>
      <w:r w:rsidR="00EF0155" w:rsidRPr="00EF0155">
        <w:rPr>
          <w:rFonts w:cs="Arial"/>
        </w:rPr>
        <w:t>.</w:t>
      </w:r>
    </w:p>
    <w:p w14:paraId="02619B0B" w14:textId="77777777" w:rsidR="00EF0155" w:rsidRDefault="00EF0155" w:rsidP="00EF0155">
      <w:pPr>
        <w:pStyle w:val="ListParagraph"/>
      </w:pPr>
    </w:p>
    <w:p w14:paraId="7585B462" w14:textId="77777777" w:rsidR="00EF0155" w:rsidRDefault="00EF0155" w:rsidP="00EF0155">
      <w:pPr>
        <w:pStyle w:val="Secondnumbering"/>
        <w:numPr>
          <w:ilvl w:val="0"/>
          <w:numId w:val="0"/>
        </w:numPr>
        <w:ind w:left="360" w:hanging="360"/>
        <w:jc w:val="both"/>
        <w:sectPr w:rsidR="00EF0155" w:rsidSect="00323406">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20" w:footer="720" w:gutter="0"/>
          <w:cols w:space="720"/>
          <w:titlePg/>
          <w:docGrid w:linePitch="360"/>
        </w:sectPr>
      </w:pPr>
    </w:p>
    <w:p w14:paraId="7B170485" w14:textId="77777777" w:rsidR="003A2C2E" w:rsidRPr="00D0409E" w:rsidRDefault="003A2C2E" w:rsidP="003A2C2E">
      <w:pPr>
        <w:spacing w:after="0" w:line="240" w:lineRule="auto"/>
        <w:jc w:val="right"/>
        <w:rPr>
          <w:rFonts w:cs="Arial"/>
          <w:b/>
          <w:bCs/>
          <w:iCs/>
          <w:lang w:val="es-ES"/>
        </w:rPr>
      </w:pPr>
      <w:r w:rsidRPr="00D0409E">
        <w:rPr>
          <w:rFonts w:cs="Arial"/>
          <w:b/>
          <w:bCs/>
          <w:iCs/>
          <w:lang w:val="es-ES"/>
        </w:rPr>
        <w:lastRenderedPageBreak/>
        <w:t>ANEXO 1</w:t>
      </w:r>
    </w:p>
    <w:p w14:paraId="3D156D89" w14:textId="77777777" w:rsidR="003A2C2E" w:rsidRPr="00D0409E" w:rsidRDefault="003A2C2E" w:rsidP="003A2C2E">
      <w:pPr>
        <w:spacing w:after="0" w:line="240" w:lineRule="auto"/>
        <w:jc w:val="both"/>
        <w:rPr>
          <w:rFonts w:cs="Arial"/>
          <w:iCs/>
          <w:lang w:val="es-ES"/>
        </w:rPr>
      </w:pPr>
    </w:p>
    <w:p w14:paraId="7A17E720" w14:textId="77777777" w:rsidR="003A2C2E" w:rsidRPr="00D0409E" w:rsidRDefault="003A2C2E" w:rsidP="003A2C2E">
      <w:pPr>
        <w:spacing w:after="0" w:line="240" w:lineRule="auto"/>
        <w:jc w:val="both"/>
        <w:rPr>
          <w:rFonts w:cs="Arial"/>
          <w:b/>
          <w:bCs/>
          <w:iCs/>
          <w:lang w:val="es-ES"/>
        </w:rPr>
      </w:pPr>
    </w:p>
    <w:p w14:paraId="020AA5F9" w14:textId="77777777" w:rsidR="003A2C2E" w:rsidRPr="00D0409E" w:rsidRDefault="003A2C2E" w:rsidP="003A2C2E">
      <w:pPr>
        <w:spacing w:after="0" w:line="240" w:lineRule="auto"/>
        <w:jc w:val="center"/>
        <w:rPr>
          <w:rFonts w:cs="Arial"/>
          <w:b/>
          <w:bCs/>
          <w:iCs/>
          <w:lang w:val="es-ES"/>
        </w:rPr>
      </w:pPr>
      <w:r w:rsidRPr="00D0409E">
        <w:rPr>
          <w:rFonts w:cs="Arial"/>
          <w:b/>
          <w:bCs/>
          <w:iCs/>
          <w:lang w:val="es-ES"/>
        </w:rPr>
        <w:t xml:space="preserve">CUANTIFICACIÓN DE LA CAZA DE BALLENAS CONTEMPORÁNEA Y LA CAPTURA DE CARNE DE ANIMALES SILVESTRES ACUÁTICOS DE TODOS LOS CETÁCEOS INCLUIDOS EN EL APÉNDICE I DE LA CMS: RESUMEN Y </w:t>
      </w:r>
      <w:r w:rsidRPr="00D0409E">
        <w:rPr>
          <w:rFonts w:cs="Arial"/>
          <w:b/>
          <w:bCs/>
          <w:lang w:val="es-ES"/>
        </w:rPr>
        <w:t>RECOMENDACIONES</w:t>
      </w:r>
    </w:p>
    <w:p w14:paraId="6D8DF1EF" w14:textId="77777777" w:rsidR="003A2C2E" w:rsidRPr="00D0409E" w:rsidRDefault="003A2C2E" w:rsidP="003A2C2E">
      <w:pPr>
        <w:spacing w:after="0" w:line="240" w:lineRule="auto"/>
        <w:jc w:val="both"/>
        <w:rPr>
          <w:rFonts w:cs="Arial"/>
          <w:b/>
          <w:bCs/>
          <w:iCs/>
          <w:lang w:val="es-ES"/>
        </w:rPr>
      </w:pPr>
    </w:p>
    <w:p w14:paraId="79874BAB" w14:textId="7BAA43B6" w:rsidR="003A2C2E" w:rsidRPr="00D0409E" w:rsidRDefault="003A2C2E" w:rsidP="003A2C2E">
      <w:pPr>
        <w:pStyle w:val="Secondnumbering"/>
        <w:numPr>
          <w:ilvl w:val="0"/>
          <w:numId w:val="0"/>
        </w:numPr>
        <w:jc w:val="center"/>
        <w:rPr>
          <w:rFonts w:cs="Arial"/>
          <w:i/>
          <w:iCs/>
          <w:lang w:val="es-ES"/>
        </w:rPr>
      </w:pPr>
      <w:r w:rsidRPr="00D0409E">
        <w:rPr>
          <w:rFonts w:cs="Arial"/>
          <w:i/>
          <w:iCs/>
          <w:lang w:val="es-ES"/>
        </w:rPr>
        <w:t xml:space="preserve">(El informe completo se puede consultar en </w:t>
      </w:r>
      <w:hyperlink r:id="rId31" w:history="1">
        <w:r w:rsidR="00922C9A" w:rsidRPr="00922C9A">
          <w:rPr>
            <w:rStyle w:val="Hyperlink"/>
            <w:rFonts w:cs="Arial"/>
            <w:i/>
            <w:iCs/>
            <w:lang w:val="es-ES"/>
          </w:rPr>
          <w:t>UNEP/CMS/COP15/Inf.25.</w:t>
        </w:r>
        <w:proofErr w:type="gramStart"/>
        <w:r w:rsidR="00922C9A" w:rsidRPr="00922C9A">
          <w:rPr>
            <w:rStyle w:val="Hyperlink"/>
            <w:rFonts w:cs="Arial"/>
            <w:i/>
            <w:iCs/>
            <w:lang w:val="es-ES"/>
          </w:rPr>
          <w:t>4.1a</w:t>
        </w:r>
        <w:proofErr w:type="gramEnd"/>
      </w:hyperlink>
      <w:r w:rsidRPr="00CB2B71">
        <w:rPr>
          <w:rFonts w:cs="Arial"/>
          <w:i/>
          <w:iCs/>
          <w:lang w:val="es-ES"/>
        </w:rPr>
        <w:t>)</w:t>
      </w:r>
    </w:p>
    <w:p w14:paraId="566EDAFA" w14:textId="77777777" w:rsidR="003A2C2E" w:rsidRDefault="003A2C2E" w:rsidP="003A2C2E">
      <w:pPr>
        <w:spacing w:after="0" w:line="240" w:lineRule="auto"/>
        <w:jc w:val="both"/>
        <w:rPr>
          <w:rFonts w:cs="Arial"/>
          <w:b/>
          <w:bCs/>
          <w:lang w:val="es-ES"/>
        </w:rPr>
      </w:pPr>
    </w:p>
    <w:p w14:paraId="0B441EEC" w14:textId="77777777" w:rsidR="00922C9A" w:rsidRPr="00D0409E" w:rsidRDefault="00922C9A" w:rsidP="003A2C2E">
      <w:pPr>
        <w:spacing w:after="0" w:line="240" w:lineRule="auto"/>
        <w:jc w:val="both"/>
        <w:rPr>
          <w:rFonts w:cs="Arial"/>
          <w:b/>
          <w:bCs/>
          <w:lang w:val="es-ES"/>
        </w:rPr>
      </w:pPr>
    </w:p>
    <w:p w14:paraId="75D38C66" w14:textId="77777777" w:rsidR="003A2C2E" w:rsidRPr="00D0409E" w:rsidRDefault="003A2C2E" w:rsidP="003A2C2E">
      <w:pPr>
        <w:spacing w:after="0" w:line="240" w:lineRule="auto"/>
        <w:jc w:val="both"/>
        <w:rPr>
          <w:rFonts w:cs="Arial"/>
          <w:b/>
          <w:bCs/>
          <w:lang w:val="es-ES"/>
        </w:rPr>
      </w:pPr>
      <w:r w:rsidRPr="00D0409E">
        <w:rPr>
          <w:rFonts w:cs="Arial"/>
          <w:b/>
          <w:bCs/>
          <w:lang w:val="es-ES"/>
        </w:rPr>
        <w:t>Resumen</w:t>
      </w:r>
    </w:p>
    <w:p w14:paraId="4FBE0E41" w14:textId="77777777" w:rsidR="003A2C2E" w:rsidRPr="00D0409E" w:rsidRDefault="003A2C2E" w:rsidP="003A2C2E">
      <w:pPr>
        <w:spacing w:after="0" w:line="240" w:lineRule="auto"/>
        <w:jc w:val="both"/>
        <w:rPr>
          <w:rFonts w:cs="Arial"/>
          <w:lang w:val="es-ES"/>
        </w:rPr>
      </w:pPr>
    </w:p>
    <w:p w14:paraId="4935AE5A" w14:textId="77777777" w:rsidR="003A2C2E" w:rsidRPr="00D0409E" w:rsidRDefault="003A2C2E" w:rsidP="003A2C2E">
      <w:pPr>
        <w:spacing w:after="80" w:line="240" w:lineRule="auto"/>
        <w:jc w:val="both"/>
        <w:rPr>
          <w:rFonts w:cs="Arial"/>
          <w:lang w:val="es-ES"/>
        </w:rPr>
      </w:pPr>
      <w:r w:rsidRPr="00D0409E">
        <w:rPr>
          <w:rFonts w:cs="Arial"/>
          <w:lang w:val="es-ES"/>
        </w:rPr>
        <w:t xml:space="preserve">Aproximadamente el 45 % de las especies de cetáceos incluidas en el Apéndice I de la CMS están sujetas a la caza de ballenas contemporánea y a la captura de carne de animales silvestres acuáticos. De las 18 especies de cetáceos actualmente incluidas en el Apéndice I de la CMS, </w:t>
      </w:r>
    </w:p>
    <w:p w14:paraId="2B6E8B43" w14:textId="77777777" w:rsidR="003A2C2E" w:rsidRPr="00D0409E" w:rsidRDefault="003A2C2E" w:rsidP="003A2C2E">
      <w:pPr>
        <w:pStyle w:val="ListParagraph"/>
        <w:numPr>
          <w:ilvl w:val="0"/>
          <w:numId w:val="25"/>
        </w:numPr>
        <w:spacing w:after="80" w:line="240" w:lineRule="auto"/>
        <w:contextualSpacing w:val="0"/>
        <w:jc w:val="both"/>
        <w:rPr>
          <w:rFonts w:cs="Arial"/>
          <w:lang w:val="es-ES"/>
        </w:rPr>
      </w:pPr>
      <w:r w:rsidRPr="00D0409E">
        <w:rPr>
          <w:rFonts w:cs="Arial"/>
          <w:b/>
          <w:bCs/>
          <w:lang w:val="es-ES"/>
        </w:rPr>
        <w:t>Ocho</w:t>
      </w:r>
      <w:r w:rsidRPr="00D0409E">
        <w:rPr>
          <w:rFonts w:cs="Arial"/>
          <w:lang w:val="es-ES"/>
        </w:rPr>
        <w:t xml:space="preserve"> no están sujetos a caza/pesca: Ballenas francas del Atlántico Norte, del Pacífico Norte y del sur, ballenas azules, la subpoblación mediterránea del delfín común, la subpoblación mediterránea del </w:t>
      </w:r>
      <w:proofErr w:type="spellStart"/>
      <w:r w:rsidRPr="00D0409E">
        <w:rPr>
          <w:rFonts w:cs="Arial"/>
          <w:lang w:val="es-ES"/>
        </w:rPr>
        <w:t>ziphio</w:t>
      </w:r>
      <w:proofErr w:type="spellEnd"/>
      <w:r w:rsidRPr="00D0409E">
        <w:rPr>
          <w:rFonts w:cs="Arial"/>
          <w:lang w:val="es-ES"/>
        </w:rPr>
        <w:t xml:space="preserve"> de Cuvier, el delfín de </w:t>
      </w:r>
      <w:proofErr w:type="spellStart"/>
      <w:r w:rsidRPr="00D0409E">
        <w:rPr>
          <w:rFonts w:cs="Arial"/>
          <w:lang w:val="es-ES"/>
        </w:rPr>
        <w:t>Lahille</w:t>
      </w:r>
      <w:proofErr w:type="spellEnd"/>
      <w:r w:rsidRPr="00D0409E">
        <w:rPr>
          <w:rFonts w:cs="Arial"/>
          <w:lang w:val="es-ES"/>
        </w:rPr>
        <w:t xml:space="preserve"> y la subpoblación de marsopa común; </w:t>
      </w:r>
    </w:p>
    <w:p w14:paraId="4AE157A4" w14:textId="77777777" w:rsidR="003A2C2E" w:rsidRPr="00D0409E" w:rsidRDefault="003A2C2E" w:rsidP="003A2C2E">
      <w:pPr>
        <w:pStyle w:val="ListParagraph"/>
        <w:numPr>
          <w:ilvl w:val="0"/>
          <w:numId w:val="25"/>
        </w:numPr>
        <w:spacing w:after="80" w:line="240" w:lineRule="auto"/>
        <w:contextualSpacing w:val="0"/>
        <w:jc w:val="both"/>
        <w:rPr>
          <w:rFonts w:cs="Arial"/>
          <w:lang w:val="es-ES"/>
        </w:rPr>
      </w:pPr>
      <w:r w:rsidRPr="00D0409E">
        <w:rPr>
          <w:rFonts w:cs="Arial"/>
          <w:b/>
          <w:lang w:val="es-ES"/>
        </w:rPr>
        <w:t xml:space="preserve">Tres </w:t>
      </w:r>
      <w:r w:rsidRPr="00D0409E">
        <w:rPr>
          <w:rFonts w:cs="Arial"/>
          <w:lang w:val="es-ES"/>
        </w:rPr>
        <w:t xml:space="preserve">se cazan bajo el Procedimiento de Gestión de la Caza de Subsistencia Aborigen de la CBI: ballena boreal, rorcual común y ballena jorobada; </w:t>
      </w:r>
    </w:p>
    <w:p w14:paraId="41EC014D" w14:textId="77777777" w:rsidR="003A2C2E" w:rsidRPr="00D0409E" w:rsidRDefault="003A2C2E" w:rsidP="003A2C2E">
      <w:pPr>
        <w:pStyle w:val="ListParagraph"/>
        <w:numPr>
          <w:ilvl w:val="0"/>
          <w:numId w:val="25"/>
        </w:numPr>
        <w:spacing w:after="80" w:line="240" w:lineRule="auto"/>
        <w:contextualSpacing w:val="0"/>
        <w:jc w:val="both"/>
        <w:rPr>
          <w:rFonts w:cs="Arial"/>
          <w:lang w:val="es-ES"/>
        </w:rPr>
      </w:pPr>
      <w:r w:rsidRPr="00D0409E">
        <w:rPr>
          <w:rFonts w:cs="Arial"/>
          <w:b/>
          <w:lang w:val="es-ES"/>
        </w:rPr>
        <w:t xml:space="preserve">Dos </w:t>
      </w:r>
      <w:r w:rsidRPr="00D0409E">
        <w:rPr>
          <w:rFonts w:cs="Arial"/>
          <w:lang w:val="es-ES"/>
        </w:rPr>
        <w:t xml:space="preserve">se </w:t>
      </w:r>
      <w:proofErr w:type="spellStart"/>
      <w:r w:rsidRPr="00D0409E">
        <w:rPr>
          <w:rFonts w:cs="Arial"/>
          <w:lang w:val="es-ES"/>
        </w:rPr>
        <w:t>cazan</w:t>
      </w:r>
      <w:proofErr w:type="spellEnd"/>
      <w:r w:rsidRPr="00D0409E">
        <w:rPr>
          <w:rFonts w:cs="Arial"/>
          <w:lang w:val="es-ES"/>
        </w:rPr>
        <w:t xml:space="preserve"> con fines comerciales: rorcual común y ballena </w:t>
      </w:r>
      <w:proofErr w:type="spellStart"/>
      <w:r w:rsidRPr="00D0409E">
        <w:rPr>
          <w:rFonts w:cs="Arial"/>
          <w:lang w:val="es-ES"/>
        </w:rPr>
        <w:t>sei</w:t>
      </w:r>
      <w:proofErr w:type="spellEnd"/>
      <w:r w:rsidRPr="00D0409E">
        <w:rPr>
          <w:rFonts w:cs="Arial"/>
          <w:lang w:val="es-ES"/>
        </w:rPr>
        <w:t>. Ambas especies se cazan en Japón, mientras que el rorcual común se caza en Islandia;</w:t>
      </w:r>
    </w:p>
    <w:p w14:paraId="15FAAED5" w14:textId="77777777" w:rsidR="003A2C2E" w:rsidRPr="00D0409E" w:rsidRDefault="003A2C2E" w:rsidP="003A2C2E">
      <w:pPr>
        <w:pStyle w:val="ListParagraph"/>
        <w:numPr>
          <w:ilvl w:val="0"/>
          <w:numId w:val="25"/>
        </w:numPr>
        <w:spacing w:after="80" w:line="240" w:lineRule="auto"/>
        <w:contextualSpacing w:val="0"/>
        <w:jc w:val="both"/>
        <w:rPr>
          <w:rFonts w:cs="Arial"/>
          <w:lang w:val="es-ES"/>
        </w:rPr>
      </w:pPr>
      <w:r w:rsidRPr="00D0409E">
        <w:rPr>
          <w:rFonts w:cs="Arial"/>
          <w:b/>
          <w:lang w:val="es-ES"/>
        </w:rPr>
        <w:t xml:space="preserve">Cinco </w:t>
      </w:r>
      <w:r w:rsidRPr="00D0409E">
        <w:rPr>
          <w:rFonts w:cs="Arial"/>
          <w:lang w:val="es-ES"/>
        </w:rPr>
        <w:t xml:space="preserve">se cazan de manera ilegal: Delfín mular, delfín de </w:t>
      </w:r>
      <w:proofErr w:type="spellStart"/>
      <w:r w:rsidRPr="00D0409E">
        <w:rPr>
          <w:rFonts w:cs="Arial"/>
          <w:lang w:val="es-ES"/>
        </w:rPr>
        <w:t>Irrawaddy</w:t>
      </w:r>
      <w:proofErr w:type="spellEnd"/>
      <w:r w:rsidRPr="00D0409E">
        <w:rPr>
          <w:rFonts w:cs="Arial"/>
          <w:lang w:val="es-ES"/>
        </w:rPr>
        <w:t xml:space="preserve">, bufeo africano, delfín de la Plata y delfín del Ganges; y </w:t>
      </w:r>
    </w:p>
    <w:p w14:paraId="4D11DC46" w14:textId="77777777" w:rsidR="003A2C2E" w:rsidRPr="00D0409E" w:rsidRDefault="003A2C2E" w:rsidP="003A2C2E">
      <w:pPr>
        <w:pStyle w:val="ListParagraph"/>
        <w:numPr>
          <w:ilvl w:val="0"/>
          <w:numId w:val="25"/>
        </w:numPr>
        <w:spacing w:after="0" w:line="240" w:lineRule="auto"/>
        <w:contextualSpacing w:val="0"/>
        <w:jc w:val="both"/>
        <w:rPr>
          <w:rFonts w:cs="Arial"/>
          <w:lang w:val="es-ES"/>
        </w:rPr>
      </w:pPr>
      <w:r w:rsidRPr="00D0409E">
        <w:rPr>
          <w:rFonts w:cs="Arial"/>
          <w:b/>
          <w:bCs/>
          <w:lang w:val="es-ES"/>
        </w:rPr>
        <w:t xml:space="preserve">Dos </w:t>
      </w:r>
      <w:r w:rsidRPr="00D0409E">
        <w:rPr>
          <w:rFonts w:cs="Arial"/>
          <w:lang w:val="es-ES"/>
        </w:rPr>
        <w:t>se capturan en cacerías no reguladas: cachalotes y ballenas jorobadas.</w:t>
      </w:r>
    </w:p>
    <w:p w14:paraId="413C3A6D" w14:textId="77777777" w:rsidR="003A2C2E" w:rsidRPr="00D0409E" w:rsidRDefault="003A2C2E" w:rsidP="003A2C2E">
      <w:pPr>
        <w:spacing w:after="0" w:line="240" w:lineRule="auto"/>
        <w:jc w:val="both"/>
        <w:rPr>
          <w:rFonts w:cs="Arial"/>
          <w:lang w:val="es-ES"/>
        </w:rPr>
      </w:pPr>
      <w:r w:rsidRPr="00D0409E">
        <w:rPr>
          <w:rFonts w:cs="Arial"/>
          <w:lang w:val="es-ES"/>
        </w:rPr>
        <w:br w:type="page"/>
      </w:r>
    </w:p>
    <w:p w14:paraId="3E9A4F00" w14:textId="77777777" w:rsidR="003A2C2E" w:rsidRPr="00D0409E" w:rsidRDefault="003A2C2E" w:rsidP="003A2C2E">
      <w:pPr>
        <w:spacing w:after="0" w:line="240" w:lineRule="auto"/>
        <w:jc w:val="both"/>
        <w:rPr>
          <w:rFonts w:cs="Arial"/>
          <w:i/>
          <w:sz w:val="20"/>
          <w:szCs w:val="20"/>
          <w:lang w:val="es-ES"/>
        </w:rPr>
      </w:pPr>
      <w:r w:rsidRPr="00D0409E">
        <w:rPr>
          <w:rFonts w:cs="Arial"/>
          <w:i/>
          <w:iCs/>
          <w:sz w:val="20"/>
          <w:szCs w:val="20"/>
          <w:lang w:val="es-ES"/>
        </w:rPr>
        <w:lastRenderedPageBreak/>
        <w:t>Tabla 1. Cetáceos incluidos en el Apéndice I de la CMS sujetos a caza contemporánea.</w:t>
      </w:r>
    </w:p>
    <w:p w14:paraId="40D57FF4" w14:textId="77777777" w:rsidR="003A2C2E" w:rsidRPr="00D0409E" w:rsidRDefault="003A2C2E" w:rsidP="003A2C2E">
      <w:pPr>
        <w:spacing w:after="0" w:line="240" w:lineRule="auto"/>
        <w:jc w:val="both"/>
        <w:rPr>
          <w:rFonts w:cs="Arial"/>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3"/>
        <w:gridCol w:w="2607"/>
        <w:gridCol w:w="1410"/>
        <w:gridCol w:w="3246"/>
      </w:tblGrid>
      <w:tr w:rsidR="003A2C2E" w:rsidRPr="00D0409E" w14:paraId="62EA4823" w14:textId="77777777" w:rsidTr="009D3746">
        <w:trPr>
          <w:trHeight w:val="300"/>
          <w:tblHeader/>
        </w:trPr>
        <w:tc>
          <w:tcPr>
            <w:tcW w:w="0" w:type="auto"/>
            <w:tcBorders>
              <w:top w:val="double" w:sz="4" w:space="0" w:color="auto"/>
              <w:left w:val="single" w:sz="4" w:space="0" w:color="auto"/>
              <w:bottom w:val="single" w:sz="4" w:space="0" w:color="auto"/>
              <w:right w:val="single" w:sz="4" w:space="0" w:color="auto"/>
            </w:tcBorders>
            <w:vAlign w:val="center"/>
          </w:tcPr>
          <w:p w14:paraId="599A7C05" w14:textId="77777777" w:rsidR="003A2C2E" w:rsidRPr="00D0409E" w:rsidRDefault="003A2C2E" w:rsidP="002E765D">
            <w:pPr>
              <w:jc w:val="both"/>
              <w:rPr>
                <w:rFonts w:ascii="Arial" w:hAnsi="Arial" w:cs="Arial"/>
                <w:b/>
                <w:bCs/>
                <w:sz w:val="20"/>
                <w:szCs w:val="20"/>
                <w:lang w:val="es-ES"/>
              </w:rPr>
            </w:pPr>
            <w:r w:rsidRPr="00D0409E">
              <w:rPr>
                <w:rFonts w:ascii="Arial" w:hAnsi="Arial" w:cs="Arial"/>
                <w:b/>
                <w:bCs/>
                <w:sz w:val="20"/>
                <w:szCs w:val="20"/>
                <w:lang w:val="es-ES"/>
              </w:rPr>
              <w:t>Nombre común</w:t>
            </w:r>
          </w:p>
        </w:tc>
        <w:tc>
          <w:tcPr>
            <w:tcW w:w="0" w:type="auto"/>
            <w:tcBorders>
              <w:top w:val="double" w:sz="4" w:space="0" w:color="auto"/>
              <w:left w:val="single" w:sz="4" w:space="0" w:color="auto"/>
              <w:bottom w:val="single" w:sz="4" w:space="0" w:color="auto"/>
              <w:right w:val="single" w:sz="4" w:space="0" w:color="auto"/>
            </w:tcBorders>
            <w:vAlign w:val="center"/>
          </w:tcPr>
          <w:p w14:paraId="1694B77E" w14:textId="77777777" w:rsidR="003A2C2E" w:rsidRPr="00D0409E" w:rsidRDefault="003A2C2E" w:rsidP="002E765D">
            <w:pPr>
              <w:jc w:val="both"/>
              <w:rPr>
                <w:rFonts w:ascii="Arial" w:hAnsi="Arial" w:cs="Arial"/>
                <w:b/>
                <w:bCs/>
                <w:sz w:val="20"/>
                <w:szCs w:val="20"/>
                <w:lang w:val="es-ES"/>
              </w:rPr>
            </w:pPr>
            <w:r w:rsidRPr="00D0409E">
              <w:rPr>
                <w:rFonts w:ascii="Arial" w:hAnsi="Arial" w:cs="Arial"/>
                <w:b/>
                <w:bCs/>
                <w:sz w:val="20"/>
                <w:szCs w:val="20"/>
                <w:lang w:val="es-ES"/>
              </w:rPr>
              <w:t>Nombre de la especie</w:t>
            </w:r>
          </w:p>
        </w:tc>
        <w:tc>
          <w:tcPr>
            <w:tcW w:w="1410" w:type="dxa"/>
            <w:tcBorders>
              <w:top w:val="double" w:sz="4" w:space="0" w:color="auto"/>
              <w:left w:val="single" w:sz="4" w:space="0" w:color="auto"/>
              <w:bottom w:val="single" w:sz="4" w:space="0" w:color="auto"/>
              <w:right w:val="single" w:sz="4" w:space="0" w:color="auto"/>
            </w:tcBorders>
            <w:vAlign w:val="center"/>
          </w:tcPr>
          <w:p w14:paraId="625010EC" w14:textId="77777777" w:rsidR="003A2C2E" w:rsidRPr="00D0409E" w:rsidRDefault="003A2C2E" w:rsidP="002E765D">
            <w:pPr>
              <w:jc w:val="both"/>
              <w:rPr>
                <w:rFonts w:ascii="Arial" w:hAnsi="Arial" w:cs="Arial"/>
                <w:b/>
                <w:bCs/>
                <w:sz w:val="20"/>
                <w:szCs w:val="20"/>
                <w:lang w:val="es-ES"/>
              </w:rPr>
            </w:pPr>
            <w:r w:rsidRPr="00D0409E">
              <w:rPr>
                <w:rFonts w:ascii="Arial" w:hAnsi="Arial" w:cs="Arial"/>
                <w:b/>
                <w:bCs/>
                <w:sz w:val="20"/>
                <w:szCs w:val="20"/>
                <w:lang w:val="es-ES"/>
              </w:rPr>
              <w:t>Apéndice I o II de la CMS</w:t>
            </w:r>
          </w:p>
        </w:tc>
        <w:tc>
          <w:tcPr>
            <w:tcW w:w="3246" w:type="dxa"/>
            <w:tcBorders>
              <w:top w:val="double" w:sz="4" w:space="0" w:color="auto"/>
              <w:left w:val="single" w:sz="4" w:space="0" w:color="auto"/>
              <w:bottom w:val="single" w:sz="4" w:space="0" w:color="auto"/>
              <w:right w:val="single" w:sz="4" w:space="0" w:color="auto"/>
            </w:tcBorders>
            <w:vAlign w:val="center"/>
          </w:tcPr>
          <w:p w14:paraId="34A617C2" w14:textId="77777777" w:rsidR="003A2C2E" w:rsidRPr="00D0409E" w:rsidRDefault="003A2C2E" w:rsidP="002E765D">
            <w:pPr>
              <w:jc w:val="both"/>
              <w:rPr>
                <w:rFonts w:ascii="Arial" w:hAnsi="Arial" w:cs="Arial"/>
                <w:b/>
                <w:bCs/>
                <w:sz w:val="20"/>
                <w:szCs w:val="20"/>
                <w:lang w:val="es-ES"/>
              </w:rPr>
            </w:pPr>
            <w:r w:rsidRPr="00D0409E">
              <w:rPr>
                <w:rFonts w:ascii="Arial" w:hAnsi="Arial" w:cs="Arial"/>
                <w:b/>
                <w:bCs/>
                <w:sz w:val="20"/>
                <w:szCs w:val="20"/>
                <w:lang w:val="es-ES"/>
              </w:rPr>
              <w:t>Sujeto a caza</w:t>
            </w:r>
          </w:p>
        </w:tc>
      </w:tr>
      <w:tr w:rsidR="003A2C2E" w:rsidRPr="00895330" w14:paraId="231536D6"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50DE5EAD" w14:textId="77777777" w:rsidR="003A2C2E" w:rsidRPr="00D0409E" w:rsidRDefault="003A2C2E" w:rsidP="002E765D">
            <w:pPr>
              <w:jc w:val="both"/>
              <w:rPr>
                <w:rFonts w:ascii="Arial" w:hAnsi="Arial" w:cs="Arial"/>
                <w:sz w:val="20"/>
                <w:szCs w:val="20"/>
                <w:lang w:val="es-ES"/>
              </w:rPr>
            </w:pPr>
            <w:r w:rsidRPr="00D0409E">
              <w:rPr>
                <w:rFonts w:ascii="Arial" w:hAnsi="Arial" w:cs="Arial"/>
                <w:sz w:val="20"/>
                <w:szCs w:val="20"/>
                <w:lang w:val="es-ES"/>
              </w:rPr>
              <w:t>Ballena boreal</w:t>
            </w:r>
          </w:p>
        </w:tc>
        <w:tc>
          <w:tcPr>
            <w:tcW w:w="0" w:type="auto"/>
            <w:tcBorders>
              <w:top w:val="single" w:sz="4" w:space="0" w:color="auto"/>
              <w:left w:val="single" w:sz="4" w:space="0" w:color="auto"/>
              <w:bottom w:val="single" w:sz="4" w:space="0" w:color="auto"/>
              <w:right w:val="single" w:sz="4" w:space="0" w:color="auto"/>
            </w:tcBorders>
            <w:vAlign w:val="center"/>
          </w:tcPr>
          <w:p w14:paraId="7DE2E544" w14:textId="77777777" w:rsidR="003A2C2E" w:rsidRPr="00D0409E" w:rsidRDefault="003A2C2E" w:rsidP="002E765D">
            <w:pPr>
              <w:jc w:val="both"/>
              <w:rPr>
                <w:rFonts w:ascii="Arial" w:hAnsi="Arial" w:cs="Arial"/>
                <w:i/>
                <w:iCs/>
                <w:sz w:val="20"/>
                <w:szCs w:val="20"/>
                <w:lang w:val="es-ES"/>
              </w:rPr>
            </w:pPr>
            <w:proofErr w:type="spellStart"/>
            <w:r w:rsidRPr="00D0409E">
              <w:rPr>
                <w:rFonts w:ascii="Arial" w:hAnsi="Arial" w:cs="Arial"/>
                <w:i/>
                <w:iCs/>
                <w:color w:val="000000"/>
                <w:sz w:val="20"/>
                <w:szCs w:val="20"/>
                <w:lang w:val="es-ES"/>
              </w:rPr>
              <w:t>Balaena</w:t>
            </w:r>
            <w:proofErr w:type="spellEnd"/>
            <w:r w:rsidRPr="00D0409E">
              <w:rPr>
                <w:rFonts w:ascii="Arial" w:hAnsi="Arial" w:cs="Arial"/>
                <w:i/>
                <w:iCs/>
                <w:color w:val="000000"/>
                <w:sz w:val="20"/>
                <w:szCs w:val="20"/>
                <w:lang w:val="es-ES"/>
              </w:rPr>
              <w:t xml:space="preserve"> </w:t>
            </w:r>
            <w:proofErr w:type="spellStart"/>
            <w:r w:rsidRPr="00D0409E">
              <w:rPr>
                <w:rFonts w:ascii="Arial" w:hAnsi="Arial" w:cs="Arial"/>
                <w:i/>
                <w:iCs/>
                <w:color w:val="000000"/>
                <w:sz w:val="20"/>
                <w:szCs w:val="20"/>
                <w:lang w:val="es-ES"/>
              </w:rPr>
              <w:t>mysticetus</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04825A6B"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I</w:t>
            </w:r>
          </w:p>
        </w:tc>
        <w:tc>
          <w:tcPr>
            <w:tcW w:w="3246" w:type="dxa"/>
            <w:tcBorders>
              <w:top w:val="single" w:sz="4" w:space="0" w:color="auto"/>
              <w:left w:val="single" w:sz="4" w:space="0" w:color="auto"/>
              <w:bottom w:val="single" w:sz="4" w:space="0" w:color="auto"/>
              <w:right w:val="single" w:sz="4" w:space="0" w:color="auto"/>
            </w:tcBorders>
            <w:vAlign w:val="center"/>
          </w:tcPr>
          <w:p w14:paraId="17D35FF7"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Caza de subsistencia de ballenas por parte de los aborígenes (ASW, por sus siglas en inglés)</w:t>
            </w:r>
          </w:p>
        </w:tc>
      </w:tr>
      <w:tr w:rsidR="003A2C2E" w:rsidRPr="00D0409E" w14:paraId="39CE016F"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7FE57ABE" w14:textId="77777777" w:rsidR="003A2C2E" w:rsidRPr="00D0409E" w:rsidRDefault="003A2C2E" w:rsidP="002E765D">
            <w:pPr>
              <w:jc w:val="both"/>
              <w:rPr>
                <w:rFonts w:ascii="Arial" w:hAnsi="Arial" w:cs="Arial"/>
                <w:sz w:val="20"/>
                <w:szCs w:val="20"/>
                <w:lang w:val="es-ES"/>
              </w:rPr>
            </w:pPr>
            <w:r w:rsidRPr="00D0409E">
              <w:rPr>
                <w:rFonts w:ascii="Arial" w:hAnsi="Arial" w:cs="Arial"/>
                <w:sz w:val="20"/>
                <w:szCs w:val="20"/>
                <w:lang w:val="es-ES"/>
              </w:rPr>
              <w:t>Ballena franca del Norte</w:t>
            </w:r>
          </w:p>
        </w:tc>
        <w:tc>
          <w:tcPr>
            <w:tcW w:w="0" w:type="auto"/>
            <w:tcBorders>
              <w:top w:val="single" w:sz="4" w:space="0" w:color="auto"/>
              <w:left w:val="single" w:sz="4" w:space="0" w:color="auto"/>
              <w:bottom w:val="single" w:sz="4" w:space="0" w:color="auto"/>
              <w:right w:val="single" w:sz="4" w:space="0" w:color="auto"/>
            </w:tcBorders>
            <w:vAlign w:val="center"/>
          </w:tcPr>
          <w:p w14:paraId="21A2C469" w14:textId="77777777" w:rsidR="003A2C2E" w:rsidRPr="00D0409E" w:rsidRDefault="003A2C2E" w:rsidP="002E765D">
            <w:pPr>
              <w:jc w:val="both"/>
              <w:rPr>
                <w:rFonts w:ascii="Arial" w:hAnsi="Arial" w:cs="Arial"/>
                <w:i/>
                <w:iCs/>
                <w:sz w:val="20"/>
                <w:szCs w:val="20"/>
                <w:lang w:val="es-ES"/>
              </w:rPr>
            </w:pPr>
            <w:proofErr w:type="spellStart"/>
            <w:r w:rsidRPr="00D0409E">
              <w:rPr>
                <w:rFonts w:ascii="Arial" w:hAnsi="Arial" w:cs="Arial"/>
                <w:i/>
                <w:iCs/>
                <w:color w:val="000000"/>
                <w:sz w:val="20"/>
                <w:szCs w:val="20"/>
                <w:lang w:val="es-ES"/>
              </w:rPr>
              <w:t>Eubalaena</w:t>
            </w:r>
            <w:proofErr w:type="spellEnd"/>
            <w:r w:rsidRPr="00D0409E">
              <w:rPr>
                <w:rFonts w:ascii="Arial" w:hAnsi="Arial" w:cs="Arial"/>
                <w:i/>
                <w:iCs/>
                <w:color w:val="000000"/>
                <w:sz w:val="20"/>
                <w:szCs w:val="20"/>
                <w:lang w:val="es-ES"/>
              </w:rPr>
              <w:t xml:space="preserve"> </w:t>
            </w:r>
            <w:proofErr w:type="spellStart"/>
            <w:r w:rsidRPr="00D0409E">
              <w:rPr>
                <w:rFonts w:ascii="Arial" w:hAnsi="Arial" w:cs="Arial"/>
                <w:i/>
                <w:iCs/>
                <w:color w:val="000000"/>
                <w:sz w:val="20"/>
                <w:szCs w:val="20"/>
                <w:lang w:val="es-ES"/>
              </w:rPr>
              <w:t>glacialis</w:t>
            </w:r>
            <w:proofErr w:type="spellEnd"/>
            <w:r w:rsidRPr="00D0409E">
              <w:rPr>
                <w:rFonts w:ascii="Arial" w:hAnsi="Arial" w:cs="Arial"/>
                <w:i/>
                <w:iCs/>
                <w:color w:val="000000"/>
                <w:sz w:val="20"/>
                <w:szCs w:val="20"/>
                <w:lang w:val="es-ES"/>
              </w:rPr>
              <w:t xml:space="preserve"> (Atlántico Norte)</w:t>
            </w:r>
          </w:p>
        </w:tc>
        <w:tc>
          <w:tcPr>
            <w:tcW w:w="1410" w:type="dxa"/>
            <w:tcBorders>
              <w:top w:val="single" w:sz="4" w:space="0" w:color="auto"/>
              <w:left w:val="single" w:sz="4" w:space="0" w:color="auto"/>
              <w:bottom w:val="single" w:sz="4" w:space="0" w:color="auto"/>
              <w:right w:val="single" w:sz="4" w:space="0" w:color="auto"/>
            </w:tcBorders>
            <w:vAlign w:val="center"/>
          </w:tcPr>
          <w:p w14:paraId="7C55AD82"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w:t>
            </w:r>
          </w:p>
        </w:tc>
        <w:tc>
          <w:tcPr>
            <w:tcW w:w="3246" w:type="dxa"/>
            <w:tcBorders>
              <w:top w:val="single" w:sz="4" w:space="0" w:color="auto"/>
              <w:left w:val="single" w:sz="4" w:space="0" w:color="auto"/>
              <w:bottom w:val="single" w:sz="4" w:space="0" w:color="auto"/>
              <w:right w:val="single" w:sz="4" w:space="0" w:color="auto"/>
            </w:tcBorders>
            <w:vAlign w:val="center"/>
          </w:tcPr>
          <w:p w14:paraId="7DEE4B5C"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themeColor="text1"/>
                <w:sz w:val="20"/>
                <w:szCs w:val="20"/>
                <w:lang w:val="es-ES"/>
              </w:rPr>
              <w:t>No se conocen informes</w:t>
            </w:r>
          </w:p>
        </w:tc>
      </w:tr>
      <w:tr w:rsidR="003A2C2E" w:rsidRPr="00D0409E" w14:paraId="0C77317C"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2F19C04A" w14:textId="77777777" w:rsidR="003A2C2E" w:rsidRPr="00D0409E" w:rsidRDefault="003A2C2E" w:rsidP="002E765D">
            <w:pPr>
              <w:jc w:val="both"/>
              <w:rPr>
                <w:rFonts w:ascii="Arial" w:hAnsi="Arial" w:cs="Arial"/>
                <w:sz w:val="20"/>
                <w:szCs w:val="20"/>
                <w:lang w:val="es-ES"/>
              </w:rPr>
            </w:pPr>
            <w:r w:rsidRPr="00D0409E">
              <w:rPr>
                <w:rFonts w:ascii="Arial" w:hAnsi="Arial" w:cs="Arial"/>
                <w:color w:val="000000"/>
                <w:sz w:val="20"/>
                <w:szCs w:val="20"/>
                <w:lang w:val="es-ES"/>
              </w:rPr>
              <w:t>Ballena franca del Pacífico Norte</w:t>
            </w:r>
          </w:p>
        </w:tc>
        <w:tc>
          <w:tcPr>
            <w:tcW w:w="0" w:type="auto"/>
            <w:tcBorders>
              <w:top w:val="single" w:sz="4" w:space="0" w:color="auto"/>
              <w:left w:val="single" w:sz="4" w:space="0" w:color="auto"/>
              <w:bottom w:val="single" w:sz="4" w:space="0" w:color="auto"/>
              <w:right w:val="single" w:sz="4" w:space="0" w:color="auto"/>
            </w:tcBorders>
            <w:vAlign w:val="center"/>
          </w:tcPr>
          <w:p w14:paraId="09F29CDF" w14:textId="77777777" w:rsidR="003A2C2E" w:rsidRPr="00D0409E" w:rsidRDefault="003A2C2E" w:rsidP="002E765D">
            <w:pPr>
              <w:jc w:val="both"/>
              <w:rPr>
                <w:rFonts w:ascii="Arial" w:hAnsi="Arial" w:cs="Arial"/>
                <w:i/>
                <w:iCs/>
                <w:sz w:val="20"/>
                <w:szCs w:val="20"/>
                <w:lang w:val="es-ES"/>
              </w:rPr>
            </w:pPr>
            <w:proofErr w:type="spellStart"/>
            <w:r w:rsidRPr="00D0409E">
              <w:rPr>
                <w:rFonts w:ascii="Arial" w:hAnsi="Arial" w:cs="Arial"/>
                <w:i/>
                <w:iCs/>
                <w:color w:val="000000"/>
                <w:sz w:val="20"/>
                <w:szCs w:val="20"/>
                <w:lang w:val="es-ES"/>
              </w:rPr>
              <w:t>Eubalaena</w:t>
            </w:r>
            <w:proofErr w:type="spellEnd"/>
            <w:r w:rsidRPr="00D0409E">
              <w:rPr>
                <w:rFonts w:ascii="Arial" w:hAnsi="Arial" w:cs="Arial"/>
                <w:i/>
                <w:iCs/>
                <w:color w:val="000000"/>
                <w:sz w:val="20"/>
                <w:szCs w:val="20"/>
                <w:lang w:val="es-ES"/>
              </w:rPr>
              <w:t xml:space="preserve"> </w:t>
            </w:r>
            <w:proofErr w:type="spellStart"/>
            <w:r w:rsidRPr="00D0409E">
              <w:rPr>
                <w:rFonts w:ascii="Arial" w:hAnsi="Arial" w:cs="Arial"/>
                <w:i/>
                <w:iCs/>
                <w:color w:val="000000"/>
                <w:sz w:val="20"/>
                <w:szCs w:val="20"/>
                <w:lang w:val="es-ES"/>
              </w:rPr>
              <w:t>japonica</w:t>
            </w:r>
            <w:proofErr w:type="spellEnd"/>
            <w:r w:rsidRPr="00D0409E">
              <w:rPr>
                <w:rFonts w:ascii="Arial" w:hAnsi="Arial" w:cs="Arial"/>
                <w:i/>
                <w:iCs/>
                <w:color w:val="000000"/>
                <w:sz w:val="20"/>
                <w:szCs w:val="20"/>
                <w:lang w:val="es-ES"/>
              </w:rPr>
              <w:t xml:space="preserve"> (Pacífico Norte)</w:t>
            </w:r>
          </w:p>
        </w:tc>
        <w:tc>
          <w:tcPr>
            <w:tcW w:w="1410" w:type="dxa"/>
            <w:tcBorders>
              <w:top w:val="single" w:sz="4" w:space="0" w:color="auto"/>
              <w:left w:val="single" w:sz="4" w:space="0" w:color="auto"/>
              <w:bottom w:val="single" w:sz="4" w:space="0" w:color="auto"/>
              <w:right w:val="single" w:sz="4" w:space="0" w:color="auto"/>
            </w:tcBorders>
            <w:vAlign w:val="center"/>
          </w:tcPr>
          <w:p w14:paraId="3B78BD27"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w:t>
            </w:r>
          </w:p>
        </w:tc>
        <w:tc>
          <w:tcPr>
            <w:tcW w:w="3246" w:type="dxa"/>
            <w:tcBorders>
              <w:top w:val="single" w:sz="4" w:space="0" w:color="auto"/>
              <w:left w:val="single" w:sz="4" w:space="0" w:color="auto"/>
              <w:bottom w:val="single" w:sz="4" w:space="0" w:color="auto"/>
              <w:right w:val="single" w:sz="4" w:space="0" w:color="auto"/>
            </w:tcBorders>
            <w:vAlign w:val="center"/>
          </w:tcPr>
          <w:p w14:paraId="21FD461B"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No se conocen informes</w:t>
            </w:r>
          </w:p>
        </w:tc>
      </w:tr>
      <w:tr w:rsidR="003A2C2E" w:rsidRPr="00D0409E" w14:paraId="13EF205A"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53B213F3" w14:textId="77777777" w:rsidR="003A2C2E" w:rsidRPr="00D0409E" w:rsidRDefault="003A2C2E" w:rsidP="002E765D">
            <w:pPr>
              <w:jc w:val="both"/>
              <w:rPr>
                <w:rFonts w:ascii="Arial" w:hAnsi="Arial" w:cs="Arial"/>
                <w:sz w:val="20"/>
                <w:szCs w:val="20"/>
                <w:lang w:val="es-ES"/>
              </w:rPr>
            </w:pPr>
            <w:r w:rsidRPr="00D0409E">
              <w:rPr>
                <w:rFonts w:ascii="Arial" w:hAnsi="Arial" w:cs="Arial"/>
                <w:color w:val="000000"/>
                <w:sz w:val="20"/>
                <w:szCs w:val="20"/>
                <w:lang w:val="es-ES"/>
              </w:rPr>
              <w:t>Ballena franca</w:t>
            </w:r>
          </w:p>
        </w:tc>
        <w:tc>
          <w:tcPr>
            <w:tcW w:w="0" w:type="auto"/>
            <w:tcBorders>
              <w:top w:val="single" w:sz="4" w:space="0" w:color="auto"/>
              <w:left w:val="single" w:sz="4" w:space="0" w:color="auto"/>
              <w:bottom w:val="single" w:sz="4" w:space="0" w:color="auto"/>
              <w:right w:val="single" w:sz="4" w:space="0" w:color="auto"/>
            </w:tcBorders>
            <w:vAlign w:val="center"/>
          </w:tcPr>
          <w:p w14:paraId="71B42A11" w14:textId="77777777" w:rsidR="003A2C2E" w:rsidRPr="00D0409E" w:rsidRDefault="003A2C2E" w:rsidP="002E765D">
            <w:pPr>
              <w:jc w:val="both"/>
              <w:rPr>
                <w:rFonts w:ascii="Arial" w:hAnsi="Arial" w:cs="Arial"/>
                <w:i/>
                <w:iCs/>
                <w:sz w:val="20"/>
                <w:szCs w:val="20"/>
                <w:lang w:val="es-ES"/>
              </w:rPr>
            </w:pPr>
            <w:proofErr w:type="spellStart"/>
            <w:r w:rsidRPr="00D0409E">
              <w:rPr>
                <w:rFonts w:ascii="Arial" w:hAnsi="Arial" w:cs="Arial"/>
                <w:i/>
                <w:iCs/>
                <w:color w:val="000000"/>
                <w:sz w:val="20"/>
                <w:szCs w:val="20"/>
                <w:lang w:val="es-ES"/>
              </w:rPr>
              <w:t>Eubalaena</w:t>
            </w:r>
            <w:proofErr w:type="spellEnd"/>
            <w:r w:rsidRPr="00D0409E">
              <w:rPr>
                <w:rFonts w:ascii="Arial" w:hAnsi="Arial" w:cs="Arial"/>
                <w:i/>
                <w:iCs/>
                <w:color w:val="000000"/>
                <w:sz w:val="20"/>
                <w:szCs w:val="20"/>
                <w:lang w:val="es-ES"/>
              </w:rPr>
              <w:t xml:space="preserve"> </w:t>
            </w:r>
            <w:proofErr w:type="spellStart"/>
            <w:r w:rsidRPr="00D0409E">
              <w:rPr>
                <w:rFonts w:ascii="Arial" w:hAnsi="Arial" w:cs="Arial"/>
                <w:i/>
                <w:iCs/>
                <w:color w:val="000000"/>
                <w:sz w:val="20"/>
                <w:szCs w:val="20"/>
                <w:lang w:val="es-ES"/>
              </w:rPr>
              <w:t>australis</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27BEB162"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w:t>
            </w:r>
          </w:p>
        </w:tc>
        <w:tc>
          <w:tcPr>
            <w:tcW w:w="3246" w:type="dxa"/>
            <w:tcBorders>
              <w:top w:val="single" w:sz="4" w:space="0" w:color="auto"/>
              <w:left w:val="single" w:sz="4" w:space="0" w:color="auto"/>
              <w:bottom w:val="single" w:sz="4" w:space="0" w:color="auto"/>
              <w:right w:val="single" w:sz="4" w:space="0" w:color="auto"/>
            </w:tcBorders>
            <w:vAlign w:val="center"/>
          </w:tcPr>
          <w:p w14:paraId="59A7C2F5"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No se conocen informes</w:t>
            </w:r>
          </w:p>
        </w:tc>
      </w:tr>
      <w:tr w:rsidR="003A2C2E" w:rsidRPr="00D0409E" w14:paraId="3F14A11F"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57B8CD06" w14:textId="77777777" w:rsidR="003A2C2E" w:rsidRPr="00D0409E" w:rsidRDefault="003A2C2E" w:rsidP="002E765D">
            <w:pPr>
              <w:jc w:val="both"/>
              <w:rPr>
                <w:rFonts w:ascii="Arial" w:hAnsi="Arial" w:cs="Arial"/>
                <w:sz w:val="20"/>
                <w:szCs w:val="20"/>
                <w:lang w:val="es-ES"/>
              </w:rPr>
            </w:pPr>
            <w:r w:rsidRPr="00D0409E">
              <w:rPr>
                <w:rFonts w:ascii="Arial" w:hAnsi="Arial" w:cs="Arial"/>
                <w:color w:val="000000"/>
                <w:sz w:val="20"/>
                <w:szCs w:val="20"/>
                <w:lang w:val="es-ES"/>
              </w:rPr>
              <w:t xml:space="preserve">Ballena </w:t>
            </w:r>
            <w:proofErr w:type="spellStart"/>
            <w:r w:rsidRPr="00D0409E">
              <w:rPr>
                <w:rFonts w:ascii="Arial" w:hAnsi="Arial" w:cs="Arial"/>
                <w:color w:val="000000"/>
                <w:sz w:val="20"/>
                <w:szCs w:val="20"/>
                <w:lang w:val="es-ES"/>
              </w:rPr>
              <w:t>sei</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679E3F16" w14:textId="77777777" w:rsidR="003A2C2E" w:rsidRPr="00D0409E" w:rsidRDefault="003A2C2E" w:rsidP="002E765D">
            <w:pPr>
              <w:jc w:val="both"/>
              <w:rPr>
                <w:rFonts w:ascii="Arial" w:hAnsi="Arial" w:cs="Arial"/>
                <w:i/>
                <w:iCs/>
                <w:sz w:val="20"/>
                <w:szCs w:val="20"/>
                <w:lang w:val="es-ES"/>
              </w:rPr>
            </w:pPr>
            <w:proofErr w:type="spellStart"/>
            <w:r w:rsidRPr="00D0409E">
              <w:rPr>
                <w:rFonts w:ascii="Arial" w:hAnsi="Arial" w:cs="Arial"/>
                <w:i/>
                <w:iCs/>
                <w:color w:val="000000"/>
                <w:sz w:val="20"/>
                <w:szCs w:val="20"/>
                <w:lang w:val="es-ES"/>
              </w:rPr>
              <w:t>Balaenoptera</w:t>
            </w:r>
            <w:proofErr w:type="spellEnd"/>
            <w:r w:rsidRPr="00D0409E">
              <w:rPr>
                <w:rFonts w:ascii="Arial" w:hAnsi="Arial" w:cs="Arial"/>
                <w:i/>
                <w:iCs/>
                <w:color w:val="000000"/>
                <w:sz w:val="20"/>
                <w:szCs w:val="20"/>
                <w:lang w:val="es-ES"/>
              </w:rPr>
              <w:t xml:space="preserve"> </w:t>
            </w:r>
            <w:proofErr w:type="spellStart"/>
            <w:r w:rsidRPr="00D0409E">
              <w:rPr>
                <w:rFonts w:ascii="Arial" w:hAnsi="Arial" w:cs="Arial"/>
                <w:i/>
                <w:iCs/>
                <w:color w:val="000000"/>
                <w:sz w:val="20"/>
                <w:szCs w:val="20"/>
                <w:lang w:val="es-ES"/>
              </w:rPr>
              <w:t>borealis</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3CE71C03"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092A83F2"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Comercial</w:t>
            </w:r>
          </w:p>
        </w:tc>
      </w:tr>
      <w:tr w:rsidR="003A2C2E" w:rsidRPr="00D0409E" w14:paraId="3BD04DEF"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157603AC" w14:textId="77777777" w:rsidR="003A2C2E" w:rsidRPr="00D0409E" w:rsidRDefault="003A2C2E" w:rsidP="002E765D">
            <w:pPr>
              <w:jc w:val="both"/>
              <w:rPr>
                <w:rFonts w:ascii="Arial" w:hAnsi="Arial" w:cs="Arial"/>
                <w:sz w:val="20"/>
                <w:szCs w:val="20"/>
                <w:lang w:val="es-ES"/>
              </w:rPr>
            </w:pPr>
            <w:r w:rsidRPr="00D0409E">
              <w:rPr>
                <w:rFonts w:ascii="Arial" w:hAnsi="Arial" w:cs="Arial"/>
                <w:color w:val="000000"/>
                <w:sz w:val="20"/>
                <w:szCs w:val="20"/>
                <w:lang w:val="es-ES"/>
              </w:rPr>
              <w:t>Rorcual común</w:t>
            </w:r>
          </w:p>
        </w:tc>
        <w:tc>
          <w:tcPr>
            <w:tcW w:w="0" w:type="auto"/>
            <w:tcBorders>
              <w:top w:val="single" w:sz="4" w:space="0" w:color="auto"/>
              <w:left w:val="single" w:sz="4" w:space="0" w:color="auto"/>
              <w:bottom w:val="single" w:sz="4" w:space="0" w:color="auto"/>
              <w:right w:val="single" w:sz="4" w:space="0" w:color="auto"/>
            </w:tcBorders>
            <w:vAlign w:val="center"/>
          </w:tcPr>
          <w:p w14:paraId="6B77960E" w14:textId="77777777" w:rsidR="003A2C2E" w:rsidRPr="00D0409E" w:rsidRDefault="003A2C2E" w:rsidP="002E765D">
            <w:pPr>
              <w:jc w:val="both"/>
              <w:rPr>
                <w:rFonts w:ascii="Arial" w:hAnsi="Arial" w:cs="Arial"/>
                <w:i/>
                <w:iCs/>
                <w:sz w:val="20"/>
                <w:szCs w:val="20"/>
                <w:lang w:val="es-ES"/>
              </w:rPr>
            </w:pPr>
            <w:proofErr w:type="spellStart"/>
            <w:r w:rsidRPr="00D0409E">
              <w:rPr>
                <w:rFonts w:ascii="Arial" w:hAnsi="Arial" w:cs="Arial"/>
                <w:i/>
                <w:iCs/>
                <w:color w:val="000000"/>
                <w:sz w:val="20"/>
                <w:szCs w:val="20"/>
                <w:lang w:val="es-ES"/>
              </w:rPr>
              <w:t>Balaenoptera</w:t>
            </w:r>
            <w:proofErr w:type="spellEnd"/>
            <w:r w:rsidRPr="00D0409E">
              <w:rPr>
                <w:rFonts w:ascii="Arial" w:hAnsi="Arial" w:cs="Arial"/>
                <w:i/>
                <w:iCs/>
                <w:color w:val="000000"/>
                <w:sz w:val="20"/>
                <w:szCs w:val="20"/>
                <w:lang w:val="es-ES"/>
              </w:rPr>
              <w:t xml:space="preserve"> </w:t>
            </w:r>
            <w:proofErr w:type="spellStart"/>
            <w:r w:rsidRPr="00D0409E">
              <w:rPr>
                <w:rFonts w:ascii="Arial" w:hAnsi="Arial" w:cs="Arial"/>
                <w:i/>
                <w:iCs/>
                <w:color w:val="000000"/>
                <w:sz w:val="20"/>
                <w:szCs w:val="20"/>
                <w:lang w:val="es-ES"/>
              </w:rPr>
              <w:t>physalus</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65C4763E"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3CF91CBD"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ASW y comercial</w:t>
            </w:r>
          </w:p>
        </w:tc>
      </w:tr>
      <w:tr w:rsidR="003A2C2E" w:rsidRPr="00D0409E" w14:paraId="04E909B3"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414AAA68"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Ballena azul</w:t>
            </w:r>
          </w:p>
        </w:tc>
        <w:tc>
          <w:tcPr>
            <w:tcW w:w="0" w:type="auto"/>
            <w:tcBorders>
              <w:top w:val="single" w:sz="4" w:space="0" w:color="auto"/>
              <w:left w:val="single" w:sz="4" w:space="0" w:color="auto"/>
              <w:bottom w:val="single" w:sz="4" w:space="0" w:color="auto"/>
              <w:right w:val="single" w:sz="4" w:space="0" w:color="auto"/>
            </w:tcBorders>
            <w:vAlign w:val="center"/>
          </w:tcPr>
          <w:p w14:paraId="687836CA" w14:textId="77777777" w:rsidR="003A2C2E" w:rsidRPr="00D0409E" w:rsidRDefault="003A2C2E" w:rsidP="002E765D">
            <w:pPr>
              <w:jc w:val="both"/>
              <w:rPr>
                <w:rFonts w:ascii="Arial" w:hAnsi="Arial" w:cs="Arial"/>
                <w:i/>
                <w:iCs/>
                <w:sz w:val="20"/>
                <w:szCs w:val="20"/>
                <w:lang w:val="es-ES"/>
              </w:rPr>
            </w:pPr>
            <w:proofErr w:type="spellStart"/>
            <w:r w:rsidRPr="00D0409E">
              <w:rPr>
                <w:rFonts w:ascii="Arial" w:hAnsi="Arial" w:cs="Arial"/>
                <w:i/>
                <w:iCs/>
                <w:color w:val="000000"/>
                <w:sz w:val="20"/>
                <w:szCs w:val="20"/>
                <w:lang w:val="es-ES"/>
              </w:rPr>
              <w:t>Balaenoptera</w:t>
            </w:r>
            <w:proofErr w:type="spellEnd"/>
            <w:r w:rsidRPr="00D0409E">
              <w:rPr>
                <w:rFonts w:ascii="Arial" w:hAnsi="Arial" w:cs="Arial"/>
                <w:i/>
                <w:iCs/>
                <w:color w:val="000000"/>
                <w:sz w:val="20"/>
                <w:szCs w:val="20"/>
                <w:lang w:val="es-ES"/>
              </w:rPr>
              <w:t xml:space="preserve"> </w:t>
            </w:r>
            <w:proofErr w:type="spellStart"/>
            <w:r w:rsidRPr="00D0409E">
              <w:rPr>
                <w:rFonts w:ascii="Arial" w:hAnsi="Arial" w:cs="Arial"/>
                <w:i/>
                <w:iCs/>
                <w:color w:val="000000"/>
                <w:sz w:val="20"/>
                <w:szCs w:val="20"/>
                <w:lang w:val="es-ES"/>
              </w:rPr>
              <w:t>musculus</w:t>
            </w:r>
            <w:proofErr w:type="spellEnd"/>
          </w:p>
        </w:tc>
        <w:tc>
          <w:tcPr>
            <w:tcW w:w="1410" w:type="dxa"/>
            <w:tcBorders>
              <w:top w:val="single" w:sz="4" w:space="0" w:color="auto"/>
              <w:left w:val="single" w:sz="4" w:space="0" w:color="auto"/>
              <w:bottom w:val="single" w:sz="4" w:space="0" w:color="auto"/>
              <w:right w:val="single" w:sz="4" w:space="0" w:color="auto"/>
            </w:tcBorders>
          </w:tcPr>
          <w:p w14:paraId="66DAC982"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7271702B"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No se conocen informes</w:t>
            </w:r>
          </w:p>
        </w:tc>
      </w:tr>
      <w:tr w:rsidR="003A2C2E" w:rsidRPr="00895330" w14:paraId="2474C8B6"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7B25D70A"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Ballena jorobada</w:t>
            </w:r>
          </w:p>
        </w:tc>
        <w:tc>
          <w:tcPr>
            <w:tcW w:w="0" w:type="auto"/>
            <w:tcBorders>
              <w:top w:val="single" w:sz="4" w:space="0" w:color="auto"/>
              <w:left w:val="single" w:sz="4" w:space="0" w:color="auto"/>
              <w:bottom w:val="single" w:sz="4" w:space="0" w:color="auto"/>
              <w:right w:val="single" w:sz="4" w:space="0" w:color="auto"/>
            </w:tcBorders>
            <w:vAlign w:val="center"/>
          </w:tcPr>
          <w:p w14:paraId="75B7919E" w14:textId="77777777" w:rsidR="003A2C2E" w:rsidRPr="00D0409E" w:rsidRDefault="003A2C2E" w:rsidP="002E765D">
            <w:pPr>
              <w:jc w:val="both"/>
              <w:rPr>
                <w:rFonts w:ascii="Arial" w:hAnsi="Arial" w:cs="Arial"/>
                <w:i/>
                <w:iCs/>
                <w:sz w:val="20"/>
                <w:szCs w:val="20"/>
                <w:lang w:val="es-ES"/>
              </w:rPr>
            </w:pPr>
            <w:proofErr w:type="spellStart"/>
            <w:r w:rsidRPr="00D0409E">
              <w:rPr>
                <w:rFonts w:ascii="Arial" w:hAnsi="Arial" w:cs="Arial"/>
                <w:i/>
                <w:iCs/>
                <w:color w:val="000000"/>
                <w:sz w:val="20"/>
                <w:szCs w:val="20"/>
                <w:lang w:val="es-ES"/>
              </w:rPr>
              <w:t>Megaptera</w:t>
            </w:r>
            <w:proofErr w:type="spellEnd"/>
            <w:r w:rsidRPr="00D0409E">
              <w:rPr>
                <w:rFonts w:ascii="Arial" w:hAnsi="Arial" w:cs="Arial"/>
                <w:i/>
                <w:iCs/>
                <w:color w:val="000000"/>
                <w:sz w:val="20"/>
                <w:szCs w:val="20"/>
                <w:lang w:val="es-ES"/>
              </w:rPr>
              <w:t xml:space="preserve"> </w:t>
            </w:r>
            <w:proofErr w:type="spellStart"/>
            <w:r w:rsidRPr="00D0409E">
              <w:rPr>
                <w:rFonts w:ascii="Arial" w:hAnsi="Arial" w:cs="Arial"/>
                <w:i/>
                <w:iCs/>
                <w:color w:val="000000"/>
                <w:sz w:val="20"/>
                <w:szCs w:val="20"/>
                <w:lang w:val="es-ES"/>
              </w:rPr>
              <w:t>novaeangliae</w:t>
            </w:r>
            <w:proofErr w:type="spellEnd"/>
          </w:p>
        </w:tc>
        <w:tc>
          <w:tcPr>
            <w:tcW w:w="1410" w:type="dxa"/>
            <w:tcBorders>
              <w:top w:val="single" w:sz="4" w:space="0" w:color="auto"/>
              <w:left w:val="single" w:sz="4" w:space="0" w:color="auto"/>
              <w:bottom w:val="single" w:sz="4" w:space="0" w:color="auto"/>
              <w:right w:val="single" w:sz="4" w:space="0" w:color="auto"/>
            </w:tcBorders>
          </w:tcPr>
          <w:p w14:paraId="1E5A4553"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08223C6D"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themeColor="text1"/>
                <w:sz w:val="20"/>
                <w:szCs w:val="20"/>
                <w:lang w:val="es-ES"/>
              </w:rPr>
              <w:t>ASW y cacerías de pueblos indígenas locales</w:t>
            </w:r>
          </w:p>
        </w:tc>
      </w:tr>
      <w:tr w:rsidR="003A2C2E" w:rsidRPr="00D0409E" w14:paraId="6602EBE7"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2F44C0EA"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Delfín común</w:t>
            </w:r>
          </w:p>
        </w:tc>
        <w:tc>
          <w:tcPr>
            <w:tcW w:w="0" w:type="auto"/>
            <w:tcBorders>
              <w:top w:val="single" w:sz="4" w:space="0" w:color="auto"/>
              <w:left w:val="single" w:sz="4" w:space="0" w:color="auto"/>
              <w:bottom w:val="single" w:sz="4" w:space="0" w:color="auto"/>
              <w:right w:val="single" w:sz="4" w:space="0" w:color="auto"/>
            </w:tcBorders>
            <w:vAlign w:val="center"/>
          </w:tcPr>
          <w:p w14:paraId="7BA99FD4" w14:textId="77777777" w:rsidR="003A2C2E" w:rsidRPr="00D0409E" w:rsidRDefault="003A2C2E" w:rsidP="002E765D">
            <w:pPr>
              <w:jc w:val="both"/>
              <w:rPr>
                <w:rFonts w:ascii="Arial" w:hAnsi="Arial" w:cs="Arial"/>
                <w:i/>
                <w:iCs/>
                <w:sz w:val="20"/>
                <w:szCs w:val="20"/>
                <w:lang w:val="es-ES"/>
              </w:rPr>
            </w:pPr>
            <w:proofErr w:type="spellStart"/>
            <w:r w:rsidRPr="00D0409E">
              <w:rPr>
                <w:rFonts w:ascii="Arial" w:hAnsi="Arial" w:cs="Arial"/>
                <w:i/>
                <w:iCs/>
                <w:color w:val="000000"/>
                <w:sz w:val="20"/>
                <w:szCs w:val="20"/>
                <w:lang w:val="es-ES"/>
              </w:rPr>
              <w:t>Delphinus</w:t>
            </w:r>
            <w:proofErr w:type="spellEnd"/>
            <w:r w:rsidRPr="00D0409E">
              <w:rPr>
                <w:rFonts w:ascii="Arial" w:hAnsi="Arial" w:cs="Arial"/>
                <w:i/>
                <w:iCs/>
                <w:color w:val="000000"/>
                <w:sz w:val="20"/>
                <w:szCs w:val="20"/>
                <w:lang w:val="es-ES"/>
              </w:rPr>
              <w:t xml:space="preserve"> </w:t>
            </w:r>
            <w:proofErr w:type="spellStart"/>
            <w:r w:rsidRPr="00D0409E">
              <w:rPr>
                <w:rFonts w:ascii="Arial" w:hAnsi="Arial" w:cs="Arial"/>
                <w:i/>
                <w:iCs/>
                <w:color w:val="000000"/>
                <w:sz w:val="20"/>
                <w:szCs w:val="20"/>
                <w:lang w:val="es-ES"/>
              </w:rPr>
              <w:t>delphis</w:t>
            </w:r>
            <w:proofErr w:type="spellEnd"/>
            <w:r w:rsidRPr="00D0409E">
              <w:rPr>
                <w:rFonts w:ascii="Arial" w:hAnsi="Arial" w:cs="Arial"/>
                <w:i/>
                <w:iCs/>
                <w:color w:val="000000"/>
                <w:sz w:val="20"/>
                <w:szCs w:val="20"/>
                <w:lang w:val="es-ES"/>
              </w:rPr>
              <w:t xml:space="preserve"> </w:t>
            </w:r>
            <w:r w:rsidRPr="00D0409E">
              <w:rPr>
                <w:rFonts w:ascii="Arial" w:hAnsi="Arial" w:cs="Arial"/>
                <w:color w:val="000000"/>
                <w:sz w:val="20"/>
                <w:szCs w:val="20"/>
                <w:lang w:val="es-ES"/>
              </w:rPr>
              <w:t>(solo Mediterráneo)</w:t>
            </w:r>
          </w:p>
        </w:tc>
        <w:tc>
          <w:tcPr>
            <w:tcW w:w="1410" w:type="dxa"/>
            <w:tcBorders>
              <w:top w:val="single" w:sz="4" w:space="0" w:color="auto"/>
              <w:left w:val="single" w:sz="4" w:space="0" w:color="auto"/>
              <w:bottom w:val="single" w:sz="4" w:space="0" w:color="auto"/>
              <w:right w:val="single" w:sz="4" w:space="0" w:color="auto"/>
            </w:tcBorders>
            <w:vAlign w:val="center"/>
          </w:tcPr>
          <w:p w14:paraId="35658B84"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13A61867"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No se conocen informes</w:t>
            </w:r>
          </w:p>
        </w:tc>
      </w:tr>
      <w:tr w:rsidR="003A2C2E" w:rsidRPr="00D0409E" w14:paraId="06141AC6" w14:textId="77777777" w:rsidTr="009D3746">
        <w:trPr>
          <w:tblHeader/>
        </w:trPr>
        <w:tc>
          <w:tcPr>
            <w:tcW w:w="0" w:type="auto"/>
            <w:tcBorders>
              <w:top w:val="single" w:sz="4" w:space="0" w:color="auto"/>
              <w:left w:val="single" w:sz="4" w:space="0" w:color="auto"/>
              <w:right w:val="single" w:sz="4" w:space="0" w:color="auto"/>
            </w:tcBorders>
            <w:vAlign w:val="center"/>
          </w:tcPr>
          <w:p w14:paraId="1920D782"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 xml:space="preserve">Delfín de </w:t>
            </w:r>
            <w:proofErr w:type="spellStart"/>
            <w:r w:rsidRPr="00D0409E">
              <w:rPr>
                <w:rFonts w:ascii="Arial" w:hAnsi="Arial" w:cs="Arial"/>
                <w:color w:val="000000"/>
                <w:sz w:val="20"/>
                <w:szCs w:val="20"/>
                <w:lang w:val="es-ES"/>
              </w:rPr>
              <w:t>Lahille</w:t>
            </w:r>
            <w:proofErr w:type="spellEnd"/>
          </w:p>
        </w:tc>
        <w:tc>
          <w:tcPr>
            <w:tcW w:w="0" w:type="auto"/>
            <w:tcBorders>
              <w:top w:val="single" w:sz="4" w:space="0" w:color="auto"/>
              <w:left w:val="single" w:sz="4" w:space="0" w:color="auto"/>
              <w:right w:val="single" w:sz="4" w:space="0" w:color="auto"/>
            </w:tcBorders>
            <w:vAlign w:val="center"/>
          </w:tcPr>
          <w:p w14:paraId="1BF860DC" w14:textId="77777777" w:rsidR="003A2C2E" w:rsidRPr="00D0409E" w:rsidRDefault="003A2C2E" w:rsidP="002E765D">
            <w:pPr>
              <w:jc w:val="both"/>
              <w:rPr>
                <w:rFonts w:ascii="Arial" w:hAnsi="Arial" w:cs="Arial"/>
                <w:i/>
                <w:iCs/>
                <w:sz w:val="20"/>
                <w:szCs w:val="20"/>
                <w:lang w:val="es-ES"/>
              </w:rPr>
            </w:pPr>
            <w:proofErr w:type="spellStart"/>
            <w:r w:rsidRPr="00D0409E">
              <w:rPr>
                <w:rFonts w:ascii="Arial" w:hAnsi="Arial" w:cs="Arial"/>
                <w:i/>
                <w:iCs/>
                <w:color w:val="000000"/>
                <w:sz w:val="20"/>
                <w:szCs w:val="20"/>
                <w:lang w:val="es-ES"/>
              </w:rPr>
              <w:t>Tursiops</w:t>
            </w:r>
            <w:proofErr w:type="spellEnd"/>
            <w:r w:rsidRPr="00D0409E">
              <w:rPr>
                <w:rFonts w:ascii="Arial" w:hAnsi="Arial" w:cs="Arial"/>
                <w:i/>
                <w:iCs/>
                <w:color w:val="000000"/>
                <w:sz w:val="20"/>
                <w:szCs w:val="20"/>
                <w:lang w:val="es-ES"/>
              </w:rPr>
              <w:t xml:space="preserve"> </w:t>
            </w:r>
            <w:proofErr w:type="spellStart"/>
            <w:r w:rsidRPr="00D0409E">
              <w:rPr>
                <w:rFonts w:ascii="Arial" w:hAnsi="Arial" w:cs="Arial"/>
                <w:i/>
                <w:iCs/>
                <w:color w:val="000000"/>
                <w:sz w:val="20"/>
                <w:szCs w:val="20"/>
                <w:lang w:val="es-ES"/>
              </w:rPr>
              <w:t>truncatus</w:t>
            </w:r>
            <w:proofErr w:type="spellEnd"/>
            <w:r w:rsidRPr="00D0409E">
              <w:rPr>
                <w:rFonts w:ascii="Arial" w:hAnsi="Arial" w:cs="Arial"/>
                <w:i/>
                <w:iCs/>
                <w:color w:val="000000"/>
                <w:sz w:val="20"/>
                <w:szCs w:val="20"/>
                <w:lang w:val="es-ES"/>
              </w:rPr>
              <w:t xml:space="preserve"> </w:t>
            </w:r>
            <w:proofErr w:type="spellStart"/>
            <w:r w:rsidRPr="00D0409E">
              <w:rPr>
                <w:rFonts w:ascii="Arial" w:hAnsi="Arial" w:cs="Arial"/>
                <w:i/>
                <w:iCs/>
                <w:color w:val="000000"/>
                <w:sz w:val="20"/>
                <w:szCs w:val="20"/>
                <w:lang w:val="es-ES"/>
              </w:rPr>
              <w:t>gephyreus</w:t>
            </w:r>
            <w:proofErr w:type="spellEnd"/>
          </w:p>
        </w:tc>
        <w:tc>
          <w:tcPr>
            <w:tcW w:w="1410" w:type="dxa"/>
            <w:tcBorders>
              <w:top w:val="single" w:sz="4" w:space="0" w:color="auto"/>
              <w:left w:val="single" w:sz="4" w:space="0" w:color="auto"/>
              <w:right w:val="single" w:sz="4" w:space="0" w:color="auto"/>
            </w:tcBorders>
          </w:tcPr>
          <w:p w14:paraId="22A8881A"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right w:val="single" w:sz="4" w:space="0" w:color="auto"/>
            </w:tcBorders>
            <w:vAlign w:val="center"/>
          </w:tcPr>
          <w:p w14:paraId="367A1F6B"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No se conocen informes</w:t>
            </w:r>
          </w:p>
        </w:tc>
      </w:tr>
      <w:tr w:rsidR="003A2C2E" w:rsidRPr="00D0409E" w14:paraId="57165E3B"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4C53DBAC"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Delfín mular</w:t>
            </w:r>
          </w:p>
        </w:tc>
        <w:tc>
          <w:tcPr>
            <w:tcW w:w="0" w:type="auto"/>
            <w:tcBorders>
              <w:top w:val="single" w:sz="4" w:space="0" w:color="auto"/>
              <w:left w:val="single" w:sz="4" w:space="0" w:color="auto"/>
              <w:bottom w:val="single" w:sz="4" w:space="0" w:color="auto"/>
              <w:right w:val="single" w:sz="4" w:space="0" w:color="auto"/>
            </w:tcBorders>
            <w:vAlign w:val="center"/>
          </w:tcPr>
          <w:p w14:paraId="481F22BC" w14:textId="77777777" w:rsidR="003A2C2E" w:rsidRPr="00D0409E" w:rsidRDefault="003A2C2E" w:rsidP="002E765D">
            <w:pPr>
              <w:jc w:val="both"/>
              <w:rPr>
                <w:rFonts w:ascii="Arial" w:hAnsi="Arial" w:cs="Arial"/>
                <w:i/>
                <w:iCs/>
                <w:sz w:val="20"/>
                <w:szCs w:val="20"/>
                <w:lang w:val="es-ES"/>
              </w:rPr>
            </w:pPr>
            <w:proofErr w:type="spellStart"/>
            <w:r w:rsidRPr="00D0409E">
              <w:rPr>
                <w:rFonts w:ascii="Arial" w:hAnsi="Arial" w:cs="Arial"/>
                <w:i/>
                <w:iCs/>
                <w:color w:val="000000"/>
                <w:sz w:val="20"/>
                <w:szCs w:val="20"/>
                <w:lang w:val="es-ES"/>
              </w:rPr>
              <w:t>Tursiops</w:t>
            </w:r>
            <w:proofErr w:type="spellEnd"/>
            <w:r w:rsidRPr="00D0409E">
              <w:rPr>
                <w:rFonts w:ascii="Arial" w:hAnsi="Arial" w:cs="Arial"/>
                <w:i/>
                <w:iCs/>
                <w:color w:val="000000"/>
                <w:sz w:val="20"/>
                <w:szCs w:val="20"/>
                <w:lang w:val="es-ES"/>
              </w:rPr>
              <w:t xml:space="preserve"> </w:t>
            </w:r>
            <w:proofErr w:type="spellStart"/>
            <w:r w:rsidRPr="00D0409E">
              <w:rPr>
                <w:rFonts w:ascii="Arial" w:hAnsi="Arial" w:cs="Arial"/>
                <w:i/>
                <w:iCs/>
                <w:color w:val="000000"/>
                <w:sz w:val="20"/>
                <w:szCs w:val="20"/>
                <w:lang w:val="es-ES"/>
              </w:rPr>
              <w:t>truncatus</w:t>
            </w:r>
            <w:proofErr w:type="spellEnd"/>
            <w:r w:rsidRPr="00D0409E">
              <w:rPr>
                <w:rFonts w:ascii="Arial" w:hAnsi="Arial" w:cs="Arial"/>
                <w:i/>
                <w:iCs/>
                <w:color w:val="000000"/>
                <w:sz w:val="20"/>
                <w:szCs w:val="20"/>
                <w:lang w:val="es-ES"/>
              </w:rPr>
              <w:t xml:space="preserve"> </w:t>
            </w:r>
            <w:proofErr w:type="spellStart"/>
            <w:r w:rsidRPr="00D0409E">
              <w:rPr>
                <w:rFonts w:ascii="Arial" w:hAnsi="Arial" w:cs="Arial"/>
                <w:i/>
                <w:iCs/>
                <w:color w:val="000000"/>
                <w:sz w:val="20"/>
                <w:szCs w:val="20"/>
                <w:lang w:val="es-ES"/>
              </w:rPr>
              <w:t>ponticus</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6D846A8C"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0BF87E6A"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Ilegal</w:t>
            </w:r>
          </w:p>
        </w:tc>
      </w:tr>
      <w:tr w:rsidR="003A2C2E" w:rsidRPr="00D0409E" w14:paraId="65E0047E"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1029E058"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 xml:space="preserve">Delfín de </w:t>
            </w:r>
            <w:proofErr w:type="spellStart"/>
            <w:r w:rsidRPr="00D0409E">
              <w:rPr>
                <w:rFonts w:ascii="Arial" w:hAnsi="Arial" w:cs="Arial"/>
                <w:color w:val="000000"/>
                <w:sz w:val="20"/>
                <w:szCs w:val="20"/>
                <w:lang w:val="es-ES"/>
              </w:rPr>
              <w:t>Irrawaddy</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31903A74" w14:textId="77777777" w:rsidR="003A2C2E" w:rsidRPr="00D0409E" w:rsidRDefault="003A2C2E" w:rsidP="002E765D">
            <w:pPr>
              <w:jc w:val="both"/>
              <w:rPr>
                <w:rFonts w:ascii="Arial" w:hAnsi="Arial" w:cs="Arial"/>
                <w:i/>
                <w:iCs/>
                <w:sz w:val="20"/>
                <w:szCs w:val="20"/>
                <w:lang w:val="es-ES"/>
              </w:rPr>
            </w:pPr>
            <w:proofErr w:type="spellStart"/>
            <w:r w:rsidRPr="00D0409E">
              <w:rPr>
                <w:rFonts w:ascii="Arial" w:hAnsi="Arial" w:cs="Arial"/>
                <w:i/>
                <w:iCs/>
                <w:sz w:val="20"/>
                <w:szCs w:val="20"/>
                <w:lang w:val="es-ES"/>
              </w:rPr>
              <w:t>Orcaella</w:t>
            </w:r>
            <w:proofErr w:type="spellEnd"/>
            <w:r w:rsidRPr="00D0409E">
              <w:rPr>
                <w:rFonts w:ascii="Arial" w:hAnsi="Arial" w:cs="Arial"/>
                <w:i/>
                <w:iCs/>
                <w:sz w:val="20"/>
                <w:szCs w:val="20"/>
                <w:lang w:val="es-ES"/>
              </w:rPr>
              <w:t xml:space="preserve"> </w:t>
            </w:r>
            <w:proofErr w:type="spellStart"/>
            <w:r w:rsidRPr="00D0409E">
              <w:rPr>
                <w:rFonts w:ascii="Arial" w:hAnsi="Arial" w:cs="Arial"/>
                <w:i/>
                <w:iCs/>
                <w:sz w:val="20"/>
                <w:szCs w:val="20"/>
                <w:lang w:val="es-ES"/>
              </w:rPr>
              <w:t>brevirostris</w:t>
            </w:r>
            <w:proofErr w:type="spellEnd"/>
          </w:p>
        </w:tc>
        <w:tc>
          <w:tcPr>
            <w:tcW w:w="1410" w:type="dxa"/>
            <w:tcBorders>
              <w:top w:val="single" w:sz="4" w:space="0" w:color="auto"/>
              <w:left w:val="single" w:sz="4" w:space="0" w:color="auto"/>
              <w:bottom w:val="single" w:sz="4" w:space="0" w:color="auto"/>
              <w:right w:val="single" w:sz="4" w:space="0" w:color="auto"/>
            </w:tcBorders>
          </w:tcPr>
          <w:p w14:paraId="051F4D9C" w14:textId="77777777" w:rsidR="003A2C2E" w:rsidRPr="00D0409E" w:rsidRDefault="003A2C2E" w:rsidP="002E765D">
            <w:pPr>
              <w:jc w:val="both"/>
              <w:rPr>
                <w:rFonts w:ascii="Arial" w:hAnsi="Arial" w:cs="Arial"/>
                <w:i/>
                <w:iCs/>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1CF10881" w14:textId="77777777" w:rsidR="003A2C2E" w:rsidRPr="00D0409E" w:rsidRDefault="003A2C2E" w:rsidP="002E765D">
            <w:pPr>
              <w:jc w:val="both"/>
              <w:rPr>
                <w:rFonts w:ascii="Arial" w:hAnsi="Arial" w:cs="Arial"/>
                <w:sz w:val="20"/>
                <w:szCs w:val="20"/>
                <w:lang w:val="es-ES"/>
              </w:rPr>
            </w:pPr>
            <w:r w:rsidRPr="00D0409E">
              <w:rPr>
                <w:rFonts w:ascii="Arial" w:hAnsi="Arial" w:cs="Arial"/>
                <w:sz w:val="20"/>
                <w:szCs w:val="20"/>
                <w:lang w:val="es-ES"/>
              </w:rPr>
              <w:t>Ilegal</w:t>
            </w:r>
          </w:p>
        </w:tc>
      </w:tr>
      <w:tr w:rsidR="003A2C2E" w:rsidRPr="00D0409E" w14:paraId="27C3A762"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5E19487D" w14:textId="77777777" w:rsidR="003A2C2E" w:rsidRPr="00D0409E" w:rsidRDefault="003A2C2E" w:rsidP="002E765D">
            <w:pPr>
              <w:jc w:val="both"/>
              <w:rPr>
                <w:rFonts w:ascii="Arial" w:hAnsi="Arial" w:cs="Arial"/>
                <w:color w:val="000000"/>
                <w:sz w:val="20"/>
                <w:szCs w:val="20"/>
                <w:highlight w:val="yellow"/>
                <w:lang w:val="es-ES"/>
              </w:rPr>
            </w:pPr>
            <w:r w:rsidRPr="00D0409E">
              <w:rPr>
                <w:rFonts w:ascii="Arial" w:hAnsi="Arial" w:cs="Arial"/>
                <w:color w:val="000000" w:themeColor="text1"/>
                <w:sz w:val="20"/>
                <w:szCs w:val="20"/>
                <w:lang w:val="es-ES"/>
              </w:rPr>
              <w:t>Bufeo africano</w:t>
            </w:r>
          </w:p>
        </w:tc>
        <w:tc>
          <w:tcPr>
            <w:tcW w:w="0" w:type="auto"/>
            <w:tcBorders>
              <w:top w:val="single" w:sz="4" w:space="0" w:color="auto"/>
              <w:left w:val="single" w:sz="4" w:space="0" w:color="auto"/>
              <w:bottom w:val="single" w:sz="4" w:space="0" w:color="auto"/>
              <w:right w:val="single" w:sz="4" w:space="0" w:color="auto"/>
            </w:tcBorders>
            <w:vAlign w:val="center"/>
          </w:tcPr>
          <w:p w14:paraId="0AFEC0C6" w14:textId="77777777" w:rsidR="003A2C2E" w:rsidRPr="00D0409E" w:rsidRDefault="003A2C2E" w:rsidP="002E765D">
            <w:pPr>
              <w:jc w:val="both"/>
              <w:rPr>
                <w:rFonts w:ascii="Arial" w:hAnsi="Arial" w:cs="Arial"/>
                <w:i/>
                <w:iCs/>
                <w:sz w:val="20"/>
                <w:szCs w:val="20"/>
                <w:lang w:val="es-ES"/>
              </w:rPr>
            </w:pPr>
            <w:r w:rsidRPr="00D0409E">
              <w:rPr>
                <w:rFonts w:ascii="Arial" w:hAnsi="Arial" w:cs="Arial"/>
                <w:i/>
                <w:iCs/>
                <w:color w:val="000000"/>
                <w:sz w:val="20"/>
                <w:szCs w:val="20"/>
                <w:lang w:val="es-ES"/>
              </w:rPr>
              <w:t xml:space="preserve">Sousa </w:t>
            </w:r>
            <w:proofErr w:type="spellStart"/>
            <w:r w:rsidRPr="00D0409E">
              <w:rPr>
                <w:rFonts w:ascii="Arial" w:hAnsi="Arial" w:cs="Arial"/>
                <w:i/>
                <w:iCs/>
                <w:color w:val="000000"/>
                <w:sz w:val="20"/>
                <w:szCs w:val="20"/>
                <w:lang w:val="es-ES"/>
              </w:rPr>
              <w:t>teuszii</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6A362BD7"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3B3CD4FC"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Ilegal</w:t>
            </w:r>
          </w:p>
        </w:tc>
      </w:tr>
      <w:tr w:rsidR="003A2C2E" w:rsidRPr="00D0409E" w14:paraId="4C3BFA2C"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17F91A4B"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Marsopa común del Báltico</w:t>
            </w:r>
          </w:p>
        </w:tc>
        <w:tc>
          <w:tcPr>
            <w:tcW w:w="0" w:type="auto"/>
            <w:tcBorders>
              <w:top w:val="single" w:sz="4" w:space="0" w:color="auto"/>
              <w:left w:val="single" w:sz="4" w:space="0" w:color="auto"/>
              <w:bottom w:val="single" w:sz="4" w:space="0" w:color="auto"/>
              <w:right w:val="single" w:sz="4" w:space="0" w:color="auto"/>
            </w:tcBorders>
            <w:vAlign w:val="center"/>
          </w:tcPr>
          <w:p w14:paraId="4A7271DB" w14:textId="77777777" w:rsidR="003A2C2E" w:rsidRPr="00D0409E" w:rsidRDefault="003A2C2E" w:rsidP="002E765D">
            <w:pPr>
              <w:jc w:val="both"/>
              <w:rPr>
                <w:rFonts w:ascii="Arial" w:hAnsi="Arial" w:cs="Arial"/>
                <w:i/>
                <w:iCs/>
                <w:sz w:val="20"/>
                <w:szCs w:val="20"/>
                <w:lang w:val="es-ES"/>
              </w:rPr>
            </w:pPr>
            <w:proofErr w:type="spellStart"/>
            <w:r w:rsidRPr="00D0409E">
              <w:rPr>
                <w:rFonts w:ascii="Arial" w:hAnsi="Arial" w:cs="Arial"/>
                <w:i/>
                <w:iCs/>
                <w:color w:val="000000"/>
                <w:sz w:val="20"/>
                <w:szCs w:val="20"/>
                <w:lang w:val="es-ES"/>
              </w:rPr>
              <w:t>Phocoena</w:t>
            </w:r>
            <w:proofErr w:type="spellEnd"/>
            <w:r w:rsidRPr="00D0409E">
              <w:rPr>
                <w:rFonts w:ascii="Arial" w:hAnsi="Arial" w:cs="Arial"/>
                <w:i/>
                <w:iCs/>
                <w:color w:val="000000"/>
                <w:sz w:val="20"/>
                <w:szCs w:val="20"/>
                <w:lang w:val="es-ES"/>
              </w:rPr>
              <w:t xml:space="preserve"> </w:t>
            </w:r>
            <w:proofErr w:type="spellStart"/>
            <w:r w:rsidRPr="00D0409E">
              <w:rPr>
                <w:rFonts w:ascii="Arial" w:hAnsi="Arial" w:cs="Arial"/>
                <w:i/>
                <w:iCs/>
                <w:color w:val="000000"/>
                <w:sz w:val="20"/>
                <w:szCs w:val="20"/>
                <w:lang w:val="es-ES"/>
              </w:rPr>
              <w:t>phocoena</w:t>
            </w:r>
            <w:proofErr w:type="spellEnd"/>
            <w:r w:rsidRPr="00D0409E">
              <w:rPr>
                <w:rFonts w:ascii="Arial" w:hAnsi="Arial" w:cs="Arial"/>
                <w:i/>
                <w:iCs/>
                <w:color w:val="000000"/>
                <w:sz w:val="20"/>
                <w:szCs w:val="20"/>
                <w:lang w:val="es-ES"/>
              </w:rPr>
              <w:t xml:space="preserve"> </w:t>
            </w:r>
            <w:r w:rsidRPr="00D0409E">
              <w:rPr>
                <w:rFonts w:ascii="Arial" w:hAnsi="Arial" w:cs="Arial"/>
                <w:color w:val="000000"/>
                <w:sz w:val="20"/>
                <w:szCs w:val="20"/>
                <w:lang w:val="es-ES"/>
              </w:rPr>
              <w:t>(subpoblación del Báltico)</w:t>
            </w:r>
          </w:p>
        </w:tc>
        <w:tc>
          <w:tcPr>
            <w:tcW w:w="1410" w:type="dxa"/>
            <w:tcBorders>
              <w:top w:val="single" w:sz="4" w:space="0" w:color="auto"/>
              <w:left w:val="single" w:sz="4" w:space="0" w:color="auto"/>
              <w:bottom w:val="single" w:sz="4" w:space="0" w:color="auto"/>
              <w:right w:val="single" w:sz="4" w:space="0" w:color="auto"/>
            </w:tcBorders>
            <w:vAlign w:val="center"/>
          </w:tcPr>
          <w:p w14:paraId="2386CAC2"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051D330C"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themeColor="text1"/>
                <w:sz w:val="20"/>
                <w:szCs w:val="20"/>
                <w:lang w:val="es-ES"/>
              </w:rPr>
              <w:t>No se conocen informes</w:t>
            </w:r>
          </w:p>
        </w:tc>
      </w:tr>
      <w:tr w:rsidR="003A2C2E" w:rsidRPr="00895330" w14:paraId="35E825CE"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33F94745"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Cachalote</w:t>
            </w:r>
          </w:p>
        </w:tc>
        <w:tc>
          <w:tcPr>
            <w:tcW w:w="0" w:type="auto"/>
            <w:tcBorders>
              <w:top w:val="single" w:sz="4" w:space="0" w:color="auto"/>
              <w:left w:val="single" w:sz="4" w:space="0" w:color="auto"/>
              <w:bottom w:val="single" w:sz="4" w:space="0" w:color="auto"/>
              <w:right w:val="single" w:sz="4" w:space="0" w:color="auto"/>
            </w:tcBorders>
            <w:vAlign w:val="center"/>
          </w:tcPr>
          <w:p w14:paraId="7D30015F" w14:textId="77777777" w:rsidR="003A2C2E" w:rsidRPr="00D0409E" w:rsidRDefault="003A2C2E" w:rsidP="002E765D">
            <w:pPr>
              <w:jc w:val="both"/>
              <w:rPr>
                <w:rFonts w:ascii="Arial" w:hAnsi="Arial" w:cs="Arial"/>
                <w:i/>
                <w:iCs/>
                <w:sz w:val="20"/>
                <w:szCs w:val="20"/>
                <w:lang w:val="es-ES"/>
              </w:rPr>
            </w:pPr>
            <w:proofErr w:type="spellStart"/>
            <w:r w:rsidRPr="00D0409E">
              <w:rPr>
                <w:rFonts w:ascii="Arial" w:hAnsi="Arial" w:cs="Arial"/>
                <w:i/>
                <w:iCs/>
                <w:color w:val="000000"/>
                <w:sz w:val="20"/>
                <w:szCs w:val="20"/>
                <w:lang w:val="es-ES"/>
              </w:rPr>
              <w:t>Physeter</w:t>
            </w:r>
            <w:proofErr w:type="spellEnd"/>
            <w:r w:rsidRPr="00D0409E">
              <w:rPr>
                <w:rFonts w:ascii="Arial" w:hAnsi="Arial" w:cs="Arial"/>
                <w:i/>
                <w:iCs/>
                <w:color w:val="000000"/>
                <w:sz w:val="20"/>
                <w:szCs w:val="20"/>
                <w:lang w:val="es-ES"/>
              </w:rPr>
              <w:t xml:space="preserve"> </w:t>
            </w:r>
            <w:proofErr w:type="spellStart"/>
            <w:r w:rsidRPr="00D0409E">
              <w:rPr>
                <w:rFonts w:ascii="Arial" w:hAnsi="Arial" w:cs="Arial"/>
                <w:i/>
                <w:iCs/>
                <w:color w:val="000000"/>
                <w:sz w:val="20"/>
                <w:szCs w:val="20"/>
                <w:lang w:val="es-ES"/>
              </w:rPr>
              <w:t>macrocephalus</w:t>
            </w:r>
            <w:proofErr w:type="spellEnd"/>
          </w:p>
        </w:tc>
        <w:tc>
          <w:tcPr>
            <w:tcW w:w="1410" w:type="dxa"/>
            <w:tcBorders>
              <w:top w:val="single" w:sz="4" w:space="0" w:color="auto"/>
              <w:left w:val="single" w:sz="4" w:space="0" w:color="auto"/>
              <w:bottom w:val="single" w:sz="4" w:space="0" w:color="auto"/>
              <w:right w:val="single" w:sz="4" w:space="0" w:color="auto"/>
            </w:tcBorders>
          </w:tcPr>
          <w:p w14:paraId="35B19B83"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79A7D01F"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themeColor="text1"/>
                <w:sz w:val="20"/>
                <w:szCs w:val="20"/>
                <w:lang w:val="es-ES"/>
              </w:rPr>
              <w:t>Cacerías de pueblos indígenas locales</w:t>
            </w:r>
          </w:p>
        </w:tc>
      </w:tr>
      <w:tr w:rsidR="003A2C2E" w:rsidRPr="00D0409E" w14:paraId="4C3FE777"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25FF2315"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Delfín del Ganges</w:t>
            </w:r>
          </w:p>
        </w:tc>
        <w:tc>
          <w:tcPr>
            <w:tcW w:w="0" w:type="auto"/>
            <w:tcBorders>
              <w:top w:val="single" w:sz="4" w:space="0" w:color="auto"/>
              <w:left w:val="single" w:sz="4" w:space="0" w:color="auto"/>
              <w:bottom w:val="single" w:sz="4" w:space="0" w:color="auto"/>
              <w:right w:val="single" w:sz="4" w:space="0" w:color="auto"/>
            </w:tcBorders>
            <w:vAlign w:val="center"/>
          </w:tcPr>
          <w:p w14:paraId="47F1AEE6" w14:textId="77777777" w:rsidR="003A2C2E" w:rsidRPr="00D0409E" w:rsidRDefault="003A2C2E" w:rsidP="002E765D">
            <w:pPr>
              <w:jc w:val="both"/>
              <w:rPr>
                <w:rFonts w:ascii="Arial" w:hAnsi="Arial" w:cs="Arial"/>
                <w:i/>
                <w:iCs/>
                <w:sz w:val="20"/>
                <w:szCs w:val="20"/>
                <w:lang w:val="es-ES"/>
              </w:rPr>
            </w:pPr>
            <w:proofErr w:type="spellStart"/>
            <w:r w:rsidRPr="00D0409E">
              <w:rPr>
                <w:rFonts w:ascii="Arial" w:hAnsi="Arial" w:cs="Arial"/>
                <w:i/>
                <w:iCs/>
                <w:color w:val="000000"/>
                <w:sz w:val="20"/>
                <w:szCs w:val="20"/>
                <w:lang w:val="es-ES"/>
              </w:rPr>
              <w:t>Platanista</w:t>
            </w:r>
            <w:proofErr w:type="spellEnd"/>
            <w:r w:rsidRPr="00D0409E">
              <w:rPr>
                <w:rFonts w:ascii="Arial" w:hAnsi="Arial" w:cs="Arial"/>
                <w:i/>
                <w:iCs/>
                <w:color w:val="000000"/>
                <w:sz w:val="20"/>
                <w:szCs w:val="20"/>
                <w:lang w:val="es-ES"/>
              </w:rPr>
              <w:t xml:space="preserve"> </w:t>
            </w:r>
            <w:proofErr w:type="spellStart"/>
            <w:r w:rsidRPr="00D0409E">
              <w:rPr>
                <w:rFonts w:ascii="Arial" w:hAnsi="Arial" w:cs="Arial"/>
                <w:i/>
                <w:iCs/>
                <w:color w:val="000000"/>
                <w:sz w:val="20"/>
                <w:szCs w:val="20"/>
                <w:lang w:val="es-ES"/>
              </w:rPr>
              <w:t>gangetica</w:t>
            </w:r>
            <w:proofErr w:type="spellEnd"/>
          </w:p>
        </w:tc>
        <w:tc>
          <w:tcPr>
            <w:tcW w:w="1410" w:type="dxa"/>
            <w:tcBorders>
              <w:top w:val="single" w:sz="4" w:space="0" w:color="auto"/>
              <w:left w:val="single" w:sz="4" w:space="0" w:color="auto"/>
              <w:bottom w:val="single" w:sz="4" w:space="0" w:color="auto"/>
              <w:right w:val="single" w:sz="4" w:space="0" w:color="auto"/>
            </w:tcBorders>
          </w:tcPr>
          <w:p w14:paraId="1DCF9854"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4013A223"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Ilegal</w:t>
            </w:r>
          </w:p>
        </w:tc>
      </w:tr>
      <w:tr w:rsidR="003A2C2E" w:rsidRPr="00D0409E" w14:paraId="7A151C62"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4A9F9666"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Delfín de la Plata</w:t>
            </w:r>
          </w:p>
        </w:tc>
        <w:tc>
          <w:tcPr>
            <w:tcW w:w="0" w:type="auto"/>
            <w:tcBorders>
              <w:top w:val="single" w:sz="4" w:space="0" w:color="auto"/>
              <w:left w:val="single" w:sz="4" w:space="0" w:color="auto"/>
              <w:bottom w:val="single" w:sz="4" w:space="0" w:color="auto"/>
              <w:right w:val="single" w:sz="4" w:space="0" w:color="auto"/>
            </w:tcBorders>
            <w:vAlign w:val="center"/>
          </w:tcPr>
          <w:p w14:paraId="67599C8C" w14:textId="77777777" w:rsidR="003A2C2E" w:rsidRPr="00D0409E" w:rsidRDefault="003A2C2E" w:rsidP="002E765D">
            <w:pPr>
              <w:jc w:val="both"/>
              <w:rPr>
                <w:rFonts w:ascii="Arial" w:hAnsi="Arial" w:cs="Arial"/>
                <w:i/>
                <w:iCs/>
                <w:sz w:val="20"/>
                <w:szCs w:val="20"/>
                <w:lang w:val="es-ES"/>
              </w:rPr>
            </w:pPr>
            <w:proofErr w:type="spellStart"/>
            <w:r w:rsidRPr="00D0409E">
              <w:rPr>
                <w:rFonts w:ascii="Arial" w:hAnsi="Arial" w:cs="Arial"/>
                <w:i/>
                <w:iCs/>
                <w:color w:val="000000"/>
                <w:sz w:val="20"/>
                <w:szCs w:val="20"/>
                <w:lang w:val="es-ES"/>
              </w:rPr>
              <w:t>Pontoporia</w:t>
            </w:r>
            <w:proofErr w:type="spellEnd"/>
            <w:r w:rsidRPr="00D0409E">
              <w:rPr>
                <w:rFonts w:ascii="Arial" w:hAnsi="Arial" w:cs="Arial"/>
                <w:i/>
                <w:iCs/>
                <w:color w:val="000000"/>
                <w:sz w:val="20"/>
                <w:szCs w:val="20"/>
                <w:lang w:val="es-ES"/>
              </w:rPr>
              <w:t xml:space="preserve"> </w:t>
            </w:r>
            <w:proofErr w:type="spellStart"/>
            <w:r w:rsidRPr="00D0409E">
              <w:rPr>
                <w:rFonts w:ascii="Arial" w:hAnsi="Arial" w:cs="Arial"/>
                <w:i/>
                <w:iCs/>
                <w:color w:val="000000"/>
                <w:sz w:val="20"/>
                <w:szCs w:val="20"/>
                <w:lang w:val="es-ES"/>
              </w:rPr>
              <w:t>blainvillei</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73D78A5C"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2EE3F404"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Ilegal</w:t>
            </w:r>
          </w:p>
        </w:tc>
      </w:tr>
      <w:tr w:rsidR="003A2C2E" w:rsidRPr="00D0409E" w14:paraId="01B9FF7C" w14:textId="77777777" w:rsidTr="009D3746">
        <w:trPr>
          <w:tblHeader/>
        </w:trPr>
        <w:tc>
          <w:tcPr>
            <w:tcW w:w="0" w:type="auto"/>
            <w:tcBorders>
              <w:top w:val="single" w:sz="4" w:space="0" w:color="auto"/>
              <w:left w:val="single" w:sz="4" w:space="0" w:color="auto"/>
              <w:bottom w:val="double" w:sz="4" w:space="0" w:color="auto"/>
              <w:right w:val="single" w:sz="4" w:space="0" w:color="auto"/>
            </w:tcBorders>
            <w:vAlign w:val="center"/>
          </w:tcPr>
          <w:p w14:paraId="16EEE120" w14:textId="77777777" w:rsidR="003A2C2E" w:rsidRPr="00D0409E" w:rsidRDefault="003A2C2E" w:rsidP="009D3746">
            <w:pPr>
              <w:rPr>
                <w:rFonts w:ascii="Arial" w:hAnsi="Arial" w:cs="Arial"/>
                <w:color w:val="000000"/>
                <w:sz w:val="20"/>
                <w:szCs w:val="20"/>
                <w:lang w:val="es-ES"/>
              </w:rPr>
            </w:pPr>
            <w:proofErr w:type="spellStart"/>
            <w:r w:rsidRPr="00D0409E">
              <w:rPr>
                <w:rFonts w:ascii="Arial" w:hAnsi="Arial" w:cs="Arial"/>
                <w:color w:val="000000"/>
                <w:sz w:val="20"/>
                <w:szCs w:val="20"/>
                <w:lang w:val="es-ES"/>
              </w:rPr>
              <w:t>Ziphio</w:t>
            </w:r>
            <w:proofErr w:type="spellEnd"/>
            <w:r w:rsidRPr="00D0409E">
              <w:rPr>
                <w:rFonts w:ascii="Arial" w:hAnsi="Arial" w:cs="Arial"/>
                <w:color w:val="000000"/>
                <w:sz w:val="20"/>
                <w:szCs w:val="20"/>
                <w:lang w:val="es-ES"/>
              </w:rPr>
              <w:t xml:space="preserve"> de Cuvier</w:t>
            </w:r>
          </w:p>
        </w:tc>
        <w:tc>
          <w:tcPr>
            <w:tcW w:w="0" w:type="auto"/>
            <w:tcBorders>
              <w:top w:val="single" w:sz="4" w:space="0" w:color="auto"/>
              <w:left w:val="single" w:sz="4" w:space="0" w:color="auto"/>
              <w:bottom w:val="double" w:sz="4" w:space="0" w:color="auto"/>
              <w:right w:val="single" w:sz="4" w:space="0" w:color="auto"/>
            </w:tcBorders>
            <w:vAlign w:val="center"/>
          </w:tcPr>
          <w:p w14:paraId="653F5679" w14:textId="77777777" w:rsidR="003A2C2E" w:rsidRPr="00D0409E" w:rsidRDefault="003A2C2E" w:rsidP="009D3746">
            <w:pPr>
              <w:rPr>
                <w:rFonts w:ascii="Arial" w:hAnsi="Arial" w:cs="Arial"/>
                <w:i/>
                <w:iCs/>
                <w:sz w:val="20"/>
                <w:szCs w:val="20"/>
                <w:lang w:val="es-ES"/>
              </w:rPr>
            </w:pPr>
            <w:proofErr w:type="spellStart"/>
            <w:r w:rsidRPr="00D0409E">
              <w:rPr>
                <w:rFonts w:ascii="Arial" w:hAnsi="Arial" w:cs="Arial"/>
                <w:i/>
                <w:iCs/>
                <w:color w:val="000000"/>
                <w:sz w:val="20"/>
                <w:szCs w:val="20"/>
                <w:lang w:val="es-ES"/>
              </w:rPr>
              <w:t>Ziphius</w:t>
            </w:r>
            <w:proofErr w:type="spellEnd"/>
            <w:r w:rsidRPr="00D0409E">
              <w:rPr>
                <w:rFonts w:ascii="Arial" w:hAnsi="Arial" w:cs="Arial"/>
                <w:i/>
                <w:iCs/>
                <w:color w:val="000000"/>
                <w:sz w:val="20"/>
                <w:szCs w:val="20"/>
                <w:lang w:val="es-ES"/>
              </w:rPr>
              <w:t xml:space="preserve"> </w:t>
            </w:r>
            <w:proofErr w:type="spellStart"/>
            <w:r w:rsidRPr="00D0409E">
              <w:rPr>
                <w:rFonts w:ascii="Arial" w:hAnsi="Arial" w:cs="Arial"/>
                <w:i/>
                <w:iCs/>
                <w:color w:val="000000"/>
                <w:sz w:val="20"/>
                <w:szCs w:val="20"/>
                <w:lang w:val="es-ES"/>
              </w:rPr>
              <w:t>cavirostris</w:t>
            </w:r>
            <w:proofErr w:type="spellEnd"/>
            <w:r w:rsidRPr="00D0409E">
              <w:rPr>
                <w:rFonts w:ascii="Arial" w:hAnsi="Arial" w:cs="Arial"/>
                <w:i/>
                <w:iCs/>
                <w:color w:val="000000"/>
                <w:sz w:val="20"/>
                <w:szCs w:val="20"/>
                <w:lang w:val="es-ES"/>
              </w:rPr>
              <w:t xml:space="preserve"> </w:t>
            </w:r>
            <w:r w:rsidRPr="00D0409E">
              <w:rPr>
                <w:rFonts w:ascii="Arial" w:hAnsi="Arial" w:cs="Arial"/>
                <w:color w:val="000000"/>
                <w:sz w:val="20"/>
                <w:szCs w:val="20"/>
                <w:lang w:val="es-ES"/>
              </w:rPr>
              <w:t>(solo subpoblación mediterránea)</w:t>
            </w:r>
          </w:p>
        </w:tc>
        <w:tc>
          <w:tcPr>
            <w:tcW w:w="1410" w:type="dxa"/>
            <w:tcBorders>
              <w:top w:val="single" w:sz="4" w:space="0" w:color="auto"/>
              <w:left w:val="single" w:sz="4" w:space="0" w:color="auto"/>
              <w:bottom w:val="double" w:sz="4" w:space="0" w:color="auto"/>
              <w:right w:val="single" w:sz="4" w:space="0" w:color="auto"/>
            </w:tcBorders>
            <w:vAlign w:val="center"/>
          </w:tcPr>
          <w:p w14:paraId="49E55598" w14:textId="77777777" w:rsidR="003A2C2E" w:rsidRPr="00D0409E" w:rsidRDefault="003A2C2E" w:rsidP="009D3746">
            <w:pPr>
              <w:jc w:val="center"/>
              <w:rPr>
                <w:rFonts w:ascii="Arial" w:hAnsi="Arial" w:cs="Arial"/>
                <w:i/>
                <w:iCs/>
                <w:color w:val="000000"/>
                <w:sz w:val="20"/>
                <w:szCs w:val="20"/>
                <w:lang w:val="es-ES"/>
              </w:rPr>
            </w:pPr>
            <w:r w:rsidRPr="00D0409E">
              <w:rPr>
                <w:rFonts w:ascii="Arial" w:hAnsi="Arial" w:cs="Arial"/>
                <w:color w:val="000000"/>
                <w:sz w:val="20"/>
                <w:szCs w:val="20"/>
                <w:lang w:val="es-ES"/>
              </w:rPr>
              <w:t>I</w:t>
            </w:r>
          </w:p>
        </w:tc>
        <w:tc>
          <w:tcPr>
            <w:tcW w:w="3246" w:type="dxa"/>
            <w:tcBorders>
              <w:top w:val="single" w:sz="4" w:space="0" w:color="auto"/>
              <w:left w:val="single" w:sz="4" w:space="0" w:color="auto"/>
              <w:bottom w:val="double" w:sz="4" w:space="0" w:color="auto"/>
              <w:right w:val="single" w:sz="4" w:space="0" w:color="auto"/>
            </w:tcBorders>
            <w:vAlign w:val="center"/>
          </w:tcPr>
          <w:p w14:paraId="7E1188CC" w14:textId="77777777" w:rsidR="003A2C2E" w:rsidRPr="00D0409E" w:rsidRDefault="003A2C2E" w:rsidP="009D3746">
            <w:pPr>
              <w:jc w:val="center"/>
              <w:rPr>
                <w:rFonts w:ascii="Arial" w:hAnsi="Arial" w:cs="Arial"/>
                <w:color w:val="000000"/>
                <w:sz w:val="20"/>
                <w:szCs w:val="20"/>
                <w:lang w:val="es-ES"/>
              </w:rPr>
            </w:pPr>
            <w:r w:rsidRPr="00D0409E">
              <w:rPr>
                <w:rFonts w:ascii="Arial" w:hAnsi="Arial" w:cs="Arial"/>
                <w:color w:val="000000"/>
                <w:sz w:val="20"/>
                <w:szCs w:val="20"/>
                <w:lang w:val="es-ES"/>
              </w:rPr>
              <w:t>No se conocen informes</w:t>
            </w:r>
          </w:p>
        </w:tc>
      </w:tr>
    </w:tbl>
    <w:p w14:paraId="578AF7CF" w14:textId="77777777" w:rsidR="003A2C2E" w:rsidRPr="00D0409E" w:rsidRDefault="003A2C2E" w:rsidP="003A2C2E">
      <w:pPr>
        <w:spacing w:after="0" w:line="240" w:lineRule="auto"/>
        <w:jc w:val="both"/>
        <w:rPr>
          <w:rFonts w:cs="Arial"/>
          <w:b/>
          <w:bCs/>
          <w:lang w:val="es-ES"/>
        </w:rPr>
      </w:pPr>
    </w:p>
    <w:p w14:paraId="0951B026" w14:textId="77777777" w:rsidR="003A2C2E" w:rsidRPr="00D0409E" w:rsidRDefault="003A2C2E" w:rsidP="003A2C2E">
      <w:pPr>
        <w:spacing w:after="0" w:line="240" w:lineRule="auto"/>
        <w:jc w:val="both"/>
        <w:rPr>
          <w:rFonts w:cs="Arial"/>
          <w:b/>
          <w:bCs/>
          <w:lang w:val="es-ES"/>
        </w:rPr>
      </w:pPr>
      <w:r w:rsidRPr="00D0409E">
        <w:rPr>
          <w:rFonts w:cs="Arial"/>
          <w:b/>
          <w:bCs/>
          <w:lang w:val="es-ES"/>
        </w:rPr>
        <w:t>Recomendaciones</w:t>
      </w:r>
    </w:p>
    <w:p w14:paraId="1DDF5429" w14:textId="77777777" w:rsidR="003A2C2E" w:rsidRPr="00D0409E" w:rsidRDefault="003A2C2E" w:rsidP="003A2C2E">
      <w:pPr>
        <w:spacing w:after="0" w:line="240" w:lineRule="auto"/>
        <w:jc w:val="both"/>
        <w:rPr>
          <w:rFonts w:cs="Arial"/>
          <w:b/>
          <w:bCs/>
          <w:lang w:val="es-ES"/>
        </w:rPr>
      </w:pPr>
    </w:p>
    <w:p w14:paraId="1BAC5EC5" w14:textId="77777777" w:rsidR="003A2C2E" w:rsidRPr="00D0409E" w:rsidRDefault="003A2C2E" w:rsidP="003A2C2E">
      <w:pPr>
        <w:pStyle w:val="ListParagraph"/>
        <w:numPr>
          <w:ilvl w:val="0"/>
          <w:numId w:val="24"/>
        </w:numPr>
        <w:spacing w:after="0" w:line="240" w:lineRule="auto"/>
        <w:contextualSpacing w:val="0"/>
        <w:jc w:val="both"/>
        <w:rPr>
          <w:rFonts w:cs="Arial"/>
          <w:b/>
          <w:bCs/>
          <w:lang w:val="es-ES"/>
        </w:rPr>
      </w:pPr>
      <w:r w:rsidRPr="00D0409E">
        <w:rPr>
          <w:rFonts w:cs="Arial"/>
          <w:b/>
          <w:bCs/>
          <w:lang w:val="es-ES"/>
        </w:rPr>
        <w:t>Caza de ballenas y captura de carne de animales silvestres acuáticos</w:t>
      </w:r>
    </w:p>
    <w:p w14:paraId="3EBC760C" w14:textId="77777777" w:rsidR="003A2C2E" w:rsidRPr="00D0409E" w:rsidRDefault="003A2C2E" w:rsidP="003A2C2E">
      <w:pPr>
        <w:spacing w:after="0" w:line="240" w:lineRule="auto"/>
        <w:jc w:val="both"/>
        <w:rPr>
          <w:rFonts w:cs="Arial"/>
          <w:b/>
          <w:bCs/>
          <w:lang w:val="es-ES"/>
        </w:rPr>
      </w:pPr>
    </w:p>
    <w:p w14:paraId="5F0972F7" w14:textId="77777777" w:rsidR="003A2C2E" w:rsidRPr="00D0409E" w:rsidRDefault="003A2C2E" w:rsidP="00721469">
      <w:pPr>
        <w:numPr>
          <w:ilvl w:val="0"/>
          <w:numId w:val="23"/>
        </w:numPr>
        <w:spacing w:after="80" w:line="240" w:lineRule="auto"/>
        <w:jc w:val="both"/>
        <w:rPr>
          <w:rFonts w:cs="Arial"/>
          <w:lang w:val="es-ES"/>
        </w:rPr>
      </w:pPr>
      <w:r w:rsidRPr="00D0409E">
        <w:rPr>
          <w:rFonts w:cs="Arial"/>
          <w:lang w:val="es-ES"/>
        </w:rPr>
        <w:t>Cuando se realice caza indígena, las cuotas solo deberían establecerse siguiendo asesoramiento científico y en coordinación con las comunidades indígenas locales, siempre aplicando el principio de precaución. También se debería tener en cuenta la composición por edad y sexo de las capturas al establecer las cuotas, y esta debe ser monitoreada.</w:t>
      </w:r>
    </w:p>
    <w:p w14:paraId="088C47F3" w14:textId="77777777" w:rsidR="003A2C2E" w:rsidRPr="00D0409E" w:rsidRDefault="003A2C2E" w:rsidP="00721469">
      <w:pPr>
        <w:pStyle w:val="ListParagraph"/>
        <w:numPr>
          <w:ilvl w:val="0"/>
          <w:numId w:val="23"/>
        </w:numPr>
        <w:spacing w:after="80" w:line="240" w:lineRule="auto"/>
        <w:contextualSpacing w:val="0"/>
        <w:jc w:val="both"/>
        <w:rPr>
          <w:rFonts w:cs="Arial"/>
          <w:lang w:val="es-ES"/>
        </w:rPr>
      </w:pPr>
      <w:r w:rsidRPr="00D0409E">
        <w:rPr>
          <w:rFonts w:cs="Arial"/>
          <w:lang w:val="es-ES"/>
        </w:rPr>
        <w:t xml:space="preserve">En los Estados del área de distribución donde se consumen cetáceos legalmente, las Partes deberían abordar las preocupaciones sobre la salud humana y garantizar el bienestar de sus ciudadanos. Las Partes también deberían introducir pruebas obligatorias de productos de cetáceos, etiquetado obligatorio de productos de cetáceos y directrices nacionales de salud y seguridad, incluyendo los niveles máximos seguros de mercurio. </w:t>
      </w:r>
    </w:p>
    <w:p w14:paraId="08B0DD11" w14:textId="77777777" w:rsidR="003A2C2E" w:rsidRPr="00D0409E" w:rsidRDefault="003A2C2E" w:rsidP="003A2C2E">
      <w:pPr>
        <w:pStyle w:val="ListParagraph"/>
        <w:numPr>
          <w:ilvl w:val="0"/>
          <w:numId w:val="23"/>
        </w:numPr>
        <w:spacing w:after="0" w:line="240" w:lineRule="auto"/>
        <w:contextualSpacing w:val="0"/>
        <w:jc w:val="both"/>
        <w:rPr>
          <w:rFonts w:cs="Arial"/>
          <w:lang w:val="es-ES"/>
        </w:rPr>
      </w:pPr>
      <w:r w:rsidRPr="00D0409E">
        <w:rPr>
          <w:rFonts w:cs="Arial"/>
          <w:lang w:val="es-ES"/>
        </w:rPr>
        <w:t xml:space="preserve">Estados del área de distribución donde se produce la captura (y el comercio) ilegal deberían aumentar la concienciación y la educación entre las comunidades locales sobre la legislación protectora pertinente y las sanciones asociadas. </w:t>
      </w:r>
    </w:p>
    <w:p w14:paraId="041D99F7" w14:textId="77777777" w:rsidR="003A2C2E" w:rsidRDefault="003A2C2E" w:rsidP="003A2C2E">
      <w:pPr>
        <w:pStyle w:val="ListParagraph"/>
        <w:numPr>
          <w:ilvl w:val="0"/>
          <w:numId w:val="23"/>
        </w:numPr>
        <w:spacing w:after="0" w:line="240" w:lineRule="auto"/>
        <w:contextualSpacing w:val="0"/>
        <w:jc w:val="both"/>
        <w:rPr>
          <w:rFonts w:cs="Arial"/>
          <w:lang w:val="es-ES"/>
        </w:rPr>
      </w:pPr>
      <w:r w:rsidRPr="00D0409E">
        <w:rPr>
          <w:rFonts w:cs="Arial"/>
          <w:lang w:val="es-ES"/>
        </w:rPr>
        <w:lastRenderedPageBreak/>
        <w:t xml:space="preserve">Estados del área de distribución que implementen estrategias de gestión deberían considerar la gran cantidad de posibles factores de estrés acumulativos y sinérgicos, incluidos los impactos del cambio climático y la contaminación química, que pueden estar afectando a las poblaciones objetivo de especies incluidas en el Apéndice I de la CMS. </w:t>
      </w:r>
    </w:p>
    <w:p w14:paraId="209099E9" w14:textId="77777777" w:rsidR="00721469" w:rsidRPr="00721469" w:rsidRDefault="00721469" w:rsidP="00721469">
      <w:pPr>
        <w:spacing w:after="0" w:line="240" w:lineRule="auto"/>
        <w:ind w:left="360"/>
        <w:jc w:val="both"/>
        <w:rPr>
          <w:rFonts w:cs="Arial"/>
          <w:lang w:val="es-ES"/>
        </w:rPr>
      </w:pPr>
    </w:p>
    <w:p w14:paraId="7EA84276" w14:textId="77777777" w:rsidR="003A2C2E" w:rsidRPr="00D0409E" w:rsidRDefault="003A2C2E" w:rsidP="003A2C2E">
      <w:pPr>
        <w:pStyle w:val="ListParagraph"/>
        <w:numPr>
          <w:ilvl w:val="0"/>
          <w:numId w:val="24"/>
        </w:numPr>
        <w:spacing w:after="0" w:line="240" w:lineRule="auto"/>
        <w:contextualSpacing w:val="0"/>
        <w:jc w:val="both"/>
        <w:rPr>
          <w:rFonts w:cs="Arial"/>
          <w:b/>
          <w:lang w:val="es-ES"/>
        </w:rPr>
      </w:pPr>
      <w:r w:rsidRPr="00D0409E">
        <w:rPr>
          <w:rFonts w:cs="Arial"/>
          <w:b/>
          <w:lang w:val="es-ES"/>
        </w:rPr>
        <w:t>Aplicación de la ley</w:t>
      </w:r>
    </w:p>
    <w:p w14:paraId="180AAFBE" w14:textId="77777777" w:rsidR="003A2C2E" w:rsidRPr="00D0409E" w:rsidRDefault="003A2C2E" w:rsidP="003A2C2E">
      <w:pPr>
        <w:spacing w:after="0" w:line="240" w:lineRule="auto"/>
        <w:jc w:val="both"/>
        <w:rPr>
          <w:rFonts w:cs="Arial"/>
          <w:b/>
          <w:lang w:val="es-ES"/>
        </w:rPr>
      </w:pPr>
    </w:p>
    <w:p w14:paraId="6D04BDB3" w14:textId="77777777" w:rsidR="003A2C2E" w:rsidRPr="00D0409E" w:rsidRDefault="003A2C2E" w:rsidP="00721469">
      <w:pPr>
        <w:pStyle w:val="ListParagraph"/>
        <w:numPr>
          <w:ilvl w:val="0"/>
          <w:numId w:val="23"/>
        </w:numPr>
        <w:spacing w:after="80" w:line="240" w:lineRule="auto"/>
        <w:contextualSpacing w:val="0"/>
        <w:jc w:val="both"/>
        <w:rPr>
          <w:rFonts w:cs="Arial"/>
          <w:lang w:val="es-ES"/>
        </w:rPr>
      </w:pPr>
      <w:r w:rsidRPr="00D0409E">
        <w:rPr>
          <w:rFonts w:cs="Arial"/>
          <w:lang w:val="es-ES"/>
        </w:rPr>
        <w:t xml:space="preserve">Las Partes deberían hacer cumplir la legislación nacional que prohíbe la captura y el comercio de especies incluidas en el Apéndice I, y realizar inspecciones periódicas para determinar la identidad de las especies. </w:t>
      </w:r>
    </w:p>
    <w:p w14:paraId="69EE6646" w14:textId="77777777" w:rsidR="003A2C2E" w:rsidRPr="00D0409E" w:rsidRDefault="003A2C2E" w:rsidP="003A2C2E">
      <w:pPr>
        <w:pStyle w:val="ListParagraph"/>
        <w:numPr>
          <w:ilvl w:val="0"/>
          <w:numId w:val="23"/>
        </w:numPr>
        <w:spacing w:after="0" w:line="240" w:lineRule="auto"/>
        <w:contextualSpacing w:val="0"/>
        <w:jc w:val="both"/>
        <w:rPr>
          <w:rFonts w:cs="Arial"/>
          <w:lang w:val="es-ES"/>
        </w:rPr>
      </w:pPr>
      <w:r w:rsidRPr="00D0409E">
        <w:rPr>
          <w:rFonts w:cs="Arial"/>
          <w:lang w:val="es-ES"/>
        </w:rPr>
        <w:t xml:space="preserve">Cuando sea pertinente, las Partes deberían implementar una prohibición del uso de cetáceos pequeños como cebo para la pesca y promover alternativas, así como proporcionar formación sobre el manejo y la liberación controlada de delfines capturados accidentalmente. </w:t>
      </w:r>
    </w:p>
    <w:p w14:paraId="79D67B25" w14:textId="77777777" w:rsidR="003A2C2E" w:rsidRPr="00D0409E" w:rsidRDefault="003A2C2E" w:rsidP="003A2C2E">
      <w:pPr>
        <w:spacing w:after="0" w:line="240" w:lineRule="auto"/>
        <w:jc w:val="both"/>
        <w:rPr>
          <w:rFonts w:cs="Arial"/>
          <w:b/>
          <w:lang w:val="es-ES"/>
        </w:rPr>
      </w:pPr>
    </w:p>
    <w:p w14:paraId="343F33FA" w14:textId="77777777" w:rsidR="003A2C2E" w:rsidRPr="00D0409E" w:rsidRDefault="003A2C2E" w:rsidP="003A2C2E">
      <w:pPr>
        <w:pStyle w:val="ListParagraph"/>
        <w:numPr>
          <w:ilvl w:val="0"/>
          <w:numId w:val="24"/>
        </w:numPr>
        <w:spacing w:after="0" w:line="240" w:lineRule="auto"/>
        <w:contextualSpacing w:val="0"/>
        <w:jc w:val="both"/>
        <w:rPr>
          <w:rFonts w:cs="Arial"/>
          <w:b/>
          <w:lang w:val="es-ES"/>
        </w:rPr>
      </w:pPr>
      <w:r w:rsidRPr="00D0409E">
        <w:rPr>
          <w:rFonts w:cs="Arial"/>
          <w:b/>
          <w:lang w:val="es-ES"/>
        </w:rPr>
        <w:t>Investigación</w:t>
      </w:r>
    </w:p>
    <w:p w14:paraId="77B9C945" w14:textId="77777777" w:rsidR="003A2C2E" w:rsidRPr="00D0409E" w:rsidRDefault="003A2C2E" w:rsidP="003A2C2E">
      <w:pPr>
        <w:spacing w:after="0" w:line="240" w:lineRule="auto"/>
        <w:jc w:val="both"/>
        <w:rPr>
          <w:rFonts w:cs="Arial"/>
          <w:b/>
          <w:lang w:val="es-ES"/>
        </w:rPr>
      </w:pPr>
    </w:p>
    <w:p w14:paraId="2D6B58E6" w14:textId="77777777" w:rsidR="003A2C2E" w:rsidRPr="00D0409E" w:rsidRDefault="003A2C2E" w:rsidP="00721469">
      <w:pPr>
        <w:pStyle w:val="ListParagraph"/>
        <w:numPr>
          <w:ilvl w:val="0"/>
          <w:numId w:val="23"/>
        </w:numPr>
        <w:spacing w:after="80" w:line="240" w:lineRule="auto"/>
        <w:contextualSpacing w:val="0"/>
        <w:jc w:val="both"/>
        <w:rPr>
          <w:rFonts w:cs="Arial"/>
          <w:lang w:val="es-ES"/>
        </w:rPr>
      </w:pPr>
      <w:r w:rsidRPr="00D0409E">
        <w:rPr>
          <w:rFonts w:cs="Arial"/>
          <w:lang w:val="es-ES"/>
        </w:rPr>
        <w:t xml:space="preserve">Las Partes deberían llevar a cabo evaluaciones completas de todas las especies incluidas en el Apéndice I de la CMS que utilicen sus aguas, proporcionando estimaciones de abundancia poblacional y, cuando sea posible, tendencias. </w:t>
      </w:r>
    </w:p>
    <w:p w14:paraId="0A3E3AB6" w14:textId="77777777" w:rsidR="003A2C2E" w:rsidRPr="00D0409E" w:rsidRDefault="003A2C2E" w:rsidP="00721469">
      <w:pPr>
        <w:pStyle w:val="ListParagraph"/>
        <w:numPr>
          <w:ilvl w:val="0"/>
          <w:numId w:val="23"/>
        </w:numPr>
        <w:spacing w:after="80" w:line="240" w:lineRule="auto"/>
        <w:contextualSpacing w:val="0"/>
        <w:jc w:val="both"/>
        <w:rPr>
          <w:rFonts w:cs="Arial"/>
          <w:lang w:val="es-ES"/>
        </w:rPr>
      </w:pPr>
      <w:r w:rsidRPr="00D0409E">
        <w:rPr>
          <w:rFonts w:cs="Arial"/>
          <w:lang w:val="es-ES"/>
        </w:rPr>
        <w:t>Las Partes deberían monitorear el efecto de la presión continua, renovada o aumentada de la caza de ballenas por Partes no pertenecientes a la CMS (Islandia y Japón) sobre el rorcual común.</w:t>
      </w:r>
    </w:p>
    <w:p w14:paraId="105F12B7" w14:textId="77777777" w:rsidR="003A2C2E" w:rsidRPr="00D0409E" w:rsidRDefault="003A2C2E" w:rsidP="00721469">
      <w:pPr>
        <w:pStyle w:val="ListParagraph"/>
        <w:numPr>
          <w:ilvl w:val="0"/>
          <w:numId w:val="23"/>
        </w:numPr>
        <w:spacing w:after="80" w:line="240" w:lineRule="auto"/>
        <w:contextualSpacing w:val="0"/>
        <w:jc w:val="both"/>
        <w:rPr>
          <w:rFonts w:cs="Arial"/>
          <w:lang w:val="es-ES"/>
        </w:rPr>
      </w:pPr>
      <w:r w:rsidRPr="00D0409E">
        <w:rPr>
          <w:rFonts w:cs="Arial"/>
          <w:lang w:val="es-ES"/>
        </w:rPr>
        <w:t>Las Partes deberían monitorear/aumentar la recopilación de datos y</w:t>
      </w:r>
      <w:r w:rsidRPr="00D0409E">
        <w:rPr>
          <w:rFonts w:cs="Arial"/>
          <w:color w:val="EE0000"/>
          <w:lang w:val="es-ES"/>
        </w:rPr>
        <w:t xml:space="preserve"> </w:t>
      </w:r>
      <w:r w:rsidRPr="00D0409E">
        <w:rPr>
          <w:rFonts w:cs="Arial"/>
          <w:lang w:val="es-ES"/>
        </w:rPr>
        <w:t xml:space="preserve">la notificación sobre la magnitud de la hibridación con las ballenas azules. </w:t>
      </w:r>
    </w:p>
    <w:p w14:paraId="2A5DAB9B" w14:textId="77777777" w:rsidR="003A2C2E" w:rsidRPr="00D0409E" w:rsidRDefault="003A2C2E" w:rsidP="003A2C2E">
      <w:pPr>
        <w:pStyle w:val="ListParagraph"/>
        <w:numPr>
          <w:ilvl w:val="0"/>
          <w:numId w:val="23"/>
        </w:numPr>
        <w:spacing w:after="0" w:line="240" w:lineRule="auto"/>
        <w:contextualSpacing w:val="0"/>
        <w:jc w:val="both"/>
        <w:rPr>
          <w:rFonts w:cs="Arial"/>
          <w:lang w:val="es-ES"/>
        </w:rPr>
      </w:pPr>
      <w:r w:rsidRPr="00D0409E">
        <w:rPr>
          <w:rFonts w:cs="Arial"/>
          <w:lang w:val="es-ES"/>
        </w:rPr>
        <w:t xml:space="preserve">Las Partes deberían aumentar la recopilación de datos y el conocimiento sobre los patrones migratorios de las especies incluidas en el Apéndice I de la CMS para profundizar en la comprensión y cuantificación del grado en que las poblaciones están sujetas a la presión de la caza contemporánea, así como a otras amenazas. </w:t>
      </w:r>
    </w:p>
    <w:p w14:paraId="668D2AD4" w14:textId="77777777" w:rsidR="003A2C2E" w:rsidRPr="00D0409E" w:rsidRDefault="003A2C2E" w:rsidP="003A2C2E">
      <w:pPr>
        <w:spacing w:after="0" w:line="240" w:lineRule="auto"/>
        <w:jc w:val="both"/>
        <w:rPr>
          <w:rFonts w:cs="Arial"/>
          <w:lang w:val="es-ES"/>
        </w:rPr>
      </w:pPr>
    </w:p>
    <w:p w14:paraId="50B0F8D5" w14:textId="77777777" w:rsidR="003A2C2E" w:rsidRPr="00D0409E" w:rsidRDefault="003A2C2E" w:rsidP="003A2C2E">
      <w:pPr>
        <w:pStyle w:val="ListParagraph"/>
        <w:numPr>
          <w:ilvl w:val="0"/>
          <w:numId w:val="24"/>
        </w:numPr>
        <w:spacing w:after="0" w:line="240" w:lineRule="auto"/>
        <w:contextualSpacing w:val="0"/>
        <w:jc w:val="both"/>
        <w:rPr>
          <w:rFonts w:cs="Arial"/>
          <w:b/>
          <w:lang w:val="es-ES"/>
        </w:rPr>
      </w:pPr>
      <w:r w:rsidRPr="00D0409E">
        <w:rPr>
          <w:rFonts w:cs="Arial"/>
          <w:b/>
          <w:lang w:val="es-ES"/>
        </w:rPr>
        <w:t>Comercio</w:t>
      </w:r>
    </w:p>
    <w:p w14:paraId="3046D9D9" w14:textId="77777777" w:rsidR="003A2C2E" w:rsidRPr="00D0409E" w:rsidRDefault="003A2C2E" w:rsidP="003A2C2E">
      <w:pPr>
        <w:spacing w:after="0" w:line="240" w:lineRule="auto"/>
        <w:jc w:val="both"/>
        <w:rPr>
          <w:rFonts w:cs="Arial"/>
          <w:b/>
          <w:lang w:val="es-ES"/>
        </w:rPr>
      </w:pPr>
    </w:p>
    <w:p w14:paraId="292024D6" w14:textId="77777777" w:rsidR="003A2C2E" w:rsidRPr="00D0409E" w:rsidRDefault="003A2C2E" w:rsidP="003A2C2E">
      <w:pPr>
        <w:pStyle w:val="ListParagraph"/>
        <w:numPr>
          <w:ilvl w:val="0"/>
          <w:numId w:val="23"/>
        </w:numPr>
        <w:spacing w:after="0" w:line="240" w:lineRule="auto"/>
        <w:contextualSpacing w:val="0"/>
        <w:jc w:val="both"/>
        <w:rPr>
          <w:rFonts w:cs="Arial"/>
          <w:lang w:val="es-ES"/>
        </w:rPr>
      </w:pPr>
      <w:r w:rsidRPr="00D0409E">
        <w:rPr>
          <w:rFonts w:cs="Arial"/>
          <w:lang w:val="es-ES"/>
        </w:rPr>
        <w:t xml:space="preserve">La Resolución 12.15 de la CMS reconoció explícitamente que la creciente demanda de carne de animales silvestres acuáticos constituye una amenaza para la fauna acuática en muchas regiones del mundo, y las Partes deberían desarrollar métodos para evaluar el impacto del comercio de carne de animales silvestres acuáticos sobre las poblaciones de fauna. </w:t>
      </w:r>
    </w:p>
    <w:p w14:paraId="5131F8C3" w14:textId="77777777" w:rsidR="003A2C2E" w:rsidRPr="00D0409E" w:rsidRDefault="003A2C2E" w:rsidP="003A2C2E">
      <w:pPr>
        <w:spacing w:after="0" w:line="240" w:lineRule="auto"/>
        <w:jc w:val="both"/>
        <w:rPr>
          <w:rFonts w:cs="Arial"/>
          <w:lang w:val="es-ES"/>
        </w:rPr>
      </w:pPr>
    </w:p>
    <w:p w14:paraId="05213493" w14:textId="77777777" w:rsidR="003A2C2E" w:rsidRPr="00D0409E" w:rsidRDefault="003A2C2E" w:rsidP="003A2C2E">
      <w:pPr>
        <w:pStyle w:val="ListParagraph"/>
        <w:numPr>
          <w:ilvl w:val="0"/>
          <w:numId w:val="24"/>
        </w:numPr>
        <w:spacing w:after="0" w:line="240" w:lineRule="auto"/>
        <w:contextualSpacing w:val="0"/>
        <w:jc w:val="both"/>
        <w:rPr>
          <w:rFonts w:cs="Arial"/>
          <w:b/>
          <w:lang w:val="es-ES"/>
        </w:rPr>
      </w:pPr>
      <w:r w:rsidRPr="00D0409E">
        <w:rPr>
          <w:rFonts w:cs="Arial"/>
          <w:b/>
          <w:lang w:val="es-ES"/>
        </w:rPr>
        <w:t>Informes</w:t>
      </w:r>
    </w:p>
    <w:p w14:paraId="65EA95CF" w14:textId="77777777" w:rsidR="003A2C2E" w:rsidRPr="00D0409E" w:rsidRDefault="003A2C2E" w:rsidP="003A2C2E">
      <w:pPr>
        <w:spacing w:after="0" w:line="240" w:lineRule="auto"/>
        <w:jc w:val="both"/>
        <w:rPr>
          <w:rFonts w:cs="Arial"/>
          <w:b/>
          <w:lang w:val="es-ES"/>
        </w:rPr>
      </w:pPr>
    </w:p>
    <w:p w14:paraId="73821F0E" w14:textId="77777777" w:rsidR="003A2C2E" w:rsidRPr="00D0409E" w:rsidRDefault="003A2C2E" w:rsidP="00721469">
      <w:pPr>
        <w:pStyle w:val="ListParagraph"/>
        <w:numPr>
          <w:ilvl w:val="0"/>
          <w:numId w:val="23"/>
        </w:numPr>
        <w:spacing w:after="80" w:line="240" w:lineRule="auto"/>
        <w:contextualSpacing w:val="0"/>
        <w:jc w:val="both"/>
        <w:rPr>
          <w:rFonts w:cs="Arial"/>
          <w:lang w:val="es-ES"/>
        </w:rPr>
      </w:pPr>
      <w:r w:rsidRPr="00D0409E">
        <w:rPr>
          <w:rFonts w:cs="Arial"/>
          <w:lang w:val="es-ES"/>
        </w:rPr>
        <w:t xml:space="preserve">Cuando sea pertinente, las Partes deberían incluir los datos de captura (tanto legales como, cuando se conozcan, ilegales) de cetáceos pequeños en sus Informes Nacionales a la CMS y proporcionar estos datos a la CBI. </w:t>
      </w:r>
    </w:p>
    <w:p w14:paraId="61EE5BC3" w14:textId="77777777" w:rsidR="003A2C2E" w:rsidRPr="00D0409E" w:rsidRDefault="003A2C2E" w:rsidP="00721469">
      <w:pPr>
        <w:numPr>
          <w:ilvl w:val="0"/>
          <w:numId w:val="23"/>
        </w:numPr>
        <w:spacing w:after="80" w:line="240" w:lineRule="auto"/>
        <w:jc w:val="both"/>
        <w:rPr>
          <w:rFonts w:cs="Arial"/>
          <w:lang w:val="es-ES"/>
        </w:rPr>
      </w:pPr>
      <w:r w:rsidRPr="00D0409E">
        <w:rPr>
          <w:rFonts w:cs="Arial"/>
          <w:lang w:val="es-ES"/>
        </w:rPr>
        <w:t>Las Partes deberían aumentar la recopilación de datos y la notificación sobre el comercio interno y regional de especies incluidas en el Apéndice I.</w:t>
      </w:r>
    </w:p>
    <w:p w14:paraId="10433577" w14:textId="77777777" w:rsidR="003A2C2E" w:rsidRPr="00D0409E" w:rsidRDefault="003A2C2E" w:rsidP="003A2C2E">
      <w:pPr>
        <w:pStyle w:val="ListParagraph"/>
        <w:numPr>
          <w:ilvl w:val="0"/>
          <w:numId w:val="23"/>
        </w:numPr>
        <w:spacing w:after="0" w:line="240" w:lineRule="auto"/>
        <w:contextualSpacing w:val="0"/>
        <w:jc w:val="both"/>
        <w:rPr>
          <w:rFonts w:cs="Arial"/>
          <w:lang w:val="es-ES"/>
        </w:rPr>
      </w:pPr>
      <w:r w:rsidRPr="00D0409E">
        <w:rPr>
          <w:rFonts w:cs="Arial"/>
          <w:lang w:val="es-ES"/>
        </w:rPr>
        <w:t xml:space="preserve">Las Partes deberían considerar llevar a cabo una cuantificación similar de la caza contemporánea y la captura de carne de animales silvestres acuáticos sobre las especies de cetáceos incluidas en el Apéndice II de la CMS. </w:t>
      </w:r>
    </w:p>
    <w:p w14:paraId="7D66BFBD" w14:textId="5EC93BD2" w:rsidR="00721469" w:rsidRDefault="00721469">
      <w:pPr>
        <w:rPr>
          <w:rFonts w:cs="Arial"/>
          <w:lang w:val="es-ES"/>
        </w:rPr>
      </w:pPr>
      <w:r>
        <w:rPr>
          <w:rFonts w:cs="Arial"/>
          <w:lang w:val="es-ES"/>
        </w:rPr>
        <w:br w:type="page"/>
      </w:r>
    </w:p>
    <w:p w14:paraId="6908CA1E" w14:textId="77777777" w:rsidR="003A2C2E" w:rsidRPr="00D0409E" w:rsidRDefault="003A2C2E" w:rsidP="003A2C2E">
      <w:pPr>
        <w:spacing w:after="0" w:line="240" w:lineRule="auto"/>
        <w:jc w:val="both"/>
        <w:rPr>
          <w:rFonts w:cs="Arial"/>
          <w:lang w:val="es-ES"/>
        </w:rPr>
      </w:pPr>
    </w:p>
    <w:p w14:paraId="69D6A7A0" w14:textId="77777777" w:rsidR="003A2C2E" w:rsidRPr="00D0409E" w:rsidRDefault="003A2C2E" w:rsidP="003A2C2E">
      <w:pPr>
        <w:pStyle w:val="ListParagraph"/>
        <w:numPr>
          <w:ilvl w:val="0"/>
          <w:numId w:val="24"/>
        </w:numPr>
        <w:spacing w:after="0" w:line="240" w:lineRule="auto"/>
        <w:contextualSpacing w:val="0"/>
        <w:jc w:val="both"/>
        <w:rPr>
          <w:rFonts w:cs="Arial"/>
          <w:b/>
          <w:lang w:val="es-ES"/>
        </w:rPr>
      </w:pPr>
      <w:r w:rsidRPr="00D0409E">
        <w:rPr>
          <w:rFonts w:cs="Arial"/>
          <w:b/>
          <w:lang w:val="es-ES"/>
        </w:rPr>
        <w:t>Colaboración</w:t>
      </w:r>
    </w:p>
    <w:p w14:paraId="6AE9899A" w14:textId="77777777" w:rsidR="003A2C2E" w:rsidRPr="00D0409E" w:rsidRDefault="003A2C2E" w:rsidP="003A2C2E">
      <w:pPr>
        <w:spacing w:after="0" w:line="240" w:lineRule="auto"/>
        <w:jc w:val="both"/>
        <w:rPr>
          <w:rFonts w:cs="Arial"/>
          <w:b/>
          <w:lang w:val="es-ES"/>
        </w:rPr>
      </w:pPr>
    </w:p>
    <w:p w14:paraId="1C50C90A" w14:textId="77777777" w:rsidR="003A2C2E" w:rsidRPr="00D0409E" w:rsidRDefault="003A2C2E" w:rsidP="003A2C2E">
      <w:pPr>
        <w:pStyle w:val="ListParagraph"/>
        <w:numPr>
          <w:ilvl w:val="0"/>
          <w:numId w:val="23"/>
        </w:numPr>
        <w:spacing w:after="0" w:line="240" w:lineRule="auto"/>
        <w:contextualSpacing w:val="0"/>
        <w:jc w:val="both"/>
        <w:rPr>
          <w:rFonts w:cs="Arial"/>
          <w:lang w:val="es-ES"/>
        </w:rPr>
      </w:pPr>
      <w:r w:rsidRPr="00D0409E">
        <w:rPr>
          <w:rFonts w:cs="Arial"/>
          <w:lang w:val="es-ES"/>
        </w:rPr>
        <w:t>Las Partes deberían fomentar la adhesión a la CMS de las no-Partes que sean Estados del área de distribución de cetáceos incluidos en el Apéndice I y que estén sujetos a caza contemporánea y/o cacerías ilegales.</w:t>
      </w:r>
    </w:p>
    <w:p w14:paraId="623D5448" w14:textId="113ED125" w:rsidR="003A2C2E" w:rsidRPr="00D0409E" w:rsidRDefault="003A2C2E" w:rsidP="003A2C2E">
      <w:pPr>
        <w:spacing w:after="0" w:line="240" w:lineRule="auto"/>
        <w:jc w:val="both"/>
        <w:rPr>
          <w:rFonts w:cs="Arial"/>
          <w:lang w:val="es-ES"/>
        </w:rPr>
      </w:pPr>
    </w:p>
    <w:p w14:paraId="65D72B37" w14:textId="77777777" w:rsidR="003A2C2E" w:rsidRPr="00D0409E" w:rsidRDefault="003A2C2E" w:rsidP="003A2C2E">
      <w:pPr>
        <w:spacing w:after="0" w:line="240" w:lineRule="auto"/>
        <w:jc w:val="both"/>
        <w:rPr>
          <w:rFonts w:cs="Arial"/>
          <w:b/>
          <w:bCs/>
          <w:lang w:val="es-ES"/>
        </w:rPr>
      </w:pPr>
      <w:r w:rsidRPr="00D0409E">
        <w:rPr>
          <w:rFonts w:cs="Arial"/>
          <w:b/>
          <w:bCs/>
          <w:lang w:val="es-ES"/>
        </w:rPr>
        <w:t>Acciones para abordar otras amenazas</w:t>
      </w:r>
    </w:p>
    <w:p w14:paraId="0AA1CDC0" w14:textId="77777777" w:rsidR="003A2C2E" w:rsidRPr="00D0409E" w:rsidRDefault="003A2C2E" w:rsidP="003A2C2E">
      <w:pPr>
        <w:spacing w:after="0" w:line="240" w:lineRule="auto"/>
        <w:jc w:val="both"/>
        <w:rPr>
          <w:rFonts w:cs="Arial"/>
          <w:b/>
          <w:bCs/>
          <w:lang w:val="es-ES"/>
        </w:rPr>
      </w:pPr>
    </w:p>
    <w:p w14:paraId="7C5F0062" w14:textId="6EECEB3F" w:rsidR="003A2C2E" w:rsidRPr="00D0409E" w:rsidRDefault="003A2C2E" w:rsidP="003A2C2E">
      <w:pPr>
        <w:spacing w:after="80" w:line="240" w:lineRule="auto"/>
        <w:jc w:val="both"/>
        <w:rPr>
          <w:rFonts w:cs="Arial"/>
          <w:lang w:val="es-ES"/>
        </w:rPr>
      </w:pPr>
      <w:r w:rsidRPr="00D0409E">
        <w:rPr>
          <w:rFonts w:cs="Arial"/>
          <w:lang w:val="es-ES"/>
        </w:rPr>
        <w:t xml:space="preserve">Los cetáceos incluidos en el Apéndice I de la CMS y sujetos a caza contemporánea y/o captura de carne de animales silvestres acuáticos también están en riesgo debido a otras amenazas, que las siguientes recomendaciones buscan abordar. Estas se basan en las prioridades establecidas en </w:t>
      </w:r>
      <w:hyperlink r:id="rId32">
        <w:proofErr w:type="spellStart"/>
        <w:r w:rsidR="00024660" w:rsidRPr="00024660">
          <w:rPr>
            <w:rStyle w:val="Hyperlink"/>
            <w:rFonts w:cs="Arial"/>
            <w:lang w:val="es-ES"/>
          </w:rPr>
          <w:t>Resolution</w:t>
        </w:r>
        <w:proofErr w:type="spellEnd"/>
        <w:r w:rsidR="00024660" w:rsidRPr="00024660">
          <w:rPr>
            <w:rStyle w:val="Hyperlink"/>
            <w:rFonts w:cs="Arial"/>
            <w:lang w:val="es-ES"/>
          </w:rPr>
          <w:t xml:space="preserve"> 14.9</w:t>
        </w:r>
      </w:hyperlink>
      <w:r w:rsidRPr="00D0409E">
        <w:rPr>
          <w:rFonts w:cs="Arial"/>
          <w:lang w:val="es-ES"/>
        </w:rPr>
        <w:t xml:space="preserve"> </w:t>
      </w:r>
      <w:r w:rsidRPr="00D0409E">
        <w:rPr>
          <w:rFonts w:cs="Arial"/>
          <w:i/>
          <w:iCs/>
          <w:lang w:val="es-ES"/>
        </w:rPr>
        <w:t>Prioridades de conservación para los cetáceos</w:t>
      </w:r>
      <w:r w:rsidRPr="00D0409E">
        <w:rPr>
          <w:rFonts w:cs="Arial"/>
          <w:lang w:val="es-ES"/>
        </w:rPr>
        <w:t>.</w:t>
      </w:r>
    </w:p>
    <w:p w14:paraId="639EB44C" w14:textId="77777777" w:rsidR="003A2C2E" w:rsidRPr="00D0409E" w:rsidRDefault="003A2C2E" w:rsidP="003A2C2E">
      <w:pPr>
        <w:pStyle w:val="ListParagraph"/>
        <w:numPr>
          <w:ilvl w:val="0"/>
          <w:numId w:val="23"/>
        </w:numPr>
        <w:spacing w:after="80" w:line="240" w:lineRule="auto"/>
        <w:contextualSpacing w:val="0"/>
        <w:jc w:val="both"/>
        <w:rPr>
          <w:rFonts w:cs="Arial"/>
          <w:lang w:val="es-ES"/>
        </w:rPr>
      </w:pPr>
      <w:r w:rsidRPr="00D0409E">
        <w:rPr>
          <w:rFonts w:cs="Arial"/>
          <w:lang w:val="es-ES"/>
        </w:rPr>
        <w:t>Implementar una reducción/modificación urgente y drástica del esfuerzo y las prácticas pesqueras, incluyendo la aplicación de métodos de mitigación – por ejemplo, cambio de tipo de aparejo, uso de dispositivos acústicos disuasorios (</w:t>
      </w:r>
      <w:proofErr w:type="spellStart"/>
      <w:r w:rsidRPr="00D0409E">
        <w:rPr>
          <w:rFonts w:cs="Arial"/>
          <w:lang w:val="es-ES"/>
        </w:rPr>
        <w:t>pingers</w:t>
      </w:r>
      <w:proofErr w:type="spellEnd"/>
      <w:r w:rsidRPr="00D0409E">
        <w:rPr>
          <w:rFonts w:cs="Arial"/>
          <w:lang w:val="es-ES"/>
        </w:rPr>
        <w:t>), etc. – para evitar el colapso de las poblaciones tanto del delfín de la Plata como de la marsopa común.</w:t>
      </w:r>
    </w:p>
    <w:p w14:paraId="5A77BBD2" w14:textId="77777777" w:rsidR="003A2C2E" w:rsidRPr="00D0409E" w:rsidRDefault="003A2C2E" w:rsidP="003A2C2E">
      <w:pPr>
        <w:pStyle w:val="ListParagraph"/>
        <w:numPr>
          <w:ilvl w:val="0"/>
          <w:numId w:val="23"/>
        </w:numPr>
        <w:spacing w:after="80" w:line="240" w:lineRule="auto"/>
        <w:contextualSpacing w:val="0"/>
        <w:jc w:val="both"/>
        <w:rPr>
          <w:rFonts w:cs="Arial"/>
          <w:lang w:val="es-ES"/>
        </w:rPr>
      </w:pPr>
      <w:r w:rsidRPr="00D0409E">
        <w:rPr>
          <w:rFonts w:cs="Arial"/>
          <w:lang w:val="es-ES"/>
        </w:rPr>
        <w:t xml:space="preserve">Identificar zonas de alto riesgo de colisión entre embarcaciones y ballenas e implementar estrategias de gestión para reducir las colisiones en dichas zonas y en otros lugares. </w:t>
      </w:r>
    </w:p>
    <w:p w14:paraId="3E6D5CED" w14:textId="77777777" w:rsidR="003A2C2E" w:rsidRPr="00D0409E" w:rsidRDefault="003A2C2E" w:rsidP="003A2C2E">
      <w:pPr>
        <w:pStyle w:val="ListParagraph"/>
        <w:numPr>
          <w:ilvl w:val="0"/>
          <w:numId w:val="23"/>
        </w:numPr>
        <w:spacing w:after="80" w:line="240" w:lineRule="auto"/>
        <w:contextualSpacing w:val="0"/>
        <w:jc w:val="both"/>
        <w:rPr>
          <w:rFonts w:cs="Arial"/>
          <w:lang w:val="es-ES"/>
        </w:rPr>
      </w:pPr>
      <w:r w:rsidRPr="00D0409E">
        <w:rPr>
          <w:rFonts w:cs="Arial"/>
          <w:lang w:val="es-ES"/>
        </w:rPr>
        <w:t>Aumentar la recopilación de datos y la notificación sobre las amenazas actuales a todas las especies incluidas en el Apéndice I en las aguas de la zona económica exclusiva (ZEE), por ejemplo, colisiones con embarcaciones, capturas incidentales, etc.</w:t>
      </w:r>
    </w:p>
    <w:p w14:paraId="0492D0AF" w14:textId="77777777" w:rsidR="003A2C2E" w:rsidRPr="00D0409E" w:rsidRDefault="003A2C2E" w:rsidP="003A2C2E">
      <w:pPr>
        <w:pStyle w:val="ListParagraph"/>
        <w:numPr>
          <w:ilvl w:val="0"/>
          <w:numId w:val="23"/>
        </w:numPr>
        <w:spacing w:after="80" w:line="240" w:lineRule="auto"/>
        <w:contextualSpacing w:val="0"/>
        <w:jc w:val="both"/>
        <w:rPr>
          <w:rFonts w:cs="Arial"/>
          <w:lang w:val="es-ES"/>
        </w:rPr>
      </w:pPr>
      <w:r w:rsidRPr="00D0409E">
        <w:rPr>
          <w:rFonts w:cs="Arial"/>
          <w:lang w:val="es-ES"/>
        </w:rPr>
        <w:t>Realizar evaluaciones de preferencia de hábitat específicas por especie en las aguas de la ZEE para identificar hábitats críticos e implementar estrategias de gestión pertinentes a las actividades humanas.</w:t>
      </w:r>
    </w:p>
    <w:p w14:paraId="25CD220B" w14:textId="0F5C8239" w:rsidR="00EF0155" w:rsidRPr="003A2C2E" w:rsidRDefault="003A2C2E" w:rsidP="003A2C2E">
      <w:pPr>
        <w:pStyle w:val="ListParagraph"/>
        <w:numPr>
          <w:ilvl w:val="0"/>
          <w:numId w:val="23"/>
        </w:numPr>
        <w:spacing w:after="0" w:line="240" w:lineRule="auto"/>
        <w:contextualSpacing w:val="0"/>
        <w:jc w:val="both"/>
        <w:rPr>
          <w:rFonts w:cs="Arial"/>
          <w:lang w:val="es-ES"/>
        </w:rPr>
      </w:pPr>
      <w:r w:rsidRPr="00D0409E">
        <w:rPr>
          <w:rFonts w:cs="Arial"/>
          <w:lang w:val="es-ES"/>
        </w:rPr>
        <w:t>Apoyar las Acciones Concertadas y los Planes de Acción de Especie Única existentes de la CMS, así como otras iniciativas para revertir el declive de las especies, poblaciones y subpoblaciones incluidas en el Apéndice I de la CMS, y/o implementar planes similares para aquellas especies que actualmente no estén sujetas a tales iniciativas</w:t>
      </w:r>
      <w:r w:rsidR="00EF0155" w:rsidRPr="003A2C2E">
        <w:rPr>
          <w:rFonts w:cs="Arial"/>
          <w:lang w:val="es-ES"/>
        </w:rPr>
        <w:t>.</w:t>
      </w:r>
    </w:p>
    <w:p w14:paraId="35A126FD" w14:textId="77777777" w:rsidR="00EF0155" w:rsidRPr="003A2C2E" w:rsidRDefault="00EF0155" w:rsidP="00EF0155">
      <w:pPr>
        <w:pStyle w:val="Secondnumbering"/>
        <w:numPr>
          <w:ilvl w:val="0"/>
          <w:numId w:val="0"/>
        </w:numPr>
        <w:ind w:left="360" w:hanging="360"/>
        <w:jc w:val="both"/>
        <w:rPr>
          <w:lang w:val="es-ES"/>
        </w:rPr>
      </w:pPr>
    </w:p>
    <w:p w14:paraId="2BB0C5A9" w14:textId="77777777" w:rsidR="00EF0155" w:rsidRPr="003A2C2E" w:rsidRDefault="00EF0155" w:rsidP="00EF0155">
      <w:pPr>
        <w:pStyle w:val="Secondnumbering"/>
        <w:numPr>
          <w:ilvl w:val="0"/>
          <w:numId w:val="0"/>
        </w:numPr>
        <w:ind w:left="360" w:hanging="360"/>
        <w:jc w:val="both"/>
        <w:rPr>
          <w:lang w:val="es-ES"/>
        </w:rPr>
        <w:sectPr w:rsidR="00EF0155" w:rsidRPr="003A2C2E" w:rsidSect="00323406">
          <w:headerReference w:type="even" r:id="rId33"/>
          <w:headerReference w:type="default" r:id="rId34"/>
          <w:headerReference w:type="first" r:id="rId35"/>
          <w:footerReference w:type="first" r:id="rId36"/>
          <w:pgSz w:w="11906" w:h="16838" w:code="9"/>
          <w:pgMar w:top="1440" w:right="1440" w:bottom="1440" w:left="1440" w:header="720" w:footer="720" w:gutter="0"/>
          <w:cols w:space="720"/>
          <w:titlePg/>
          <w:docGrid w:linePitch="360"/>
        </w:sectPr>
      </w:pPr>
    </w:p>
    <w:p w14:paraId="1F97CC65" w14:textId="77777777" w:rsidR="00D62EC6" w:rsidRPr="00D0409E" w:rsidRDefault="00D62EC6" w:rsidP="00D62EC6">
      <w:pPr>
        <w:spacing w:after="0" w:line="240" w:lineRule="auto"/>
        <w:jc w:val="right"/>
        <w:rPr>
          <w:rFonts w:cs="Arial"/>
          <w:b/>
          <w:bCs/>
          <w:lang w:val="es-ES"/>
        </w:rPr>
      </w:pPr>
      <w:r w:rsidRPr="00D0409E">
        <w:rPr>
          <w:rFonts w:cs="Arial"/>
          <w:b/>
          <w:bCs/>
          <w:lang w:val="es-ES"/>
        </w:rPr>
        <w:lastRenderedPageBreak/>
        <w:t>ANEXO 2</w:t>
      </w:r>
    </w:p>
    <w:p w14:paraId="1D890C65" w14:textId="77777777" w:rsidR="00D62EC6" w:rsidRPr="00D0409E" w:rsidRDefault="00D62EC6" w:rsidP="00D62EC6">
      <w:pPr>
        <w:widowControl w:val="0"/>
        <w:autoSpaceDE w:val="0"/>
        <w:autoSpaceDN w:val="0"/>
        <w:adjustRightInd w:val="0"/>
        <w:spacing w:after="0" w:line="240" w:lineRule="auto"/>
        <w:jc w:val="center"/>
        <w:rPr>
          <w:rFonts w:cs="Arial"/>
          <w:b/>
          <w:bCs/>
          <w:lang w:val="es-ES"/>
        </w:rPr>
      </w:pPr>
    </w:p>
    <w:p w14:paraId="2DAD4008" w14:textId="77777777" w:rsidR="00D62EC6" w:rsidRPr="00D0409E" w:rsidRDefault="00D62EC6" w:rsidP="00D62EC6">
      <w:pPr>
        <w:widowControl w:val="0"/>
        <w:autoSpaceDE w:val="0"/>
        <w:autoSpaceDN w:val="0"/>
        <w:adjustRightInd w:val="0"/>
        <w:spacing w:after="0" w:line="240" w:lineRule="auto"/>
        <w:jc w:val="center"/>
        <w:rPr>
          <w:rFonts w:cs="Arial"/>
          <w:b/>
          <w:bCs/>
          <w:lang w:val="es-ES"/>
        </w:rPr>
      </w:pPr>
    </w:p>
    <w:p w14:paraId="6A7E355E" w14:textId="77777777" w:rsidR="00D62EC6" w:rsidRPr="00D0409E" w:rsidRDefault="00D62EC6" w:rsidP="00D62EC6">
      <w:pPr>
        <w:widowControl w:val="0"/>
        <w:autoSpaceDE w:val="0"/>
        <w:autoSpaceDN w:val="0"/>
        <w:adjustRightInd w:val="0"/>
        <w:spacing w:after="0" w:line="240" w:lineRule="auto"/>
        <w:jc w:val="center"/>
        <w:rPr>
          <w:rFonts w:cs="Arial"/>
          <w:b/>
          <w:lang w:val="es-ES"/>
        </w:rPr>
      </w:pPr>
      <w:r w:rsidRPr="00D0409E" w:rsidDel="00EF0502">
        <w:rPr>
          <w:rFonts w:cs="Arial"/>
          <w:b/>
          <w:lang w:val="es-ES"/>
        </w:rPr>
        <w:t>INFORME SOBRE LOS IMPACTOS DEL CAMBIO CLIMÁTICO EN EL BIENESTAR Y LA CONSERVACIÓN DE LOS CETÁCEOS: RESUMEN Y RECOMENDACIONES</w:t>
      </w:r>
    </w:p>
    <w:p w14:paraId="06D23569" w14:textId="77777777" w:rsidR="00D62EC6" w:rsidRPr="00D0409E" w:rsidRDefault="00D62EC6" w:rsidP="00D62EC6">
      <w:pPr>
        <w:spacing w:after="0" w:line="240" w:lineRule="auto"/>
        <w:rPr>
          <w:rFonts w:cs="Arial"/>
          <w:lang w:val="es-ES"/>
        </w:rPr>
      </w:pPr>
    </w:p>
    <w:p w14:paraId="4957C3F4" w14:textId="0ED1108D" w:rsidR="00D62EC6" w:rsidRPr="00D0409E" w:rsidRDefault="00D62EC6" w:rsidP="00D62EC6">
      <w:pPr>
        <w:pStyle w:val="Secondnumbering"/>
        <w:numPr>
          <w:ilvl w:val="0"/>
          <w:numId w:val="0"/>
        </w:numPr>
        <w:jc w:val="center"/>
        <w:rPr>
          <w:rFonts w:cs="Arial"/>
          <w:i/>
          <w:iCs/>
          <w:lang w:val="es-ES"/>
        </w:rPr>
      </w:pPr>
      <w:r w:rsidRPr="00D0409E">
        <w:rPr>
          <w:rFonts w:cs="Arial"/>
          <w:i/>
          <w:iCs/>
          <w:lang w:val="es-ES"/>
        </w:rPr>
        <w:t>(El informe completo se puede consultar en</w:t>
      </w:r>
      <w:r w:rsidR="00502E5F">
        <w:rPr>
          <w:rFonts w:cs="Arial"/>
          <w:i/>
          <w:iCs/>
          <w:lang w:val="es-ES"/>
        </w:rPr>
        <w:t xml:space="preserve"> </w:t>
      </w:r>
      <w:hyperlink r:id="rId37" w:history="1">
        <w:r w:rsidR="00502E5F" w:rsidRPr="00502E5F">
          <w:rPr>
            <w:rStyle w:val="Hyperlink"/>
            <w:rFonts w:cs="Arial"/>
            <w:i/>
            <w:iCs/>
            <w:lang w:val="es-ES"/>
          </w:rPr>
          <w:t>UNEP/CMS/COP15/Inf.25.4.1b</w:t>
        </w:r>
      </w:hyperlink>
      <w:r w:rsidRPr="00D0409E">
        <w:rPr>
          <w:rFonts w:cs="Arial"/>
          <w:i/>
          <w:iCs/>
          <w:lang w:val="es-ES"/>
        </w:rPr>
        <w:t>)</w:t>
      </w:r>
    </w:p>
    <w:p w14:paraId="47053411" w14:textId="77777777" w:rsidR="00D62EC6" w:rsidRDefault="00D62EC6" w:rsidP="00D62EC6">
      <w:pPr>
        <w:spacing w:after="0" w:line="240" w:lineRule="auto"/>
        <w:rPr>
          <w:rFonts w:cs="Arial"/>
          <w:lang w:val="es-ES"/>
        </w:rPr>
      </w:pPr>
    </w:p>
    <w:p w14:paraId="0F29FB29" w14:textId="77777777" w:rsidR="002E765D" w:rsidRPr="00D0409E" w:rsidRDefault="002E765D" w:rsidP="00D62EC6">
      <w:pPr>
        <w:spacing w:after="0" w:line="240" w:lineRule="auto"/>
        <w:rPr>
          <w:rFonts w:cs="Arial"/>
          <w:lang w:val="es-ES"/>
        </w:rPr>
      </w:pPr>
    </w:p>
    <w:p w14:paraId="2DAB5482" w14:textId="77777777" w:rsidR="00D62EC6" w:rsidRPr="00D0409E" w:rsidRDefault="00D62EC6" w:rsidP="00D62EC6">
      <w:pPr>
        <w:spacing w:after="0" w:line="240" w:lineRule="auto"/>
        <w:jc w:val="both"/>
        <w:rPr>
          <w:rFonts w:eastAsia="Arial" w:cs="Arial"/>
          <w:lang w:val="es-ES"/>
        </w:rPr>
      </w:pPr>
      <w:r w:rsidRPr="00D0409E">
        <w:rPr>
          <w:rFonts w:eastAsia="Arial" w:cs="Arial"/>
          <w:b/>
          <w:lang w:val="es-ES"/>
        </w:rPr>
        <w:t>Resumen</w:t>
      </w:r>
    </w:p>
    <w:p w14:paraId="20D5BB06" w14:textId="77777777" w:rsidR="00D62EC6" w:rsidRPr="00D0409E" w:rsidRDefault="00D62EC6" w:rsidP="00D62EC6">
      <w:pPr>
        <w:spacing w:after="0" w:line="240" w:lineRule="auto"/>
        <w:jc w:val="both"/>
        <w:rPr>
          <w:rFonts w:eastAsia="Arial" w:cs="Arial"/>
          <w:lang w:val="es-ES"/>
        </w:rPr>
      </w:pPr>
    </w:p>
    <w:p w14:paraId="427486B5"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t xml:space="preserve">Los cetáceos (ballenas, delfines y marsopas) se distribuyen por todos los océanos del mundo, y algunos son altamente migratorios. La distribución de los cetáceos está influenciada principalmente por los límites térmicos de la especie, mientras que su migración está impulsada por los requisitos reproductivos y energéticos. El cambio climático, impulsado principalmente por las emisiones de gases de efecto invernadero (GEI) derivadas de actividades humanas, ha alterado significativamente las temperaturas globales y las condiciones oceánicas. El impacto del cambio climático es una de las diez principales amenazas para todos los mamíferos marinos, ya que los cambios en el medio marino tienen consecuencias tanto directas como indirectas para los cetáceos en todo el mundo. Los impactos directos incluyen desplazamientos generalizados en la distribución de los cetáceos (movimientos hacia los polos), alteraciones en la migración (espacial y temporal) y reducción de hábitats adecuados (especialmente en regiones polares y cuencas de agua restringidas). Los impactos indirectos incluyen cambios en la disponibilidad y distribución de las presas, aumento de la presión por depredación y competencia, mayor exposición a contaminantes y proliferaciones de algas nocivas, y una presión intensificada por las actividades humanas. </w:t>
      </w:r>
    </w:p>
    <w:p w14:paraId="0B60AA12" w14:textId="77777777" w:rsidR="00D62EC6" w:rsidRPr="00D0409E" w:rsidRDefault="00D62EC6" w:rsidP="00D62EC6">
      <w:pPr>
        <w:spacing w:after="0" w:line="240" w:lineRule="auto"/>
        <w:jc w:val="both"/>
        <w:rPr>
          <w:rFonts w:eastAsia="Arial" w:cs="Arial"/>
          <w:lang w:val="es-ES"/>
        </w:rPr>
      </w:pPr>
    </w:p>
    <w:p w14:paraId="16691FA0"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t>Aunque la investigación demuestra que el cambio climático tiene efectos adversos significativos sobre la ecología de los cetáceos, se ha prestado poca atención al bienestar de los cetáceos, que se refiere a la salud y el bienestar general de una especie, abarcando tanto los aspectos físicos como los psicológicos. Dado que el bienestar está estrechamente ligado a la supervivencia y a los resultados de conservación, ha aumentado el interés en desarrollar políticas que no solo respalden estrategias de conservación que aborden las amenazas ecológicas, sino que también aborden explícitamente el bienestar de los cetáceos. Esto se alinea directamente con los objetivos de la CMS de garantizar el estado de conservación favorable de las especies migratorias.</w:t>
      </w:r>
    </w:p>
    <w:p w14:paraId="59EF019C" w14:textId="77777777" w:rsidR="00D62EC6" w:rsidRPr="00D0409E" w:rsidRDefault="00D62EC6" w:rsidP="00D62EC6">
      <w:pPr>
        <w:spacing w:after="0" w:line="240" w:lineRule="auto"/>
        <w:jc w:val="both"/>
        <w:rPr>
          <w:rFonts w:eastAsia="Arial" w:cs="Arial"/>
          <w:lang w:val="es-ES"/>
        </w:rPr>
      </w:pPr>
    </w:p>
    <w:p w14:paraId="411D9843"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t>Basado en una revisión de la literatura y entrevistas con expertos en especies, se examinan cuatro especies como estudios de caso que representan cetáceos de los principales grupos ecológicos: Bufeo (</w:t>
      </w:r>
      <w:proofErr w:type="spellStart"/>
      <w:r w:rsidRPr="00D0409E">
        <w:rPr>
          <w:rFonts w:eastAsia="Arial" w:cs="Arial"/>
          <w:i/>
          <w:lang w:val="es-ES"/>
        </w:rPr>
        <w:t>Inia</w:t>
      </w:r>
      <w:proofErr w:type="spellEnd"/>
      <w:r w:rsidRPr="00D0409E">
        <w:rPr>
          <w:rFonts w:eastAsia="Arial" w:cs="Arial"/>
          <w:i/>
          <w:lang w:val="es-ES"/>
        </w:rPr>
        <w:t xml:space="preserve"> </w:t>
      </w:r>
      <w:proofErr w:type="spellStart"/>
      <w:r w:rsidRPr="00D0409E">
        <w:rPr>
          <w:rFonts w:eastAsia="Arial" w:cs="Arial"/>
          <w:i/>
          <w:lang w:val="es-ES"/>
        </w:rPr>
        <w:t>geoffrensis</w:t>
      </w:r>
      <w:proofErr w:type="spellEnd"/>
      <w:r w:rsidRPr="00D0409E">
        <w:rPr>
          <w:rFonts w:eastAsia="Arial" w:cs="Arial"/>
          <w:lang w:val="es-ES"/>
        </w:rPr>
        <w:t>), delfines mulares comunes (</w:t>
      </w:r>
      <w:proofErr w:type="spellStart"/>
      <w:r w:rsidRPr="00D0409E">
        <w:rPr>
          <w:rFonts w:eastAsia="Arial" w:cs="Arial"/>
          <w:i/>
          <w:lang w:val="es-ES"/>
        </w:rPr>
        <w:t>Tursiops</w:t>
      </w:r>
      <w:proofErr w:type="spellEnd"/>
      <w:r w:rsidRPr="00D0409E">
        <w:rPr>
          <w:rFonts w:eastAsia="Arial" w:cs="Arial"/>
          <w:i/>
          <w:lang w:val="es-ES"/>
        </w:rPr>
        <w:t xml:space="preserve"> </w:t>
      </w:r>
      <w:proofErr w:type="spellStart"/>
      <w:r w:rsidRPr="00D0409E">
        <w:rPr>
          <w:rFonts w:eastAsia="Arial" w:cs="Arial"/>
          <w:i/>
          <w:lang w:val="es-ES"/>
        </w:rPr>
        <w:t>truncatus</w:t>
      </w:r>
      <w:proofErr w:type="spellEnd"/>
      <w:r w:rsidRPr="00D0409E">
        <w:rPr>
          <w:rFonts w:eastAsia="Arial" w:cs="Arial"/>
          <w:lang w:val="es-ES"/>
        </w:rPr>
        <w:t xml:space="preserve">), </w:t>
      </w:r>
      <w:proofErr w:type="spellStart"/>
      <w:r w:rsidRPr="00D0409E">
        <w:rPr>
          <w:rFonts w:eastAsia="Arial" w:cs="Arial"/>
          <w:lang w:val="es-ES"/>
        </w:rPr>
        <w:t>ziphios</w:t>
      </w:r>
      <w:proofErr w:type="spellEnd"/>
      <w:r w:rsidRPr="00D0409E">
        <w:rPr>
          <w:rFonts w:eastAsia="Arial" w:cs="Arial"/>
          <w:lang w:val="es-ES"/>
        </w:rPr>
        <w:t xml:space="preserve"> de Cuvier (</w:t>
      </w:r>
      <w:proofErr w:type="spellStart"/>
      <w:r w:rsidRPr="00D0409E">
        <w:rPr>
          <w:rFonts w:eastAsia="Arial" w:cs="Arial"/>
          <w:i/>
          <w:lang w:val="es-ES"/>
        </w:rPr>
        <w:t>Ziphius</w:t>
      </w:r>
      <w:proofErr w:type="spellEnd"/>
      <w:r w:rsidRPr="00D0409E">
        <w:rPr>
          <w:rFonts w:eastAsia="Arial" w:cs="Arial"/>
          <w:i/>
          <w:lang w:val="es-ES"/>
        </w:rPr>
        <w:t xml:space="preserve"> </w:t>
      </w:r>
      <w:proofErr w:type="spellStart"/>
      <w:r w:rsidRPr="00D0409E">
        <w:rPr>
          <w:rFonts w:eastAsia="Arial" w:cs="Arial"/>
          <w:i/>
          <w:lang w:val="es-ES"/>
        </w:rPr>
        <w:t>cavirostris</w:t>
      </w:r>
      <w:proofErr w:type="spellEnd"/>
      <w:r w:rsidRPr="00D0409E">
        <w:rPr>
          <w:rFonts w:eastAsia="Arial" w:cs="Arial"/>
          <w:lang w:val="es-ES"/>
        </w:rPr>
        <w:t>) y ballenas grises (</w:t>
      </w:r>
      <w:proofErr w:type="spellStart"/>
      <w:r w:rsidRPr="00D0409E">
        <w:rPr>
          <w:rFonts w:eastAsia="Arial" w:cs="Arial"/>
          <w:i/>
          <w:lang w:val="es-ES"/>
        </w:rPr>
        <w:t>Eschrichtius</w:t>
      </w:r>
      <w:proofErr w:type="spellEnd"/>
      <w:r w:rsidRPr="00D0409E">
        <w:rPr>
          <w:rFonts w:eastAsia="Arial" w:cs="Arial"/>
          <w:i/>
          <w:lang w:val="es-ES"/>
        </w:rPr>
        <w:t xml:space="preserve"> </w:t>
      </w:r>
      <w:proofErr w:type="spellStart"/>
      <w:r w:rsidRPr="00D0409E">
        <w:rPr>
          <w:rFonts w:eastAsia="Arial" w:cs="Arial"/>
          <w:i/>
          <w:lang w:val="es-ES"/>
        </w:rPr>
        <w:t>robustus</w:t>
      </w:r>
      <w:proofErr w:type="spellEnd"/>
      <w:r w:rsidRPr="00D0409E">
        <w:rPr>
          <w:rFonts w:eastAsia="Arial" w:cs="Arial"/>
          <w:lang w:val="es-ES"/>
        </w:rPr>
        <w:t>). Se presentan los impactos clave del cambio climático en la ecología y el bienestar de los cetáceos, junto con sus implicaciones para la conservación, estrategias de mitigación y acciones potenciales, así como las lagunas restantes en la gestión de la conservación. El impacto del cambio climático sobre cada una de las especies de estudio se describe según cinco categorías (nutrición, entorno, salud, comportamiento y estado mental), basadas en la Herramienta de Evaluación del Bienestar para Cetáceos Silvestres</w:t>
      </w:r>
      <w:r w:rsidRPr="00B044E7">
        <w:rPr>
          <w:rStyle w:val="FootnoteReference"/>
          <w:rFonts w:eastAsia="Arial" w:cs="Arial"/>
          <w:vertAlign w:val="superscript"/>
          <w:lang w:val="es-ES"/>
        </w:rPr>
        <w:footnoteReference w:id="4"/>
      </w:r>
      <w:r w:rsidRPr="00D0409E">
        <w:rPr>
          <w:rFonts w:eastAsia="Arial" w:cs="Arial"/>
          <w:lang w:val="es-ES"/>
        </w:rPr>
        <w:t xml:space="preserve"> desarrollada por Nicol et al. (2020)</w:t>
      </w:r>
      <w:r w:rsidRPr="00B044E7">
        <w:rPr>
          <w:rStyle w:val="FootnoteReference"/>
          <w:rFonts w:eastAsia="Arial" w:cs="Arial"/>
          <w:vertAlign w:val="superscript"/>
          <w:lang w:val="es-ES"/>
        </w:rPr>
        <w:footnoteReference w:id="5"/>
      </w:r>
      <w:r w:rsidRPr="00D0409E">
        <w:rPr>
          <w:rFonts w:eastAsia="Arial" w:cs="Arial"/>
          <w:lang w:val="es-ES"/>
        </w:rPr>
        <w:t>.</w:t>
      </w:r>
    </w:p>
    <w:p w14:paraId="27670CF8" w14:textId="77777777" w:rsidR="00D62EC6" w:rsidRPr="00D0409E" w:rsidRDefault="00D62EC6" w:rsidP="00D62EC6">
      <w:pPr>
        <w:spacing w:after="0" w:line="240" w:lineRule="auto"/>
        <w:jc w:val="both"/>
        <w:rPr>
          <w:rFonts w:eastAsia="Arial" w:cs="Arial"/>
          <w:lang w:val="es-ES"/>
        </w:rPr>
      </w:pPr>
    </w:p>
    <w:p w14:paraId="37695CA3"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lastRenderedPageBreak/>
        <w:t xml:space="preserve">El informe presenta evidencia clara de los impactos ecológicos del cambio climático sobre las cuatro especies de estudio a lo largo de la literatura científica. Sin embargo, diferentes especies y poblaciones de cetáceos presentan niveles variables de vulnerabilidad a los cambios impulsados por el clima. Los impactos sobre el bienestar animal están menos documentados, pero también deberían incorporarse en las decisiones de gestión que respondan al cambio climático, debido a su vínculo con los resultados de conservación. Los impactos sobre el bienestar no solo afectan a los animales individuales, sino que también pueden tener efectos en cascada sobre la viabilidad de las poblaciones y la efectividad de los esfuerzos de conservación actuales. </w:t>
      </w:r>
    </w:p>
    <w:p w14:paraId="6013AB2F" w14:textId="77777777" w:rsidR="00D62EC6" w:rsidRPr="00D0409E" w:rsidRDefault="00D62EC6" w:rsidP="00D62EC6">
      <w:pPr>
        <w:spacing w:after="0" w:line="240" w:lineRule="auto"/>
        <w:jc w:val="both"/>
        <w:rPr>
          <w:rFonts w:eastAsia="Arial" w:cs="Arial"/>
          <w:lang w:val="es-ES"/>
        </w:rPr>
      </w:pPr>
    </w:p>
    <w:p w14:paraId="6D9B1F56"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t>Bufeos</w:t>
      </w:r>
    </w:p>
    <w:p w14:paraId="730E0A58" w14:textId="77777777" w:rsidR="00D62EC6" w:rsidRPr="00D0409E" w:rsidRDefault="00D62EC6" w:rsidP="00D62EC6">
      <w:pPr>
        <w:spacing w:after="0" w:line="240" w:lineRule="auto"/>
        <w:jc w:val="both"/>
        <w:rPr>
          <w:rFonts w:eastAsia="Arial" w:cs="Arial"/>
          <w:lang w:val="es-ES"/>
        </w:rPr>
      </w:pPr>
    </w:p>
    <w:p w14:paraId="7CAFC594" w14:textId="77777777" w:rsidR="00D62EC6" w:rsidRPr="00D0409E" w:rsidRDefault="00D62EC6" w:rsidP="00D62EC6">
      <w:pPr>
        <w:keepNext/>
        <w:spacing w:after="120" w:line="240" w:lineRule="auto"/>
        <w:jc w:val="both"/>
        <w:rPr>
          <w:rFonts w:eastAsia="Arial" w:cs="Arial"/>
          <w:i/>
          <w:iCs/>
          <w:lang w:val="es-ES"/>
        </w:rPr>
      </w:pPr>
      <w:r w:rsidRPr="00D0409E">
        <w:rPr>
          <w:rFonts w:eastAsia="Arial" w:cs="Arial"/>
          <w:lang w:val="es-ES"/>
        </w:rPr>
        <w:t>Tabla 1. Impactos del cambio climático en el bienestar y la conservación del bufeo, y posibles estrategias de mitigación.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85"/>
        <w:gridCol w:w="1755"/>
        <w:gridCol w:w="1635"/>
        <w:gridCol w:w="2325"/>
        <w:gridCol w:w="2145"/>
      </w:tblGrid>
      <w:tr w:rsidR="00D62EC6" w:rsidRPr="00D0409E" w14:paraId="01539F13" w14:textId="77777777" w:rsidTr="00B044E7">
        <w:trPr>
          <w:trHeight w:val="840"/>
        </w:trPr>
        <w:tc>
          <w:tcPr>
            <w:tcW w:w="1185" w:type="dxa"/>
            <w:tcMar>
              <w:left w:w="105" w:type="dxa"/>
              <w:right w:w="105" w:type="dxa"/>
            </w:tcMar>
          </w:tcPr>
          <w:p w14:paraId="7E3BC974"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 xml:space="preserve">Impacto del cambio climático </w:t>
            </w:r>
          </w:p>
        </w:tc>
        <w:tc>
          <w:tcPr>
            <w:tcW w:w="1755" w:type="dxa"/>
            <w:tcMar>
              <w:left w:w="105" w:type="dxa"/>
              <w:right w:w="105" w:type="dxa"/>
            </w:tcMar>
          </w:tcPr>
          <w:p w14:paraId="56AC6FBC"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Efecto sobre el bufeo</w:t>
            </w:r>
          </w:p>
        </w:tc>
        <w:tc>
          <w:tcPr>
            <w:tcW w:w="1635" w:type="dxa"/>
            <w:tcMar>
              <w:left w:w="105" w:type="dxa"/>
              <w:right w:w="105" w:type="dxa"/>
            </w:tcMar>
          </w:tcPr>
          <w:p w14:paraId="30475E3B"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Implicaciones para el bienestar</w:t>
            </w:r>
          </w:p>
        </w:tc>
        <w:tc>
          <w:tcPr>
            <w:tcW w:w="2325" w:type="dxa"/>
            <w:tcMar>
              <w:left w:w="105" w:type="dxa"/>
              <w:right w:w="105" w:type="dxa"/>
            </w:tcMar>
          </w:tcPr>
          <w:p w14:paraId="3CF6DC98"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Implicaciones para la conservación</w:t>
            </w:r>
          </w:p>
        </w:tc>
        <w:tc>
          <w:tcPr>
            <w:tcW w:w="2145" w:type="dxa"/>
            <w:tcMar>
              <w:left w:w="105" w:type="dxa"/>
              <w:right w:w="105" w:type="dxa"/>
            </w:tcMar>
          </w:tcPr>
          <w:p w14:paraId="657980EB" w14:textId="77777777" w:rsidR="00D62EC6" w:rsidRPr="00D0409E" w:rsidRDefault="00D62EC6" w:rsidP="009D3746">
            <w:pPr>
              <w:spacing w:line="278" w:lineRule="auto"/>
              <w:rPr>
                <w:rFonts w:ascii="Arial" w:eastAsia="Arial" w:hAnsi="Arial" w:cs="Arial"/>
                <w:sz w:val="18"/>
                <w:szCs w:val="18"/>
                <w:lang w:val="es-ES"/>
              </w:rPr>
            </w:pPr>
            <w:r w:rsidRPr="00D0409E">
              <w:rPr>
                <w:rFonts w:ascii="Arial" w:eastAsia="Arial" w:hAnsi="Arial" w:cs="Arial"/>
                <w:b/>
                <w:bCs/>
                <w:sz w:val="18"/>
                <w:szCs w:val="18"/>
                <w:lang w:val="es-ES"/>
              </w:rPr>
              <w:t>Estrategias de migración</w:t>
            </w:r>
          </w:p>
        </w:tc>
      </w:tr>
      <w:tr w:rsidR="00D62EC6" w:rsidRPr="00895330" w14:paraId="6C634D2D" w14:textId="77777777" w:rsidTr="00B044E7">
        <w:trPr>
          <w:trHeight w:val="405"/>
        </w:trPr>
        <w:tc>
          <w:tcPr>
            <w:tcW w:w="1185" w:type="dxa"/>
            <w:vMerge w:val="restart"/>
            <w:tcMar>
              <w:left w:w="105" w:type="dxa"/>
              <w:right w:w="105" w:type="dxa"/>
            </w:tcMar>
          </w:tcPr>
          <w:p w14:paraId="000A5E5E"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temperatura del agua</w:t>
            </w:r>
          </w:p>
        </w:tc>
        <w:tc>
          <w:tcPr>
            <w:tcW w:w="1755" w:type="dxa"/>
            <w:tcMar>
              <w:left w:w="105" w:type="dxa"/>
              <w:right w:w="105" w:type="dxa"/>
            </w:tcMar>
          </w:tcPr>
          <w:p w14:paraId="28D2F40C"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Cambios fisiológicos en los delfines</w:t>
            </w:r>
          </w:p>
        </w:tc>
        <w:tc>
          <w:tcPr>
            <w:tcW w:w="1635" w:type="dxa"/>
            <w:vMerge w:val="restart"/>
            <w:tcMar>
              <w:left w:w="105" w:type="dxa"/>
              <w:right w:w="105" w:type="dxa"/>
            </w:tcMar>
          </w:tcPr>
          <w:p w14:paraId="3FE942AB"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Choque térmico, lesiones internas, enfermedades, dolor, malestar, estrés, aumento del gasto energético, hambre</w:t>
            </w:r>
          </w:p>
        </w:tc>
        <w:tc>
          <w:tcPr>
            <w:tcW w:w="2325" w:type="dxa"/>
            <w:vMerge w:val="restart"/>
            <w:tcMar>
              <w:left w:w="105" w:type="dxa"/>
              <w:right w:w="105" w:type="dxa"/>
            </w:tcMar>
          </w:tcPr>
          <w:p w14:paraId="72AF605D"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mortalidad, reducción de la condición corporal,</w:t>
            </w:r>
          </w:p>
          <w:p w14:paraId="4D10C7D2"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reducción de las tasas de reproducción</w:t>
            </w:r>
          </w:p>
        </w:tc>
        <w:tc>
          <w:tcPr>
            <w:tcW w:w="2145" w:type="dxa"/>
            <w:vMerge w:val="restart"/>
            <w:tcMar>
              <w:left w:w="105" w:type="dxa"/>
              <w:right w:w="105" w:type="dxa"/>
            </w:tcMar>
          </w:tcPr>
          <w:p w14:paraId="17CE9CD5" w14:textId="77777777" w:rsidR="00D62EC6" w:rsidRPr="00D0409E" w:rsidRDefault="00D62EC6" w:rsidP="009D3746">
            <w:pPr>
              <w:spacing w:line="278" w:lineRule="auto"/>
              <w:rPr>
                <w:rFonts w:ascii="Arial" w:eastAsia="Arial" w:hAnsi="Arial" w:cs="Arial"/>
                <w:sz w:val="18"/>
                <w:szCs w:val="18"/>
                <w:lang w:val="es-ES"/>
              </w:rPr>
            </w:pPr>
            <w:r w:rsidRPr="00D0409E">
              <w:rPr>
                <w:rFonts w:ascii="Arial" w:eastAsia="Arial" w:hAnsi="Arial" w:cs="Arial"/>
                <w:sz w:val="18"/>
                <w:szCs w:val="18"/>
                <w:lang w:val="es-ES"/>
              </w:rPr>
              <w:t>Sistemas de alerta temprana, translocación, uso de modelos climáticos para prever eventos y prepararse mejor, gestión pesquera, gestión del agua</w:t>
            </w:r>
          </w:p>
        </w:tc>
      </w:tr>
      <w:tr w:rsidR="00D62EC6" w:rsidRPr="00895330" w14:paraId="444263CA" w14:textId="77777777" w:rsidTr="00B044E7">
        <w:trPr>
          <w:trHeight w:val="405"/>
        </w:trPr>
        <w:tc>
          <w:tcPr>
            <w:tcW w:w="1185" w:type="dxa"/>
            <w:vMerge/>
            <w:vAlign w:val="center"/>
          </w:tcPr>
          <w:p w14:paraId="3894A139" w14:textId="77777777" w:rsidR="00D62EC6" w:rsidRPr="00D0409E" w:rsidRDefault="00D62EC6" w:rsidP="00B044E7">
            <w:pPr>
              <w:jc w:val="both"/>
              <w:rPr>
                <w:lang w:val="es-ES"/>
              </w:rPr>
            </w:pPr>
          </w:p>
        </w:tc>
        <w:tc>
          <w:tcPr>
            <w:tcW w:w="1755" w:type="dxa"/>
            <w:tcMar>
              <w:left w:w="105" w:type="dxa"/>
              <w:right w:w="105" w:type="dxa"/>
            </w:tcMar>
          </w:tcPr>
          <w:p w14:paraId="38F9D482"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Cambio/reducción de las presas</w:t>
            </w:r>
          </w:p>
        </w:tc>
        <w:tc>
          <w:tcPr>
            <w:tcW w:w="1635" w:type="dxa"/>
            <w:vMerge/>
            <w:vAlign w:val="center"/>
          </w:tcPr>
          <w:p w14:paraId="635A6008" w14:textId="77777777" w:rsidR="00D62EC6" w:rsidRPr="00D0409E" w:rsidRDefault="00D62EC6" w:rsidP="00B044E7">
            <w:pPr>
              <w:jc w:val="both"/>
              <w:rPr>
                <w:lang w:val="es-ES"/>
              </w:rPr>
            </w:pPr>
          </w:p>
        </w:tc>
        <w:tc>
          <w:tcPr>
            <w:tcW w:w="2325" w:type="dxa"/>
            <w:vMerge/>
            <w:vAlign w:val="center"/>
          </w:tcPr>
          <w:p w14:paraId="1D2306D3" w14:textId="77777777" w:rsidR="00D62EC6" w:rsidRPr="00D0409E" w:rsidRDefault="00D62EC6" w:rsidP="00B044E7">
            <w:pPr>
              <w:jc w:val="both"/>
              <w:rPr>
                <w:lang w:val="es-ES"/>
              </w:rPr>
            </w:pPr>
          </w:p>
        </w:tc>
        <w:tc>
          <w:tcPr>
            <w:tcW w:w="2145" w:type="dxa"/>
            <w:vMerge/>
            <w:vAlign w:val="center"/>
          </w:tcPr>
          <w:p w14:paraId="63C9800D" w14:textId="77777777" w:rsidR="00D62EC6" w:rsidRPr="00D0409E" w:rsidRDefault="00D62EC6" w:rsidP="009D3746">
            <w:pPr>
              <w:rPr>
                <w:lang w:val="es-ES"/>
              </w:rPr>
            </w:pPr>
          </w:p>
        </w:tc>
      </w:tr>
      <w:tr w:rsidR="00D62EC6" w:rsidRPr="00895330" w14:paraId="46723231" w14:textId="77777777" w:rsidTr="00B044E7">
        <w:trPr>
          <w:trHeight w:val="975"/>
        </w:trPr>
        <w:tc>
          <w:tcPr>
            <w:tcW w:w="1185" w:type="dxa"/>
            <w:vMerge/>
            <w:vAlign w:val="center"/>
          </w:tcPr>
          <w:p w14:paraId="41FB19E5" w14:textId="77777777" w:rsidR="00D62EC6" w:rsidRPr="00D0409E" w:rsidRDefault="00D62EC6" w:rsidP="00B044E7">
            <w:pPr>
              <w:jc w:val="both"/>
              <w:rPr>
                <w:lang w:val="es-ES"/>
              </w:rPr>
            </w:pPr>
          </w:p>
        </w:tc>
        <w:tc>
          <w:tcPr>
            <w:tcW w:w="1755" w:type="dxa"/>
            <w:tcMar>
              <w:left w:w="105" w:type="dxa"/>
              <w:right w:w="105" w:type="dxa"/>
            </w:tcMar>
          </w:tcPr>
          <w:p w14:paraId="591D340A"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 xml:space="preserve">Disminución de la calidad del agua (contaminación, contaminantes, cianobacteria) </w:t>
            </w:r>
          </w:p>
        </w:tc>
        <w:tc>
          <w:tcPr>
            <w:tcW w:w="1635" w:type="dxa"/>
            <w:vMerge/>
            <w:vAlign w:val="center"/>
          </w:tcPr>
          <w:p w14:paraId="50625945" w14:textId="77777777" w:rsidR="00D62EC6" w:rsidRPr="00D0409E" w:rsidRDefault="00D62EC6" w:rsidP="00B044E7">
            <w:pPr>
              <w:jc w:val="both"/>
              <w:rPr>
                <w:lang w:val="es-ES"/>
              </w:rPr>
            </w:pPr>
          </w:p>
        </w:tc>
        <w:tc>
          <w:tcPr>
            <w:tcW w:w="2325" w:type="dxa"/>
            <w:vMerge/>
            <w:vAlign w:val="center"/>
          </w:tcPr>
          <w:p w14:paraId="68078CA6" w14:textId="77777777" w:rsidR="00D62EC6" w:rsidRPr="00D0409E" w:rsidRDefault="00D62EC6" w:rsidP="00B044E7">
            <w:pPr>
              <w:jc w:val="both"/>
              <w:rPr>
                <w:lang w:val="es-ES"/>
              </w:rPr>
            </w:pPr>
          </w:p>
        </w:tc>
        <w:tc>
          <w:tcPr>
            <w:tcW w:w="2145" w:type="dxa"/>
            <w:vMerge/>
            <w:vAlign w:val="center"/>
          </w:tcPr>
          <w:p w14:paraId="04AB9B51" w14:textId="77777777" w:rsidR="00D62EC6" w:rsidRPr="00D0409E" w:rsidRDefault="00D62EC6" w:rsidP="009D3746">
            <w:pPr>
              <w:rPr>
                <w:lang w:val="es-ES"/>
              </w:rPr>
            </w:pPr>
          </w:p>
        </w:tc>
      </w:tr>
      <w:tr w:rsidR="00D62EC6" w:rsidRPr="00895330" w14:paraId="6A128522" w14:textId="77777777" w:rsidTr="00B044E7">
        <w:trPr>
          <w:trHeight w:val="1170"/>
        </w:trPr>
        <w:tc>
          <w:tcPr>
            <w:tcW w:w="1185" w:type="dxa"/>
            <w:vMerge w:val="restart"/>
            <w:tcMar>
              <w:left w:w="105" w:type="dxa"/>
              <w:right w:w="105" w:type="dxa"/>
            </w:tcMar>
          </w:tcPr>
          <w:p w14:paraId="25FC4B62"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 xml:space="preserve">Cambios en los pulsos de inundación </w:t>
            </w:r>
          </w:p>
        </w:tc>
        <w:tc>
          <w:tcPr>
            <w:tcW w:w="1755" w:type="dxa"/>
            <w:tcMar>
              <w:left w:w="105" w:type="dxa"/>
              <w:right w:w="105" w:type="dxa"/>
            </w:tcMar>
          </w:tcPr>
          <w:p w14:paraId="5AE4B050"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Aislamiento en aguas poco profundas</w:t>
            </w:r>
          </w:p>
        </w:tc>
        <w:tc>
          <w:tcPr>
            <w:tcW w:w="1635" w:type="dxa"/>
            <w:tcMar>
              <w:left w:w="105" w:type="dxa"/>
              <w:right w:w="105" w:type="dxa"/>
            </w:tcMar>
          </w:tcPr>
          <w:p w14:paraId="124CD25E"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Choque térmico, dolor, quemaduras, lesiones internas, estrés, malestar, deshidratación, hambre</w:t>
            </w:r>
          </w:p>
        </w:tc>
        <w:tc>
          <w:tcPr>
            <w:tcW w:w="2325" w:type="dxa"/>
            <w:tcMar>
              <w:left w:w="105" w:type="dxa"/>
              <w:right w:w="105" w:type="dxa"/>
            </w:tcMar>
          </w:tcPr>
          <w:p w14:paraId="282F29CE"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mortalidad, mayor vulnerabilidad a la depredación y a la actividad humana</w:t>
            </w:r>
          </w:p>
        </w:tc>
        <w:tc>
          <w:tcPr>
            <w:tcW w:w="2145" w:type="dxa"/>
            <w:tcMar>
              <w:left w:w="105" w:type="dxa"/>
              <w:right w:w="105" w:type="dxa"/>
            </w:tcMar>
          </w:tcPr>
          <w:p w14:paraId="34638C84" w14:textId="77777777" w:rsidR="00D62EC6" w:rsidRPr="00D0409E" w:rsidRDefault="00D62EC6" w:rsidP="009D3746">
            <w:pPr>
              <w:spacing w:line="278" w:lineRule="auto"/>
              <w:rPr>
                <w:rFonts w:ascii="Arial" w:eastAsia="Arial" w:hAnsi="Arial" w:cs="Arial"/>
                <w:sz w:val="18"/>
                <w:szCs w:val="18"/>
                <w:lang w:val="es-ES"/>
              </w:rPr>
            </w:pPr>
            <w:r w:rsidRPr="00D0409E">
              <w:rPr>
                <w:rFonts w:ascii="Arial" w:eastAsia="Arial" w:hAnsi="Arial" w:cs="Arial"/>
                <w:sz w:val="18"/>
                <w:szCs w:val="18"/>
                <w:lang w:val="es-ES"/>
              </w:rPr>
              <w:t>Translocación, identificación y protección de áreas de refugio, uso de modelos climáticos para prever eventos</w:t>
            </w:r>
          </w:p>
        </w:tc>
      </w:tr>
      <w:tr w:rsidR="00D62EC6" w:rsidRPr="00895330" w14:paraId="4A3ED035" w14:textId="77777777" w:rsidTr="00B044E7">
        <w:trPr>
          <w:trHeight w:val="1170"/>
        </w:trPr>
        <w:tc>
          <w:tcPr>
            <w:tcW w:w="1185" w:type="dxa"/>
            <w:vMerge/>
            <w:vAlign w:val="center"/>
          </w:tcPr>
          <w:p w14:paraId="638A59BE" w14:textId="77777777" w:rsidR="00D62EC6" w:rsidRPr="00D0409E" w:rsidRDefault="00D62EC6" w:rsidP="00B044E7">
            <w:pPr>
              <w:jc w:val="both"/>
              <w:rPr>
                <w:lang w:val="es-ES"/>
              </w:rPr>
            </w:pPr>
          </w:p>
        </w:tc>
        <w:tc>
          <w:tcPr>
            <w:tcW w:w="1755" w:type="dxa"/>
            <w:tcMar>
              <w:left w:w="105" w:type="dxa"/>
              <w:right w:w="105" w:type="dxa"/>
            </w:tcMar>
          </w:tcPr>
          <w:p w14:paraId="4DA1B98C"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Pérdida de hábitat en llanuras de inundación y lagunas</w:t>
            </w:r>
          </w:p>
        </w:tc>
        <w:tc>
          <w:tcPr>
            <w:tcW w:w="1635" w:type="dxa"/>
            <w:tcMar>
              <w:left w:w="105" w:type="dxa"/>
              <w:right w:w="105" w:type="dxa"/>
            </w:tcMar>
          </w:tcPr>
          <w:p w14:paraId="5057FC6F"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Alteración de las actividades sociales (apareamiento y cría)</w:t>
            </w:r>
          </w:p>
        </w:tc>
        <w:tc>
          <w:tcPr>
            <w:tcW w:w="2325" w:type="dxa"/>
            <w:tcMar>
              <w:left w:w="105" w:type="dxa"/>
              <w:right w:w="105" w:type="dxa"/>
            </w:tcMar>
          </w:tcPr>
          <w:p w14:paraId="5A7C2097"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Reducción de las tasas de reproducción, reducción del éxito reproductivo</w:t>
            </w:r>
          </w:p>
        </w:tc>
        <w:tc>
          <w:tcPr>
            <w:tcW w:w="2145" w:type="dxa"/>
            <w:tcMar>
              <w:left w:w="105" w:type="dxa"/>
              <w:right w:w="105" w:type="dxa"/>
            </w:tcMar>
          </w:tcPr>
          <w:p w14:paraId="66FB1AC4" w14:textId="77777777" w:rsidR="00D62EC6" w:rsidRPr="00D0409E" w:rsidRDefault="00D62EC6" w:rsidP="009D3746">
            <w:pPr>
              <w:spacing w:line="278" w:lineRule="auto"/>
              <w:rPr>
                <w:rFonts w:ascii="Arial" w:eastAsia="Arial" w:hAnsi="Arial" w:cs="Arial"/>
                <w:sz w:val="18"/>
                <w:szCs w:val="18"/>
                <w:lang w:val="es-ES"/>
              </w:rPr>
            </w:pPr>
            <w:r w:rsidRPr="00D0409E">
              <w:rPr>
                <w:rFonts w:ascii="Arial" w:eastAsia="Arial" w:hAnsi="Arial" w:cs="Arial"/>
                <w:sz w:val="18"/>
                <w:szCs w:val="18"/>
                <w:lang w:val="es-ES"/>
              </w:rPr>
              <w:t xml:space="preserve">Proteger, restaurar y/o desarrollar hábitats críticos de agua dulce, regular la gestión del agua (presas) </w:t>
            </w:r>
          </w:p>
        </w:tc>
      </w:tr>
      <w:tr w:rsidR="00D62EC6" w:rsidRPr="00895330" w14:paraId="6FD5F8EE" w14:textId="77777777" w:rsidTr="00B044E7">
        <w:trPr>
          <w:trHeight w:val="75"/>
        </w:trPr>
        <w:tc>
          <w:tcPr>
            <w:tcW w:w="1185" w:type="dxa"/>
            <w:vMerge/>
            <w:vAlign w:val="center"/>
          </w:tcPr>
          <w:p w14:paraId="66C65685" w14:textId="77777777" w:rsidR="00D62EC6" w:rsidRPr="00D0409E" w:rsidRDefault="00D62EC6" w:rsidP="00B044E7">
            <w:pPr>
              <w:jc w:val="both"/>
              <w:rPr>
                <w:lang w:val="es-ES"/>
              </w:rPr>
            </w:pPr>
          </w:p>
        </w:tc>
        <w:tc>
          <w:tcPr>
            <w:tcW w:w="1755" w:type="dxa"/>
            <w:tcMar>
              <w:left w:w="105" w:type="dxa"/>
              <w:right w:w="105" w:type="dxa"/>
            </w:tcMar>
          </w:tcPr>
          <w:p w14:paraId="61F22147"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Cambio de hábitat por la construcción de presas y la deforestación</w:t>
            </w:r>
          </w:p>
        </w:tc>
        <w:tc>
          <w:tcPr>
            <w:tcW w:w="1635" w:type="dxa"/>
            <w:tcMar>
              <w:left w:w="105" w:type="dxa"/>
              <w:right w:w="105" w:type="dxa"/>
            </w:tcMar>
          </w:tcPr>
          <w:p w14:paraId="20F38F64"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Alteración de las actividades sociales (apareamiento, cría), migraciones y desplazamiento</w:t>
            </w:r>
          </w:p>
        </w:tc>
        <w:tc>
          <w:tcPr>
            <w:tcW w:w="2325" w:type="dxa"/>
            <w:tcMar>
              <w:left w:w="105" w:type="dxa"/>
              <w:right w:w="105" w:type="dxa"/>
            </w:tcMar>
          </w:tcPr>
          <w:p w14:paraId="3AD0A6B3"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Reducción de las tasas de reproducción, reducción del éxito reproductivo, aumento de la vulnerabilidad a la actividad humana, aumento de la fragmentación del hábitat</w:t>
            </w:r>
          </w:p>
        </w:tc>
        <w:tc>
          <w:tcPr>
            <w:tcW w:w="2145" w:type="dxa"/>
            <w:tcMar>
              <w:left w:w="105" w:type="dxa"/>
              <w:right w:w="105" w:type="dxa"/>
            </w:tcMar>
          </w:tcPr>
          <w:p w14:paraId="719803C8" w14:textId="77777777" w:rsidR="00D62EC6" w:rsidRPr="00D0409E" w:rsidRDefault="00D62EC6" w:rsidP="009D3746">
            <w:pPr>
              <w:spacing w:line="278" w:lineRule="auto"/>
              <w:rPr>
                <w:rFonts w:ascii="Arial" w:eastAsia="Arial" w:hAnsi="Arial" w:cs="Arial"/>
                <w:sz w:val="18"/>
                <w:szCs w:val="18"/>
                <w:lang w:val="es-ES"/>
              </w:rPr>
            </w:pPr>
            <w:r w:rsidRPr="00D0409E">
              <w:rPr>
                <w:rFonts w:ascii="Arial" w:eastAsia="Arial" w:hAnsi="Arial" w:cs="Arial"/>
                <w:sz w:val="18"/>
                <w:szCs w:val="18"/>
                <w:lang w:val="es-ES"/>
              </w:rPr>
              <w:t>Mejorar y regular la planificación de presas y la deforestación</w:t>
            </w:r>
          </w:p>
        </w:tc>
      </w:tr>
    </w:tbl>
    <w:p w14:paraId="7EBBA43D"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br w:type="page"/>
      </w:r>
    </w:p>
    <w:p w14:paraId="7F98BA02"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lastRenderedPageBreak/>
        <w:t>Delfín mular común</w:t>
      </w:r>
    </w:p>
    <w:p w14:paraId="2124D6B0" w14:textId="77777777" w:rsidR="00D62EC6" w:rsidRPr="00D0409E" w:rsidRDefault="00D62EC6" w:rsidP="00D62EC6">
      <w:pPr>
        <w:spacing w:after="0" w:line="240" w:lineRule="auto"/>
        <w:jc w:val="both"/>
        <w:rPr>
          <w:rFonts w:eastAsia="Arial" w:cs="Arial"/>
          <w:lang w:val="es-ES"/>
        </w:rPr>
      </w:pPr>
    </w:p>
    <w:p w14:paraId="1D4CF070" w14:textId="77777777" w:rsidR="00D62EC6" w:rsidRPr="00D0409E" w:rsidRDefault="00D62EC6" w:rsidP="00D62EC6">
      <w:pPr>
        <w:keepNext/>
        <w:spacing w:after="120" w:line="240" w:lineRule="auto"/>
        <w:jc w:val="both"/>
        <w:rPr>
          <w:rFonts w:eastAsia="Arial" w:cs="Arial"/>
          <w:i/>
          <w:iCs/>
          <w:lang w:val="es-ES"/>
        </w:rPr>
      </w:pPr>
      <w:r w:rsidRPr="00D0409E">
        <w:rPr>
          <w:rFonts w:eastAsia="Arial" w:cs="Arial"/>
          <w:lang w:val="es-ES"/>
        </w:rPr>
        <w:t>Tabla 2. Impactos del cambio climático en el bienestar y la conservación del delfín mular, y posibles estrategias de mitigación.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1950"/>
        <w:gridCol w:w="1830"/>
        <w:gridCol w:w="1770"/>
        <w:gridCol w:w="1830"/>
      </w:tblGrid>
      <w:tr w:rsidR="00D62EC6" w:rsidRPr="00D0409E" w14:paraId="421A5B8B" w14:textId="77777777" w:rsidTr="009D3746">
        <w:trPr>
          <w:trHeight w:val="450"/>
        </w:trPr>
        <w:tc>
          <w:tcPr>
            <w:tcW w:w="1695" w:type="dxa"/>
            <w:tcMar>
              <w:left w:w="105" w:type="dxa"/>
              <w:right w:w="105" w:type="dxa"/>
            </w:tcMar>
          </w:tcPr>
          <w:p w14:paraId="2BB0ABA4"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Impactos del cambio climático</w:t>
            </w:r>
          </w:p>
        </w:tc>
        <w:tc>
          <w:tcPr>
            <w:tcW w:w="1950" w:type="dxa"/>
            <w:tcMar>
              <w:left w:w="105" w:type="dxa"/>
              <w:right w:w="105" w:type="dxa"/>
            </w:tcMar>
          </w:tcPr>
          <w:p w14:paraId="33B579D6"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Efectos en el delfín mular</w:t>
            </w:r>
          </w:p>
        </w:tc>
        <w:tc>
          <w:tcPr>
            <w:tcW w:w="1830" w:type="dxa"/>
            <w:tcMar>
              <w:left w:w="105" w:type="dxa"/>
              <w:right w:w="105" w:type="dxa"/>
            </w:tcMar>
          </w:tcPr>
          <w:p w14:paraId="540FD69D"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Implicaciones para el bienestar</w:t>
            </w:r>
          </w:p>
        </w:tc>
        <w:tc>
          <w:tcPr>
            <w:tcW w:w="1770" w:type="dxa"/>
            <w:tcMar>
              <w:left w:w="105" w:type="dxa"/>
              <w:right w:w="105" w:type="dxa"/>
            </w:tcMar>
          </w:tcPr>
          <w:p w14:paraId="7EA936FF"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Implicaciones para la conservación</w:t>
            </w:r>
          </w:p>
        </w:tc>
        <w:tc>
          <w:tcPr>
            <w:tcW w:w="1830" w:type="dxa"/>
            <w:tcMar>
              <w:left w:w="105" w:type="dxa"/>
              <w:right w:w="105" w:type="dxa"/>
            </w:tcMar>
          </w:tcPr>
          <w:p w14:paraId="3CAFDF68"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 xml:space="preserve">Estrategias de migración </w:t>
            </w:r>
          </w:p>
        </w:tc>
      </w:tr>
      <w:tr w:rsidR="00D62EC6" w:rsidRPr="00895330" w14:paraId="3C6D537F" w14:textId="77777777" w:rsidTr="009D3746">
        <w:trPr>
          <w:trHeight w:val="2760"/>
        </w:trPr>
        <w:tc>
          <w:tcPr>
            <w:tcW w:w="1695" w:type="dxa"/>
            <w:tcMar>
              <w:left w:w="105" w:type="dxa"/>
              <w:right w:w="105" w:type="dxa"/>
            </w:tcMar>
          </w:tcPr>
          <w:p w14:paraId="0836B745"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temperatura</w:t>
            </w:r>
          </w:p>
        </w:tc>
        <w:tc>
          <w:tcPr>
            <w:tcW w:w="1950" w:type="dxa"/>
            <w:vMerge w:val="restart"/>
            <w:tcMar>
              <w:left w:w="105" w:type="dxa"/>
              <w:right w:w="105" w:type="dxa"/>
            </w:tcMar>
          </w:tcPr>
          <w:p w14:paraId="36218864"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 xml:space="preserve">Desplazamientos en la distribución </w:t>
            </w:r>
          </w:p>
          <w:p w14:paraId="3F7A3241" w14:textId="77777777" w:rsidR="00D62EC6" w:rsidRPr="00D0409E" w:rsidRDefault="00D62EC6" w:rsidP="00B044E7">
            <w:pPr>
              <w:spacing w:line="278" w:lineRule="auto"/>
              <w:jc w:val="both"/>
              <w:rPr>
                <w:rFonts w:ascii="Arial" w:eastAsia="Arial" w:hAnsi="Arial" w:cs="Arial"/>
                <w:sz w:val="18"/>
                <w:szCs w:val="18"/>
                <w:lang w:val="es-ES"/>
              </w:rPr>
            </w:pPr>
          </w:p>
          <w:p w14:paraId="4DE6BDDB"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Disponibilidad/desplazamiento de presas</w:t>
            </w:r>
          </w:p>
          <w:p w14:paraId="280E5706" w14:textId="77777777" w:rsidR="00D62EC6" w:rsidRPr="00D0409E" w:rsidRDefault="00D62EC6" w:rsidP="00B044E7">
            <w:pPr>
              <w:spacing w:line="278" w:lineRule="auto"/>
              <w:jc w:val="both"/>
              <w:rPr>
                <w:rFonts w:ascii="Arial" w:eastAsia="Arial" w:hAnsi="Arial" w:cs="Arial"/>
                <w:sz w:val="18"/>
                <w:szCs w:val="18"/>
                <w:lang w:val="es-ES"/>
              </w:rPr>
            </w:pPr>
          </w:p>
          <w:p w14:paraId="492D3A33"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Disminución de la abundancia</w:t>
            </w:r>
          </w:p>
          <w:p w14:paraId="671E9922"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 xml:space="preserve"> </w:t>
            </w:r>
          </w:p>
        </w:tc>
        <w:tc>
          <w:tcPr>
            <w:tcW w:w="1830" w:type="dxa"/>
            <w:vMerge w:val="restart"/>
            <w:tcMar>
              <w:left w:w="105" w:type="dxa"/>
              <w:right w:w="105" w:type="dxa"/>
            </w:tcMar>
          </w:tcPr>
          <w:p w14:paraId="1BE588B1"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Estrés térmico, tensión, aumento del gasto energético, hambre, alteración del comportamiento social</w:t>
            </w:r>
          </w:p>
          <w:p w14:paraId="4FB9B1E3" w14:textId="77777777" w:rsidR="00D62EC6" w:rsidRPr="00D0409E" w:rsidRDefault="00D62EC6" w:rsidP="00B044E7">
            <w:pPr>
              <w:spacing w:line="278" w:lineRule="auto"/>
              <w:jc w:val="both"/>
              <w:rPr>
                <w:rFonts w:ascii="Arial" w:eastAsia="Arial" w:hAnsi="Arial" w:cs="Arial"/>
                <w:sz w:val="18"/>
                <w:szCs w:val="18"/>
                <w:lang w:val="es-ES"/>
              </w:rPr>
            </w:pPr>
          </w:p>
        </w:tc>
        <w:tc>
          <w:tcPr>
            <w:tcW w:w="1770" w:type="dxa"/>
            <w:vMerge w:val="restart"/>
            <w:tcMar>
              <w:left w:w="105" w:type="dxa"/>
              <w:right w:w="105" w:type="dxa"/>
            </w:tcMar>
          </w:tcPr>
          <w:p w14:paraId="21EA2529"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mortalidad, reducción de la condición corporal,</w:t>
            </w:r>
          </w:p>
          <w:p w14:paraId="2EA06B9D"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reducción de las tasas de reproducción</w:t>
            </w:r>
          </w:p>
        </w:tc>
        <w:tc>
          <w:tcPr>
            <w:tcW w:w="1830" w:type="dxa"/>
            <w:vMerge w:val="restart"/>
            <w:tcMar>
              <w:left w:w="105" w:type="dxa"/>
              <w:right w:w="105" w:type="dxa"/>
            </w:tcMar>
          </w:tcPr>
          <w:p w14:paraId="5B4D3815"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Áreas protegidas nuevas o actualizadas y planes de gestión que abarquen el desplazamiento de áreas críticas, la gestión de la actividad antropogénica (por ejemplo, la pesca, los buques), el uso de modelos climáticos para pronosticar eventos con el fin de apoyar mejor los cambios en la distribución</w:t>
            </w:r>
          </w:p>
        </w:tc>
      </w:tr>
      <w:tr w:rsidR="00D62EC6" w:rsidRPr="00895330" w14:paraId="7FA40A97" w14:textId="77777777" w:rsidTr="009D3746">
        <w:trPr>
          <w:trHeight w:val="330"/>
        </w:trPr>
        <w:tc>
          <w:tcPr>
            <w:tcW w:w="1695" w:type="dxa"/>
            <w:tcMar>
              <w:left w:w="105" w:type="dxa"/>
              <w:right w:w="105" w:type="dxa"/>
            </w:tcMar>
          </w:tcPr>
          <w:p w14:paraId="49290F1F"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frecuencia de los fenómenos de El Niño y La Niña</w:t>
            </w:r>
          </w:p>
        </w:tc>
        <w:tc>
          <w:tcPr>
            <w:tcW w:w="1950" w:type="dxa"/>
            <w:vMerge/>
            <w:vAlign w:val="center"/>
          </w:tcPr>
          <w:p w14:paraId="4735E5E3" w14:textId="77777777" w:rsidR="00D62EC6" w:rsidRPr="00D0409E" w:rsidRDefault="00D62EC6" w:rsidP="00B044E7">
            <w:pPr>
              <w:jc w:val="both"/>
              <w:rPr>
                <w:lang w:val="es-ES"/>
              </w:rPr>
            </w:pPr>
          </w:p>
        </w:tc>
        <w:tc>
          <w:tcPr>
            <w:tcW w:w="1830" w:type="dxa"/>
            <w:vMerge/>
            <w:vAlign w:val="center"/>
          </w:tcPr>
          <w:p w14:paraId="79C11632" w14:textId="77777777" w:rsidR="00D62EC6" w:rsidRPr="00D0409E" w:rsidRDefault="00D62EC6" w:rsidP="00B044E7">
            <w:pPr>
              <w:jc w:val="both"/>
              <w:rPr>
                <w:lang w:val="es-ES"/>
              </w:rPr>
            </w:pPr>
          </w:p>
        </w:tc>
        <w:tc>
          <w:tcPr>
            <w:tcW w:w="1770" w:type="dxa"/>
            <w:vMerge/>
            <w:vAlign w:val="center"/>
          </w:tcPr>
          <w:p w14:paraId="7F7D691B" w14:textId="77777777" w:rsidR="00D62EC6" w:rsidRPr="00D0409E" w:rsidRDefault="00D62EC6" w:rsidP="00B044E7">
            <w:pPr>
              <w:jc w:val="both"/>
              <w:rPr>
                <w:lang w:val="es-ES"/>
              </w:rPr>
            </w:pPr>
          </w:p>
        </w:tc>
        <w:tc>
          <w:tcPr>
            <w:tcW w:w="1830" w:type="dxa"/>
            <w:vMerge/>
            <w:vAlign w:val="center"/>
          </w:tcPr>
          <w:p w14:paraId="09363536" w14:textId="77777777" w:rsidR="00D62EC6" w:rsidRPr="00D0409E" w:rsidRDefault="00D62EC6" w:rsidP="00B044E7">
            <w:pPr>
              <w:jc w:val="both"/>
              <w:rPr>
                <w:lang w:val="es-ES"/>
              </w:rPr>
            </w:pPr>
          </w:p>
        </w:tc>
      </w:tr>
      <w:tr w:rsidR="00D62EC6" w:rsidRPr="00895330" w14:paraId="44C6623D" w14:textId="77777777" w:rsidTr="009D3746">
        <w:trPr>
          <w:trHeight w:val="1110"/>
        </w:trPr>
        <w:tc>
          <w:tcPr>
            <w:tcW w:w="1695" w:type="dxa"/>
            <w:vMerge w:val="restart"/>
            <w:tcMar>
              <w:left w:w="105" w:type="dxa"/>
              <w:right w:w="105" w:type="dxa"/>
            </w:tcMar>
          </w:tcPr>
          <w:p w14:paraId="533748FA"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 xml:space="preserve">Fenómenos meteorológicos extremos (sequía y lluvias) </w:t>
            </w:r>
          </w:p>
        </w:tc>
        <w:tc>
          <w:tcPr>
            <w:tcW w:w="1950" w:type="dxa"/>
            <w:tcMar>
              <w:left w:w="105" w:type="dxa"/>
              <w:right w:w="105" w:type="dxa"/>
            </w:tcMar>
          </w:tcPr>
          <w:p w14:paraId="0AF77E0F"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Enfermedad cutánea por agua dulce</w:t>
            </w:r>
          </w:p>
        </w:tc>
        <w:tc>
          <w:tcPr>
            <w:tcW w:w="1830" w:type="dxa"/>
            <w:vMerge w:val="restart"/>
            <w:tcMar>
              <w:left w:w="105" w:type="dxa"/>
              <w:right w:w="105" w:type="dxa"/>
            </w:tcMar>
          </w:tcPr>
          <w:p w14:paraId="53ABB3C1"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enfermedades y lesiones, dolor, malestar, estrés, mortalidad masiva</w:t>
            </w:r>
          </w:p>
        </w:tc>
        <w:tc>
          <w:tcPr>
            <w:tcW w:w="1770" w:type="dxa"/>
            <w:vMerge w:val="restart"/>
            <w:tcMar>
              <w:left w:w="105" w:type="dxa"/>
              <w:right w:w="105" w:type="dxa"/>
            </w:tcMar>
          </w:tcPr>
          <w:p w14:paraId="7D1BD6B1"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Deterioro de la salud, aumento de la mortalidad</w:t>
            </w:r>
          </w:p>
        </w:tc>
        <w:tc>
          <w:tcPr>
            <w:tcW w:w="1830" w:type="dxa"/>
            <w:vMerge w:val="restart"/>
            <w:tcMar>
              <w:left w:w="105" w:type="dxa"/>
              <w:right w:w="105" w:type="dxa"/>
            </w:tcMar>
          </w:tcPr>
          <w:p w14:paraId="30082D80"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Uso de modelos climáticos para pronosticar eventos con el fin de respaldar mejor los cambios en la distribución geográfica y mejorar la calidad del agua</w:t>
            </w:r>
          </w:p>
        </w:tc>
      </w:tr>
      <w:tr w:rsidR="00D62EC6" w:rsidRPr="00D0409E" w14:paraId="3D753B98" w14:textId="77777777" w:rsidTr="009D3746">
        <w:trPr>
          <w:trHeight w:val="330"/>
        </w:trPr>
        <w:tc>
          <w:tcPr>
            <w:tcW w:w="1695" w:type="dxa"/>
            <w:vMerge/>
            <w:vAlign w:val="center"/>
          </w:tcPr>
          <w:p w14:paraId="09B396BB" w14:textId="77777777" w:rsidR="00D62EC6" w:rsidRPr="00D0409E" w:rsidRDefault="00D62EC6" w:rsidP="009D3746">
            <w:pPr>
              <w:rPr>
                <w:lang w:val="es-ES"/>
              </w:rPr>
            </w:pPr>
          </w:p>
        </w:tc>
        <w:tc>
          <w:tcPr>
            <w:tcW w:w="1950" w:type="dxa"/>
            <w:tcMar>
              <w:left w:w="105" w:type="dxa"/>
              <w:right w:w="105" w:type="dxa"/>
            </w:tcMar>
          </w:tcPr>
          <w:p w14:paraId="49AA2BDF" w14:textId="77777777" w:rsidR="00D62EC6" w:rsidRPr="00D0409E" w:rsidRDefault="00D62EC6" w:rsidP="009D3746">
            <w:pPr>
              <w:spacing w:line="278" w:lineRule="auto"/>
              <w:rPr>
                <w:rFonts w:ascii="Arial" w:eastAsia="Arial" w:hAnsi="Arial" w:cs="Arial"/>
                <w:sz w:val="18"/>
                <w:szCs w:val="18"/>
                <w:lang w:val="es-ES"/>
              </w:rPr>
            </w:pPr>
            <w:r w:rsidRPr="00D0409E">
              <w:rPr>
                <w:rFonts w:ascii="Arial" w:eastAsia="Arial" w:hAnsi="Arial" w:cs="Arial"/>
                <w:sz w:val="18"/>
                <w:szCs w:val="18"/>
                <w:lang w:val="es-ES"/>
              </w:rPr>
              <w:t>Proliferación de algas tóxicas</w:t>
            </w:r>
          </w:p>
        </w:tc>
        <w:tc>
          <w:tcPr>
            <w:tcW w:w="1830" w:type="dxa"/>
            <w:vMerge/>
            <w:vAlign w:val="center"/>
          </w:tcPr>
          <w:p w14:paraId="2061DCBC" w14:textId="77777777" w:rsidR="00D62EC6" w:rsidRPr="00D0409E" w:rsidRDefault="00D62EC6" w:rsidP="009D3746">
            <w:pPr>
              <w:rPr>
                <w:lang w:val="es-ES"/>
              </w:rPr>
            </w:pPr>
          </w:p>
        </w:tc>
        <w:tc>
          <w:tcPr>
            <w:tcW w:w="1770" w:type="dxa"/>
            <w:vMerge/>
            <w:vAlign w:val="center"/>
          </w:tcPr>
          <w:p w14:paraId="655DE027" w14:textId="77777777" w:rsidR="00D62EC6" w:rsidRPr="00D0409E" w:rsidRDefault="00D62EC6" w:rsidP="009D3746">
            <w:pPr>
              <w:rPr>
                <w:lang w:val="es-ES"/>
              </w:rPr>
            </w:pPr>
          </w:p>
        </w:tc>
        <w:tc>
          <w:tcPr>
            <w:tcW w:w="1830" w:type="dxa"/>
            <w:vMerge/>
            <w:vAlign w:val="center"/>
          </w:tcPr>
          <w:p w14:paraId="5D6D196C" w14:textId="77777777" w:rsidR="00D62EC6" w:rsidRPr="00D0409E" w:rsidRDefault="00D62EC6" w:rsidP="009D3746">
            <w:pPr>
              <w:rPr>
                <w:lang w:val="es-ES"/>
              </w:rPr>
            </w:pPr>
          </w:p>
        </w:tc>
      </w:tr>
    </w:tbl>
    <w:p w14:paraId="557C1D9E" w14:textId="77777777" w:rsidR="00D62EC6" w:rsidRPr="00D0409E" w:rsidRDefault="00D62EC6" w:rsidP="00D62EC6">
      <w:pPr>
        <w:spacing w:after="0" w:line="240" w:lineRule="auto"/>
        <w:jc w:val="both"/>
        <w:rPr>
          <w:rFonts w:eastAsia="Arial" w:cs="Arial"/>
          <w:lang w:val="es-ES"/>
        </w:rPr>
      </w:pPr>
    </w:p>
    <w:p w14:paraId="158929B7" w14:textId="77777777" w:rsidR="00D62EC6" w:rsidRPr="00D0409E" w:rsidRDefault="00D62EC6" w:rsidP="00D62EC6">
      <w:pPr>
        <w:spacing w:after="0" w:line="240" w:lineRule="auto"/>
        <w:jc w:val="both"/>
        <w:rPr>
          <w:rFonts w:eastAsia="Arial" w:cs="Arial"/>
          <w:lang w:val="es-ES"/>
        </w:rPr>
      </w:pPr>
      <w:proofErr w:type="spellStart"/>
      <w:r w:rsidRPr="00D0409E">
        <w:rPr>
          <w:rFonts w:eastAsia="Arial" w:cs="Arial"/>
          <w:lang w:val="es-ES"/>
        </w:rPr>
        <w:t>Ziphio</w:t>
      </w:r>
      <w:proofErr w:type="spellEnd"/>
      <w:r w:rsidRPr="00D0409E">
        <w:rPr>
          <w:rFonts w:eastAsia="Arial" w:cs="Arial"/>
          <w:lang w:val="es-ES"/>
        </w:rPr>
        <w:t xml:space="preserve"> de Cuvier</w:t>
      </w:r>
    </w:p>
    <w:p w14:paraId="4A1219DC" w14:textId="77777777" w:rsidR="00D62EC6" w:rsidRPr="00D0409E" w:rsidRDefault="00D62EC6" w:rsidP="00D62EC6">
      <w:pPr>
        <w:spacing w:after="0" w:line="240" w:lineRule="auto"/>
        <w:jc w:val="both"/>
        <w:rPr>
          <w:rFonts w:eastAsia="Arial" w:cs="Arial"/>
          <w:lang w:val="es-ES"/>
        </w:rPr>
      </w:pPr>
    </w:p>
    <w:p w14:paraId="3376F898" w14:textId="77777777" w:rsidR="00D62EC6" w:rsidRPr="00D0409E" w:rsidRDefault="00D62EC6" w:rsidP="00D62EC6">
      <w:pPr>
        <w:keepNext/>
        <w:spacing w:after="120" w:line="240" w:lineRule="auto"/>
        <w:jc w:val="both"/>
        <w:rPr>
          <w:rFonts w:eastAsia="Arial" w:cs="Arial"/>
          <w:i/>
          <w:iCs/>
          <w:lang w:val="es-ES"/>
        </w:rPr>
      </w:pPr>
      <w:r w:rsidRPr="00D0409E">
        <w:rPr>
          <w:rFonts w:eastAsia="Arial" w:cs="Arial"/>
          <w:lang w:val="es-ES"/>
        </w:rPr>
        <w:t xml:space="preserve">Tabla 3. Impactos del cambio climático en el bienestar y la conservación del </w:t>
      </w:r>
      <w:proofErr w:type="spellStart"/>
      <w:r w:rsidRPr="00D0409E">
        <w:rPr>
          <w:rFonts w:eastAsia="Arial" w:cs="Arial"/>
          <w:lang w:val="es-ES"/>
        </w:rPr>
        <w:t>ziphio</w:t>
      </w:r>
      <w:proofErr w:type="spellEnd"/>
      <w:r w:rsidRPr="00D0409E">
        <w:rPr>
          <w:rFonts w:eastAsia="Arial" w:cs="Arial"/>
          <w:lang w:val="es-ES"/>
        </w:rPr>
        <w:t xml:space="preserve"> de Cuvier, y posibles estrategias de mitigación.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10"/>
        <w:gridCol w:w="1920"/>
        <w:gridCol w:w="1575"/>
        <w:gridCol w:w="1860"/>
        <w:gridCol w:w="1920"/>
      </w:tblGrid>
      <w:tr w:rsidR="00D62EC6" w:rsidRPr="00D0409E" w14:paraId="05D3F642" w14:textId="77777777" w:rsidTr="00EE116F">
        <w:trPr>
          <w:trHeight w:val="270"/>
          <w:tblHeader/>
        </w:trPr>
        <w:tc>
          <w:tcPr>
            <w:tcW w:w="1710" w:type="dxa"/>
            <w:tcMar>
              <w:left w:w="105" w:type="dxa"/>
              <w:right w:w="105" w:type="dxa"/>
            </w:tcMar>
          </w:tcPr>
          <w:p w14:paraId="762BB9BB"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Impacto del cambio climático</w:t>
            </w:r>
          </w:p>
        </w:tc>
        <w:tc>
          <w:tcPr>
            <w:tcW w:w="1920" w:type="dxa"/>
            <w:tcMar>
              <w:left w:w="105" w:type="dxa"/>
              <w:right w:w="105" w:type="dxa"/>
            </w:tcMar>
          </w:tcPr>
          <w:p w14:paraId="068124F6"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 xml:space="preserve">Efecto en el </w:t>
            </w:r>
            <w:proofErr w:type="spellStart"/>
            <w:r w:rsidRPr="00D0409E">
              <w:rPr>
                <w:rFonts w:ascii="Arial" w:eastAsia="Arial" w:hAnsi="Arial" w:cs="Arial"/>
                <w:b/>
                <w:bCs/>
                <w:sz w:val="18"/>
                <w:szCs w:val="18"/>
                <w:lang w:val="es-ES"/>
              </w:rPr>
              <w:t>ziphio</w:t>
            </w:r>
            <w:proofErr w:type="spellEnd"/>
            <w:r w:rsidRPr="00D0409E">
              <w:rPr>
                <w:rFonts w:ascii="Arial" w:eastAsia="Arial" w:hAnsi="Arial" w:cs="Arial"/>
                <w:b/>
                <w:bCs/>
                <w:sz w:val="18"/>
                <w:szCs w:val="18"/>
                <w:lang w:val="es-ES"/>
              </w:rPr>
              <w:t xml:space="preserve"> de Cuvier </w:t>
            </w:r>
          </w:p>
        </w:tc>
        <w:tc>
          <w:tcPr>
            <w:tcW w:w="1575" w:type="dxa"/>
            <w:tcMar>
              <w:left w:w="105" w:type="dxa"/>
              <w:right w:w="105" w:type="dxa"/>
            </w:tcMar>
          </w:tcPr>
          <w:p w14:paraId="2373A5BE"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Implicaciones para el bienestar</w:t>
            </w:r>
          </w:p>
        </w:tc>
        <w:tc>
          <w:tcPr>
            <w:tcW w:w="1860" w:type="dxa"/>
            <w:tcMar>
              <w:left w:w="105" w:type="dxa"/>
              <w:right w:w="105" w:type="dxa"/>
            </w:tcMar>
          </w:tcPr>
          <w:p w14:paraId="26AA4297"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Implicaciones para la conservación</w:t>
            </w:r>
          </w:p>
        </w:tc>
        <w:tc>
          <w:tcPr>
            <w:tcW w:w="1920" w:type="dxa"/>
            <w:tcMar>
              <w:left w:w="105" w:type="dxa"/>
              <w:right w:w="105" w:type="dxa"/>
            </w:tcMar>
          </w:tcPr>
          <w:p w14:paraId="6CC96927"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Estrategias de migración</w:t>
            </w:r>
          </w:p>
        </w:tc>
      </w:tr>
      <w:tr w:rsidR="00D62EC6" w:rsidRPr="00895330" w14:paraId="2B21E31A" w14:textId="77777777" w:rsidTr="009D3746">
        <w:trPr>
          <w:trHeight w:val="1065"/>
        </w:trPr>
        <w:tc>
          <w:tcPr>
            <w:tcW w:w="1710" w:type="dxa"/>
            <w:tcMar>
              <w:left w:w="105" w:type="dxa"/>
              <w:right w:w="105" w:type="dxa"/>
            </w:tcMar>
          </w:tcPr>
          <w:p w14:paraId="2F9AE379"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temperatura</w:t>
            </w:r>
          </w:p>
        </w:tc>
        <w:tc>
          <w:tcPr>
            <w:tcW w:w="1920" w:type="dxa"/>
            <w:tcMar>
              <w:left w:w="105" w:type="dxa"/>
              <w:right w:w="105" w:type="dxa"/>
            </w:tcMar>
          </w:tcPr>
          <w:p w14:paraId="641553D9"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Desplazamientos en la distribución (latitudes más altas)</w:t>
            </w:r>
          </w:p>
          <w:p w14:paraId="213EA332" w14:textId="77777777" w:rsidR="00D62EC6" w:rsidRPr="00D0409E" w:rsidRDefault="00D62EC6" w:rsidP="00864C60">
            <w:pPr>
              <w:spacing w:line="278" w:lineRule="auto"/>
              <w:jc w:val="both"/>
              <w:rPr>
                <w:rFonts w:ascii="Arial" w:eastAsia="Arial" w:hAnsi="Arial" w:cs="Arial"/>
                <w:sz w:val="18"/>
                <w:szCs w:val="18"/>
                <w:lang w:val="es-ES"/>
              </w:rPr>
            </w:pPr>
          </w:p>
          <w:p w14:paraId="7B077633"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Desplazamientos en la distribución de las presas</w:t>
            </w:r>
          </w:p>
        </w:tc>
        <w:tc>
          <w:tcPr>
            <w:tcW w:w="1575" w:type="dxa"/>
            <w:vMerge w:val="restart"/>
            <w:tcMar>
              <w:left w:w="105" w:type="dxa"/>
              <w:right w:w="105" w:type="dxa"/>
            </w:tcMar>
          </w:tcPr>
          <w:p w14:paraId="684E75D7"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 xml:space="preserve">Reducción del hábitat, alteración de los patrones naturales de buceo, hambre, desnutrición, estrés, aumento del gasto energético, </w:t>
            </w:r>
            <w:r w:rsidRPr="00D0409E">
              <w:rPr>
                <w:rFonts w:ascii="Arial" w:eastAsia="Arial" w:hAnsi="Arial" w:cs="Arial"/>
                <w:sz w:val="18"/>
                <w:szCs w:val="18"/>
                <w:lang w:val="es-ES"/>
              </w:rPr>
              <w:lastRenderedPageBreak/>
              <w:t>aumento de la interacción con depredadores, aumento de las lesiones (internas), aumento de los conflictos con los seres humanos</w:t>
            </w:r>
          </w:p>
        </w:tc>
        <w:tc>
          <w:tcPr>
            <w:tcW w:w="1860" w:type="dxa"/>
            <w:vMerge w:val="restart"/>
            <w:tcMar>
              <w:left w:w="105" w:type="dxa"/>
              <w:right w:w="105" w:type="dxa"/>
            </w:tcMar>
          </w:tcPr>
          <w:p w14:paraId="250BA7ED"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lastRenderedPageBreak/>
              <w:t>Aumento de la mortalidad, disminución de la reproducción</w:t>
            </w:r>
          </w:p>
          <w:p w14:paraId="4B35FB60" w14:textId="77777777" w:rsidR="00D62EC6" w:rsidRPr="00D0409E" w:rsidRDefault="00D62EC6" w:rsidP="00864C60">
            <w:pPr>
              <w:spacing w:line="278" w:lineRule="auto"/>
              <w:jc w:val="both"/>
              <w:rPr>
                <w:rFonts w:ascii="Arial" w:eastAsia="Arial" w:hAnsi="Arial" w:cs="Arial"/>
                <w:sz w:val="18"/>
                <w:szCs w:val="18"/>
                <w:lang w:val="es-ES"/>
              </w:rPr>
            </w:pPr>
          </w:p>
        </w:tc>
        <w:tc>
          <w:tcPr>
            <w:tcW w:w="1920" w:type="dxa"/>
            <w:vMerge w:val="restart"/>
            <w:tcMar>
              <w:left w:w="105" w:type="dxa"/>
              <w:right w:w="105" w:type="dxa"/>
            </w:tcMar>
          </w:tcPr>
          <w:p w14:paraId="70F96844"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 xml:space="preserve">Áreas protegidas nuevas o actualizadas y planes de gestión que incluyan el desplazamiento de áreas y profundidades críticas, y la gestión de actividades </w:t>
            </w:r>
            <w:r w:rsidRPr="00D0409E">
              <w:rPr>
                <w:rFonts w:ascii="Arial" w:eastAsia="Arial" w:hAnsi="Arial" w:cs="Arial"/>
                <w:sz w:val="18"/>
                <w:szCs w:val="18"/>
                <w:lang w:val="es-ES"/>
              </w:rPr>
              <w:lastRenderedPageBreak/>
              <w:t>antropogénicas (por ejemplo, pesca, fuerzas navales)</w:t>
            </w:r>
          </w:p>
        </w:tc>
      </w:tr>
      <w:tr w:rsidR="00D62EC6" w:rsidRPr="00895330" w14:paraId="445269F4" w14:textId="77777777" w:rsidTr="009D3746">
        <w:trPr>
          <w:trHeight w:val="555"/>
        </w:trPr>
        <w:tc>
          <w:tcPr>
            <w:tcW w:w="1710" w:type="dxa"/>
            <w:vMerge w:val="restart"/>
            <w:tcMar>
              <w:left w:w="105" w:type="dxa"/>
              <w:right w:w="105" w:type="dxa"/>
            </w:tcMar>
          </w:tcPr>
          <w:p w14:paraId="4E123396" w14:textId="77777777" w:rsidR="00D62EC6" w:rsidRPr="00D0409E" w:rsidRDefault="00D62EC6" w:rsidP="009D3746">
            <w:pPr>
              <w:spacing w:line="278" w:lineRule="auto"/>
              <w:rPr>
                <w:rFonts w:ascii="Arial" w:eastAsia="Arial" w:hAnsi="Arial" w:cs="Arial"/>
                <w:sz w:val="18"/>
                <w:szCs w:val="18"/>
                <w:lang w:val="es-ES"/>
              </w:rPr>
            </w:pPr>
            <w:r w:rsidRPr="00D0409E">
              <w:rPr>
                <w:rFonts w:ascii="Arial" w:eastAsia="Arial" w:hAnsi="Arial" w:cs="Arial"/>
                <w:sz w:val="18"/>
                <w:szCs w:val="18"/>
                <w:lang w:val="es-ES"/>
              </w:rPr>
              <w:t xml:space="preserve">Aumento de la frecuencia de los </w:t>
            </w:r>
            <w:r w:rsidRPr="00D0409E">
              <w:rPr>
                <w:rFonts w:ascii="Arial" w:eastAsia="Arial" w:hAnsi="Arial" w:cs="Arial"/>
                <w:sz w:val="18"/>
                <w:szCs w:val="18"/>
                <w:lang w:val="es-ES"/>
              </w:rPr>
              <w:lastRenderedPageBreak/>
              <w:t>fenómenos de El Niño y La Niña</w:t>
            </w:r>
          </w:p>
        </w:tc>
        <w:tc>
          <w:tcPr>
            <w:tcW w:w="1920" w:type="dxa"/>
            <w:tcMar>
              <w:left w:w="105" w:type="dxa"/>
              <w:right w:w="105" w:type="dxa"/>
            </w:tcMar>
          </w:tcPr>
          <w:p w14:paraId="2B51E4D9" w14:textId="77777777" w:rsidR="00D62EC6" w:rsidRPr="00D0409E" w:rsidRDefault="00D62EC6" w:rsidP="009D3746">
            <w:pPr>
              <w:spacing w:line="278" w:lineRule="auto"/>
              <w:rPr>
                <w:rFonts w:ascii="Arial" w:eastAsia="Arial" w:hAnsi="Arial" w:cs="Arial"/>
                <w:sz w:val="18"/>
                <w:szCs w:val="18"/>
                <w:lang w:val="es-ES"/>
              </w:rPr>
            </w:pPr>
            <w:r w:rsidRPr="00D0409E">
              <w:rPr>
                <w:rFonts w:ascii="Arial" w:eastAsia="Arial" w:hAnsi="Arial" w:cs="Arial"/>
                <w:sz w:val="18"/>
                <w:szCs w:val="18"/>
                <w:lang w:val="es-ES"/>
              </w:rPr>
              <w:lastRenderedPageBreak/>
              <w:t>Desplazamientos en la distribución (cerca de la costa)</w:t>
            </w:r>
          </w:p>
        </w:tc>
        <w:tc>
          <w:tcPr>
            <w:tcW w:w="1575" w:type="dxa"/>
            <w:vMerge/>
            <w:vAlign w:val="center"/>
          </w:tcPr>
          <w:p w14:paraId="7FC52D1F" w14:textId="77777777" w:rsidR="00D62EC6" w:rsidRPr="00D0409E" w:rsidRDefault="00D62EC6" w:rsidP="009D3746">
            <w:pPr>
              <w:rPr>
                <w:lang w:val="es-ES"/>
              </w:rPr>
            </w:pPr>
          </w:p>
        </w:tc>
        <w:tc>
          <w:tcPr>
            <w:tcW w:w="1860" w:type="dxa"/>
            <w:vMerge/>
            <w:vAlign w:val="center"/>
          </w:tcPr>
          <w:p w14:paraId="4A610BBA" w14:textId="77777777" w:rsidR="00D62EC6" w:rsidRPr="00D0409E" w:rsidRDefault="00D62EC6" w:rsidP="009D3746">
            <w:pPr>
              <w:rPr>
                <w:lang w:val="es-ES"/>
              </w:rPr>
            </w:pPr>
          </w:p>
        </w:tc>
        <w:tc>
          <w:tcPr>
            <w:tcW w:w="1920" w:type="dxa"/>
            <w:vMerge/>
            <w:vAlign w:val="center"/>
          </w:tcPr>
          <w:p w14:paraId="080BB604" w14:textId="77777777" w:rsidR="00D62EC6" w:rsidRPr="00D0409E" w:rsidRDefault="00D62EC6" w:rsidP="009D3746">
            <w:pPr>
              <w:rPr>
                <w:lang w:val="es-ES"/>
              </w:rPr>
            </w:pPr>
          </w:p>
        </w:tc>
      </w:tr>
      <w:tr w:rsidR="00D62EC6" w:rsidRPr="00895330" w14:paraId="4459177B" w14:textId="77777777" w:rsidTr="009D3746">
        <w:trPr>
          <w:trHeight w:val="2100"/>
        </w:trPr>
        <w:tc>
          <w:tcPr>
            <w:tcW w:w="1710" w:type="dxa"/>
            <w:vMerge/>
            <w:vAlign w:val="center"/>
          </w:tcPr>
          <w:p w14:paraId="28B79FD1" w14:textId="77777777" w:rsidR="00D62EC6" w:rsidRPr="00D0409E" w:rsidRDefault="00D62EC6" w:rsidP="009D3746">
            <w:pPr>
              <w:rPr>
                <w:lang w:val="es-ES"/>
              </w:rPr>
            </w:pPr>
          </w:p>
        </w:tc>
        <w:tc>
          <w:tcPr>
            <w:tcW w:w="1920" w:type="dxa"/>
            <w:tcMar>
              <w:left w:w="105" w:type="dxa"/>
              <w:right w:w="105" w:type="dxa"/>
            </w:tcMar>
          </w:tcPr>
          <w:p w14:paraId="277AD72A" w14:textId="77777777" w:rsidR="00D62EC6" w:rsidRPr="00D0409E" w:rsidRDefault="00D62EC6" w:rsidP="009D3746">
            <w:pPr>
              <w:spacing w:line="278" w:lineRule="auto"/>
              <w:rPr>
                <w:rFonts w:ascii="Arial" w:eastAsia="Arial" w:hAnsi="Arial" w:cs="Arial"/>
                <w:sz w:val="18"/>
                <w:szCs w:val="18"/>
                <w:lang w:val="es-ES"/>
              </w:rPr>
            </w:pPr>
            <w:r w:rsidRPr="00D0409E">
              <w:rPr>
                <w:rFonts w:ascii="Arial" w:eastAsia="Arial" w:hAnsi="Arial" w:cs="Arial"/>
                <w:sz w:val="18"/>
                <w:szCs w:val="18"/>
                <w:lang w:val="es-ES"/>
              </w:rPr>
              <w:t>Desplazamientos en la distribución (vertical)</w:t>
            </w:r>
          </w:p>
        </w:tc>
        <w:tc>
          <w:tcPr>
            <w:tcW w:w="1575" w:type="dxa"/>
            <w:vMerge/>
            <w:vAlign w:val="center"/>
          </w:tcPr>
          <w:p w14:paraId="2E9D2F9D" w14:textId="77777777" w:rsidR="00D62EC6" w:rsidRPr="00D0409E" w:rsidRDefault="00D62EC6" w:rsidP="009D3746">
            <w:pPr>
              <w:rPr>
                <w:lang w:val="es-ES"/>
              </w:rPr>
            </w:pPr>
          </w:p>
        </w:tc>
        <w:tc>
          <w:tcPr>
            <w:tcW w:w="1860" w:type="dxa"/>
            <w:vMerge/>
            <w:vAlign w:val="center"/>
          </w:tcPr>
          <w:p w14:paraId="5F386D34" w14:textId="77777777" w:rsidR="00D62EC6" w:rsidRPr="00D0409E" w:rsidRDefault="00D62EC6" w:rsidP="009D3746">
            <w:pPr>
              <w:rPr>
                <w:lang w:val="es-ES"/>
              </w:rPr>
            </w:pPr>
          </w:p>
        </w:tc>
        <w:tc>
          <w:tcPr>
            <w:tcW w:w="1920" w:type="dxa"/>
            <w:vMerge/>
            <w:vAlign w:val="center"/>
          </w:tcPr>
          <w:p w14:paraId="12C2558F" w14:textId="77777777" w:rsidR="00D62EC6" w:rsidRPr="00D0409E" w:rsidRDefault="00D62EC6" w:rsidP="009D3746">
            <w:pPr>
              <w:rPr>
                <w:lang w:val="es-ES"/>
              </w:rPr>
            </w:pPr>
          </w:p>
        </w:tc>
      </w:tr>
    </w:tbl>
    <w:p w14:paraId="28E69CEE" w14:textId="0D065DA5" w:rsidR="00D62EC6" w:rsidRPr="00D0409E" w:rsidRDefault="00D62EC6" w:rsidP="00D62EC6">
      <w:pPr>
        <w:spacing w:after="0" w:line="240" w:lineRule="auto"/>
        <w:jc w:val="both"/>
        <w:rPr>
          <w:rFonts w:eastAsia="Arial" w:cs="Arial"/>
          <w:lang w:val="es-ES"/>
        </w:rPr>
      </w:pPr>
    </w:p>
    <w:p w14:paraId="321F28BC"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t>Ballena gris</w:t>
      </w:r>
    </w:p>
    <w:p w14:paraId="706A78B4" w14:textId="77777777" w:rsidR="00D62EC6" w:rsidRPr="00D0409E" w:rsidRDefault="00D62EC6" w:rsidP="00D62EC6">
      <w:pPr>
        <w:spacing w:after="0" w:line="240" w:lineRule="auto"/>
        <w:jc w:val="both"/>
        <w:rPr>
          <w:rFonts w:eastAsia="Arial" w:cs="Arial"/>
          <w:lang w:val="es-ES"/>
        </w:rPr>
      </w:pPr>
    </w:p>
    <w:p w14:paraId="3FA58B60" w14:textId="5318C019" w:rsidR="00D62EC6" w:rsidRPr="00D0409E" w:rsidRDefault="00D62EC6" w:rsidP="00D62EC6">
      <w:pPr>
        <w:keepNext/>
        <w:spacing w:after="120" w:line="240" w:lineRule="auto"/>
        <w:jc w:val="both"/>
        <w:rPr>
          <w:rFonts w:eastAsia="Arial" w:cs="Arial"/>
          <w:i/>
          <w:iCs/>
          <w:lang w:val="es-ES"/>
        </w:rPr>
      </w:pPr>
      <w:r w:rsidRPr="00D0409E">
        <w:rPr>
          <w:rFonts w:eastAsia="Arial" w:cs="Arial"/>
          <w:lang w:val="es-ES"/>
        </w:rPr>
        <w:t xml:space="preserve">Tabla 4. Impactos del cambio climático en el bienestar y la conservación de la </w:t>
      </w:r>
      <w:r w:rsidR="00874FBD">
        <w:rPr>
          <w:rFonts w:eastAsia="Arial" w:cs="Arial"/>
          <w:lang w:val="es-ES"/>
        </w:rPr>
        <w:t>B</w:t>
      </w:r>
      <w:r w:rsidRPr="00D0409E">
        <w:rPr>
          <w:rFonts w:eastAsia="Arial" w:cs="Arial"/>
          <w:lang w:val="es-ES"/>
        </w:rPr>
        <w:t>allena gris, y posibles estrategias de mitigación.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25"/>
        <w:gridCol w:w="1995"/>
        <w:gridCol w:w="1860"/>
        <w:gridCol w:w="1800"/>
        <w:gridCol w:w="1860"/>
      </w:tblGrid>
      <w:tr w:rsidR="00D62EC6" w:rsidRPr="00D0409E" w14:paraId="45877345" w14:textId="77777777" w:rsidTr="009D3746">
        <w:trPr>
          <w:trHeight w:val="705"/>
        </w:trPr>
        <w:tc>
          <w:tcPr>
            <w:tcW w:w="1725" w:type="dxa"/>
            <w:tcMar>
              <w:left w:w="105" w:type="dxa"/>
              <w:right w:w="105" w:type="dxa"/>
            </w:tcMar>
          </w:tcPr>
          <w:p w14:paraId="4CE0B0A0"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Impactos del cambio climático</w:t>
            </w:r>
          </w:p>
        </w:tc>
        <w:tc>
          <w:tcPr>
            <w:tcW w:w="1995" w:type="dxa"/>
            <w:tcMar>
              <w:left w:w="105" w:type="dxa"/>
              <w:right w:w="105" w:type="dxa"/>
            </w:tcMar>
          </w:tcPr>
          <w:p w14:paraId="62E4C04A" w14:textId="2B8BA0AF"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 xml:space="preserve">Efectos en la </w:t>
            </w:r>
            <w:r w:rsidR="00874FBD">
              <w:rPr>
                <w:rFonts w:ascii="Arial" w:eastAsia="Arial" w:hAnsi="Arial" w:cs="Arial"/>
                <w:b/>
                <w:bCs/>
                <w:sz w:val="18"/>
                <w:szCs w:val="18"/>
                <w:lang w:val="es-ES"/>
              </w:rPr>
              <w:t>B</w:t>
            </w:r>
            <w:r w:rsidRPr="00D0409E">
              <w:rPr>
                <w:rFonts w:ascii="Arial" w:eastAsia="Arial" w:hAnsi="Arial" w:cs="Arial"/>
                <w:b/>
                <w:bCs/>
                <w:sz w:val="18"/>
                <w:szCs w:val="18"/>
                <w:lang w:val="es-ES"/>
              </w:rPr>
              <w:t>allena gris</w:t>
            </w:r>
          </w:p>
        </w:tc>
        <w:tc>
          <w:tcPr>
            <w:tcW w:w="1860" w:type="dxa"/>
            <w:tcMar>
              <w:left w:w="105" w:type="dxa"/>
              <w:right w:w="105" w:type="dxa"/>
            </w:tcMar>
          </w:tcPr>
          <w:p w14:paraId="7CB1D2BC"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Implicaciones para el bienestar</w:t>
            </w:r>
          </w:p>
        </w:tc>
        <w:tc>
          <w:tcPr>
            <w:tcW w:w="1800" w:type="dxa"/>
            <w:tcMar>
              <w:left w:w="105" w:type="dxa"/>
              <w:right w:w="105" w:type="dxa"/>
            </w:tcMar>
          </w:tcPr>
          <w:p w14:paraId="4CEE802A"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Implicaciones para la conservación</w:t>
            </w:r>
          </w:p>
        </w:tc>
        <w:tc>
          <w:tcPr>
            <w:tcW w:w="1860" w:type="dxa"/>
            <w:tcMar>
              <w:left w:w="105" w:type="dxa"/>
              <w:right w:w="105" w:type="dxa"/>
            </w:tcMar>
          </w:tcPr>
          <w:p w14:paraId="74B7AD7C"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 xml:space="preserve">Estrategias de migración </w:t>
            </w:r>
          </w:p>
        </w:tc>
      </w:tr>
      <w:tr w:rsidR="00D62EC6" w:rsidRPr="00895330" w14:paraId="14B43D11" w14:textId="77777777" w:rsidTr="009D3746">
        <w:trPr>
          <w:trHeight w:val="675"/>
        </w:trPr>
        <w:tc>
          <w:tcPr>
            <w:tcW w:w="1725" w:type="dxa"/>
            <w:vMerge w:val="restart"/>
            <w:tcMar>
              <w:left w:w="105" w:type="dxa"/>
              <w:right w:w="105" w:type="dxa"/>
            </w:tcMar>
          </w:tcPr>
          <w:p w14:paraId="785DF667"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temperatura</w:t>
            </w:r>
          </w:p>
        </w:tc>
        <w:tc>
          <w:tcPr>
            <w:tcW w:w="1995" w:type="dxa"/>
            <w:tcMar>
              <w:left w:w="105" w:type="dxa"/>
              <w:right w:w="105" w:type="dxa"/>
            </w:tcMar>
          </w:tcPr>
          <w:p w14:paraId="47C2D38A"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Desplazamientos en las áreas de alimentación</w:t>
            </w:r>
          </w:p>
        </w:tc>
        <w:tc>
          <w:tcPr>
            <w:tcW w:w="1860" w:type="dxa"/>
            <w:vMerge w:val="restart"/>
            <w:tcMar>
              <w:left w:w="105" w:type="dxa"/>
              <w:right w:w="105" w:type="dxa"/>
            </w:tcMar>
          </w:tcPr>
          <w:p w14:paraId="183A345F"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Hambre, desnutrición, estrés, aumento del gasto energético, alteración de los ciclos naturales de vida</w:t>
            </w:r>
          </w:p>
        </w:tc>
        <w:tc>
          <w:tcPr>
            <w:tcW w:w="1800" w:type="dxa"/>
            <w:vMerge w:val="restart"/>
            <w:tcMar>
              <w:left w:w="105" w:type="dxa"/>
              <w:right w:w="105" w:type="dxa"/>
            </w:tcMar>
          </w:tcPr>
          <w:p w14:paraId="0BF7CED2"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mortalidad, deterioro de la condición física y la longitud corporal, disminución de las tasas de reproducción, aumento de los conflictos con las actividades humanas</w:t>
            </w:r>
          </w:p>
        </w:tc>
        <w:tc>
          <w:tcPr>
            <w:tcW w:w="1860" w:type="dxa"/>
            <w:vMerge w:val="restart"/>
            <w:tcMar>
              <w:left w:w="105" w:type="dxa"/>
              <w:right w:w="105" w:type="dxa"/>
            </w:tcMar>
          </w:tcPr>
          <w:p w14:paraId="3CC60B82"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Áreas protegidas nuevas o actualizadas y planes de gestión que incluyan el desplazamiento de áreas críticas/el desplazamiento temporal de los corredores migratorios, y la gestión de actividades antropogénicas (por ejemplo, pesca, petróleo y gas, energías renovables)</w:t>
            </w:r>
          </w:p>
        </w:tc>
      </w:tr>
      <w:tr w:rsidR="00D62EC6" w:rsidRPr="00895330" w14:paraId="54AF9E7D" w14:textId="77777777" w:rsidTr="009D3746">
        <w:trPr>
          <w:trHeight w:val="540"/>
        </w:trPr>
        <w:tc>
          <w:tcPr>
            <w:tcW w:w="1725" w:type="dxa"/>
            <w:vMerge/>
            <w:vAlign w:val="center"/>
          </w:tcPr>
          <w:p w14:paraId="6197698D" w14:textId="77777777" w:rsidR="00D62EC6" w:rsidRPr="00D0409E" w:rsidRDefault="00D62EC6" w:rsidP="00864C60">
            <w:pPr>
              <w:jc w:val="both"/>
              <w:rPr>
                <w:lang w:val="es-ES"/>
              </w:rPr>
            </w:pPr>
          </w:p>
        </w:tc>
        <w:tc>
          <w:tcPr>
            <w:tcW w:w="1995" w:type="dxa"/>
            <w:tcMar>
              <w:left w:w="105" w:type="dxa"/>
              <w:right w:w="105" w:type="dxa"/>
            </w:tcMar>
          </w:tcPr>
          <w:p w14:paraId="08B91ECB"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Cambio/migración de las presas</w:t>
            </w:r>
          </w:p>
        </w:tc>
        <w:tc>
          <w:tcPr>
            <w:tcW w:w="1860" w:type="dxa"/>
            <w:vMerge/>
            <w:vAlign w:val="center"/>
          </w:tcPr>
          <w:p w14:paraId="40DEF9AF" w14:textId="77777777" w:rsidR="00D62EC6" w:rsidRPr="00D0409E" w:rsidRDefault="00D62EC6" w:rsidP="00864C60">
            <w:pPr>
              <w:jc w:val="both"/>
              <w:rPr>
                <w:lang w:val="es-ES"/>
              </w:rPr>
            </w:pPr>
          </w:p>
        </w:tc>
        <w:tc>
          <w:tcPr>
            <w:tcW w:w="1800" w:type="dxa"/>
            <w:vMerge/>
            <w:vAlign w:val="center"/>
          </w:tcPr>
          <w:p w14:paraId="451D814C" w14:textId="77777777" w:rsidR="00D62EC6" w:rsidRPr="00D0409E" w:rsidRDefault="00D62EC6" w:rsidP="00864C60">
            <w:pPr>
              <w:jc w:val="both"/>
              <w:rPr>
                <w:lang w:val="es-ES"/>
              </w:rPr>
            </w:pPr>
          </w:p>
        </w:tc>
        <w:tc>
          <w:tcPr>
            <w:tcW w:w="1860" w:type="dxa"/>
            <w:vMerge/>
            <w:vAlign w:val="center"/>
          </w:tcPr>
          <w:p w14:paraId="17F60878" w14:textId="77777777" w:rsidR="00D62EC6" w:rsidRPr="00D0409E" w:rsidRDefault="00D62EC6" w:rsidP="00864C60">
            <w:pPr>
              <w:jc w:val="both"/>
              <w:rPr>
                <w:lang w:val="es-ES"/>
              </w:rPr>
            </w:pPr>
          </w:p>
        </w:tc>
      </w:tr>
      <w:tr w:rsidR="00D62EC6" w:rsidRPr="00D0409E" w14:paraId="6E05FF44" w14:textId="77777777" w:rsidTr="009D3746">
        <w:trPr>
          <w:trHeight w:val="420"/>
        </w:trPr>
        <w:tc>
          <w:tcPr>
            <w:tcW w:w="1725" w:type="dxa"/>
            <w:vMerge/>
            <w:vAlign w:val="center"/>
          </w:tcPr>
          <w:p w14:paraId="705FF268" w14:textId="77777777" w:rsidR="00D62EC6" w:rsidRPr="00D0409E" w:rsidRDefault="00D62EC6" w:rsidP="00864C60">
            <w:pPr>
              <w:jc w:val="both"/>
              <w:rPr>
                <w:lang w:val="es-ES"/>
              </w:rPr>
            </w:pPr>
          </w:p>
        </w:tc>
        <w:tc>
          <w:tcPr>
            <w:tcW w:w="1995" w:type="dxa"/>
            <w:tcMar>
              <w:left w:w="105" w:type="dxa"/>
              <w:right w:w="105" w:type="dxa"/>
            </w:tcMar>
          </w:tcPr>
          <w:p w14:paraId="2BE3672F"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Desplazamientos temporales en la migración</w:t>
            </w:r>
          </w:p>
          <w:p w14:paraId="4DFA4306" w14:textId="77777777" w:rsidR="00D62EC6" w:rsidRPr="00D0409E" w:rsidRDefault="00D62EC6" w:rsidP="00864C60">
            <w:pPr>
              <w:spacing w:line="278" w:lineRule="auto"/>
              <w:jc w:val="both"/>
              <w:rPr>
                <w:rFonts w:ascii="Arial" w:eastAsia="Arial" w:hAnsi="Arial" w:cs="Arial"/>
                <w:sz w:val="18"/>
                <w:szCs w:val="18"/>
                <w:lang w:val="es-ES"/>
              </w:rPr>
            </w:pPr>
          </w:p>
        </w:tc>
        <w:tc>
          <w:tcPr>
            <w:tcW w:w="1860" w:type="dxa"/>
            <w:vMerge/>
            <w:vAlign w:val="center"/>
          </w:tcPr>
          <w:p w14:paraId="14EA2BED" w14:textId="77777777" w:rsidR="00D62EC6" w:rsidRPr="00D0409E" w:rsidRDefault="00D62EC6" w:rsidP="00864C60">
            <w:pPr>
              <w:jc w:val="both"/>
              <w:rPr>
                <w:lang w:val="es-ES"/>
              </w:rPr>
            </w:pPr>
          </w:p>
        </w:tc>
        <w:tc>
          <w:tcPr>
            <w:tcW w:w="1800" w:type="dxa"/>
            <w:vMerge/>
            <w:vAlign w:val="center"/>
          </w:tcPr>
          <w:p w14:paraId="76A3E867" w14:textId="77777777" w:rsidR="00D62EC6" w:rsidRPr="00D0409E" w:rsidRDefault="00D62EC6" w:rsidP="00864C60">
            <w:pPr>
              <w:jc w:val="both"/>
              <w:rPr>
                <w:lang w:val="es-ES"/>
              </w:rPr>
            </w:pPr>
          </w:p>
        </w:tc>
        <w:tc>
          <w:tcPr>
            <w:tcW w:w="1860" w:type="dxa"/>
            <w:vMerge/>
            <w:vAlign w:val="center"/>
          </w:tcPr>
          <w:p w14:paraId="0917B84C" w14:textId="77777777" w:rsidR="00D62EC6" w:rsidRPr="00D0409E" w:rsidRDefault="00D62EC6" w:rsidP="00864C60">
            <w:pPr>
              <w:jc w:val="both"/>
              <w:rPr>
                <w:lang w:val="es-ES"/>
              </w:rPr>
            </w:pPr>
          </w:p>
        </w:tc>
      </w:tr>
      <w:tr w:rsidR="00D62EC6" w:rsidRPr="00895330" w14:paraId="5370AB75" w14:textId="77777777" w:rsidTr="009D3746">
        <w:trPr>
          <w:trHeight w:val="810"/>
        </w:trPr>
        <w:tc>
          <w:tcPr>
            <w:tcW w:w="1725" w:type="dxa"/>
            <w:vMerge/>
            <w:vAlign w:val="center"/>
          </w:tcPr>
          <w:p w14:paraId="771ED4BA" w14:textId="77777777" w:rsidR="00D62EC6" w:rsidRPr="00D0409E" w:rsidRDefault="00D62EC6" w:rsidP="00864C60">
            <w:pPr>
              <w:jc w:val="both"/>
              <w:rPr>
                <w:lang w:val="es-ES"/>
              </w:rPr>
            </w:pPr>
          </w:p>
        </w:tc>
        <w:tc>
          <w:tcPr>
            <w:tcW w:w="1995" w:type="dxa"/>
            <w:tcMar>
              <w:left w:w="105" w:type="dxa"/>
              <w:right w:w="105" w:type="dxa"/>
            </w:tcMar>
          </w:tcPr>
          <w:p w14:paraId="74D3DBAD"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Desplazamientos espaciales en la migración</w:t>
            </w:r>
          </w:p>
        </w:tc>
        <w:tc>
          <w:tcPr>
            <w:tcW w:w="1860" w:type="dxa"/>
            <w:vMerge/>
            <w:vAlign w:val="center"/>
          </w:tcPr>
          <w:p w14:paraId="7E9F82A4" w14:textId="77777777" w:rsidR="00D62EC6" w:rsidRPr="00D0409E" w:rsidRDefault="00D62EC6" w:rsidP="00864C60">
            <w:pPr>
              <w:jc w:val="both"/>
              <w:rPr>
                <w:lang w:val="es-ES"/>
              </w:rPr>
            </w:pPr>
          </w:p>
        </w:tc>
        <w:tc>
          <w:tcPr>
            <w:tcW w:w="1800" w:type="dxa"/>
            <w:vMerge/>
            <w:vAlign w:val="center"/>
          </w:tcPr>
          <w:p w14:paraId="4863C517" w14:textId="77777777" w:rsidR="00D62EC6" w:rsidRPr="00D0409E" w:rsidRDefault="00D62EC6" w:rsidP="00864C60">
            <w:pPr>
              <w:jc w:val="both"/>
              <w:rPr>
                <w:lang w:val="es-ES"/>
              </w:rPr>
            </w:pPr>
          </w:p>
        </w:tc>
        <w:tc>
          <w:tcPr>
            <w:tcW w:w="1860" w:type="dxa"/>
            <w:vMerge/>
            <w:vAlign w:val="center"/>
          </w:tcPr>
          <w:p w14:paraId="368CD268" w14:textId="77777777" w:rsidR="00D62EC6" w:rsidRPr="00D0409E" w:rsidRDefault="00D62EC6" w:rsidP="00864C60">
            <w:pPr>
              <w:jc w:val="both"/>
              <w:rPr>
                <w:lang w:val="es-ES"/>
              </w:rPr>
            </w:pPr>
          </w:p>
        </w:tc>
      </w:tr>
      <w:tr w:rsidR="00D62EC6" w:rsidRPr="00895330" w14:paraId="513F01A1" w14:textId="77777777" w:rsidTr="009D3746">
        <w:trPr>
          <w:trHeight w:val="810"/>
        </w:trPr>
        <w:tc>
          <w:tcPr>
            <w:tcW w:w="1725" w:type="dxa"/>
            <w:tcMar>
              <w:left w:w="105" w:type="dxa"/>
              <w:right w:w="105" w:type="dxa"/>
            </w:tcMar>
          </w:tcPr>
          <w:p w14:paraId="246E92E1"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 xml:space="preserve">Aumento de los eventos de El Niño y La Niña </w:t>
            </w:r>
          </w:p>
        </w:tc>
        <w:tc>
          <w:tcPr>
            <w:tcW w:w="1995" w:type="dxa"/>
            <w:tcMar>
              <w:left w:w="105" w:type="dxa"/>
              <w:right w:w="105" w:type="dxa"/>
            </w:tcMar>
          </w:tcPr>
          <w:p w14:paraId="41058061"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Desplazamientos en las áreas de reproducción</w:t>
            </w:r>
          </w:p>
          <w:p w14:paraId="0B1ADD63" w14:textId="77777777" w:rsidR="00D62EC6" w:rsidRPr="00D0409E" w:rsidRDefault="00D62EC6" w:rsidP="00864C60">
            <w:pPr>
              <w:spacing w:line="278" w:lineRule="auto"/>
              <w:jc w:val="both"/>
              <w:rPr>
                <w:rFonts w:ascii="Arial" w:eastAsia="Arial" w:hAnsi="Arial" w:cs="Arial"/>
                <w:sz w:val="18"/>
                <w:szCs w:val="18"/>
                <w:lang w:val="es-ES"/>
              </w:rPr>
            </w:pPr>
          </w:p>
        </w:tc>
        <w:tc>
          <w:tcPr>
            <w:tcW w:w="1860" w:type="dxa"/>
            <w:tcMar>
              <w:left w:w="105" w:type="dxa"/>
              <w:right w:w="105" w:type="dxa"/>
            </w:tcMar>
          </w:tcPr>
          <w:p w14:paraId="20ABD1C5"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Alteración del comportamiento social, choque térmico, estrés, dolor, malestar, aumento del gasto energético</w:t>
            </w:r>
          </w:p>
          <w:p w14:paraId="7A9B2BE2" w14:textId="77777777" w:rsidR="00D62EC6" w:rsidRPr="00D0409E" w:rsidRDefault="00D62EC6" w:rsidP="00864C60">
            <w:pPr>
              <w:spacing w:line="278" w:lineRule="auto"/>
              <w:jc w:val="both"/>
              <w:rPr>
                <w:rFonts w:ascii="Arial" w:eastAsia="Arial" w:hAnsi="Arial" w:cs="Arial"/>
                <w:sz w:val="18"/>
                <w:szCs w:val="18"/>
                <w:lang w:val="es-ES"/>
              </w:rPr>
            </w:pPr>
          </w:p>
        </w:tc>
        <w:tc>
          <w:tcPr>
            <w:tcW w:w="1800" w:type="dxa"/>
            <w:tcMar>
              <w:left w:w="105" w:type="dxa"/>
              <w:right w:w="105" w:type="dxa"/>
            </w:tcMar>
          </w:tcPr>
          <w:p w14:paraId="2DEF7B95"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mortalidad, reducción de las tasas de reproducción, aumento del conflicto con las actividades humanas</w:t>
            </w:r>
          </w:p>
        </w:tc>
        <w:tc>
          <w:tcPr>
            <w:tcW w:w="1860" w:type="dxa"/>
            <w:tcMar>
              <w:left w:w="105" w:type="dxa"/>
              <w:right w:w="105" w:type="dxa"/>
            </w:tcMar>
          </w:tcPr>
          <w:p w14:paraId="5764CDFB"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Áreas protegidas nuevas o actualizadas y planes de gestión que incluyan el desplazamiento de áreas críticas y la gestión de actividades antropogénicas (por ejemplo, pesca, petróleo y gas, energías renovables)</w:t>
            </w:r>
          </w:p>
        </w:tc>
      </w:tr>
    </w:tbl>
    <w:p w14:paraId="792E6975" w14:textId="77777777" w:rsidR="00D62EC6" w:rsidRPr="00D0409E" w:rsidRDefault="00D62EC6" w:rsidP="00D62EC6">
      <w:pPr>
        <w:spacing w:after="0" w:line="278" w:lineRule="auto"/>
        <w:jc w:val="both"/>
        <w:rPr>
          <w:rFonts w:eastAsia="Arial" w:cs="Arial"/>
          <w:lang w:val="es-ES"/>
        </w:rPr>
      </w:pPr>
    </w:p>
    <w:p w14:paraId="76819A08" w14:textId="77777777" w:rsidR="00805E41" w:rsidRDefault="00805E41">
      <w:pPr>
        <w:rPr>
          <w:rFonts w:eastAsia="Arial" w:cs="Arial"/>
          <w:lang w:val="es-ES"/>
        </w:rPr>
      </w:pPr>
      <w:r>
        <w:rPr>
          <w:rFonts w:eastAsia="Arial" w:cs="Arial"/>
          <w:lang w:val="es-ES"/>
        </w:rPr>
        <w:br w:type="page"/>
      </w:r>
    </w:p>
    <w:p w14:paraId="0490A3E5" w14:textId="0BFFFC60" w:rsidR="00D62EC6" w:rsidRPr="00D0409E" w:rsidRDefault="00D62EC6" w:rsidP="00D62EC6">
      <w:pPr>
        <w:spacing w:after="0" w:line="240" w:lineRule="auto"/>
        <w:jc w:val="both"/>
        <w:rPr>
          <w:rFonts w:eastAsia="Arial" w:cs="Arial"/>
          <w:lang w:val="es-ES"/>
        </w:rPr>
      </w:pPr>
      <w:r w:rsidRPr="00D0409E">
        <w:rPr>
          <w:rFonts w:eastAsia="Arial" w:cs="Arial"/>
          <w:lang w:val="es-ES"/>
        </w:rPr>
        <w:lastRenderedPageBreak/>
        <w:t>A pesar de las medidas de protección existentes para las especies de cetáceos, sigue habiendo una clara falta de esfuerzos específicos para abordar la creciente presión del cambio climático y sus repercusiones en el bienestar y la conservación de los cetáceos. Dado que se prevé que los efectos del cambio climático aumenten en frecuencia y gravedad, es urgente adoptar medidas de conservación para mitigar los efectos negativos del clima y ayudar a los cetáceos a adaptarse al cambio climático. </w:t>
      </w:r>
    </w:p>
    <w:p w14:paraId="3BEC3B5E" w14:textId="77777777" w:rsidR="00D62EC6" w:rsidRPr="00D0409E" w:rsidRDefault="00D62EC6" w:rsidP="00D62EC6">
      <w:pPr>
        <w:spacing w:after="0" w:line="240" w:lineRule="auto"/>
        <w:jc w:val="both"/>
        <w:rPr>
          <w:rFonts w:eastAsia="Arial" w:cs="Arial"/>
          <w:lang w:val="es-ES"/>
        </w:rPr>
      </w:pPr>
    </w:p>
    <w:p w14:paraId="70AE614F" w14:textId="77777777" w:rsidR="00D62EC6" w:rsidRPr="00D0409E" w:rsidRDefault="00D62EC6" w:rsidP="00D62EC6">
      <w:pPr>
        <w:spacing w:after="0" w:line="240" w:lineRule="auto"/>
        <w:rPr>
          <w:rFonts w:eastAsia="Arial" w:cs="Arial"/>
          <w:lang w:val="es-ES"/>
        </w:rPr>
      </w:pPr>
      <w:r w:rsidRPr="00D0409E">
        <w:rPr>
          <w:rFonts w:eastAsia="Arial" w:cs="Arial"/>
          <w:b/>
          <w:lang w:val="es-ES"/>
        </w:rPr>
        <w:t>Recomendaciones</w:t>
      </w:r>
    </w:p>
    <w:p w14:paraId="6CD7FD92" w14:textId="77777777" w:rsidR="00D62EC6" w:rsidRPr="00D0409E" w:rsidRDefault="00D62EC6" w:rsidP="00D62EC6">
      <w:pPr>
        <w:spacing w:after="0" w:line="240" w:lineRule="auto"/>
        <w:rPr>
          <w:rFonts w:eastAsia="Arial" w:cs="Arial"/>
          <w:lang w:val="es-ES"/>
        </w:rPr>
      </w:pPr>
    </w:p>
    <w:p w14:paraId="3527BD34"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t>Sobre la base de la bibliografía revisada y las posibles medidas identificadas en los estudios de caso de este informe, así como de los debates documentados en el informe del Taller de expertos sobre especies migratorias y cambio climático (Edimburgo, febrero de 2025), se ha elaborado un conjunto de recomendaciones. Estas recomendaciones tienen como objetivo abordar los retos urgentes que el cambio climático plantea para el bienestar y la conservación de los cetáceos. Su implementación por parte de las Partes de la CMS, así como de los países no Partes, tiene el potencial de mejorar la protección de las poblaciones y los hábitats de los cetáceos, garantizando la salud a largo plazo de los cetáceos y los ecosistemas marinos en respuesta a la presión del cambio climático.  </w:t>
      </w:r>
    </w:p>
    <w:p w14:paraId="509254C6" w14:textId="28B3924A" w:rsidR="00D62EC6" w:rsidRPr="00D0409E" w:rsidRDefault="00D62EC6" w:rsidP="00D62EC6">
      <w:pPr>
        <w:spacing w:after="0" w:line="240" w:lineRule="auto"/>
        <w:jc w:val="both"/>
        <w:rPr>
          <w:rFonts w:eastAsia="Arial" w:cs="Arial"/>
          <w:lang w:val="es-ES"/>
        </w:rPr>
      </w:pPr>
    </w:p>
    <w:p w14:paraId="18CB0474"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t>Recomendaciones:</w:t>
      </w:r>
    </w:p>
    <w:p w14:paraId="3F76856C" w14:textId="77777777" w:rsidR="00D62EC6" w:rsidRPr="00D0409E" w:rsidRDefault="00D62EC6" w:rsidP="00D62EC6">
      <w:pPr>
        <w:spacing w:after="0" w:line="240" w:lineRule="auto"/>
        <w:jc w:val="both"/>
        <w:rPr>
          <w:rFonts w:eastAsia="Arial" w:cs="Arial"/>
          <w:lang w:val="es-ES"/>
        </w:rPr>
      </w:pPr>
    </w:p>
    <w:p w14:paraId="40E94B50"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t>Dar prioridad a los esfuerzos de conservación de las especies y hábitats vulnerables más afectados por el cambio climático (cuencas fluviales, el Mediterráneo, los mares Negro y Rojo y la región ártica).</w:t>
      </w:r>
    </w:p>
    <w:p w14:paraId="50FB160D"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t>Priorizar los esfuerzos de investigación sobre los efectos del cambio climático en las especies con datos insuficientes.</w:t>
      </w:r>
    </w:p>
    <w:p w14:paraId="4B89D055"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t>El objetivo es llevar a cabo un seguimiento ecológico a largo plazo de las poblaciones para proporcionar datos de referencia y poder cuantificar con precisión la presión del cambio climático.</w:t>
      </w:r>
    </w:p>
    <w:p w14:paraId="010A1E08"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t>Mejorar las metodologías para estudiar los impactos del cambio climático en los cetáceos, como, por ejemplo, avanzar en los estudios para captar las relaciones causa-efecto.</w:t>
      </w:r>
    </w:p>
    <w:p w14:paraId="7C2EC184"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t>Realizar evaluaciones del bienestar utilizando la Herramienta de Evaluación del Bienestar de los Cetáceos Silvestres para cuantificar mejor el impacto del cambio climático en la supervivencia de los cetáceos y ayudar a orientar la toma de decisiones. </w:t>
      </w:r>
    </w:p>
    <w:p w14:paraId="28C2D007"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t>Incorporar sistemas de alerta temprana para ayudar a responder rápidamente y mitigar los eventos catastróficos relacionados con el cambio climático.</w:t>
      </w:r>
    </w:p>
    <w:p w14:paraId="54B37149"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t>Garantizar una protección adaptativa mediante la incorporación de áreas importantes para los mamíferos marinos y/o la actualización de las áreas marinas protegidas existentes en respuesta a los cambios inducidos por el clima en los patrones de movimiento espacial y temporal de los cetáceos, prestando especial atención a las áreas críticas (hábitats de alimentación y reproducción) y las rutas migratorias clave. </w:t>
      </w:r>
    </w:p>
    <w:p w14:paraId="030DE812"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t>Abordar los impactos indirectos y acumulativos que agravan los efectos del cambio climático sobre los cetáceos (por ejemplo, la pesca, el transporte marítimo, los desarrollos costeros, la explotación de recursos, las energías renovables, el ruido submarino, etc.).</w:t>
      </w:r>
    </w:p>
    <w:p w14:paraId="478CB941"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t>Mejorar la colaboración transfronteriza entre las partes interesadas internacionales (científicos, comunidades, autoridades) promoviendo el intercambio de datos y mejores prácticas relacionadas con el seguimiento y la gestión de los cetáceos, facilitando una mejor comprensión de los impactos del cambio climático a nivel de población.</w:t>
      </w:r>
    </w:p>
    <w:p w14:paraId="7CABCDBA"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lastRenderedPageBreak/>
        <w:t>Mejorar los esfuerzos para mitigar el cambio climático con el fin de minimizar los efectos adicionales del cambio climático sobre los cetáceos, por ejemplo, promoviendo reducciones significativas de las emisiones de gases de efecto invernadero.</w:t>
      </w:r>
    </w:p>
    <w:p w14:paraId="54AFF728" w14:textId="6600449D" w:rsidR="00EF0155" w:rsidRPr="00D62EC6" w:rsidRDefault="00D62EC6" w:rsidP="00D62EC6">
      <w:pPr>
        <w:pStyle w:val="ListParagraph"/>
        <w:numPr>
          <w:ilvl w:val="0"/>
          <w:numId w:val="26"/>
        </w:numPr>
        <w:spacing w:after="0" w:line="240" w:lineRule="auto"/>
        <w:jc w:val="both"/>
        <w:rPr>
          <w:rFonts w:eastAsia="Arial" w:cs="Arial"/>
          <w:lang w:val="es-ES"/>
        </w:rPr>
      </w:pPr>
      <w:r w:rsidRPr="00D0409E">
        <w:rPr>
          <w:rFonts w:eastAsia="Arial" w:cs="Arial"/>
          <w:lang w:val="es-ES"/>
        </w:rPr>
        <w:t>Alentar a todos los países que son Estados del área de distribución de especies incluidas en la CMS a que se adhieran a la CMS y/o colaboren de manera proactiva con la CMS y otras convenciones internacionales que apoyan la conservación de los cetáceos</w:t>
      </w:r>
      <w:r w:rsidR="00EF0155" w:rsidRPr="00D62EC6">
        <w:rPr>
          <w:rFonts w:eastAsia="Arial" w:cs="Arial"/>
          <w:lang w:val="es-ES"/>
        </w:rPr>
        <w:t>.</w:t>
      </w:r>
    </w:p>
    <w:p w14:paraId="5E45829E" w14:textId="77777777" w:rsidR="00EF0155" w:rsidRPr="00D62EC6" w:rsidRDefault="00EF0155" w:rsidP="00EF0155">
      <w:pPr>
        <w:pStyle w:val="Secondnumbering"/>
        <w:numPr>
          <w:ilvl w:val="0"/>
          <w:numId w:val="0"/>
        </w:numPr>
        <w:ind w:left="360" w:hanging="360"/>
        <w:jc w:val="both"/>
        <w:rPr>
          <w:lang w:val="es-ES"/>
        </w:rPr>
      </w:pPr>
    </w:p>
    <w:p w14:paraId="3C9DD5B2" w14:textId="77777777" w:rsidR="00EF0155" w:rsidRPr="00D62EC6" w:rsidRDefault="00EF0155" w:rsidP="00EF0155">
      <w:pPr>
        <w:pStyle w:val="Secondnumbering"/>
        <w:numPr>
          <w:ilvl w:val="0"/>
          <w:numId w:val="0"/>
        </w:numPr>
        <w:ind w:left="360" w:hanging="360"/>
        <w:jc w:val="both"/>
        <w:rPr>
          <w:lang w:val="es-ES"/>
        </w:rPr>
        <w:sectPr w:rsidR="00EF0155" w:rsidRPr="00D62EC6" w:rsidSect="00323406">
          <w:headerReference w:type="even" r:id="rId38"/>
          <w:headerReference w:type="default" r:id="rId39"/>
          <w:headerReference w:type="first" r:id="rId40"/>
          <w:footerReference w:type="first" r:id="rId41"/>
          <w:pgSz w:w="11906" w:h="16838" w:code="9"/>
          <w:pgMar w:top="1440" w:right="1440" w:bottom="1440" w:left="1440" w:header="720" w:footer="720" w:gutter="0"/>
          <w:cols w:space="720"/>
          <w:titlePg/>
          <w:docGrid w:linePitch="360"/>
        </w:sectPr>
      </w:pPr>
    </w:p>
    <w:p w14:paraId="5D13C7B6" w14:textId="77777777" w:rsidR="00D74D68" w:rsidRPr="00D0409E" w:rsidRDefault="00D74D68" w:rsidP="00D74D68">
      <w:pPr>
        <w:spacing w:after="0" w:line="240" w:lineRule="auto"/>
        <w:jc w:val="right"/>
        <w:rPr>
          <w:rFonts w:cs="Arial"/>
          <w:b/>
          <w:bCs/>
          <w:lang w:val="es-ES"/>
        </w:rPr>
      </w:pPr>
      <w:r w:rsidRPr="00D0409E">
        <w:rPr>
          <w:rFonts w:cs="Arial"/>
          <w:b/>
          <w:bCs/>
          <w:lang w:val="es-ES"/>
        </w:rPr>
        <w:lastRenderedPageBreak/>
        <w:t>ANEXO 3</w:t>
      </w:r>
    </w:p>
    <w:p w14:paraId="5AE17D9D" w14:textId="77777777" w:rsidR="00D74D68" w:rsidRPr="00D0409E" w:rsidRDefault="00D74D68" w:rsidP="00D74D68">
      <w:pPr>
        <w:spacing w:after="0" w:line="240" w:lineRule="auto"/>
        <w:jc w:val="right"/>
        <w:rPr>
          <w:rFonts w:cs="Arial"/>
          <w:b/>
          <w:bCs/>
          <w:lang w:val="es-ES"/>
        </w:rPr>
      </w:pPr>
    </w:p>
    <w:p w14:paraId="179CCA7A" w14:textId="77777777" w:rsidR="00D74D68" w:rsidRPr="00D0409E" w:rsidRDefault="00D74D68" w:rsidP="00D74D68">
      <w:pPr>
        <w:spacing w:after="0" w:line="240" w:lineRule="auto"/>
        <w:rPr>
          <w:rFonts w:cs="Arial"/>
          <w:iCs/>
          <w:lang w:val="es-ES"/>
        </w:rPr>
      </w:pPr>
    </w:p>
    <w:p w14:paraId="75106702" w14:textId="77777777" w:rsidR="00D74D68" w:rsidRPr="00D0409E" w:rsidRDefault="00D74D68" w:rsidP="00D74D68">
      <w:pPr>
        <w:spacing w:after="0" w:line="240" w:lineRule="auto"/>
        <w:jc w:val="center"/>
        <w:rPr>
          <w:rFonts w:cs="Arial"/>
          <w:b/>
          <w:bCs/>
          <w:iCs/>
          <w:lang w:val="es-ES"/>
        </w:rPr>
      </w:pPr>
      <w:r w:rsidRPr="00D0409E">
        <w:rPr>
          <w:rFonts w:cs="Arial"/>
          <w:b/>
          <w:bCs/>
          <w:iCs/>
          <w:lang w:val="es-ES"/>
        </w:rPr>
        <w:t>CETÁCEOS FUERA DE SU HÁBITAT: RESUMEN Y RECOMENDACIONES</w:t>
      </w:r>
    </w:p>
    <w:p w14:paraId="114CBCE1" w14:textId="77777777" w:rsidR="00D74D68" w:rsidRPr="00D0409E" w:rsidRDefault="00D74D68" w:rsidP="00D74D68">
      <w:pPr>
        <w:spacing w:after="0" w:line="240" w:lineRule="auto"/>
        <w:rPr>
          <w:rFonts w:cs="Arial"/>
          <w:iCs/>
          <w:u w:val="single"/>
          <w:lang w:val="es-ES"/>
        </w:rPr>
      </w:pPr>
    </w:p>
    <w:p w14:paraId="47F6AEAC" w14:textId="04541003" w:rsidR="00D74D68" w:rsidRPr="00D0409E" w:rsidRDefault="00D74D68" w:rsidP="00D74D68">
      <w:pPr>
        <w:spacing w:after="0" w:line="240" w:lineRule="auto"/>
        <w:jc w:val="center"/>
        <w:rPr>
          <w:rFonts w:cs="Arial"/>
          <w:i/>
          <w:iCs/>
          <w:u w:val="single"/>
          <w:lang w:val="es-ES"/>
        </w:rPr>
      </w:pPr>
      <w:r w:rsidRPr="00D0409E">
        <w:rPr>
          <w:i/>
          <w:iCs/>
          <w:lang w:val="es-ES"/>
        </w:rPr>
        <w:t xml:space="preserve">(El documento completo está disponible como </w:t>
      </w:r>
      <w:hyperlink r:id="rId42" w:history="1">
        <w:r w:rsidRPr="00D0409E">
          <w:rPr>
            <w:rStyle w:val="Hyperlink"/>
            <w:rFonts w:cs="Arial"/>
            <w:i/>
            <w:iCs/>
            <w:lang w:val="es-ES"/>
          </w:rPr>
          <w:t>artículo de acceso abierto</w:t>
        </w:r>
      </w:hyperlink>
      <w:r w:rsidRPr="00D0409E">
        <w:rPr>
          <w:rFonts w:cs="Arial"/>
          <w:i/>
          <w:iCs/>
          <w:lang w:val="es-ES"/>
        </w:rPr>
        <w:t xml:space="preserve"> y como</w:t>
      </w:r>
      <w:r w:rsidR="00F2072F">
        <w:rPr>
          <w:rFonts w:cs="Arial"/>
          <w:i/>
          <w:iCs/>
          <w:lang w:val="es-ES"/>
        </w:rPr>
        <w:t xml:space="preserve"> </w:t>
      </w:r>
      <w:hyperlink r:id="rId43" w:history="1">
        <w:r w:rsidR="00DA76C3" w:rsidRPr="00DA76C3">
          <w:rPr>
            <w:rStyle w:val="Hyperlink"/>
            <w:rFonts w:cs="Arial"/>
            <w:i/>
            <w:iCs/>
            <w:lang w:val="es-ES"/>
          </w:rPr>
          <w:t>UNEP/CMS/COP15/Inf.25.4.1c</w:t>
        </w:r>
      </w:hyperlink>
      <w:r w:rsidRPr="00D0409E">
        <w:rPr>
          <w:rFonts w:cs="Arial"/>
          <w:i/>
          <w:iCs/>
          <w:lang w:val="es-ES"/>
        </w:rPr>
        <w:t>.)</w:t>
      </w:r>
    </w:p>
    <w:p w14:paraId="5D97D965" w14:textId="77777777" w:rsidR="00D74D68" w:rsidRPr="00D0409E" w:rsidRDefault="00D74D68" w:rsidP="00D74D68">
      <w:pPr>
        <w:spacing w:after="0" w:line="240" w:lineRule="auto"/>
        <w:rPr>
          <w:rFonts w:cs="Arial"/>
          <w:iCs/>
          <w:u w:val="single"/>
          <w:lang w:val="es-ES"/>
        </w:rPr>
      </w:pPr>
    </w:p>
    <w:p w14:paraId="257BDA86" w14:textId="77777777" w:rsidR="00D74D68" w:rsidRPr="00D0409E" w:rsidRDefault="00D74D68" w:rsidP="00D74D68">
      <w:pPr>
        <w:spacing w:after="0" w:line="240" w:lineRule="auto"/>
        <w:rPr>
          <w:rFonts w:cs="Arial"/>
          <w:iCs/>
          <w:u w:val="single"/>
          <w:lang w:val="es-ES"/>
        </w:rPr>
      </w:pPr>
    </w:p>
    <w:p w14:paraId="1B7B1090" w14:textId="77777777" w:rsidR="00D74D68" w:rsidRPr="00D0409E" w:rsidRDefault="00D74D68" w:rsidP="00D74D68">
      <w:pPr>
        <w:spacing w:after="0" w:line="240" w:lineRule="auto"/>
        <w:rPr>
          <w:rFonts w:cs="Arial"/>
          <w:iCs/>
          <w:u w:val="single"/>
          <w:lang w:val="es-ES"/>
        </w:rPr>
      </w:pPr>
      <w:r w:rsidRPr="00D0409E">
        <w:rPr>
          <w:rFonts w:cs="Arial"/>
          <w:iCs/>
          <w:u w:val="single"/>
          <w:lang w:val="es-ES"/>
        </w:rPr>
        <w:t>Antecedentes</w:t>
      </w:r>
    </w:p>
    <w:p w14:paraId="5B371B89" w14:textId="77777777" w:rsidR="00D74D68" w:rsidRPr="00D0409E" w:rsidRDefault="00D74D68" w:rsidP="00D74D68">
      <w:pPr>
        <w:spacing w:after="0" w:line="240" w:lineRule="auto"/>
        <w:jc w:val="both"/>
        <w:rPr>
          <w:rFonts w:cs="Arial"/>
          <w:iCs/>
          <w:lang w:val="es-ES"/>
        </w:rPr>
      </w:pPr>
    </w:p>
    <w:p w14:paraId="6C282B96" w14:textId="77777777" w:rsidR="00D74D68" w:rsidRPr="00D0409E" w:rsidRDefault="00D74D68" w:rsidP="00D74D68">
      <w:pPr>
        <w:spacing w:after="0" w:line="240" w:lineRule="auto"/>
        <w:jc w:val="both"/>
        <w:rPr>
          <w:rFonts w:cs="Arial"/>
          <w:iCs/>
          <w:lang w:val="es-ES"/>
        </w:rPr>
      </w:pPr>
      <w:r w:rsidRPr="00D0409E">
        <w:rPr>
          <w:rFonts w:cs="Arial"/>
          <w:iCs/>
          <w:lang w:val="es-ES"/>
        </w:rPr>
        <w:t>Un cetáceo fuera de su hábitat (OOH) es un individuo que se encuentra fuera de su área de distribución natural, o un individuo dentro de su área de distribución natural en un hábitat que no es óptimo para su salud o supervivencia debido a la falta de condiciones adecuadas y/o a un posible conflicto con los seres humanos. Existen varios factores que pueden</w:t>
      </w:r>
      <w:r w:rsidRPr="00D0409E">
        <w:rPr>
          <w:rFonts w:ascii="Segoe UI Emoji" w:hAnsi="Segoe UI Emoji" w:cs="Arial"/>
          <w:iCs/>
          <w:lang w:val="es-ES"/>
        </w:rPr>
        <w:t xml:space="preserve"> – </w:t>
      </w:r>
      <w:r w:rsidRPr="00D0409E">
        <w:rPr>
          <w:rFonts w:cs="Arial"/>
          <w:iCs/>
          <w:lang w:val="es-ES"/>
        </w:rPr>
        <w:t>ya sea de forma individual, acumulativa o sinérgica</w:t>
      </w:r>
      <w:r w:rsidRPr="00D0409E">
        <w:rPr>
          <w:rFonts w:ascii="Segoe UI Emoji" w:hAnsi="Segoe UI Emoji" w:cs="Arial"/>
          <w:iCs/>
          <w:lang w:val="es-ES"/>
        </w:rPr>
        <w:t xml:space="preserve"> – </w:t>
      </w:r>
      <w:r w:rsidRPr="00D0409E">
        <w:rPr>
          <w:rFonts w:cs="Arial"/>
          <w:iCs/>
          <w:lang w:val="es-ES"/>
        </w:rPr>
        <w:t>llevar a los animales a abandonar su hábitat o área de distribución natural. Entre ellos se incluyen el cambio climático, la pérdida de hábitat, el crecimiento demográfico, la disponibilidad de presas, el ruido submarino, las perturbaciones, la morbilidad, la liberación inadecuada o la fuga del cautiverio. Sin embargo, también es posible que un individuo sea considerado OOH debido a nuestra falta de comprensión de su área de distribución o hábitat, por ejemplo, si una población no ha sido suficientemente estudiada.</w:t>
      </w:r>
    </w:p>
    <w:p w14:paraId="5C1D0B02" w14:textId="77777777" w:rsidR="00D74D68" w:rsidRPr="00D0409E" w:rsidRDefault="00D74D68" w:rsidP="00D74D68">
      <w:pPr>
        <w:spacing w:after="0" w:line="240" w:lineRule="auto"/>
        <w:jc w:val="both"/>
        <w:rPr>
          <w:rFonts w:cs="Arial"/>
          <w:iCs/>
          <w:lang w:val="es-ES"/>
        </w:rPr>
      </w:pPr>
    </w:p>
    <w:p w14:paraId="613C2CC2" w14:textId="77777777" w:rsidR="00D74D68" w:rsidRPr="00D0409E" w:rsidRDefault="00D74D68" w:rsidP="00D74D68">
      <w:pPr>
        <w:spacing w:after="0" w:line="240" w:lineRule="auto"/>
        <w:jc w:val="both"/>
        <w:rPr>
          <w:rFonts w:cs="Arial"/>
          <w:iCs/>
          <w:lang w:val="es-ES"/>
        </w:rPr>
      </w:pPr>
      <w:r w:rsidRPr="00D0409E">
        <w:rPr>
          <w:rFonts w:cs="Arial"/>
          <w:iCs/>
          <w:lang w:val="es-ES"/>
        </w:rPr>
        <w:t xml:space="preserve">En los últimos años se han registrado varios </w:t>
      </w:r>
      <w:r w:rsidRPr="00D0409E">
        <w:rPr>
          <w:rFonts w:cs="Arial"/>
          <w:lang w:val="es-ES"/>
        </w:rPr>
        <w:t>casos</w:t>
      </w:r>
      <w:r w:rsidRPr="00D0409E">
        <w:rPr>
          <w:rFonts w:cs="Arial"/>
          <w:iCs/>
          <w:lang w:val="es-ES"/>
        </w:rPr>
        <w:t xml:space="preserve"> en todo el mundo </w:t>
      </w:r>
      <w:r w:rsidRPr="00D0409E">
        <w:rPr>
          <w:rFonts w:cs="Arial"/>
          <w:lang w:val="es-ES"/>
        </w:rPr>
        <w:t xml:space="preserve">de </w:t>
      </w:r>
      <w:r w:rsidRPr="00D0409E">
        <w:rPr>
          <w:rFonts w:cs="Arial"/>
          <w:iCs/>
          <w:lang w:val="es-ES"/>
        </w:rPr>
        <w:t>mamíferos marinos fuera de su hábitat, incluidos cetáceos incluidos en la CMS, como varias ballenas boreales (</w:t>
      </w:r>
      <w:proofErr w:type="spellStart"/>
      <w:r w:rsidRPr="00D0409E">
        <w:rPr>
          <w:rFonts w:cs="Arial"/>
          <w:i/>
          <w:lang w:val="es-ES"/>
        </w:rPr>
        <w:t>Balaena</w:t>
      </w:r>
      <w:proofErr w:type="spellEnd"/>
      <w:r w:rsidRPr="00D0409E">
        <w:rPr>
          <w:rFonts w:cs="Arial"/>
          <w:i/>
          <w:lang w:val="es-ES"/>
        </w:rPr>
        <w:t xml:space="preserve"> </w:t>
      </w:r>
      <w:proofErr w:type="spellStart"/>
      <w:r w:rsidRPr="00D0409E">
        <w:rPr>
          <w:rFonts w:cs="Arial"/>
          <w:i/>
          <w:lang w:val="es-ES"/>
        </w:rPr>
        <w:t>mysticetus</w:t>
      </w:r>
      <w:proofErr w:type="spellEnd"/>
      <w:r w:rsidRPr="00D0409E">
        <w:rPr>
          <w:rFonts w:cs="Arial"/>
          <w:iCs/>
          <w:lang w:val="es-ES"/>
        </w:rPr>
        <w:t>), ballenas jorobadas (</w:t>
      </w:r>
      <w:proofErr w:type="spellStart"/>
      <w:r w:rsidRPr="00D0409E">
        <w:rPr>
          <w:rFonts w:cs="Arial"/>
          <w:i/>
          <w:lang w:val="es-ES"/>
        </w:rPr>
        <w:t>Megaptera</w:t>
      </w:r>
      <w:proofErr w:type="spellEnd"/>
      <w:r w:rsidRPr="00D0409E">
        <w:rPr>
          <w:rFonts w:cs="Arial"/>
          <w:i/>
          <w:lang w:val="es-ES"/>
        </w:rPr>
        <w:t xml:space="preserve"> </w:t>
      </w:r>
      <w:proofErr w:type="spellStart"/>
      <w:r w:rsidRPr="00D0409E">
        <w:rPr>
          <w:rFonts w:cs="Arial"/>
          <w:i/>
          <w:lang w:val="es-ES"/>
        </w:rPr>
        <w:t>novaeangliae</w:t>
      </w:r>
      <w:proofErr w:type="spellEnd"/>
      <w:r w:rsidRPr="00D0409E">
        <w:rPr>
          <w:rFonts w:cs="Arial"/>
          <w:iCs/>
          <w:lang w:val="es-ES"/>
        </w:rPr>
        <w:t>) y al menos un bufeo asiático (</w:t>
      </w:r>
      <w:r w:rsidRPr="00D0409E">
        <w:rPr>
          <w:rFonts w:cs="Arial"/>
          <w:i/>
          <w:lang w:val="es-ES"/>
        </w:rPr>
        <w:t xml:space="preserve">Sousa </w:t>
      </w:r>
      <w:proofErr w:type="spellStart"/>
      <w:r w:rsidRPr="00D0409E">
        <w:rPr>
          <w:rFonts w:cs="Arial"/>
          <w:i/>
          <w:lang w:val="es-ES"/>
        </w:rPr>
        <w:t>chinensis</w:t>
      </w:r>
      <w:proofErr w:type="spellEnd"/>
      <w:r w:rsidRPr="00D0409E">
        <w:rPr>
          <w:rFonts w:cs="Arial"/>
          <w:iCs/>
          <w:lang w:val="es-ES"/>
        </w:rPr>
        <w:t xml:space="preserve">). </w:t>
      </w:r>
    </w:p>
    <w:p w14:paraId="5C8DF0EE" w14:textId="77777777" w:rsidR="00D74D68" w:rsidRPr="00D0409E" w:rsidRDefault="00D74D68" w:rsidP="00D74D68">
      <w:pPr>
        <w:spacing w:after="0" w:line="240" w:lineRule="auto"/>
        <w:jc w:val="both"/>
        <w:rPr>
          <w:rFonts w:cs="Arial"/>
          <w:iCs/>
          <w:lang w:val="es-ES"/>
        </w:rPr>
      </w:pPr>
    </w:p>
    <w:p w14:paraId="4C60CE3A" w14:textId="77777777" w:rsidR="00D74D68" w:rsidRPr="00D0409E" w:rsidRDefault="00D74D68" w:rsidP="00D74D68">
      <w:pPr>
        <w:spacing w:after="0" w:line="240" w:lineRule="auto"/>
        <w:jc w:val="both"/>
        <w:rPr>
          <w:rFonts w:cs="Arial"/>
          <w:iCs/>
          <w:lang w:val="es-ES"/>
        </w:rPr>
      </w:pPr>
      <w:r w:rsidRPr="00D0409E">
        <w:rPr>
          <w:rFonts w:cs="Arial"/>
          <w:iCs/>
          <w:lang w:val="es-ES"/>
        </w:rPr>
        <w:t>Para investigar más de cerca estos casos, en 2021 se celebró el primer Taller Internacional sobre Mamíferos Marinos Fuera de su Hábitat</w:t>
      </w:r>
      <w:r w:rsidRPr="00254E9C">
        <w:rPr>
          <w:rStyle w:val="FootnoteReference"/>
          <w:rFonts w:cs="Arial"/>
          <w:iCs/>
          <w:vertAlign w:val="superscript"/>
          <w:lang w:val="es-ES"/>
        </w:rPr>
        <w:footnoteReference w:id="6"/>
      </w:r>
      <w:r w:rsidRPr="00D0409E">
        <w:rPr>
          <w:rFonts w:cs="Arial"/>
          <w:iCs/>
          <w:lang w:val="es-ES"/>
        </w:rPr>
        <w:t xml:space="preserve"> seguido de un segundo taller en 2022.</w:t>
      </w:r>
      <w:r w:rsidRPr="00254E9C">
        <w:rPr>
          <w:rStyle w:val="FootnoteReference"/>
          <w:rFonts w:cs="Arial"/>
          <w:iCs/>
          <w:vertAlign w:val="superscript"/>
          <w:lang w:val="es-ES"/>
        </w:rPr>
        <w:footnoteReference w:id="7"/>
      </w:r>
      <w:r w:rsidRPr="00D0409E">
        <w:rPr>
          <w:rFonts w:cs="Arial"/>
          <w:iCs/>
          <w:lang w:val="es-ES"/>
        </w:rPr>
        <w:t xml:space="preserve"> Se invitó a expertos con experiencia en documentar y gestionar este tipo de situaciones, y se revisaron numerosos estudios de casos, lo que destacó la variedad de especies y lugares implicados. El documento resumido aquí y disponible como UNEP/CMS/COP15/Inf.25.4.1c se elaboró a partir de los debates mantenidos en el segundo taller, ya que quedó claro que la comunidad científica está interesada en seguir explorando los factores que impulsan la presencia de mamíferos marinos fuera de su hábitat natural.</w:t>
      </w:r>
    </w:p>
    <w:p w14:paraId="38D452E6" w14:textId="77777777" w:rsidR="00D74D68" w:rsidRPr="00D0409E" w:rsidRDefault="00D74D68" w:rsidP="00D74D68">
      <w:pPr>
        <w:spacing w:after="0" w:line="240" w:lineRule="auto"/>
        <w:jc w:val="both"/>
        <w:rPr>
          <w:rFonts w:cs="Arial"/>
          <w:iCs/>
          <w:lang w:val="es-ES"/>
        </w:rPr>
      </w:pPr>
    </w:p>
    <w:p w14:paraId="447D1480" w14:textId="77777777" w:rsidR="00D74D68" w:rsidRPr="00D0409E" w:rsidRDefault="00D74D68" w:rsidP="00D74D68">
      <w:pPr>
        <w:spacing w:after="0" w:line="240" w:lineRule="auto"/>
        <w:rPr>
          <w:rFonts w:cs="Arial"/>
          <w:iCs/>
          <w:u w:val="single"/>
          <w:lang w:val="es-ES"/>
        </w:rPr>
      </w:pPr>
      <w:r w:rsidRPr="00D0409E">
        <w:rPr>
          <w:rFonts w:cs="Arial"/>
          <w:iCs/>
          <w:u w:val="single"/>
          <w:lang w:val="es-ES"/>
        </w:rPr>
        <w:t>Resumen</w:t>
      </w:r>
    </w:p>
    <w:p w14:paraId="0D884F44" w14:textId="77777777" w:rsidR="00D74D68" w:rsidRPr="00D0409E" w:rsidRDefault="00D74D68" w:rsidP="00D74D68">
      <w:pPr>
        <w:spacing w:after="0" w:line="240" w:lineRule="auto"/>
        <w:jc w:val="both"/>
        <w:rPr>
          <w:rFonts w:cs="Arial"/>
          <w:iCs/>
          <w:lang w:val="es-ES"/>
        </w:rPr>
      </w:pPr>
    </w:p>
    <w:p w14:paraId="4155923C" w14:textId="77777777" w:rsidR="00D74D68" w:rsidRPr="00D0409E" w:rsidRDefault="00D74D68" w:rsidP="00D74D68">
      <w:pPr>
        <w:spacing w:after="0" w:line="240" w:lineRule="auto"/>
        <w:jc w:val="both"/>
        <w:rPr>
          <w:rFonts w:cs="Arial"/>
          <w:iCs/>
          <w:lang w:val="es-ES"/>
        </w:rPr>
      </w:pPr>
      <w:r w:rsidRPr="00D0409E">
        <w:rPr>
          <w:rFonts w:cs="Arial"/>
          <w:iCs/>
          <w:lang w:val="es-ES"/>
        </w:rPr>
        <w:t>Las respuestas adecuadas ante cetáceos fuera de su hábitat deben tener en cuenta la conservación y el bienestar animal. Se debe consultar a expertos, incluyendo veterinarios especializados en mamíferos marinos, especialistas en distintas especies, expertos en bienestar animal y expertos en varamientos de cetáceos. Las opciones de gestión dependerán de la situación, la ubicación, las especies y el contexto. Las posibles respuestas incluyen:</w:t>
      </w:r>
    </w:p>
    <w:p w14:paraId="0AD7D9EC" w14:textId="77777777" w:rsidR="00D74D68" w:rsidRPr="00D0409E" w:rsidRDefault="00D74D68" w:rsidP="00D74D68">
      <w:pPr>
        <w:spacing w:after="0" w:line="240" w:lineRule="auto"/>
        <w:jc w:val="both"/>
        <w:rPr>
          <w:rFonts w:cs="Arial"/>
          <w:iCs/>
          <w:lang w:val="es-ES"/>
        </w:rPr>
      </w:pPr>
    </w:p>
    <w:p w14:paraId="15CFE936" w14:textId="77777777" w:rsidR="00D74D68" w:rsidRPr="00D0409E" w:rsidRDefault="00D74D68" w:rsidP="00D74D68">
      <w:pPr>
        <w:pStyle w:val="ListParagraph"/>
        <w:numPr>
          <w:ilvl w:val="0"/>
          <w:numId w:val="27"/>
        </w:numPr>
        <w:spacing w:after="120" w:line="240" w:lineRule="auto"/>
        <w:contextualSpacing w:val="0"/>
        <w:jc w:val="both"/>
        <w:rPr>
          <w:rFonts w:cs="Arial"/>
          <w:iCs/>
          <w:lang w:val="es-ES"/>
        </w:rPr>
      </w:pPr>
      <w:r w:rsidRPr="00D0409E">
        <w:rPr>
          <w:rFonts w:cs="Arial"/>
          <w:iCs/>
          <w:lang w:val="es-ES"/>
        </w:rPr>
        <w:t>Supervisar y registrar avistamientos/comportamientos sin intervenir. Esto puede incluir la realización de una evaluación del bienestar.</w:t>
      </w:r>
    </w:p>
    <w:p w14:paraId="6432721D" w14:textId="77777777" w:rsidR="00D74D68" w:rsidRPr="00D0409E" w:rsidRDefault="00D74D68" w:rsidP="00D74D68">
      <w:pPr>
        <w:pStyle w:val="ListParagraph"/>
        <w:numPr>
          <w:ilvl w:val="0"/>
          <w:numId w:val="27"/>
        </w:numPr>
        <w:spacing w:after="120" w:line="240" w:lineRule="auto"/>
        <w:contextualSpacing w:val="0"/>
        <w:jc w:val="both"/>
        <w:rPr>
          <w:rFonts w:cs="Arial"/>
          <w:iCs/>
          <w:lang w:val="es-ES"/>
        </w:rPr>
      </w:pPr>
      <w:r w:rsidRPr="00D0409E">
        <w:rPr>
          <w:rFonts w:cs="Arial"/>
          <w:iCs/>
          <w:lang w:val="es-ES"/>
        </w:rPr>
        <w:lastRenderedPageBreak/>
        <w:t>Proporcionar zonas seguras para los animales (por ejemplo, limitar o prohibir la entrada de embarcaciones y nadadores en una zona y/o aplicar restricciones de velocidad a las embarcaciones).</w:t>
      </w:r>
    </w:p>
    <w:p w14:paraId="7E50B6E5" w14:textId="77777777" w:rsidR="00D74D68" w:rsidRPr="00D0409E" w:rsidRDefault="00D74D68" w:rsidP="00D74D68">
      <w:pPr>
        <w:pStyle w:val="ListParagraph"/>
        <w:numPr>
          <w:ilvl w:val="0"/>
          <w:numId w:val="27"/>
        </w:numPr>
        <w:spacing w:after="120" w:line="240" w:lineRule="auto"/>
        <w:contextualSpacing w:val="0"/>
        <w:jc w:val="both"/>
        <w:rPr>
          <w:rFonts w:cs="Arial"/>
          <w:iCs/>
          <w:lang w:val="es-ES"/>
        </w:rPr>
      </w:pPr>
      <w:r w:rsidRPr="00D0409E">
        <w:rPr>
          <w:rFonts w:cs="Arial"/>
          <w:iCs/>
          <w:lang w:val="es-ES"/>
        </w:rPr>
        <w:t>Animando al animal o animales a que se alejen de un lugar inadecuado (es necesario considerar cuidadosamente qué métodos son los más adecuados).</w:t>
      </w:r>
    </w:p>
    <w:p w14:paraId="798572C3" w14:textId="77777777" w:rsidR="00D74D68" w:rsidRPr="00D0409E" w:rsidRDefault="00D74D68" w:rsidP="00D74D68">
      <w:pPr>
        <w:pStyle w:val="ListParagraph"/>
        <w:numPr>
          <w:ilvl w:val="0"/>
          <w:numId w:val="27"/>
        </w:numPr>
        <w:spacing w:after="120" w:line="240" w:lineRule="auto"/>
        <w:contextualSpacing w:val="0"/>
        <w:jc w:val="both"/>
        <w:rPr>
          <w:rFonts w:cs="Arial"/>
          <w:iCs/>
          <w:lang w:val="es-ES"/>
        </w:rPr>
      </w:pPr>
      <w:r w:rsidRPr="00D0409E">
        <w:rPr>
          <w:rFonts w:cs="Arial"/>
          <w:iCs/>
          <w:lang w:val="es-ES"/>
        </w:rPr>
        <w:t xml:space="preserve">Captura y traslado del animal (o animales). Esto solo debe realizarse tras un período de observación y cuando hayan fracasado los intentos de animar al animal a moverse por su propia voluntad, y si el animal corre un mayor riesgo al permanecer fuera de su hábitat. El monitoreo tras la liberación es esencial si se elige esta opción. </w:t>
      </w:r>
    </w:p>
    <w:p w14:paraId="0F90A18C" w14:textId="77777777" w:rsidR="00D74D68" w:rsidRPr="00D0409E" w:rsidRDefault="00D74D68" w:rsidP="00D74D68">
      <w:pPr>
        <w:pStyle w:val="ListParagraph"/>
        <w:numPr>
          <w:ilvl w:val="0"/>
          <w:numId w:val="27"/>
        </w:numPr>
        <w:spacing w:after="120" w:line="240" w:lineRule="auto"/>
        <w:contextualSpacing w:val="0"/>
        <w:jc w:val="both"/>
        <w:rPr>
          <w:rFonts w:cs="Arial"/>
          <w:iCs/>
          <w:lang w:val="es-ES"/>
        </w:rPr>
      </w:pPr>
      <w:r w:rsidRPr="00D0409E">
        <w:rPr>
          <w:rFonts w:cs="Arial"/>
          <w:iCs/>
          <w:lang w:val="es-ES"/>
        </w:rPr>
        <w:t xml:space="preserve">Cuidados paliativos. Si un animal fuera de su hábitat está muriendo, es posible que sea necesario mantenerlo en condiciones agradables hasta que fallezca. </w:t>
      </w:r>
    </w:p>
    <w:p w14:paraId="3A923154" w14:textId="77777777" w:rsidR="00D74D68" w:rsidRPr="00D0409E" w:rsidRDefault="00D74D68" w:rsidP="00D74D68">
      <w:pPr>
        <w:pStyle w:val="ListParagraph"/>
        <w:numPr>
          <w:ilvl w:val="0"/>
          <w:numId w:val="27"/>
        </w:numPr>
        <w:spacing w:after="0" w:line="240" w:lineRule="auto"/>
        <w:contextualSpacing w:val="0"/>
        <w:jc w:val="both"/>
        <w:rPr>
          <w:rFonts w:cs="Arial"/>
          <w:iCs/>
          <w:lang w:val="es-ES"/>
        </w:rPr>
      </w:pPr>
      <w:r w:rsidRPr="00D0409E">
        <w:rPr>
          <w:rFonts w:cs="Arial"/>
          <w:iCs/>
          <w:lang w:val="es-ES"/>
        </w:rPr>
        <w:t xml:space="preserve">Eutanasia. Si el bienestar del animal se ve comprometido hasta el punto de que la muerte es un final preferible, se puede utilizar una técnica de eutanasia que provoque una muerte lo más rápida, indolora y sin sufrimiento posible. </w:t>
      </w:r>
    </w:p>
    <w:p w14:paraId="157B4992" w14:textId="77777777" w:rsidR="00D74D68" w:rsidRPr="00D0409E" w:rsidRDefault="00D74D68" w:rsidP="00D74D68">
      <w:pPr>
        <w:spacing w:after="0" w:line="240" w:lineRule="auto"/>
        <w:rPr>
          <w:rFonts w:cs="Arial"/>
          <w:iCs/>
          <w:u w:val="single"/>
          <w:lang w:val="es-ES"/>
        </w:rPr>
      </w:pPr>
    </w:p>
    <w:p w14:paraId="35C228A7" w14:textId="77777777" w:rsidR="00D74D68" w:rsidRPr="00D0409E" w:rsidRDefault="00D74D68" w:rsidP="00D74D68">
      <w:pPr>
        <w:spacing w:after="0" w:line="240" w:lineRule="auto"/>
        <w:rPr>
          <w:rFonts w:cs="Arial"/>
          <w:iCs/>
          <w:u w:val="single"/>
          <w:lang w:val="es-ES"/>
        </w:rPr>
      </w:pPr>
      <w:r w:rsidRPr="00D0409E">
        <w:rPr>
          <w:rFonts w:cs="Arial"/>
          <w:iCs/>
          <w:u w:val="single"/>
          <w:lang w:val="es-ES"/>
        </w:rPr>
        <w:t>Acciones recomendadas a las Partes</w:t>
      </w:r>
    </w:p>
    <w:p w14:paraId="749E5480" w14:textId="77777777" w:rsidR="00D74D68" w:rsidRPr="00D0409E" w:rsidRDefault="00D74D68" w:rsidP="00D74D68">
      <w:pPr>
        <w:spacing w:after="0" w:line="240" w:lineRule="auto"/>
        <w:rPr>
          <w:rFonts w:cs="Arial"/>
          <w:iCs/>
          <w:u w:val="single"/>
          <w:lang w:val="es-ES"/>
        </w:rPr>
      </w:pPr>
    </w:p>
    <w:p w14:paraId="791C976D" w14:textId="77777777" w:rsidR="00D74D68" w:rsidRPr="00D0409E" w:rsidRDefault="00D74D68" w:rsidP="00D74D68">
      <w:pPr>
        <w:pStyle w:val="ListParagraph"/>
        <w:numPr>
          <w:ilvl w:val="0"/>
          <w:numId w:val="28"/>
        </w:numPr>
        <w:spacing w:after="120" w:line="240" w:lineRule="auto"/>
        <w:contextualSpacing w:val="0"/>
        <w:jc w:val="both"/>
        <w:rPr>
          <w:rFonts w:cs="Arial"/>
          <w:iCs/>
          <w:lang w:val="es-ES"/>
        </w:rPr>
      </w:pPr>
      <w:r w:rsidRPr="00D0409E">
        <w:rPr>
          <w:rFonts w:cs="Arial"/>
          <w:iCs/>
          <w:lang w:val="es-ES"/>
        </w:rPr>
        <w:t xml:space="preserve">Iniciar medidas especiales de protección para los cetáceos (y otros mamíferos marinos) fuera de su hábitat, en virtud de las leyes vigentes sobre especies migratorias u otra legislación pertinente, con el fin de evitar que se les persiga o perturbe. </w:t>
      </w:r>
    </w:p>
    <w:p w14:paraId="58EA2436" w14:textId="77777777" w:rsidR="00D74D68" w:rsidRPr="00D0409E" w:rsidRDefault="00D74D68" w:rsidP="00D74D68">
      <w:pPr>
        <w:pStyle w:val="ListParagraph"/>
        <w:numPr>
          <w:ilvl w:val="0"/>
          <w:numId w:val="28"/>
        </w:numPr>
        <w:spacing w:after="120" w:line="240" w:lineRule="auto"/>
        <w:contextualSpacing w:val="0"/>
        <w:jc w:val="both"/>
        <w:rPr>
          <w:rFonts w:cs="Arial"/>
          <w:iCs/>
          <w:lang w:val="es-ES"/>
        </w:rPr>
      </w:pPr>
      <w:r w:rsidRPr="00D0409E">
        <w:rPr>
          <w:rFonts w:cs="Arial"/>
          <w:iCs/>
          <w:lang w:val="es-ES"/>
        </w:rPr>
        <w:t>Incluir a los cetáceos (y otros mamíferos marinos) fuera de su hábitat en los planes de gestión de la conservación, teniendo en cuenta que estos animales son potencialmente pioneros y que, en el futuro, pueden aparecer más individuos en una zona concreta o puede establecerse una población.</w:t>
      </w:r>
    </w:p>
    <w:p w14:paraId="297C0FF3" w14:textId="77777777" w:rsidR="00D74D68" w:rsidRPr="00D0409E" w:rsidRDefault="00D74D68" w:rsidP="00D74D68">
      <w:pPr>
        <w:pStyle w:val="ListParagraph"/>
        <w:numPr>
          <w:ilvl w:val="0"/>
          <w:numId w:val="28"/>
        </w:numPr>
        <w:spacing w:after="120" w:line="240" w:lineRule="auto"/>
        <w:contextualSpacing w:val="0"/>
        <w:jc w:val="both"/>
        <w:rPr>
          <w:rFonts w:cs="Arial"/>
          <w:iCs/>
          <w:lang w:val="es-ES"/>
        </w:rPr>
      </w:pPr>
      <w:r w:rsidRPr="00D0409E">
        <w:rPr>
          <w:rFonts w:cs="Arial"/>
          <w:iCs/>
          <w:lang w:val="es-ES"/>
        </w:rPr>
        <w:t xml:space="preserve">Prepararse con antelación para la aparición de cetáceos fuera de su hábitat, ya que pueden volverse más comunes en escenarios de cambio climático. </w:t>
      </w:r>
    </w:p>
    <w:p w14:paraId="177C9913" w14:textId="77777777" w:rsidR="00D74D68" w:rsidRPr="00D0409E" w:rsidRDefault="00D74D68" w:rsidP="00D74D68">
      <w:pPr>
        <w:pStyle w:val="ListParagraph"/>
        <w:numPr>
          <w:ilvl w:val="0"/>
          <w:numId w:val="28"/>
        </w:numPr>
        <w:spacing w:after="120" w:line="240" w:lineRule="auto"/>
        <w:contextualSpacing w:val="0"/>
        <w:jc w:val="both"/>
        <w:rPr>
          <w:rFonts w:cs="Arial"/>
          <w:iCs/>
          <w:lang w:val="es-ES"/>
        </w:rPr>
      </w:pPr>
      <w:r w:rsidRPr="00D0409E">
        <w:rPr>
          <w:rFonts w:cs="Arial"/>
          <w:iCs/>
          <w:lang w:val="es-ES"/>
        </w:rPr>
        <w:t>Proteger y mejorar los hábitats clave que son utilizados repetidamente por cetáceos (y otros mamíferos marinos) fuera de su hábitat natural.</w:t>
      </w:r>
    </w:p>
    <w:p w14:paraId="22091F6F" w14:textId="77777777" w:rsidR="00D74D68" w:rsidRPr="00D0409E" w:rsidRDefault="00D74D68" w:rsidP="00D74D68">
      <w:pPr>
        <w:pStyle w:val="ListParagraph"/>
        <w:numPr>
          <w:ilvl w:val="0"/>
          <w:numId w:val="28"/>
        </w:numPr>
        <w:spacing w:after="120" w:line="240" w:lineRule="auto"/>
        <w:contextualSpacing w:val="0"/>
        <w:jc w:val="both"/>
        <w:rPr>
          <w:rFonts w:cs="Arial"/>
          <w:iCs/>
          <w:lang w:val="es-ES"/>
        </w:rPr>
      </w:pPr>
      <w:r w:rsidRPr="00D0409E">
        <w:rPr>
          <w:rFonts w:cs="Arial"/>
          <w:iCs/>
          <w:lang w:val="es-ES"/>
        </w:rPr>
        <w:t>Preparar códigos de conducta y protocolos sobre cómo responder ante los animales, incluyendo la mejor manera de comunicarse y colaborar con las partes interesadas, como las comunidades indígenas.</w:t>
      </w:r>
    </w:p>
    <w:p w14:paraId="53079B46" w14:textId="77777777" w:rsidR="00D74D68" w:rsidRPr="00D0409E" w:rsidRDefault="00D74D68" w:rsidP="00D74D68">
      <w:pPr>
        <w:pStyle w:val="ListParagraph"/>
        <w:numPr>
          <w:ilvl w:val="0"/>
          <w:numId w:val="28"/>
        </w:numPr>
        <w:spacing w:after="120" w:line="240" w:lineRule="auto"/>
        <w:contextualSpacing w:val="0"/>
        <w:jc w:val="both"/>
        <w:rPr>
          <w:rFonts w:cs="Arial"/>
          <w:iCs/>
          <w:lang w:val="es-ES"/>
        </w:rPr>
      </w:pPr>
      <w:r w:rsidRPr="00D0409E">
        <w:rPr>
          <w:rFonts w:cs="Arial"/>
          <w:iCs/>
          <w:lang w:val="es-ES"/>
        </w:rPr>
        <w:t>Capacitar al personal de las agencias reguladoras</w:t>
      </w:r>
      <w:r w:rsidRPr="00D0409E">
        <w:rPr>
          <w:rFonts w:cs="Arial"/>
          <w:color w:val="EE0000"/>
          <w:lang w:val="es-ES"/>
        </w:rPr>
        <w:t xml:space="preserve"> </w:t>
      </w:r>
      <w:r w:rsidRPr="00D0409E">
        <w:rPr>
          <w:rFonts w:cs="Arial"/>
          <w:iCs/>
          <w:lang w:val="es-ES"/>
        </w:rPr>
        <w:t>para tratar con cetáceos (y otros mamíferos marinos) fuera de su hábitat, incluida la resolución de conflictos entre seres humanos y fauna silvestre (HWC).</w:t>
      </w:r>
    </w:p>
    <w:p w14:paraId="65DC9DE0" w14:textId="77777777" w:rsidR="00D74D68" w:rsidRPr="00D0409E" w:rsidRDefault="00D74D68" w:rsidP="00D74D68">
      <w:pPr>
        <w:pStyle w:val="ListParagraph"/>
        <w:numPr>
          <w:ilvl w:val="0"/>
          <w:numId w:val="28"/>
        </w:numPr>
        <w:spacing w:after="120" w:line="240" w:lineRule="auto"/>
        <w:contextualSpacing w:val="0"/>
        <w:jc w:val="both"/>
        <w:rPr>
          <w:rFonts w:cs="Arial"/>
          <w:iCs/>
          <w:lang w:val="es-ES"/>
        </w:rPr>
      </w:pPr>
      <w:r w:rsidRPr="00D0409E">
        <w:rPr>
          <w:rFonts w:cs="Arial"/>
          <w:iCs/>
          <w:lang w:val="es-ES"/>
        </w:rPr>
        <w:t>Establecer un organismo encargado de la gestión de los mamíferos marinos fuera de su hábitat.</w:t>
      </w:r>
    </w:p>
    <w:p w14:paraId="183377EA" w14:textId="5BA18539" w:rsidR="00EF0155" w:rsidRPr="00D74D68" w:rsidRDefault="00D74D68" w:rsidP="00D74D68">
      <w:pPr>
        <w:pStyle w:val="ListParagraph"/>
        <w:numPr>
          <w:ilvl w:val="0"/>
          <w:numId w:val="28"/>
        </w:numPr>
        <w:spacing w:after="0" w:line="240" w:lineRule="auto"/>
        <w:contextualSpacing w:val="0"/>
        <w:jc w:val="both"/>
        <w:rPr>
          <w:rFonts w:cs="Arial"/>
          <w:iCs/>
          <w:lang w:val="es-ES"/>
        </w:rPr>
      </w:pPr>
      <w:r w:rsidRPr="00D0409E">
        <w:rPr>
          <w:rFonts w:cs="Arial"/>
          <w:iCs/>
          <w:lang w:val="es-ES"/>
        </w:rPr>
        <w:t xml:space="preserve">Desarrollar una estrategia de comunicación </w:t>
      </w:r>
      <w:r w:rsidRPr="00D0409E">
        <w:rPr>
          <w:rFonts w:cs="Arial"/>
          <w:lang w:val="es-ES"/>
        </w:rPr>
        <w:t>para hacer frente a los desplazamientos de</w:t>
      </w:r>
      <w:r w:rsidRPr="00D0409E">
        <w:rPr>
          <w:rFonts w:cs="Arial"/>
          <w:iCs/>
          <w:lang w:val="es-ES"/>
        </w:rPr>
        <w:t xml:space="preserve"> mamíferos marinos provocados por el cambio climático, para su uso antes de que aparezca un cetáceo fuera de su hábitat. Esto puede ayudar a evitar una posible situación de hostilidad por parte de la población cuando un cetáceo aparece en un hábitat atípico. También se deben redactar mensajes adecuados para explicar la situación al público y otras partes interesadas relevantes</w:t>
      </w:r>
      <w:r w:rsidRPr="00D0409E">
        <w:rPr>
          <w:rFonts w:cs="Arial"/>
          <w:lang w:val="es-ES"/>
        </w:rPr>
        <w:t xml:space="preserve">, </w:t>
      </w:r>
      <w:r w:rsidRPr="00D0409E">
        <w:rPr>
          <w:rFonts w:cs="Arial"/>
          <w:iCs/>
          <w:lang w:val="es-ES"/>
        </w:rPr>
        <w:t>con el fin de gestionar su comportamiento para proteger al animal y a ellos mismos</w:t>
      </w:r>
      <w:r w:rsidR="00EF0155" w:rsidRPr="00D74D68">
        <w:rPr>
          <w:rFonts w:cs="Arial"/>
          <w:iCs/>
          <w:lang w:val="es-ES"/>
        </w:rPr>
        <w:t>.</w:t>
      </w:r>
    </w:p>
    <w:p w14:paraId="79E21A88" w14:textId="77777777" w:rsidR="00EF0155" w:rsidRPr="00D74D68" w:rsidRDefault="00EF0155" w:rsidP="00EF0155">
      <w:pPr>
        <w:pStyle w:val="Secondnumbering"/>
        <w:numPr>
          <w:ilvl w:val="0"/>
          <w:numId w:val="0"/>
        </w:numPr>
        <w:ind w:left="360" w:hanging="360"/>
        <w:jc w:val="both"/>
        <w:rPr>
          <w:lang w:val="es-ES"/>
        </w:rPr>
        <w:sectPr w:rsidR="00EF0155" w:rsidRPr="00D74D68" w:rsidSect="00323406">
          <w:headerReference w:type="even" r:id="rId44"/>
          <w:headerReference w:type="default" r:id="rId45"/>
          <w:headerReference w:type="first" r:id="rId46"/>
          <w:footerReference w:type="first" r:id="rId47"/>
          <w:pgSz w:w="11906" w:h="16838" w:code="9"/>
          <w:pgMar w:top="1440" w:right="1440" w:bottom="1440" w:left="1440" w:header="720" w:footer="720" w:gutter="0"/>
          <w:cols w:space="720"/>
          <w:titlePg/>
          <w:docGrid w:linePitch="360"/>
        </w:sectPr>
      </w:pPr>
    </w:p>
    <w:p w14:paraId="67F7AB19" w14:textId="039605AC" w:rsidR="003A3805" w:rsidRDefault="003A3805" w:rsidP="001629E3">
      <w:pPr>
        <w:spacing w:after="0" w:line="240" w:lineRule="auto"/>
        <w:jc w:val="right"/>
        <w:rPr>
          <w:rFonts w:cs="Arial"/>
          <w:b/>
          <w:bCs/>
          <w:iCs/>
          <w:lang w:val="es-ES"/>
        </w:rPr>
      </w:pPr>
      <w:r>
        <w:rPr>
          <w:rFonts w:cs="Arial"/>
          <w:b/>
          <w:bCs/>
          <w:iCs/>
          <w:lang w:val="es-ES"/>
        </w:rPr>
        <w:lastRenderedPageBreak/>
        <w:t>ANEXO 4</w:t>
      </w:r>
    </w:p>
    <w:p w14:paraId="61A5494D" w14:textId="77777777" w:rsidR="00074138" w:rsidRDefault="00074138" w:rsidP="001629E3">
      <w:pPr>
        <w:spacing w:after="0" w:line="240" w:lineRule="auto"/>
        <w:jc w:val="right"/>
        <w:rPr>
          <w:rFonts w:cs="Arial"/>
          <w:b/>
          <w:bCs/>
          <w:iCs/>
          <w:lang w:val="es-ES"/>
        </w:rPr>
      </w:pPr>
    </w:p>
    <w:p w14:paraId="5B12105D" w14:textId="77777777" w:rsidR="00074138" w:rsidRDefault="00074138" w:rsidP="001629E3">
      <w:pPr>
        <w:spacing w:after="0" w:line="240" w:lineRule="auto"/>
        <w:jc w:val="right"/>
        <w:rPr>
          <w:rFonts w:cs="Arial"/>
          <w:b/>
          <w:bCs/>
          <w:iCs/>
          <w:lang w:val="es-ES"/>
        </w:rPr>
      </w:pPr>
    </w:p>
    <w:p w14:paraId="5F0AB99E" w14:textId="77777777" w:rsidR="00074138" w:rsidRPr="004207FD" w:rsidRDefault="00074138" w:rsidP="00074138">
      <w:pPr>
        <w:spacing w:after="0"/>
        <w:jc w:val="center"/>
        <w:rPr>
          <w:rFonts w:cs="Arial"/>
          <w:b/>
          <w:bCs/>
          <w:lang w:val="es-ES"/>
        </w:rPr>
      </w:pPr>
      <w:r w:rsidRPr="004207FD">
        <w:rPr>
          <w:rFonts w:cs="Arial"/>
          <w:b/>
          <w:bCs/>
          <w:lang w:val="es-ES"/>
        </w:rPr>
        <w:t>RECOPILACIÓN DE RECOMENDACIONES QUE PODRÍAN DIRIGIRSE AL CONSEJO CIENTÍFICO EN LA COP15 Y COP FUTURAS</w:t>
      </w:r>
    </w:p>
    <w:p w14:paraId="397FC993" w14:textId="77777777" w:rsidR="00074138" w:rsidRDefault="00074138" w:rsidP="00074138">
      <w:pPr>
        <w:widowControl w:val="0"/>
        <w:autoSpaceDE w:val="0"/>
        <w:autoSpaceDN w:val="0"/>
        <w:adjustRightInd w:val="0"/>
        <w:spacing w:after="0" w:line="240" w:lineRule="auto"/>
        <w:contextualSpacing/>
        <w:jc w:val="both"/>
        <w:rPr>
          <w:rFonts w:cs="Arial"/>
          <w:lang w:val="es-ES"/>
        </w:rPr>
      </w:pPr>
    </w:p>
    <w:p w14:paraId="6BB89CF9" w14:textId="77777777" w:rsidR="00E3306A" w:rsidRPr="004207FD" w:rsidRDefault="00E3306A" w:rsidP="00074138">
      <w:pPr>
        <w:widowControl w:val="0"/>
        <w:autoSpaceDE w:val="0"/>
        <w:autoSpaceDN w:val="0"/>
        <w:adjustRightInd w:val="0"/>
        <w:spacing w:after="0" w:line="240" w:lineRule="auto"/>
        <w:contextualSpacing/>
        <w:jc w:val="both"/>
        <w:rPr>
          <w:rFonts w:cs="Arial"/>
          <w:lang w:val="es-ES"/>
        </w:rPr>
      </w:pPr>
    </w:p>
    <w:p w14:paraId="7664EACF" w14:textId="77777777" w:rsidR="00074138" w:rsidRPr="004207FD" w:rsidRDefault="00074138" w:rsidP="00074138">
      <w:pPr>
        <w:widowControl w:val="0"/>
        <w:autoSpaceDE w:val="0"/>
        <w:autoSpaceDN w:val="0"/>
        <w:adjustRightInd w:val="0"/>
        <w:spacing w:after="0" w:line="240" w:lineRule="auto"/>
        <w:contextualSpacing/>
        <w:jc w:val="both"/>
        <w:rPr>
          <w:rFonts w:cs="Arial"/>
          <w:lang w:val="es-ES"/>
        </w:rPr>
      </w:pPr>
      <w:r w:rsidRPr="004207FD">
        <w:rPr>
          <w:rFonts w:cs="Arial"/>
          <w:lang w:val="es-ES"/>
        </w:rPr>
        <w:t xml:space="preserve">Con la decisión 14.72 (f) se solicitó al Consejo Científico que, sujeto a la disponibilidad de recursos externos y cuando proceda con el apoyo del Grupo de Trabajo sobre mamíferos acuáticos, revisar la </w:t>
      </w:r>
      <w:r w:rsidRPr="004207FD">
        <w:rPr>
          <w:rFonts w:cs="Arial"/>
          <w:i/>
          <w:iCs/>
          <w:lang w:val="es-ES"/>
        </w:rPr>
        <w:t>recopilación de Recomendaciones que podrían dirigirse al Consejo Científico en la COP14</w:t>
      </w:r>
      <w:r w:rsidRPr="004207FD">
        <w:rPr>
          <w:rFonts w:cs="Arial"/>
          <w:lang w:val="es-ES"/>
        </w:rPr>
        <w:t xml:space="preserve"> </w:t>
      </w:r>
      <w:r w:rsidRPr="004207FD">
        <w:rPr>
          <w:rFonts w:cs="Arial"/>
          <w:i/>
          <w:iCs/>
          <w:lang w:val="es-ES"/>
        </w:rPr>
        <w:t xml:space="preserve">y COP futuras </w:t>
      </w:r>
      <w:r w:rsidRPr="004207FD">
        <w:rPr>
          <w:rFonts w:cs="Arial"/>
          <w:lang w:val="es-ES"/>
        </w:rPr>
        <w:t>(</w:t>
      </w:r>
      <w:hyperlink r:id="rId48" w:history="1">
        <w:r w:rsidRPr="004207FD">
          <w:rPr>
            <w:rStyle w:val="Hyperlink"/>
            <w:rFonts w:cs="Arial"/>
            <w:lang w:val="es-ES"/>
          </w:rPr>
          <w:t>UNEP/CMS/COP14/Inf.27.5.1b</w:t>
        </w:r>
      </w:hyperlink>
      <w:r w:rsidRPr="004207FD">
        <w:rPr>
          <w:rFonts w:cs="Arial"/>
          <w:lang w:val="es-ES"/>
        </w:rPr>
        <w:t xml:space="preserve">), que estuvo basada en la </w:t>
      </w:r>
      <w:r w:rsidRPr="004207FD">
        <w:rPr>
          <w:i/>
          <w:iCs/>
          <w:lang w:val="es-ES"/>
        </w:rPr>
        <w:t xml:space="preserve">Revisión para apoyar un segundo programa de trabajo sobre cetáceos de la CMS (2024-2035) </w:t>
      </w:r>
      <w:r w:rsidRPr="004207FD">
        <w:rPr>
          <w:rFonts w:cs="Arial"/>
          <w:lang w:val="es-ES"/>
        </w:rPr>
        <w:t>(</w:t>
      </w:r>
      <w:hyperlink r:id="rId49" w:history="1">
        <w:r w:rsidRPr="004207FD">
          <w:rPr>
            <w:rStyle w:val="Hyperlink"/>
            <w:lang w:val="es-ES"/>
          </w:rPr>
          <w:t>UNEP/CMS/COP14/Inf.27.5.1a</w:t>
        </w:r>
      </w:hyperlink>
      <w:r w:rsidRPr="004207FD">
        <w:rPr>
          <w:rFonts w:cs="Arial"/>
          <w:lang w:val="es-ES"/>
        </w:rPr>
        <w:t xml:space="preserve">), y hacer recomendaciones a la 15.ª reunión de la Conferencia de las Partes sobre acciones prioritarias para avanzar en el siguiente período entre sesiones. </w:t>
      </w:r>
    </w:p>
    <w:p w14:paraId="1891024F" w14:textId="77777777" w:rsidR="00074138" w:rsidRPr="004207FD" w:rsidRDefault="00074138" w:rsidP="00074138">
      <w:pPr>
        <w:widowControl w:val="0"/>
        <w:autoSpaceDE w:val="0"/>
        <w:autoSpaceDN w:val="0"/>
        <w:adjustRightInd w:val="0"/>
        <w:spacing w:after="0" w:line="240" w:lineRule="auto"/>
        <w:ind w:left="567"/>
        <w:contextualSpacing/>
        <w:jc w:val="both"/>
        <w:rPr>
          <w:rFonts w:cs="Arial"/>
          <w:lang w:val="es-ES"/>
        </w:rPr>
      </w:pPr>
    </w:p>
    <w:p w14:paraId="0E1254F6" w14:textId="77777777" w:rsidR="00074138" w:rsidRPr="004207FD" w:rsidRDefault="00074138" w:rsidP="00074138">
      <w:pPr>
        <w:widowControl w:val="0"/>
        <w:autoSpaceDE w:val="0"/>
        <w:autoSpaceDN w:val="0"/>
        <w:adjustRightInd w:val="0"/>
        <w:spacing w:after="0" w:line="240" w:lineRule="auto"/>
        <w:contextualSpacing/>
        <w:jc w:val="both"/>
        <w:rPr>
          <w:rFonts w:cs="Arial"/>
          <w:lang w:val="es-ES"/>
        </w:rPr>
      </w:pPr>
      <w:r w:rsidRPr="004207FD">
        <w:rPr>
          <w:rFonts w:cs="Arial"/>
          <w:lang w:val="es-ES"/>
        </w:rPr>
        <w:t xml:space="preserve">Para ayudar a este tema, la Secretaría ha editado posibles decisiones dirigidas al Consejo Científico y las ha recopilado en el presente documento. Algunas actividades recomendadas por el Consejo Científico se han incluido en los proyectos de Decisión que figuran en UNEP/CMS/COP15/Doc.25.4.1 </w:t>
      </w:r>
      <w:r w:rsidRPr="004207FD">
        <w:rPr>
          <w:rFonts w:cs="Arial"/>
          <w:i/>
          <w:iCs/>
          <w:lang w:val="es-ES"/>
        </w:rPr>
        <w:t>Prioridades para la conservación de los cetáceos</w:t>
      </w:r>
      <w:r w:rsidRPr="004207FD">
        <w:rPr>
          <w:rFonts w:cs="Arial"/>
          <w:lang w:val="es-ES"/>
        </w:rPr>
        <w:t>, y algunas otras se han incluido en otros documentos relevantes de la COP15. Estas se reflejan también en su totalidad a continuación.</w:t>
      </w:r>
    </w:p>
    <w:p w14:paraId="7052270C" w14:textId="77777777" w:rsidR="00074138" w:rsidRPr="004207FD" w:rsidRDefault="00074138" w:rsidP="00C67F03">
      <w:pPr>
        <w:pStyle w:val="ListParagraph"/>
        <w:spacing w:after="0" w:line="240" w:lineRule="auto"/>
        <w:rPr>
          <w:lang w:val="es-ES"/>
        </w:rPr>
      </w:pPr>
    </w:p>
    <w:tbl>
      <w:tblPr>
        <w:tblStyle w:val="TableGrid"/>
        <w:tblW w:w="10260" w:type="dxa"/>
        <w:tblInd w:w="-455" w:type="dxa"/>
        <w:tblLayout w:type="fixed"/>
        <w:tblLook w:val="04A0" w:firstRow="1" w:lastRow="0" w:firstColumn="1" w:lastColumn="0" w:noHBand="0" w:noVBand="1"/>
      </w:tblPr>
      <w:tblGrid>
        <w:gridCol w:w="1800"/>
        <w:gridCol w:w="4770"/>
        <w:gridCol w:w="3690"/>
      </w:tblGrid>
      <w:tr w:rsidR="00074138" w:rsidRPr="004207FD" w14:paraId="59AD1399" w14:textId="77777777" w:rsidTr="00C67F03">
        <w:tc>
          <w:tcPr>
            <w:tcW w:w="1800" w:type="dxa"/>
          </w:tcPr>
          <w:p w14:paraId="1AB0F4B8"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Tema</w:t>
            </w:r>
          </w:p>
        </w:tc>
        <w:tc>
          <w:tcPr>
            <w:tcW w:w="4770" w:type="dxa"/>
          </w:tcPr>
          <w:p w14:paraId="11A8E5FA" w14:textId="77777777" w:rsidR="00074138" w:rsidRPr="004207FD" w:rsidRDefault="00074138" w:rsidP="00A33B05">
            <w:pPr>
              <w:spacing w:before="40" w:after="40"/>
              <w:jc w:val="both"/>
              <w:rPr>
                <w:rFonts w:ascii="Arial" w:hAnsi="Arial" w:cs="Arial"/>
                <w:b/>
                <w:bCs/>
                <w:sz w:val="20"/>
                <w:szCs w:val="20"/>
                <w:lang w:val="es-ES"/>
              </w:rPr>
            </w:pPr>
            <w:r w:rsidRPr="004207FD">
              <w:rPr>
                <w:rFonts w:ascii="Arial" w:hAnsi="Arial" w:cs="Arial"/>
                <w:b/>
                <w:bCs/>
                <w:sz w:val="20"/>
                <w:szCs w:val="20"/>
                <w:lang w:val="es-ES"/>
              </w:rPr>
              <w:t>Recomendaciones</w:t>
            </w:r>
          </w:p>
        </w:tc>
        <w:tc>
          <w:tcPr>
            <w:tcW w:w="3690" w:type="dxa"/>
          </w:tcPr>
          <w:p w14:paraId="178B64F7"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Comentario(s)</w:t>
            </w:r>
          </w:p>
        </w:tc>
      </w:tr>
      <w:tr w:rsidR="00074138" w:rsidRPr="00074138" w14:paraId="6E742197" w14:textId="77777777" w:rsidTr="00C67F03">
        <w:tc>
          <w:tcPr>
            <w:tcW w:w="1800" w:type="dxa"/>
          </w:tcPr>
          <w:p w14:paraId="7161F258" w14:textId="261ECCBF" w:rsidR="00074138" w:rsidRPr="004207FD" w:rsidRDefault="00074138" w:rsidP="00C67F03">
            <w:pPr>
              <w:spacing w:before="40" w:after="40"/>
              <w:rPr>
                <w:rFonts w:ascii="Arial" w:hAnsi="Arial" w:cs="Arial"/>
                <w:b/>
                <w:bCs/>
                <w:sz w:val="20"/>
                <w:szCs w:val="20"/>
                <w:lang w:val="es-ES"/>
              </w:rPr>
            </w:pPr>
            <w:proofErr w:type="spellStart"/>
            <w:proofErr w:type="gramStart"/>
            <w:r w:rsidRPr="004207FD">
              <w:rPr>
                <w:rFonts w:ascii="Arial" w:hAnsi="Arial" w:cs="Arial"/>
                <w:b/>
                <w:bCs/>
                <w:sz w:val="20"/>
                <w:szCs w:val="20"/>
                <w:lang w:val="es-ES"/>
              </w:rPr>
              <w:t>Enredo,captura</w:t>
            </w:r>
            <w:proofErr w:type="spellEnd"/>
            <w:proofErr w:type="gramEnd"/>
            <w:r w:rsidRPr="004207FD">
              <w:rPr>
                <w:rFonts w:ascii="Arial" w:hAnsi="Arial" w:cs="Arial"/>
                <w:b/>
                <w:bCs/>
                <w:sz w:val="20"/>
                <w:szCs w:val="20"/>
                <w:lang w:val="es-ES"/>
              </w:rPr>
              <w:t xml:space="preserve"> incidental </w:t>
            </w:r>
            <w:proofErr w:type="spellStart"/>
            <w:r w:rsidRPr="004207FD">
              <w:rPr>
                <w:rFonts w:ascii="Arial" w:hAnsi="Arial" w:cs="Arial"/>
                <w:b/>
                <w:bCs/>
                <w:sz w:val="20"/>
                <w:szCs w:val="20"/>
                <w:lang w:val="es-ES"/>
              </w:rPr>
              <w:t>yreducción</w:t>
            </w:r>
            <w:proofErr w:type="spellEnd"/>
            <w:r w:rsidRPr="004207FD">
              <w:rPr>
                <w:rFonts w:ascii="Arial" w:hAnsi="Arial" w:cs="Arial"/>
                <w:b/>
                <w:bCs/>
                <w:sz w:val="20"/>
                <w:szCs w:val="20"/>
                <w:lang w:val="es-ES"/>
              </w:rPr>
              <w:t xml:space="preserve"> de presas</w:t>
            </w:r>
          </w:p>
        </w:tc>
        <w:tc>
          <w:tcPr>
            <w:tcW w:w="4770" w:type="dxa"/>
          </w:tcPr>
          <w:p w14:paraId="559B014B"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Redactar un informe para cuantificar la contribución de la captura incidental y otros tipos de mortalidad relacionada con la pesca de cetáceos incluidos en la CMS a la degradación trófica y a la salud y función de los ecosistemas marinos, y formular recomendaciones a las Partes.</w:t>
            </w:r>
          </w:p>
        </w:tc>
        <w:tc>
          <w:tcPr>
            <w:tcW w:w="3690" w:type="dxa"/>
          </w:tcPr>
          <w:p w14:paraId="368D86AB" w14:textId="77777777" w:rsidR="00074138" w:rsidRPr="004207FD" w:rsidRDefault="00074138" w:rsidP="00A33B05">
            <w:pPr>
              <w:spacing w:before="40" w:after="40"/>
              <w:rPr>
                <w:rFonts w:ascii="Arial" w:hAnsi="Arial" w:cs="Arial"/>
                <w:i/>
                <w:iCs/>
                <w:sz w:val="20"/>
                <w:szCs w:val="20"/>
                <w:lang w:val="es-ES"/>
              </w:rPr>
            </w:pPr>
            <w:r w:rsidRPr="004207FD">
              <w:rPr>
                <w:rFonts w:ascii="Arial" w:hAnsi="Arial" w:cs="Arial"/>
                <w:sz w:val="20"/>
                <w:szCs w:val="20"/>
                <w:lang w:val="es-ES"/>
              </w:rPr>
              <w:t xml:space="preserve">Incluido en los proyectos de Decisión </w:t>
            </w:r>
            <w:hyperlink r:id="rId50" w:history="1">
              <w:r w:rsidRPr="004207FD">
                <w:rPr>
                  <w:rStyle w:val="Hyperlink"/>
                  <w:rFonts w:ascii="Arial" w:hAnsi="Arial" w:cs="Arial"/>
                  <w:sz w:val="20"/>
                  <w:szCs w:val="20"/>
                  <w:lang w:val="es-ES"/>
                </w:rPr>
                <w:t>UNEP/CMS/COP15/Doc.25.1.1</w:t>
              </w:r>
            </w:hyperlink>
            <w:r w:rsidRPr="004207FD">
              <w:rPr>
                <w:rFonts w:ascii="Arial" w:hAnsi="Arial" w:cs="Arial"/>
                <w:sz w:val="20"/>
                <w:szCs w:val="20"/>
                <w:lang w:val="es-ES"/>
              </w:rPr>
              <w:t xml:space="preserve"> </w:t>
            </w:r>
            <w:r w:rsidRPr="004207FD">
              <w:rPr>
                <w:rFonts w:ascii="Arial" w:hAnsi="Arial" w:cs="Arial"/>
                <w:i/>
                <w:iCs/>
                <w:sz w:val="20"/>
                <w:szCs w:val="20"/>
                <w:lang w:val="es-ES"/>
              </w:rPr>
              <w:t>Captura incidental y otros tipos de mortalidad inducida por la pesca.</w:t>
            </w:r>
          </w:p>
        </w:tc>
      </w:tr>
      <w:tr w:rsidR="00074138" w:rsidRPr="0021188B" w14:paraId="4DDEAFEE" w14:textId="77777777" w:rsidTr="00C67F03">
        <w:tc>
          <w:tcPr>
            <w:tcW w:w="1800" w:type="dxa"/>
          </w:tcPr>
          <w:p w14:paraId="78398507"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Caza</w:t>
            </w:r>
          </w:p>
        </w:tc>
        <w:tc>
          <w:tcPr>
            <w:tcW w:w="4770" w:type="dxa"/>
          </w:tcPr>
          <w:p w14:paraId="51B16264"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Con el apoyo del Grupo de trabajo de Carne silvestre acuática, cuantificar la captura de carne de ballenas actuales y animales silvestres acuáticos de todos los cetáceos enumerados en el Apéndice I de la CMS de todas las regiones, y hacer recomendaciones a las Partes.</w:t>
            </w:r>
          </w:p>
        </w:tc>
        <w:tc>
          <w:tcPr>
            <w:tcW w:w="3690" w:type="dxa"/>
          </w:tcPr>
          <w:p w14:paraId="1D18721E" w14:textId="77777777"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 xml:space="preserve">Incluido en la Decisión 14.72 (a) y comunicado en </w:t>
            </w:r>
            <w:hyperlink r:id="rId51" w:history="1">
              <w:r w:rsidRPr="004207FD">
                <w:rPr>
                  <w:rStyle w:val="Hyperlink"/>
                  <w:rFonts w:ascii="Arial" w:hAnsi="Arial" w:cs="Arial"/>
                  <w:sz w:val="20"/>
                  <w:szCs w:val="20"/>
                  <w:lang w:val="es-ES"/>
                </w:rPr>
                <w:t>UNEP/CMS/COP15/Doc.25.4.1</w:t>
              </w:r>
            </w:hyperlink>
            <w:r w:rsidRPr="004207FD">
              <w:rPr>
                <w:rFonts w:ascii="Arial" w:hAnsi="Arial" w:cs="Arial"/>
                <w:sz w:val="20"/>
                <w:szCs w:val="20"/>
                <w:lang w:val="es-ES"/>
              </w:rPr>
              <w:t xml:space="preserve"> </w:t>
            </w:r>
            <w:r w:rsidRPr="004207FD">
              <w:rPr>
                <w:rFonts w:ascii="Arial" w:hAnsi="Arial" w:cs="Arial"/>
                <w:i/>
                <w:iCs/>
                <w:sz w:val="20"/>
                <w:szCs w:val="20"/>
                <w:lang w:val="es-ES"/>
              </w:rPr>
              <w:t>Prioridades de conservación de</w:t>
            </w:r>
            <w:r w:rsidRPr="004207FD">
              <w:rPr>
                <w:rFonts w:ascii="Arial" w:hAnsi="Arial" w:cs="Arial"/>
                <w:sz w:val="20"/>
                <w:szCs w:val="20"/>
                <w:lang w:val="es-ES"/>
              </w:rPr>
              <w:t xml:space="preserve"> </w:t>
            </w:r>
            <w:r w:rsidRPr="004207FD">
              <w:rPr>
                <w:rFonts w:ascii="Arial" w:hAnsi="Arial" w:cs="Arial"/>
                <w:i/>
                <w:iCs/>
                <w:sz w:val="20"/>
                <w:szCs w:val="20"/>
                <w:lang w:val="es-ES"/>
              </w:rPr>
              <w:t xml:space="preserve">cetáceos </w:t>
            </w:r>
            <w:r w:rsidRPr="004207FD">
              <w:rPr>
                <w:rFonts w:ascii="Arial" w:hAnsi="Arial" w:cs="Arial"/>
                <w:sz w:val="20"/>
                <w:szCs w:val="20"/>
                <w:lang w:val="es-ES"/>
              </w:rPr>
              <w:t xml:space="preserve">(finalizado, informe disponible: </w:t>
            </w:r>
            <w:hyperlink r:id="rId52" w:history="1">
              <w:r w:rsidRPr="004207FD">
                <w:rPr>
                  <w:rStyle w:val="Hyperlink"/>
                  <w:rFonts w:ascii="Arial" w:hAnsi="Arial" w:cs="Arial"/>
                  <w:sz w:val="20"/>
                  <w:szCs w:val="20"/>
                  <w:lang w:val="es-ES"/>
                </w:rPr>
                <w:t>UNEP/CMS/COP15/Inf.25.</w:t>
              </w:r>
              <w:proofErr w:type="gramStart"/>
              <w:r w:rsidRPr="004207FD">
                <w:rPr>
                  <w:rStyle w:val="Hyperlink"/>
                  <w:rFonts w:ascii="Arial" w:hAnsi="Arial" w:cs="Arial"/>
                  <w:sz w:val="20"/>
                  <w:szCs w:val="20"/>
                  <w:lang w:val="es-ES"/>
                </w:rPr>
                <w:t>4.1a</w:t>
              </w:r>
              <w:proofErr w:type="gramEnd"/>
            </w:hyperlink>
            <w:r w:rsidRPr="004207FD">
              <w:rPr>
                <w:rFonts w:ascii="Arial" w:hAnsi="Arial" w:cs="Arial"/>
                <w:sz w:val="20"/>
                <w:szCs w:val="20"/>
                <w:lang w:val="es-ES"/>
              </w:rPr>
              <w:t>).</w:t>
            </w:r>
          </w:p>
        </w:tc>
      </w:tr>
      <w:tr w:rsidR="00074138" w:rsidRPr="00074138" w14:paraId="69D5A13F" w14:textId="77777777" w:rsidTr="00C67F03">
        <w:tc>
          <w:tcPr>
            <w:tcW w:w="1800" w:type="dxa"/>
          </w:tcPr>
          <w:p w14:paraId="73101ECA"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Cambio</w:t>
            </w:r>
          </w:p>
          <w:p w14:paraId="4C7A29B6"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climático</w:t>
            </w:r>
          </w:p>
        </w:tc>
        <w:tc>
          <w:tcPr>
            <w:tcW w:w="4770" w:type="dxa"/>
          </w:tcPr>
          <w:p w14:paraId="059F0E8D"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a) Investigar el impacto de la muerte masiva de cetáceos relacionada con la presencia de toxinas de algas, y formular recomendaciones a las Partes;</w:t>
            </w:r>
          </w:p>
          <w:p w14:paraId="4558443E" w14:textId="77777777" w:rsidR="00074138" w:rsidRPr="004207FD" w:rsidRDefault="00074138" w:rsidP="00A33B05">
            <w:pPr>
              <w:spacing w:before="40" w:after="40"/>
              <w:jc w:val="both"/>
              <w:rPr>
                <w:rFonts w:ascii="Arial" w:hAnsi="Arial" w:cs="Arial"/>
                <w:sz w:val="20"/>
                <w:szCs w:val="20"/>
                <w:lang w:val="es-ES"/>
              </w:rPr>
            </w:pPr>
          </w:p>
          <w:p w14:paraId="663ED656"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b) Redactar un informe sobre los posibles impactos que la migración inducida por el clima tendrá en los resultados de bienestar y conservación de las especies de cetáceos afectadas, y formular recomendaciones a las Partes;</w:t>
            </w:r>
          </w:p>
          <w:p w14:paraId="1FDEEBD9" w14:textId="77777777" w:rsidR="00074138" w:rsidRPr="004207FD" w:rsidRDefault="00074138" w:rsidP="00A33B05">
            <w:pPr>
              <w:spacing w:before="40" w:after="40"/>
              <w:jc w:val="both"/>
              <w:rPr>
                <w:rFonts w:ascii="Arial" w:hAnsi="Arial" w:cs="Arial"/>
                <w:sz w:val="20"/>
                <w:szCs w:val="20"/>
                <w:lang w:val="es-ES"/>
              </w:rPr>
            </w:pPr>
          </w:p>
          <w:p w14:paraId="460AA7F1"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c) Redactar un informe sobre «protección climática» de las áreas protegidas dedicadas a mamíferos marinos, y formular recomendaciones a las Partes.</w:t>
            </w:r>
          </w:p>
        </w:tc>
        <w:tc>
          <w:tcPr>
            <w:tcW w:w="3690" w:type="dxa"/>
          </w:tcPr>
          <w:p w14:paraId="21D9A6AA" w14:textId="77777777" w:rsidR="00074138" w:rsidRPr="004207FD" w:rsidRDefault="00074138" w:rsidP="00C67F03">
            <w:pPr>
              <w:spacing w:before="40" w:after="80"/>
              <w:rPr>
                <w:rFonts w:ascii="Arial" w:hAnsi="Arial" w:cs="Arial"/>
                <w:i/>
                <w:iCs/>
                <w:sz w:val="20"/>
                <w:szCs w:val="20"/>
                <w:lang w:val="es-ES"/>
              </w:rPr>
            </w:pPr>
            <w:r w:rsidRPr="004207FD">
              <w:rPr>
                <w:rFonts w:ascii="Arial" w:hAnsi="Arial" w:cs="Arial"/>
                <w:sz w:val="20"/>
                <w:szCs w:val="20"/>
                <w:lang w:val="es-ES"/>
              </w:rPr>
              <w:t xml:space="preserve">a) Incluido en los proyectos de Decisión </w:t>
            </w:r>
            <w:hyperlink r:id="rId53" w:history="1">
              <w:r w:rsidRPr="004207FD">
                <w:rPr>
                  <w:rStyle w:val="Hyperlink"/>
                  <w:rFonts w:ascii="Arial" w:hAnsi="Arial" w:cs="Arial"/>
                  <w:sz w:val="20"/>
                  <w:szCs w:val="20"/>
                  <w:lang w:val="es-ES"/>
                </w:rPr>
                <w:t>UNEP/CMS/COP15/Doc.25.4.1</w:t>
              </w:r>
            </w:hyperlink>
            <w:r w:rsidRPr="004207FD">
              <w:rPr>
                <w:rFonts w:ascii="Arial" w:hAnsi="Arial" w:cs="Arial"/>
                <w:sz w:val="20"/>
                <w:szCs w:val="20"/>
                <w:lang w:val="es-ES"/>
              </w:rPr>
              <w:t xml:space="preserve"> </w:t>
            </w:r>
            <w:r w:rsidRPr="004207FD">
              <w:rPr>
                <w:rFonts w:ascii="Arial" w:hAnsi="Arial" w:cs="Arial"/>
                <w:i/>
                <w:iCs/>
                <w:sz w:val="20"/>
                <w:szCs w:val="20"/>
                <w:lang w:val="es-ES"/>
              </w:rPr>
              <w:t>Prioridades de conservación para los cetáceos;</w:t>
            </w:r>
          </w:p>
          <w:p w14:paraId="40E27528" w14:textId="77777777" w:rsidR="00074138" w:rsidRPr="004207FD" w:rsidRDefault="00074138" w:rsidP="00C67F03">
            <w:pPr>
              <w:spacing w:before="40" w:after="80"/>
              <w:rPr>
                <w:rFonts w:ascii="Arial" w:hAnsi="Arial" w:cs="Arial"/>
                <w:sz w:val="20"/>
                <w:szCs w:val="20"/>
                <w:lang w:val="es-ES"/>
              </w:rPr>
            </w:pPr>
            <w:r w:rsidRPr="004207FD">
              <w:rPr>
                <w:rFonts w:ascii="Arial" w:hAnsi="Arial" w:cs="Arial"/>
                <w:sz w:val="20"/>
                <w:szCs w:val="20"/>
                <w:lang w:val="es-ES"/>
              </w:rPr>
              <w:t xml:space="preserve">b) Incluido en la Decisión 14.72 (b) y comunicado en el </w:t>
            </w:r>
            <w:hyperlink r:id="rId54" w:history="1">
              <w:r w:rsidRPr="004207FD">
                <w:rPr>
                  <w:rStyle w:val="Hyperlink"/>
                  <w:rFonts w:ascii="Arial" w:hAnsi="Arial" w:cs="Arial"/>
                  <w:sz w:val="20"/>
                  <w:szCs w:val="20"/>
                  <w:lang w:val="es-ES"/>
                </w:rPr>
                <w:t xml:space="preserve">UNEP/CMS/COP15/Doc.25.4.1 </w:t>
              </w:r>
            </w:hyperlink>
            <w:r w:rsidRPr="004207FD">
              <w:rPr>
                <w:rFonts w:ascii="Arial" w:hAnsi="Arial" w:cs="Arial"/>
                <w:i/>
                <w:iCs/>
                <w:sz w:val="20"/>
                <w:szCs w:val="20"/>
                <w:lang w:val="es-ES"/>
              </w:rPr>
              <w:t xml:space="preserve">Prioridades de conservación para los cetáceos </w:t>
            </w:r>
            <w:r w:rsidRPr="004207FD">
              <w:rPr>
                <w:rFonts w:ascii="Arial" w:hAnsi="Arial" w:cs="Arial"/>
                <w:sz w:val="20"/>
                <w:szCs w:val="20"/>
                <w:lang w:val="es-ES"/>
              </w:rPr>
              <w:t xml:space="preserve">(finalizado, informe disponible: </w:t>
            </w:r>
            <w:hyperlink r:id="rId55" w:history="1">
              <w:r w:rsidRPr="004207FD">
                <w:rPr>
                  <w:rStyle w:val="Hyperlink"/>
                  <w:rFonts w:ascii="Arial" w:hAnsi="Arial" w:cs="Arial"/>
                  <w:sz w:val="20"/>
                  <w:szCs w:val="20"/>
                  <w:lang w:val="es-ES"/>
                </w:rPr>
                <w:t>UNEP/CMS/COP15/Inf.25.4.1b</w:t>
              </w:r>
            </w:hyperlink>
            <w:r w:rsidRPr="004207FD">
              <w:rPr>
                <w:rFonts w:ascii="Arial" w:hAnsi="Arial" w:cs="Arial"/>
                <w:sz w:val="20"/>
                <w:szCs w:val="20"/>
                <w:lang w:val="es-ES"/>
              </w:rPr>
              <w:t>);</w:t>
            </w:r>
          </w:p>
          <w:p w14:paraId="2BA8125F" w14:textId="77777777" w:rsidR="00074138" w:rsidRPr="004207FD" w:rsidRDefault="00074138" w:rsidP="00A33B05">
            <w:pPr>
              <w:spacing w:before="40" w:after="40"/>
              <w:rPr>
                <w:rFonts w:ascii="Arial" w:hAnsi="Arial" w:cs="Arial"/>
                <w:i/>
                <w:iCs/>
                <w:sz w:val="20"/>
                <w:szCs w:val="20"/>
                <w:lang w:val="es-ES"/>
              </w:rPr>
            </w:pPr>
            <w:r w:rsidRPr="004207FD">
              <w:rPr>
                <w:rFonts w:ascii="Arial" w:hAnsi="Arial" w:cs="Arial"/>
                <w:sz w:val="20"/>
                <w:szCs w:val="20"/>
                <w:lang w:val="es-ES"/>
              </w:rPr>
              <w:t xml:space="preserve">c) Incluido en los proyectos de Decisión en </w:t>
            </w:r>
            <w:hyperlink r:id="rId56" w:history="1">
              <w:r w:rsidRPr="004207FD">
                <w:rPr>
                  <w:rStyle w:val="Hyperlink"/>
                  <w:rFonts w:ascii="Arial" w:hAnsi="Arial" w:cs="Arial"/>
                  <w:sz w:val="20"/>
                  <w:szCs w:val="20"/>
                  <w:lang w:val="es-ES"/>
                </w:rPr>
                <w:t>UNEP/CMS/COP15/Doc.25.3.1</w:t>
              </w:r>
            </w:hyperlink>
            <w:r w:rsidRPr="004207FD">
              <w:rPr>
                <w:rFonts w:ascii="Arial" w:hAnsi="Arial" w:cs="Arial"/>
                <w:sz w:val="20"/>
                <w:szCs w:val="20"/>
                <w:lang w:val="es-ES"/>
              </w:rPr>
              <w:t xml:space="preserve"> </w:t>
            </w:r>
            <w:r w:rsidRPr="004207FD">
              <w:rPr>
                <w:rFonts w:ascii="Arial" w:hAnsi="Arial" w:cs="Arial"/>
                <w:i/>
                <w:iCs/>
                <w:sz w:val="20"/>
                <w:szCs w:val="20"/>
                <w:lang w:val="es-ES"/>
              </w:rPr>
              <w:t>Prioridades para la</w:t>
            </w:r>
            <w:r w:rsidRPr="004207FD">
              <w:rPr>
                <w:rFonts w:ascii="Arial" w:hAnsi="Arial" w:cs="Arial"/>
                <w:sz w:val="20"/>
                <w:szCs w:val="20"/>
                <w:lang w:val="es-ES"/>
              </w:rPr>
              <w:t xml:space="preserve"> </w:t>
            </w:r>
            <w:r w:rsidRPr="004207FD">
              <w:rPr>
                <w:rFonts w:ascii="Arial" w:hAnsi="Arial" w:cs="Arial"/>
                <w:i/>
                <w:iCs/>
                <w:sz w:val="20"/>
                <w:szCs w:val="20"/>
                <w:lang w:val="es-ES"/>
              </w:rPr>
              <w:t>Conservación de especies marinas migratorias por áreas.</w:t>
            </w:r>
          </w:p>
        </w:tc>
      </w:tr>
      <w:tr w:rsidR="00074138" w:rsidRPr="00074138" w14:paraId="75DAA333" w14:textId="77777777" w:rsidTr="00C67F03">
        <w:tc>
          <w:tcPr>
            <w:tcW w:w="1800" w:type="dxa"/>
          </w:tcPr>
          <w:p w14:paraId="4397ECD1"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lastRenderedPageBreak/>
              <w:t>Desechos marinos</w:t>
            </w:r>
          </w:p>
        </w:tc>
        <w:tc>
          <w:tcPr>
            <w:tcW w:w="4770" w:type="dxa"/>
          </w:tcPr>
          <w:p w14:paraId="3664DC3A"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Basándose en el trabajo realizado por ACCOBAMS, ASCOBANS y la Comisión Ballenera Internacional (CBI), redactar un informe sobre</w:t>
            </w:r>
          </w:p>
          <w:p w14:paraId="56616FCA"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incidencias e impacto fisiológico de los desechos marinos en los cetáceos enumerados en la CMS, y formular recomendaciones a las Partes.</w:t>
            </w:r>
          </w:p>
        </w:tc>
        <w:tc>
          <w:tcPr>
            <w:tcW w:w="3690" w:type="dxa"/>
          </w:tcPr>
          <w:p w14:paraId="730A8699" w14:textId="77777777"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Incluido en las Decisiones 14.42 (</w:t>
            </w:r>
            <w:proofErr w:type="spellStart"/>
            <w:r w:rsidRPr="004207FD">
              <w:rPr>
                <w:rFonts w:ascii="Arial" w:hAnsi="Arial" w:cs="Arial"/>
                <w:sz w:val="20"/>
                <w:szCs w:val="20"/>
                <w:lang w:val="es-ES"/>
              </w:rPr>
              <w:t>a+b</w:t>
            </w:r>
            <w:proofErr w:type="spellEnd"/>
            <w:r w:rsidRPr="004207FD">
              <w:rPr>
                <w:rFonts w:ascii="Arial" w:hAnsi="Arial" w:cs="Arial"/>
                <w:sz w:val="20"/>
                <w:szCs w:val="20"/>
                <w:lang w:val="es-ES"/>
              </w:rPr>
              <w:t>) y 14.225 (</w:t>
            </w:r>
            <w:proofErr w:type="spellStart"/>
            <w:r w:rsidRPr="004207FD">
              <w:rPr>
                <w:rFonts w:ascii="Arial" w:hAnsi="Arial" w:cs="Arial"/>
                <w:sz w:val="20"/>
                <w:szCs w:val="20"/>
                <w:lang w:val="es-ES"/>
              </w:rPr>
              <w:t>a+b</w:t>
            </w:r>
            <w:proofErr w:type="spellEnd"/>
            <w:r w:rsidRPr="004207FD">
              <w:rPr>
                <w:rFonts w:ascii="Arial" w:hAnsi="Arial" w:cs="Arial"/>
                <w:sz w:val="20"/>
                <w:szCs w:val="20"/>
                <w:lang w:val="es-ES"/>
              </w:rPr>
              <w:t xml:space="preserve">) y comunicado en </w:t>
            </w:r>
            <w:hyperlink r:id="rId57" w:history="1">
              <w:r w:rsidRPr="004207FD">
                <w:rPr>
                  <w:rStyle w:val="Hyperlink"/>
                  <w:rFonts w:ascii="Arial" w:hAnsi="Arial" w:cs="Arial"/>
                  <w:sz w:val="20"/>
                  <w:szCs w:val="20"/>
                  <w:lang w:val="es-ES"/>
                </w:rPr>
                <w:t xml:space="preserve">UNEP/CMS/COP15/Doc.25.2.1 </w:t>
              </w:r>
            </w:hyperlink>
            <w:r w:rsidRPr="004207FD">
              <w:rPr>
                <w:rFonts w:ascii="Arial" w:hAnsi="Arial" w:cs="Arial"/>
                <w:i/>
                <w:iCs/>
                <w:sz w:val="20"/>
                <w:szCs w:val="20"/>
                <w:lang w:val="es-ES"/>
              </w:rPr>
              <w:t xml:space="preserve">Contaminación marina, </w:t>
            </w:r>
            <w:r w:rsidRPr="004207FD">
              <w:rPr>
                <w:rFonts w:ascii="Arial" w:hAnsi="Arial" w:cs="Arial"/>
                <w:sz w:val="20"/>
                <w:szCs w:val="20"/>
                <w:lang w:val="es-ES"/>
              </w:rPr>
              <w:t>incluidos nuevos proyectos de Decisión propuestos.</w:t>
            </w:r>
          </w:p>
        </w:tc>
      </w:tr>
      <w:tr w:rsidR="00074138" w:rsidRPr="00074138" w14:paraId="623E1A89" w14:textId="77777777" w:rsidTr="00C67F03">
        <w:tc>
          <w:tcPr>
            <w:tcW w:w="1800" w:type="dxa"/>
          </w:tcPr>
          <w:p w14:paraId="5FB3D309"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Contaminación</w:t>
            </w:r>
          </w:p>
          <w:p w14:paraId="10B3F5AF"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química</w:t>
            </w:r>
          </w:p>
        </w:tc>
        <w:tc>
          <w:tcPr>
            <w:tcW w:w="4770" w:type="dxa"/>
          </w:tcPr>
          <w:p w14:paraId="62E50640"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a) Redactar un informe sobre el impacto de la contaminación química en los cetáceos enumerados en la CMS, y formular recomendaciones a las Partes;</w:t>
            </w:r>
          </w:p>
          <w:p w14:paraId="18A03B5A" w14:textId="77777777" w:rsidR="00074138" w:rsidRPr="004207FD" w:rsidRDefault="00074138" w:rsidP="00A33B05">
            <w:pPr>
              <w:spacing w:before="40" w:after="40"/>
              <w:jc w:val="both"/>
              <w:rPr>
                <w:rFonts w:ascii="Arial" w:hAnsi="Arial" w:cs="Arial"/>
                <w:sz w:val="20"/>
                <w:szCs w:val="20"/>
                <w:lang w:val="es-ES"/>
              </w:rPr>
            </w:pPr>
          </w:p>
          <w:p w14:paraId="56119E92"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b) Redactar un informe sobre el impacto de la contaminación química en los cetáceos sobre la salud humana, y formular recomendaciones a las Partes.</w:t>
            </w:r>
          </w:p>
        </w:tc>
        <w:tc>
          <w:tcPr>
            <w:tcW w:w="3690" w:type="dxa"/>
          </w:tcPr>
          <w:p w14:paraId="7CFD2DB0" w14:textId="77777777"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 xml:space="preserve">a) Incluido en la Decisión 14.42 y comunicado en </w:t>
            </w:r>
            <w:hyperlink r:id="rId58" w:history="1">
              <w:r w:rsidRPr="004207FD">
                <w:rPr>
                  <w:rStyle w:val="Hyperlink"/>
                  <w:rFonts w:ascii="Arial" w:hAnsi="Arial" w:cs="Arial"/>
                  <w:sz w:val="20"/>
                  <w:szCs w:val="20"/>
                  <w:lang w:val="es-ES"/>
                </w:rPr>
                <w:t>UNEP/CMS/COP15/Doc.25.2.1</w:t>
              </w:r>
            </w:hyperlink>
            <w:r w:rsidRPr="004207FD">
              <w:rPr>
                <w:rFonts w:ascii="Arial" w:hAnsi="Arial" w:cs="Arial"/>
                <w:sz w:val="20"/>
                <w:szCs w:val="20"/>
                <w:lang w:val="es-ES"/>
              </w:rPr>
              <w:t xml:space="preserve"> </w:t>
            </w:r>
            <w:r w:rsidRPr="004207FD">
              <w:rPr>
                <w:rFonts w:ascii="Arial" w:hAnsi="Arial" w:cs="Arial"/>
                <w:i/>
                <w:iCs/>
                <w:sz w:val="20"/>
                <w:szCs w:val="20"/>
                <w:lang w:val="es-ES"/>
              </w:rPr>
              <w:t xml:space="preserve">Contaminación marina, </w:t>
            </w:r>
            <w:r w:rsidRPr="004207FD">
              <w:rPr>
                <w:rFonts w:ascii="Arial" w:hAnsi="Arial" w:cs="Arial"/>
                <w:sz w:val="20"/>
                <w:szCs w:val="20"/>
                <w:lang w:val="es-ES"/>
              </w:rPr>
              <w:t xml:space="preserve">incluidos nuevos proyectos de Decisión propuestos. </w:t>
            </w:r>
          </w:p>
          <w:p w14:paraId="17CEB34C" w14:textId="77777777" w:rsidR="00074138" w:rsidRPr="004207FD" w:rsidRDefault="00074138" w:rsidP="00A33B05">
            <w:pPr>
              <w:spacing w:before="40" w:after="40"/>
              <w:rPr>
                <w:rFonts w:ascii="Arial" w:hAnsi="Arial" w:cs="Arial"/>
                <w:i/>
                <w:iCs/>
                <w:sz w:val="20"/>
                <w:szCs w:val="20"/>
                <w:lang w:val="es-ES"/>
              </w:rPr>
            </w:pPr>
          </w:p>
          <w:p w14:paraId="6FC135E9" w14:textId="77777777"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b) Aún no hay ningún mandato, se podría tener en cuenta para una futura COP.</w:t>
            </w:r>
          </w:p>
        </w:tc>
      </w:tr>
      <w:tr w:rsidR="00074138" w:rsidRPr="00074138" w14:paraId="1D38139F" w14:textId="77777777" w:rsidTr="00C67F03">
        <w:tc>
          <w:tcPr>
            <w:tcW w:w="1800" w:type="dxa"/>
          </w:tcPr>
          <w:p w14:paraId="038CF362"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Ruido</w:t>
            </w:r>
          </w:p>
        </w:tc>
        <w:tc>
          <w:tcPr>
            <w:tcW w:w="4770" w:type="dxa"/>
          </w:tcPr>
          <w:p w14:paraId="5161A282"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Con el apoyo del Grupo de Trabajo Conjunto sobre Ruido de la CMS, ACCOBAMS y ASCOBANS, llevar a cabo una revisión de las fuentes de ruido fuerte en el medio marino, incluir sugerencias para su mitigación, y formular recomendaciones a las Partes.</w:t>
            </w:r>
          </w:p>
        </w:tc>
        <w:tc>
          <w:tcPr>
            <w:tcW w:w="3690" w:type="dxa"/>
          </w:tcPr>
          <w:p w14:paraId="29A44000" w14:textId="77777777" w:rsidR="00074138" w:rsidRPr="004207FD" w:rsidRDefault="00074138" w:rsidP="00A33B05">
            <w:pPr>
              <w:spacing w:before="40" w:after="40"/>
              <w:rPr>
                <w:rFonts w:ascii="Arial" w:hAnsi="Arial" w:cs="Arial"/>
                <w:i/>
                <w:iCs/>
                <w:sz w:val="20"/>
                <w:szCs w:val="20"/>
                <w:lang w:val="es-ES"/>
              </w:rPr>
            </w:pPr>
            <w:r w:rsidRPr="004207FD">
              <w:rPr>
                <w:rFonts w:ascii="Arial" w:hAnsi="Arial" w:cs="Arial"/>
                <w:sz w:val="20"/>
                <w:szCs w:val="20"/>
                <w:lang w:val="es-ES"/>
              </w:rPr>
              <w:t xml:space="preserve">Incluido en los proyectos de Decisión en </w:t>
            </w:r>
            <w:hyperlink r:id="rId59" w:history="1">
              <w:r w:rsidRPr="004207FD">
                <w:rPr>
                  <w:rStyle w:val="Hyperlink"/>
                  <w:rFonts w:ascii="Arial" w:hAnsi="Arial" w:cs="Arial"/>
                  <w:sz w:val="20"/>
                  <w:szCs w:val="20"/>
                  <w:lang w:val="es-ES"/>
                </w:rPr>
                <w:t xml:space="preserve">UNEP/CMS/COP15/Doc.25.2.2 </w:t>
              </w:r>
            </w:hyperlink>
            <w:r w:rsidRPr="004207FD">
              <w:rPr>
                <w:rFonts w:ascii="Arial" w:hAnsi="Arial" w:cs="Arial"/>
                <w:i/>
                <w:iCs/>
                <w:sz w:val="20"/>
                <w:szCs w:val="20"/>
                <w:lang w:val="es-ES"/>
              </w:rPr>
              <w:t>Ruido submarino.</w:t>
            </w:r>
          </w:p>
        </w:tc>
      </w:tr>
      <w:tr w:rsidR="00074138" w:rsidRPr="00074138" w14:paraId="628B5B50" w14:textId="77777777" w:rsidTr="00C67F03">
        <w:tc>
          <w:tcPr>
            <w:tcW w:w="1800" w:type="dxa"/>
          </w:tcPr>
          <w:p w14:paraId="0B558984"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Colisiones con embarcaciones</w:t>
            </w:r>
          </w:p>
        </w:tc>
        <w:tc>
          <w:tcPr>
            <w:tcW w:w="4770" w:type="dxa"/>
          </w:tcPr>
          <w:p w14:paraId="6B893CC1"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Identificar áreas de alto riesgo de colisión con embarcaciones para todos los cetáceos enumerados en la CMS, incluido el cartografiado de las rutas de navegación con áreas importantes para los mamíferos marinos (AIMM), redactar un informe sobre medidas de desvío apropiadas, incluida la evitación de áreas y/o el establecimiento de restricciones de velocidad de las embarcaciones en hábitats clave para los cetáceos, y formular recomendaciones a las Partes.</w:t>
            </w:r>
          </w:p>
        </w:tc>
        <w:tc>
          <w:tcPr>
            <w:tcW w:w="3690" w:type="dxa"/>
          </w:tcPr>
          <w:p w14:paraId="0AECB3F9" w14:textId="77777777" w:rsidR="00074138" w:rsidRPr="004207FD" w:rsidRDefault="00074138" w:rsidP="00A33B05">
            <w:pPr>
              <w:spacing w:before="40" w:after="40"/>
              <w:rPr>
                <w:rFonts w:ascii="Arial" w:hAnsi="Arial" w:cs="Arial"/>
                <w:i/>
                <w:iCs/>
                <w:sz w:val="20"/>
                <w:szCs w:val="20"/>
                <w:lang w:val="es-ES"/>
              </w:rPr>
            </w:pPr>
            <w:r w:rsidRPr="004207FD">
              <w:rPr>
                <w:rFonts w:ascii="Arial" w:hAnsi="Arial" w:cs="Arial"/>
                <w:sz w:val="20"/>
                <w:szCs w:val="20"/>
                <w:lang w:val="es-ES"/>
              </w:rPr>
              <w:t>Incluido parcialmente por la Decisión 14.49</w:t>
            </w:r>
            <w:r w:rsidRPr="004207FD">
              <w:rPr>
                <w:rStyle w:val="CommentReference"/>
                <w:rFonts w:ascii="Arial" w:hAnsi="Arial" w:cs="Arial"/>
                <w:sz w:val="20"/>
                <w:szCs w:val="20"/>
                <w:lang w:val="es-ES"/>
              </w:rPr>
              <w:t xml:space="preserve"> </w:t>
            </w:r>
            <w:r w:rsidRPr="004207FD">
              <w:rPr>
                <w:rFonts w:ascii="Arial" w:hAnsi="Arial" w:cs="Arial"/>
                <w:sz w:val="20"/>
                <w:szCs w:val="20"/>
                <w:lang w:val="es-ES"/>
              </w:rPr>
              <w:t xml:space="preserve">y comunicado en </w:t>
            </w:r>
            <w:hyperlink r:id="rId60" w:history="1">
              <w:r w:rsidRPr="004207FD">
                <w:rPr>
                  <w:rStyle w:val="Hyperlink"/>
                  <w:rFonts w:ascii="Arial" w:hAnsi="Arial" w:cs="Arial"/>
                  <w:sz w:val="20"/>
                  <w:szCs w:val="20"/>
                  <w:lang w:val="es-ES"/>
                </w:rPr>
                <w:t>UNEP/CMS/COP15/Doc.25.3.1</w:t>
              </w:r>
            </w:hyperlink>
            <w:r w:rsidRPr="004207FD">
              <w:rPr>
                <w:rFonts w:ascii="Arial" w:hAnsi="Arial" w:cs="Arial"/>
                <w:sz w:val="20"/>
                <w:szCs w:val="20"/>
                <w:lang w:val="es-ES"/>
              </w:rPr>
              <w:t xml:space="preserve"> </w:t>
            </w:r>
            <w:r w:rsidRPr="004207FD">
              <w:rPr>
                <w:rFonts w:ascii="Arial" w:hAnsi="Arial" w:cs="Arial"/>
                <w:i/>
                <w:iCs/>
                <w:sz w:val="20"/>
                <w:szCs w:val="20"/>
                <w:lang w:val="es-ES"/>
              </w:rPr>
              <w:t>Prioridades para la</w:t>
            </w:r>
            <w:r w:rsidRPr="004207FD">
              <w:rPr>
                <w:rFonts w:ascii="Arial" w:hAnsi="Arial" w:cs="Arial"/>
                <w:sz w:val="20"/>
                <w:szCs w:val="20"/>
                <w:lang w:val="es-ES"/>
              </w:rPr>
              <w:t xml:space="preserve"> </w:t>
            </w:r>
            <w:r w:rsidRPr="004207FD">
              <w:rPr>
                <w:rFonts w:ascii="Arial" w:hAnsi="Arial" w:cs="Arial"/>
                <w:i/>
                <w:iCs/>
                <w:sz w:val="20"/>
                <w:szCs w:val="20"/>
                <w:lang w:val="es-ES"/>
              </w:rPr>
              <w:t>conservación de especies migratorias marinas por áreas.</w:t>
            </w:r>
          </w:p>
          <w:p w14:paraId="35C114AD" w14:textId="77777777" w:rsidR="00074138" w:rsidRPr="004207FD" w:rsidRDefault="00074138" w:rsidP="00A33B05">
            <w:pPr>
              <w:spacing w:before="40" w:after="40"/>
              <w:rPr>
                <w:rFonts w:ascii="Arial" w:hAnsi="Arial" w:cs="Arial"/>
                <w:i/>
                <w:iCs/>
                <w:sz w:val="20"/>
                <w:szCs w:val="20"/>
                <w:lang w:val="es-ES"/>
              </w:rPr>
            </w:pPr>
          </w:p>
          <w:p w14:paraId="4B42F3AF" w14:textId="77777777"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 xml:space="preserve">Incluido también en los proyectos de Decisión </w:t>
            </w:r>
            <w:hyperlink r:id="rId61" w:history="1">
              <w:r w:rsidRPr="004207FD">
                <w:rPr>
                  <w:rStyle w:val="Hyperlink"/>
                  <w:rFonts w:ascii="Arial" w:hAnsi="Arial" w:cs="Arial"/>
                  <w:sz w:val="20"/>
                  <w:szCs w:val="20"/>
                  <w:lang w:val="es-ES"/>
                </w:rPr>
                <w:t>UNEP/CMS/COP15/Doc.25.3.1</w:t>
              </w:r>
            </w:hyperlink>
            <w:r w:rsidRPr="004207FD">
              <w:rPr>
                <w:rFonts w:ascii="Arial" w:hAnsi="Arial" w:cs="Arial"/>
                <w:sz w:val="20"/>
                <w:szCs w:val="20"/>
                <w:lang w:val="es-ES"/>
              </w:rPr>
              <w:t xml:space="preserve"> </w:t>
            </w:r>
            <w:r w:rsidRPr="004207FD">
              <w:rPr>
                <w:rFonts w:ascii="Arial" w:hAnsi="Arial" w:cs="Arial"/>
                <w:i/>
                <w:iCs/>
                <w:sz w:val="20"/>
                <w:szCs w:val="20"/>
                <w:lang w:val="es-ES"/>
              </w:rPr>
              <w:t>Prioridades para la</w:t>
            </w:r>
            <w:r w:rsidRPr="004207FD">
              <w:rPr>
                <w:rFonts w:ascii="Arial" w:hAnsi="Arial" w:cs="Arial"/>
                <w:sz w:val="20"/>
                <w:szCs w:val="20"/>
                <w:lang w:val="es-ES"/>
              </w:rPr>
              <w:t xml:space="preserve"> </w:t>
            </w:r>
            <w:r w:rsidRPr="004207FD">
              <w:rPr>
                <w:rFonts w:ascii="Arial" w:hAnsi="Arial" w:cs="Arial"/>
                <w:i/>
                <w:iCs/>
                <w:sz w:val="20"/>
                <w:szCs w:val="20"/>
                <w:lang w:val="es-ES"/>
              </w:rPr>
              <w:t>conservación de especies migratorias marinas por áreas.</w:t>
            </w:r>
          </w:p>
        </w:tc>
      </w:tr>
      <w:tr w:rsidR="00074138" w:rsidRPr="00074138" w14:paraId="6743DDAA" w14:textId="77777777" w:rsidTr="00C67F03">
        <w:tc>
          <w:tcPr>
            <w:tcW w:w="1800" w:type="dxa"/>
          </w:tcPr>
          <w:p w14:paraId="173AE4A1"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Capturas de ejemplares vivos</w:t>
            </w:r>
          </w:p>
        </w:tc>
        <w:tc>
          <w:tcPr>
            <w:tcW w:w="4770" w:type="dxa"/>
          </w:tcPr>
          <w:p w14:paraId="4961C2CA"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Redactar un informe que cuantifique el alcance de las operaciones de captura de ejemplares vivos de especies de cetáceos incluidas en la CMS, abordando tanto el bienestar como la conservación de los individuos, poblaciones y especies objetivo, y formular recomendaciones a las Partes.</w:t>
            </w:r>
          </w:p>
        </w:tc>
        <w:tc>
          <w:tcPr>
            <w:tcW w:w="3690" w:type="dxa"/>
          </w:tcPr>
          <w:p w14:paraId="467A921B" w14:textId="77777777"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Aún no hay ningún mandato, se podría tener en cuenta para una futura COP.</w:t>
            </w:r>
          </w:p>
        </w:tc>
      </w:tr>
      <w:tr w:rsidR="00074138" w:rsidRPr="00074138" w14:paraId="45971C58" w14:textId="77777777" w:rsidTr="00C67F03">
        <w:tc>
          <w:tcPr>
            <w:tcW w:w="1800" w:type="dxa"/>
          </w:tcPr>
          <w:p w14:paraId="319BA404"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Perturbación</w:t>
            </w:r>
          </w:p>
          <w:p w14:paraId="3AEFFE74"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y</w:t>
            </w:r>
          </w:p>
          <w:p w14:paraId="2401692E"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acoso</w:t>
            </w:r>
          </w:p>
        </w:tc>
        <w:tc>
          <w:tcPr>
            <w:tcW w:w="4770" w:type="dxa"/>
          </w:tcPr>
          <w:p w14:paraId="652CD6A9"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a) Redactar un informe para valorar los efectos a largo plazo y la importancia biológica de las perturbaciones provocadas por interacciones de embarcaciones y en el agua para todos los cetáceos enumerados en la CMS, y formular recomendaciones a las Partes;</w:t>
            </w:r>
          </w:p>
          <w:p w14:paraId="04340024" w14:textId="77777777" w:rsidR="00074138" w:rsidRPr="004207FD" w:rsidRDefault="00074138" w:rsidP="00A33B05">
            <w:pPr>
              <w:spacing w:before="40" w:after="40"/>
              <w:jc w:val="both"/>
              <w:rPr>
                <w:rFonts w:ascii="Arial" w:hAnsi="Arial" w:cs="Arial"/>
                <w:sz w:val="20"/>
                <w:szCs w:val="20"/>
                <w:lang w:val="es-ES"/>
              </w:rPr>
            </w:pPr>
          </w:p>
          <w:p w14:paraId="59F62A63"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b) Recomendar en qué áreas las actividades deberían limitarse estrictamente a actividades de embarcaciones a mayor distancia para las poblaciones particularmente vulnerables, y formular recomendaciones a las Partes.</w:t>
            </w:r>
          </w:p>
        </w:tc>
        <w:tc>
          <w:tcPr>
            <w:tcW w:w="3690" w:type="dxa"/>
          </w:tcPr>
          <w:p w14:paraId="53C4F27A" w14:textId="77777777" w:rsidR="00074138" w:rsidRPr="004207FD" w:rsidRDefault="00074138" w:rsidP="00A33B05">
            <w:pPr>
              <w:spacing w:before="40" w:after="40"/>
              <w:rPr>
                <w:rFonts w:ascii="Arial" w:hAnsi="Arial" w:cs="Arial"/>
                <w:i/>
                <w:iCs/>
                <w:sz w:val="20"/>
                <w:szCs w:val="20"/>
                <w:lang w:val="es-ES"/>
              </w:rPr>
            </w:pPr>
            <w:r w:rsidRPr="004207FD">
              <w:rPr>
                <w:rFonts w:ascii="Arial" w:hAnsi="Arial" w:cs="Arial"/>
                <w:sz w:val="20"/>
                <w:szCs w:val="20"/>
                <w:lang w:val="es-ES"/>
              </w:rPr>
              <w:t>Incluido en la Decisión 14.55 (</w:t>
            </w:r>
            <w:proofErr w:type="spellStart"/>
            <w:r w:rsidRPr="004207FD">
              <w:rPr>
                <w:rFonts w:ascii="Arial" w:hAnsi="Arial" w:cs="Arial"/>
                <w:sz w:val="20"/>
                <w:szCs w:val="20"/>
                <w:lang w:val="es-ES"/>
              </w:rPr>
              <w:t>a+b</w:t>
            </w:r>
            <w:proofErr w:type="spellEnd"/>
            <w:r w:rsidRPr="004207FD">
              <w:rPr>
                <w:rFonts w:ascii="Arial" w:hAnsi="Arial" w:cs="Arial"/>
                <w:sz w:val="20"/>
                <w:szCs w:val="20"/>
                <w:lang w:val="es-ES"/>
              </w:rPr>
              <w:t xml:space="preserve">), que se ha propuesto para la renovación para la COP15 en </w:t>
            </w:r>
            <w:hyperlink r:id="rId62" w:history="1">
              <w:r w:rsidRPr="004207FD">
                <w:rPr>
                  <w:rStyle w:val="Hyperlink"/>
                  <w:rFonts w:ascii="Arial" w:hAnsi="Arial" w:cs="Arial"/>
                  <w:sz w:val="20"/>
                  <w:szCs w:val="20"/>
                  <w:lang w:val="es-ES"/>
                </w:rPr>
                <w:t>UNEP/CMS/COP15/Doc.24</w:t>
              </w:r>
            </w:hyperlink>
            <w:r w:rsidRPr="004207FD">
              <w:rPr>
                <w:rFonts w:ascii="Arial" w:hAnsi="Arial" w:cs="Arial"/>
                <w:sz w:val="20"/>
                <w:szCs w:val="20"/>
                <w:lang w:val="es-ES"/>
              </w:rPr>
              <w:t xml:space="preserve"> </w:t>
            </w:r>
            <w:r w:rsidRPr="004207FD">
              <w:rPr>
                <w:rFonts w:ascii="Arial" w:hAnsi="Arial" w:cs="Arial"/>
                <w:i/>
                <w:iCs/>
                <w:sz w:val="20"/>
                <w:szCs w:val="20"/>
                <w:lang w:val="es-ES"/>
              </w:rPr>
              <w:t xml:space="preserve">Revisión de Decisiones. </w:t>
            </w:r>
          </w:p>
        </w:tc>
      </w:tr>
    </w:tbl>
    <w:p w14:paraId="512736A2" w14:textId="77777777" w:rsidR="00074138" w:rsidRPr="004207FD" w:rsidRDefault="00074138" w:rsidP="00074138">
      <w:pPr>
        <w:rPr>
          <w:lang w:val="es-ES"/>
        </w:rPr>
      </w:pPr>
    </w:p>
    <w:tbl>
      <w:tblPr>
        <w:tblStyle w:val="TableGrid"/>
        <w:tblW w:w="9351" w:type="dxa"/>
        <w:tblLayout w:type="fixed"/>
        <w:tblLook w:val="04A0" w:firstRow="1" w:lastRow="0" w:firstColumn="1" w:lastColumn="0" w:noHBand="0" w:noVBand="1"/>
      </w:tblPr>
      <w:tblGrid>
        <w:gridCol w:w="1749"/>
        <w:gridCol w:w="4483"/>
        <w:gridCol w:w="3119"/>
      </w:tblGrid>
      <w:tr w:rsidR="00074138" w:rsidRPr="00074138" w14:paraId="423CCE89" w14:textId="77777777" w:rsidTr="00A33B05">
        <w:tc>
          <w:tcPr>
            <w:tcW w:w="1749" w:type="dxa"/>
          </w:tcPr>
          <w:p w14:paraId="6867B672"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lastRenderedPageBreak/>
              <w:t xml:space="preserve">Enfermedades </w:t>
            </w:r>
          </w:p>
        </w:tc>
        <w:tc>
          <w:tcPr>
            <w:tcW w:w="4483" w:type="dxa"/>
          </w:tcPr>
          <w:p w14:paraId="6DCF2C32"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Para contribuir a analizar las causas de los episodios de mortalidad, tener en cuenta el trabajo realizado por ACCOBAMS, ASCOBANS y la CBI,</w:t>
            </w:r>
          </w:p>
          <w:p w14:paraId="3FDF72E0" w14:textId="77777777" w:rsidR="00074138" w:rsidRPr="004207FD" w:rsidRDefault="00074138" w:rsidP="00A33B05">
            <w:pPr>
              <w:spacing w:before="40" w:after="40"/>
              <w:jc w:val="both"/>
              <w:rPr>
                <w:rFonts w:ascii="Arial" w:hAnsi="Arial" w:cs="Arial"/>
                <w:sz w:val="20"/>
                <w:szCs w:val="20"/>
                <w:lang w:val="es-ES"/>
              </w:rPr>
            </w:pPr>
          </w:p>
          <w:p w14:paraId="7A46C6D3"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a) Identificar y recomendar el uso de protocolos estándar de varamiento y necropsia;</w:t>
            </w:r>
          </w:p>
          <w:p w14:paraId="0846897D" w14:textId="77777777" w:rsidR="00074138" w:rsidRPr="004207FD" w:rsidRDefault="00074138" w:rsidP="00A33B05">
            <w:pPr>
              <w:spacing w:before="40" w:after="40"/>
              <w:jc w:val="both"/>
              <w:rPr>
                <w:rFonts w:ascii="Arial" w:hAnsi="Arial" w:cs="Arial"/>
                <w:sz w:val="20"/>
                <w:szCs w:val="20"/>
                <w:lang w:val="es-ES"/>
              </w:rPr>
            </w:pPr>
          </w:p>
          <w:p w14:paraId="15152534"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b) Considerar la necesidad de una base de datos mundial para registrar este tipo de incidentes y formular las recomendaciones correspondientes.</w:t>
            </w:r>
          </w:p>
        </w:tc>
        <w:tc>
          <w:tcPr>
            <w:tcW w:w="3119" w:type="dxa"/>
          </w:tcPr>
          <w:p w14:paraId="6740F67C" w14:textId="77777777"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 xml:space="preserve">Incluido en la Decisión 14.72 (c) y comunicado en </w:t>
            </w:r>
            <w:hyperlink r:id="rId63" w:history="1">
              <w:r w:rsidRPr="004207FD">
                <w:rPr>
                  <w:rStyle w:val="Hyperlink"/>
                  <w:rFonts w:ascii="Arial" w:hAnsi="Arial" w:cs="Arial"/>
                  <w:sz w:val="20"/>
                  <w:szCs w:val="20"/>
                  <w:lang w:val="es-ES"/>
                </w:rPr>
                <w:t>UNEP/CMS/COP15/Doc.25.4.1</w:t>
              </w:r>
            </w:hyperlink>
            <w:r w:rsidRPr="004207FD">
              <w:rPr>
                <w:rFonts w:ascii="Arial" w:hAnsi="Arial" w:cs="Arial"/>
                <w:sz w:val="20"/>
                <w:szCs w:val="20"/>
                <w:lang w:val="es-ES"/>
              </w:rPr>
              <w:t xml:space="preserve"> </w:t>
            </w:r>
            <w:r w:rsidRPr="004207FD">
              <w:rPr>
                <w:rFonts w:ascii="Arial" w:hAnsi="Arial" w:cs="Arial"/>
                <w:i/>
                <w:iCs/>
                <w:sz w:val="20"/>
                <w:szCs w:val="20"/>
                <w:lang w:val="es-ES"/>
              </w:rPr>
              <w:t>Prioridades de conservación para los cetáceos</w:t>
            </w:r>
            <w:r w:rsidRPr="004207FD">
              <w:rPr>
                <w:rFonts w:ascii="Arial" w:hAnsi="Arial" w:cs="Arial"/>
                <w:sz w:val="20"/>
                <w:szCs w:val="20"/>
                <w:lang w:val="es-ES"/>
              </w:rPr>
              <w:t xml:space="preserve"> (finalizado).</w:t>
            </w:r>
          </w:p>
        </w:tc>
      </w:tr>
      <w:tr w:rsidR="00074138" w:rsidRPr="00074138" w14:paraId="174BD3D3" w14:textId="77777777" w:rsidTr="00A33B05">
        <w:tc>
          <w:tcPr>
            <w:tcW w:w="1749" w:type="dxa"/>
          </w:tcPr>
          <w:p w14:paraId="31CC2F4B"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Minería en</w:t>
            </w:r>
          </w:p>
          <w:p w14:paraId="013F1BB4"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aguas profundas</w:t>
            </w:r>
          </w:p>
        </w:tc>
        <w:tc>
          <w:tcPr>
            <w:tcW w:w="4483" w:type="dxa"/>
          </w:tcPr>
          <w:p w14:paraId="6D16787E"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a) Redactar un informe sobre el conocimiento actual de los impactos de la minería en aguas profundas sobre los cetáceos y otras especies migratorias, identificar lagunas de información que sea necesario abordar antes de tomar decisiones informadas relativas a las aguas profundas, y formular recomendaciones a las Partes;</w:t>
            </w:r>
          </w:p>
          <w:p w14:paraId="12196B25" w14:textId="77777777" w:rsidR="00074138" w:rsidRPr="004207FD" w:rsidRDefault="00074138" w:rsidP="00A33B05">
            <w:pPr>
              <w:spacing w:before="40" w:after="40"/>
              <w:jc w:val="both"/>
              <w:rPr>
                <w:rFonts w:ascii="Arial" w:hAnsi="Arial" w:cs="Arial"/>
                <w:sz w:val="20"/>
                <w:szCs w:val="20"/>
                <w:lang w:val="es-ES"/>
              </w:rPr>
            </w:pPr>
          </w:p>
          <w:p w14:paraId="743022B6"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b) Redactar un informe que evalúe si las especies de cetáceos de buceo profundo incluidas en la CMS están incluidas adecuadamente por los requisitos de las evaluaciones del impacto ambiental relacionadas con la minería en aguas profundas, y formular recomendaciones a las Partes.</w:t>
            </w:r>
          </w:p>
        </w:tc>
        <w:tc>
          <w:tcPr>
            <w:tcW w:w="3119" w:type="dxa"/>
          </w:tcPr>
          <w:p w14:paraId="75B089C3" w14:textId="77777777"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 xml:space="preserve">a) Incluido en la Decisión 14.52 y comunicado en UNEP/CMS/COP15/Doc.25.2.3 </w:t>
            </w:r>
            <w:r w:rsidRPr="004207FD">
              <w:rPr>
                <w:rFonts w:ascii="Arial" w:hAnsi="Arial" w:cs="Arial"/>
                <w:i/>
                <w:iCs/>
                <w:sz w:val="20"/>
                <w:szCs w:val="20"/>
                <w:lang w:val="es-ES"/>
              </w:rPr>
              <w:t xml:space="preserve">Extracción en aguas profundas </w:t>
            </w:r>
            <w:r w:rsidRPr="004207FD">
              <w:rPr>
                <w:rFonts w:ascii="Arial" w:hAnsi="Arial" w:cs="Arial"/>
                <w:sz w:val="20"/>
                <w:szCs w:val="20"/>
                <w:lang w:val="es-ES"/>
              </w:rPr>
              <w:t xml:space="preserve">(finalizado, informe disponible: </w:t>
            </w:r>
            <w:hyperlink r:id="rId64" w:history="1">
              <w:r w:rsidRPr="004207FD">
                <w:rPr>
                  <w:rStyle w:val="Hyperlink"/>
                  <w:rFonts w:ascii="Arial" w:hAnsi="Arial" w:cs="Arial"/>
                  <w:sz w:val="20"/>
                  <w:szCs w:val="20"/>
                  <w:lang w:val="es-ES"/>
                </w:rPr>
                <w:t>UNEP/CMS/COP15/Doc.25.2.3/Anexo 1</w:t>
              </w:r>
            </w:hyperlink>
            <w:r w:rsidRPr="004207FD">
              <w:rPr>
                <w:rFonts w:ascii="Arial" w:hAnsi="Arial" w:cs="Arial"/>
                <w:sz w:val="20"/>
                <w:szCs w:val="20"/>
                <w:lang w:val="es-ES"/>
              </w:rPr>
              <w:t>).</w:t>
            </w:r>
          </w:p>
          <w:p w14:paraId="10A2028B" w14:textId="77777777" w:rsidR="00074138" w:rsidRPr="004207FD" w:rsidRDefault="00074138" w:rsidP="00A33B05">
            <w:pPr>
              <w:spacing w:before="40" w:after="40"/>
              <w:rPr>
                <w:rFonts w:ascii="Arial" w:hAnsi="Arial" w:cs="Arial"/>
                <w:sz w:val="20"/>
                <w:szCs w:val="20"/>
                <w:lang w:val="es-ES"/>
              </w:rPr>
            </w:pPr>
          </w:p>
          <w:p w14:paraId="324835FC" w14:textId="77777777"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 xml:space="preserve">b) Incluido en los proyectos de Decisión en UNEP/CMS/COP15/Doc.25.2.3 </w:t>
            </w:r>
            <w:r w:rsidRPr="004207FD">
              <w:rPr>
                <w:rFonts w:ascii="Arial" w:hAnsi="Arial" w:cs="Arial"/>
                <w:i/>
                <w:iCs/>
                <w:sz w:val="20"/>
                <w:szCs w:val="20"/>
                <w:lang w:val="es-ES"/>
              </w:rPr>
              <w:t>Minería en aguas profundas.</w:t>
            </w:r>
          </w:p>
        </w:tc>
      </w:tr>
      <w:tr w:rsidR="00074138" w:rsidRPr="00074138" w14:paraId="7AA59730" w14:textId="77777777" w:rsidTr="00A33B05">
        <w:tc>
          <w:tcPr>
            <w:tcW w:w="1749" w:type="dxa"/>
          </w:tcPr>
          <w:p w14:paraId="5309FFDF"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Cetáceos</w:t>
            </w:r>
          </w:p>
          <w:p w14:paraId="41A9ED05"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«fuera de</w:t>
            </w:r>
          </w:p>
          <w:p w14:paraId="2EF6BEF2"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su hábitat»</w:t>
            </w:r>
          </w:p>
          <w:p w14:paraId="4B08137E"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y migrantes</w:t>
            </w:r>
          </w:p>
          <w:p w14:paraId="0FE0B0DA"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climáticos</w:t>
            </w:r>
          </w:p>
        </w:tc>
        <w:tc>
          <w:tcPr>
            <w:tcW w:w="4483" w:type="dxa"/>
          </w:tcPr>
          <w:p w14:paraId="39ED5A23"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Desarrollar un informe sobre la supervisión, el bienestar y la conservación de los cetáceos «fuera de su hábitat», dar consejos sobre las respuesta</w:t>
            </w:r>
            <w:r>
              <w:rPr>
                <w:rFonts w:ascii="Arial" w:hAnsi="Arial" w:cs="Arial"/>
                <w:sz w:val="20"/>
                <w:szCs w:val="20"/>
                <w:lang w:val="es-ES"/>
              </w:rPr>
              <w:t>s</w:t>
            </w:r>
            <w:r w:rsidRPr="004207FD">
              <w:rPr>
                <w:rFonts w:ascii="Arial" w:hAnsi="Arial" w:cs="Arial"/>
                <w:sz w:val="20"/>
                <w:szCs w:val="20"/>
                <w:lang w:val="es-ES"/>
              </w:rPr>
              <w:t xml:space="preserve"> adecuadas hacia ellos, y realizar recomendaciones a las Partes.</w:t>
            </w:r>
          </w:p>
        </w:tc>
        <w:tc>
          <w:tcPr>
            <w:tcW w:w="3119" w:type="dxa"/>
          </w:tcPr>
          <w:p w14:paraId="61A7BA5E" w14:textId="77777777" w:rsidR="00074138" w:rsidRPr="004207FD" w:rsidRDefault="00074138" w:rsidP="00A33B05">
            <w:pPr>
              <w:spacing w:before="40" w:after="40"/>
              <w:rPr>
                <w:rFonts w:ascii="Arial" w:hAnsi="Arial" w:cs="Arial"/>
                <w:i/>
                <w:iCs/>
                <w:sz w:val="20"/>
                <w:szCs w:val="20"/>
                <w:lang w:val="es-ES"/>
              </w:rPr>
            </w:pPr>
            <w:r w:rsidRPr="004207FD">
              <w:rPr>
                <w:rFonts w:ascii="Arial" w:hAnsi="Arial" w:cs="Arial"/>
                <w:sz w:val="20"/>
                <w:szCs w:val="20"/>
                <w:lang w:val="es-ES"/>
              </w:rPr>
              <w:t>Incluido en la Decisión 14.72 (d)</w:t>
            </w:r>
            <w:r w:rsidRPr="004207FD">
              <w:rPr>
                <w:rFonts w:ascii="Arial" w:hAnsi="Arial" w:cs="Arial"/>
                <w:i/>
                <w:iCs/>
                <w:sz w:val="20"/>
                <w:szCs w:val="20"/>
                <w:lang w:val="es-ES"/>
              </w:rPr>
              <w:t xml:space="preserve"> </w:t>
            </w:r>
            <w:r w:rsidRPr="004207FD">
              <w:rPr>
                <w:rFonts w:ascii="Arial" w:hAnsi="Arial" w:cs="Arial"/>
                <w:sz w:val="20"/>
                <w:szCs w:val="20"/>
                <w:lang w:val="es-ES"/>
              </w:rPr>
              <w:t xml:space="preserve">y comunicado en UNEP/CMS/COP15/Doc.25.4.1 </w:t>
            </w:r>
            <w:r w:rsidRPr="004207FD">
              <w:rPr>
                <w:rFonts w:ascii="Arial" w:hAnsi="Arial" w:cs="Arial"/>
                <w:i/>
                <w:iCs/>
                <w:sz w:val="20"/>
                <w:szCs w:val="20"/>
                <w:lang w:val="es-ES"/>
              </w:rPr>
              <w:t>Prioridades de conservación para los</w:t>
            </w:r>
            <w:r w:rsidRPr="004207FD">
              <w:rPr>
                <w:rFonts w:ascii="Arial" w:hAnsi="Arial" w:cs="Arial"/>
                <w:sz w:val="20"/>
                <w:szCs w:val="20"/>
                <w:lang w:val="es-ES"/>
              </w:rPr>
              <w:t xml:space="preserve"> </w:t>
            </w:r>
            <w:r w:rsidRPr="004207FD">
              <w:rPr>
                <w:rFonts w:ascii="Arial" w:hAnsi="Arial" w:cs="Arial"/>
                <w:i/>
                <w:iCs/>
                <w:sz w:val="20"/>
                <w:szCs w:val="20"/>
                <w:lang w:val="es-ES"/>
              </w:rPr>
              <w:t xml:space="preserve">cetáceos </w:t>
            </w:r>
            <w:r w:rsidRPr="004207FD">
              <w:rPr>
                <w:rFonts w:ascii="Arial" w:hAnsi="Arial" w:cs="Arial"/>
                <w:sz w:val="20"/>
                <w:szCs w:val="20"/>
                <w:lang w:val="es-ES"/>
              </w:rPr>
              <w:t xml:space="preserve">(finalizado, informe disponible: </w:t>
            </w:r>
            <w:hyperlink r:id="rId65" w:history="1">
              <w:r w:rsidRPr="004207FD">
                <w:rPr>
                  <w:rStyle w:val="Hyperlink"/>
                  <w:rFonts w:ascii="Arial" w:hAnsi="Arial" w:cs="Arial"/>
                  <w:sz w:val="20"/>
                  <w:szCs w:val="20"/>
                  <w:lang w:val="es-ES"/>
                </w:rPr>
                <w:t>UNEP/CMS/COP15/Inf.25.4.1c</w:t>
              </w:r>
            </w:hyperlink>
            <w:r w:rsidRPr="004207FD">
              <w:rPr>
                <w:rFonts w:ascii="Arial" w:hAnsi="Arial" w:cs="Arial"/>
                <w:sz w:val="20"/>
                <w:szCs w:val="20"/>
                <w:lang w:val="es-ES"/>
              </w:rPr>
              <w:t>)</w:t>
            </w:r>
            <w:r w:rsidRPr="004207FD">
              <w:rPr>
                <w:rFonts w:ascii="Arial" w:hAnsi="Arial" w:cs="Arial"/>
                <w:i/>
                <w:iCs/>
                <w:sz w:val="20"/>
                <w:szCs w:val="20"/>
                <w:lang w:val="es-ES"/>
              </w:rPr>
              <w:t>.</w:t>
            </w:r>
          </w:p>
        </w:tc>
      </w:tr>
      <w:tr w:rsidR="00074138" w:rsidRPr="00074138" w14:paraId="2DC6BCAD" w14:textId="77777777" w:rsidTr="00A33B05">
        <w:tc>
          <w:tcPr>
            <w:tcW w:w="1749" w:type="dxa"/>
          </w:tcPr>
          <w:p w14:paraId="3DA613FC"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Degradación del hábitat</w:t>
            </w:r>
          </w:p>
        </w:tc>
        <w:tc>
          <w:tcPr>
            <w:tcW w:w="4483" w:type="dxa"/>
          </w:tcPr>
          <w:p w14:paraId="275974A7"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a) Ofrecer asesoramiento sobre cómo avanzar en la conservación y gestión de zonas críticas y redes ecológicas para los cetáceos enumerados en la CMS, teniendo en cuenta la relación entre las áreas de importancia para los cetáceos y otras áreas que puedan estar vinculadas ecológicamente a ellos;</w:t>
            </w:r>
          </w:p>
          <w:p w14:paraId="2DDCF6CC" w14:textId="77777777" w:rsidR="00074138" w:rsidRPr="004207FD" w:rsidRDefault="00074138" w:rsidP="00A33B05">
            <w:pPr>
              <w:spacing w:before="40" w:after="40"/>
              <w:jc w:val="both"/>
              <w:rPr>
                <w:rFonts w:ascii="Arial" w:hAnsi="Arial" w:cs="Arial"/>
                <w:sz w:val="20"/>
                <w:szCs w:val="20"/>
                <w:lang w:val="es-ES"/>
              </w:rPr>
            </w:pPr>
          </w:p>
          <w:p w14:paraId="10F4B891"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b) Realizar una evaluación de la viabilidad del hábitat para todos los cetáceos enumerados en la CMS, incorporando perspectivas sobre aspectos de sociabilidad que constan en el consejo del Grupo de Trabajo de expertos sobre cultura animal y complejidad social, y formular recomendaciones a las Partes.</w:t>
            </w:r>
          </w:p>
        </w:tc>
        <w:tc>
          <w:tcPr>
            <w:tcW w:w="3119" w:type="dxa"/>
          </w:tcPr>
          <w:p w14:paraId="17595EF5" w14:textId="77777777" w:rsidR="00074138" w:rsidRPr="004207FD" w:rsidRDefault="00074138" w:rsidP="00A33B05">
            <w:pPr>
              <w:spacing w:before="40" w:after="40"/>
              <w:rPr>
                <w:rFonts w:ascii="Arial" w:hAnsi="Arial" w:cs="Arial"/>
                <w:i/>
                <w:iCs/>
                <w:sz w:val="20"/>
                <w:szCs w:val="20"/>
                <w:lang w:val="es-ES"/>
              </w:rPr>
            </w:pPr>
            <w:r w:rsidRPr="004207FD">
              <w:rPr>
                <w:rFonts w:ascii="Arial" w:hAnsi="Arial" w:cs="Arial"/>
                <w:sz w:val="20"/>
                <w:szCs w:val="20"/>
                <w:lang w:val="es-ES"/>
              </w:rPr>
              <w:t xml:space="preserve">a) Incluido en el texto del proyecto de Resolución en: </w:t>
            </w:r>
            <w:hyperlink r:id="rId66" w:history="1">
              <w:r w:rsidRPr="004207FD">
                <w:rPr>
                  <w:rStyle w:val="Hyperlink"/>
                  <w:rFonts w:ascii="Arial" w:hAnsi="Arial" w:cs="Arial"/>
                  <w:sz w:val="20"/>
                  <w:szCs w:val="20"/>
                  <w:lang w:val="es-ES"/>
                </w:rPr>
                <w:t>UNEP/CMS/COP15/Doc.25.3.1</w:t>
              </w:r>
            </w:hyperlink>
            <w:r w:rsidRPr="004207FD">
              <w:rPr>
                <w:rFonts w:ascii="Arial" w:hAnsi="Arial" w:cs="Arial"/>
                <w:sz w:val="20"/>
                <w:szCs w:val="20"/>
                <w:lang w:val="es-ES"/>
              </w:rPr>
              <w:t xml:space="preserve"> </w:t>
            </w:r>
            <w:r w:rsidRPr="004207FD">
              <w:rPr>
                <w:rFonts w:ascii="Arial" w:hAnsi="Arial" w:cs="Arial"/>
                <w:i/>
                <w:iCs/>
                <w:sz w:val="20"/>
                <w:szCs w:val="20"/>
                <w:lang w:val="es-ES"/>
              </w:rPr>
              <w:t>Prioridades para la</w:t>
            </w:r>
            <w:r w:rsidRPr="004207FD">
              <w:rPr>
                <w:rFonts w:ascii="Arial" w:hAnsi="Arial" w:cs="Arial"/>
                <w:sz w:val="20"/>
                <w:szCs w:val="20"/>
                <w:lang w:val="es-ES"/>
              </w:rPr>
              <w:t xml:space="preserve"> </w:t>
            </w:r>
            <w:r w:rsidRPr="004207FD">
              <w:rPr>
                <w:rFonts w:ascii="Arial" w:hAnsi="Arial" w:cs="Arial"/>
                <w:i/>
                <w:iCs/>
                <w:sz w:val="20"/>
                <w:szCs w:val="20"/>
                <w:lang w:val="es-ES"/>
              </w:rPr>
              <w:t xml:space="preserve">conservación de especies migratorias marinas por áreas. </w:t>
            </w:r>
          </w:p>
          <w:p w14:paraId="5A9C8D08" w14:textId="77777777" w:rsidR="00074138" w:rsidRPr="004207FD" w:rsidRDefault="00074138" w:rsidP="00A33B05">
            <w:pPr>
              <w:spacing w:before="40" w:after="40"/>
              <w:rPr>
                <w:rFonts w:ascii="Arial" w:hAnsi="Arial" w:cs="Arial"/>
                <w:i/>
                <w:iCs/>
                <w:sz w:val="20"/>
                <w:szCs w:val="20"/>
                <w:lang w:val="es-ES"/>
              </w:rPr>
            </w:pPr>
          </w:p>
          <w:p w14:paraId="42DB564E" w14:textId="77777777" w:rsidR="00074138" w:rsidRPr="004207FD" w:rsidRDefault="00074138" w:rsidP="00A33B05">
            <w:pPr>
              <w:spacing w:before="40" w:after="40"/>
              <w:rPr>
                <w:rFonts w:ascii="Arial" w:hAnsi="Arial" w:cs="Arial"/>
                <w:i/>
                <w:iCs/>
                <w:sz w:val="20"/>
                <w:szCs w:val="20"/>
                <w:lang w:val="es-ES"/>
              </w:rPr>
            </w:pPr>
          </w:p>
          <w:p w14:paraId="738AC57A" w14:textId="77777777"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 xml:space="preserve">b) Incluido en el texto del proyecto de Resolución en: </w:t>
            </w:r>
            <w:hyperlink r:id="rId67" w:history="1">
              <w:r w:rsidRPr="004207FD">
                <w:rPr>
                  <w:rStyle w:val="Hyperlink"/>
                  <w:rFonts w:ascii="Arial" w:hAnsi="Arial" w:cs="Arial"/>
                  <w:sz w:val="20"/>
                  <w:szCs w:val="20"/>
                  <w:lang w:val="es-ES"/>
                </w:rPr>
                <w:t>UNEP/CMS/COP15/Doc.25.3.1</w:t>
              </w:r>
            </w:hyperlink>
            <w:r w:rsidRPr="004207FD">
              <w:rPr>
                <w:rFonts w:ascii="Arial" w:hAnsi="Arial" w:cs="Arial"/>
                <w:sz w:val="20"/>
                <w:szCs w:val="20"/>
                <w:lang w:val="es-ES"/>
              </w:rPr>
              <w:t xml:space="preserve"> </w:t>
            </w:r>
            <w:r w:rsidRPr="004207FD">
              <w:rPr>
                <w:rFonts w:ascii="Arial" w:hAnsi="Arial" w:cs="Arial"/>
                <w:i/>
                <w:iCs/>
                <w:sz w:val="20"/>
                <w:szCs w:val="20"/>
                <w:lang w:val="es-ES"/>
              </w:rPr>
              <w:t>Prioridades para la</w:t>
            </w:r>
            <w:r w:rsidRPr="004207FD">
              <w:rPr>
                <w:rFonts w:ascii="Arial" w:hAnsi="Arial" w:cs="Arial"/>
                <w:sz w:val="20"/>
                <w:szCs w:val="20"/>
                <w:lang w:val="es-ES"/>
              </w:rPr>
              <w:t xml:space="preserve"> </w:t>
            </w:r>
            <w:r w:rsidRPr="004207FD">
              <w:rPr>
                <w:rFonts w:ascii="Arial" w:hAnsi="Arial" w:cs="Arial"/>
                <w:i/>
                <w:iCs/>
                <w:sz w:val="20"/>
                <w:szCs w:val="20"/>
                <w:lang w:val="es-ES"/>
              </w:rPr>
              <w:t>conservación de especies migratorias marinas.</w:t>
            </w:r>
          </w:p>
        </w:tc>
      </w:tr>
    </w:tbl>
    <w:p w14:paraId="3C410D4B" w14:textId="77777777" w:rsidR="00074138" w:rsidRPr="004207FD" w:rsidRDefault="00074138" w:rsidP="00074138">
      <w:pPr>
        <w:rPr>
          <w:lang w:val="es-ES"/>
        </w:rPr>
      </w:pPr>
    </w:p>
    <w:p w14:paraId="5D905C01" w14:textId="5D86BD01" w:rsidR="00895330" w:rsidRDefault="00074138" w:rsidP="00074138">
      <w:pPr>
        <w:spacing w:after="0" w:line="240" w:lineRule="auto"/>
        <w:rPr>
          <w:rFonts w:cs="Arial"/>
          <w:b/>
          <w:bCs/>
          <w:iCs/>
          <w:lang w:val="es-ES"/>
        </w:rPr>
        <w:sectPr w:rsidR="00895330" w:rsidSect="00323406">
          <w:headerReference w:type="even" r:id="rId68"/>
          <w:headerReference w:type="default" r:id="rId69"/>
          <w:headerReference w:type="first" r:id="rId70"/>
          <w:pgSz w:w="11906" w:h="16838" w:code="9"/>
          <w:pgMar w:top="1440" w:right="1440" w:bottom="1440" w:left="1440" w:header="720" w:footer="720" w:gutter="0"/>
          <w:cols w:space="720"/>
          <w:titlePg/>
          <w:docGrid w:linePitch="360"/>
        </w:sectPr>
      </w:pPr>
      <w:r>
        <w:rPr>
          <w:rFonts w:cs="Arial"/>
          <w:b/>
          <w:bCs/>
          <w:iCs/>
          <w:lang w:val="es-ES"/>
        </w:rPr>
        <w:t>ç</w:t>
      </w:r>
    </w:p>
    <w:p w14:paraId="4256E3EB" w14:textId="7D7F7B4F" w:rsidR="001629E3" w:rsidRPr="00D0409E" w:rsidRDefault="001629E3" w:rsidP="001629E3">
      <w:pPr>
        <w:spacing w:after="0" w:line="240" w:lineRule="auto"/>
        <w:jc w:val="right"/>
        <w:rPr>
          <w:rFonts w:cs="Arial"/>
          <w:b/>
          <w:bCs/>
          <w:iCs/>
          <w:lang w:val="es-ES"/>
        </w:rPr>
      </w:pPr>
      <w:r w:rsidRPr="00D0409E">
        <w:rPr>
          <w:rFonts w:cs="Arial"/>
          <w:b/>
          <w:bCs/>
          <w:iCs/>
          <w:lang w:val="es-ES"/>
        </w:rPr>
        <w:lastRenderedPageBreak/>
        <w:t xml:space="preserve">ANEXO </w:t>
      </w:r>
      <w:r w:rsidR="003A3805">
        <w:rPr>
          <w:rFonts w:cs="Arial"/>
          <w:b/>
          <w:bCs/>
          <w:iCs/>
          <w:lang w:val="es-ES"/>
        </w:rPr>
        <w:t>5</w:t>
      </w:r>
    </w:p>
    <w:p w14:paraId="1A729121" w14:textId="77777777" w:rsidR="001629E3" w:rsidRPr="00D0409E" w:rsidRDefault="001629E3" w:rsidP="001629E3">
      <w:pPr>
        <w:tabs>
          <w:tab w:val="left" w:pos="930"/>
        </w:tabs>
        <w:spacing w:after="0" w:line="240" w:lineRule="auto"/>
        <w:rPr>
          <w:rFonts w:cs="Arial"/>
          <w:b/>
          <w:bCs/>
          <w:iCs/>
          <w:lang w:val="es-ES"/>
        </w:rPr>
      </w:pPr>
    </w:p>
    <w:p w14:paraId="383661E6" w14:textId="77777777" w:rsidR="001629E3" w:rsidRPr="00D0409E" w:rsidRDefault="001629E3" w:rsidP="001629E3">
      <w:pPr>
        <w:spacing w:after="0" w:line="240" w:lineRule="auto"/>
        <w:rPr>
          <w:rFonts w:cs="Arial"/>
          <w:iCs/>
          <w:lang w:val="es-ES"/>
        </w:rPr>
      </w:pPr>
    </w:p>
    <w:p w14:paraId="19569644" w14:textId="77777777" w:rsidR="001629E3" w:rsidRPr="00D0409E" w:rsidRDefault="001629E3" w:rsidP="001629E3">
      <w:pPr>
        <w:pStyle w:val="ListParagraph"/>
        <w:spacing w:after="0" w:line="240" w:lineRule="auto"/>
        <w:contextualSpacing w:val="0"/>
        <w:jc w:val="center"/>
        <w:rPr>
          <w:rFonts w:cs="Arial"/>
          <w:b/>
          <w:bCs/>
          <w:iCs/>
          <w:lang w:val="es-ES"/>
        </w:rPr>
      </w:pPr>
      <w:r w:rsidRPr="00D0409E">
        <w:rPr>
          <w:rFonts w:cs="Arial"/>
          <w:b/>
          <w:bCs/>
          <w:iCs/>
          <w:lang w:val="es-ES"/>
        </w:rPr>
        <w:t>TÉRMINOS DE REFERENCIA PARA EL GRUPO DE TRABAJO SOBRE MAMÍFEROS ACUÁTICOS</w:t>
      </w:r>
    </w:p>
    <w:p w14:paraId="29CF5CC9" w14:textId="77777777" w:rsidR="001629E3" w:rsidRPr="00D0409E" w:rsidRDefault="001629E3" w:rsidP="001629E3">
      <w:pPr>
        <w:spacing w:after="0" w:line="240" w:lineRule="auto"/>
        <w:rPr>
          <w:rFonts w:cs="Arial"/>
          <w:b/>
          <w:bCs/>
          <w:iCs/>
          <w:lang w:val="es-ES"/>
        </w:rPr>
      </w:pPr>
    </w:p>
    <w:p w14:paraId="132759B3" w14:textId="77777777" w:rsidR="001629E3" w:rsidRPr="00D0409E" w:rsidRDefault="001629E3" w:rsidP="001629E3">
      <w:pPr>
        <w:spacing w:after="0" w:line="240" w:lineRule="auto"/>
        <w:rPr>
          <w:rFonts w:cs="Arial"/>
          <w:b/>
          <w:bCs/>
          <w:iCs/>
          <w:lang w:val="es-ES"/>
        </w:rPr>
      </w:pPr>
    </w:p>
    <w:p w14:paraId="67A8D0DC" w14:textId="77777777" w:rsidR="001629E3" w:rsidRPr="00D0409E" w:rsidRDefault="001629E3" w:rsidP="001629E3">
      <w:pPr>
        <w:pStyle w:val="ListParagraph"/>
        <w:spacing w:after="0" w:line="240" w:lineRule="auto"/>
        <w:ind w:left="0"/>
        <w:contextualSpacing w:val="0"/>
        <w:jc w:val="both"/>
        <w:rPr>
          <w:rFonts w:cs="Arial"/>
          <w:b/>
          <w:bCs/>
          <w:iCs/>
          <w:lang w:val="es-ES"/>
        </w:rPr>
      </w:pPr>
      <w:r w:rsidRPr="00D0409E">
        <w:rPr>
          <w:rFonts w:cs="Arial"/>
          <w:b/>
          <w:bCs/>
          <w:iCs/>
          <w:lang w:val="es-ES"/>
        </w:rPr>
        <w:t>Antecedentes</w:t>
      </w:r>
    </w:p>
    <w:p w14:paraId="526187E6" w14:textId="77777777" w:rsidR="001629E3" w:rsidRPr="00D0409E" w:rsidRDefault="001629E3" w:rsidP="001629E3">
      <w:pPr>
        <w:pStyle w:val="ListParagraph"/>
        <w:spacing w:after="0" w:line="240" w:lineRule="auto"/>
        <w:ind w:left="0"/>
        <w:contextualSpacing w:val="0"/>
        <w:jc w:val="both"/>
        <w:rPr>
          <w:rFonts w:cs="Arial"/>
          <w:b/>
          <w:bCs/>
          <w:iCs/>
          <w:lang w:val="es-ES"/>
        </w:rPr>
      </w:pPr>
    </w:p>
    <w:p w14:paraId="02A765B0" w14:textId="77777777" w:rsidR="001629E3" w:rsidRPr="00D0409E" w:rsidRDefault="001629E3" w:rsidP="001629E3">
      <w:pPr>
        <w:pStyle w:val="ListParagraph"/>
        <w:spacing w:after="0" w:line="240" w:lineRule="auto"/>
        <w:ind w:left="0"/>
        <w:contextualSpacing w:val="0"/>
        <w:jc w:val="both"/>
        <w:rPr>
          <w:rFonts w:cs="Arial"/>
          <w:iCs/>
          <w:lang w:val="es-ES"/>
        </w:rPr>
      </w:pPr>
      <w:r w:rsidRPr="00D0409E">
        <w:rPr>
          <w:rFonts w:cs="Arial"/>
          <w:iCs/>
          <w:lang w:val="es-ES"/>
        </w:rPr>
        <w:t xml:space="preserve">Los Apéndices I y II de la CMS enumeran muchas especies de mamíferos acuáticos migratorios. Las COP de la CMS también han adoptado varias Resoluciones que tratan sobre los mamíferos acuáticos, sus hábitats y las amenazas a las que están expuestos. El Grupo de Trabajo sobre Mamíferos Acuáticos se creó en 2011 mediante la Resolución 10.15 </w:t>
      </w:r>
      <w:r w:rsidRPr="00D0409E">
        <w:rPr>
          <w:rFonts w:cs="Arial"/>
          <w:i/>
          <w:lang w:val="es-ES"/>
        </w:rPr>
        <w:t>Programa de Trabajo Global para los Cetáceos.</w:t>
      </w:r>
      <w:r w:rsidRPr="009A5DBB">
        <w:rPr>
          <w:rStyle w:val="FootnoteReference"/>
          <w:rFonts w:cs="Arial"/>
          <w:iCs/>
          <w:vertAlign w:val="superscript"/>
          <w:lang w:val="es-ES"/>
        </w:rPr>
        <w:footnoteReference w:id="8"/>
      </w:r>
    </w:p>
    <w:p w14:paraId="4CE8F39E" w14:textId="77777777" w:rsidR="001629E3" w:rsidRPr="00D0409E" w:rsidRDefault="001629E3" w:rsidP="001629E3">
      <w:pPr>
        <w:pStyle w:val="ListParagraph"/>
        <w:spacing w:after="0" w:line="240" w:lineRule="auto"/>
        <w:ind w:left="0"/>
        <w:contextualSpacing w:val="0"/>
        <w:jc w:val="both"/>
        <w:rPr>
          <w:rFonts w:cs="Arial"/>
          <w:b/>
          <w:bCs/>
          <w:iCs/>
          <w:lang w:val="es-ES"/>
        </w:rPr>
      </w:pPr>
    </w:p>
    <w:p w14:paraId="1FD6E1B9" w14:textId="77777777" w:rsidR="001629E3" w:rsidRPr="00D0409E" w:rsidRDefault="001629E3" w:rsidP="001629E3">
      <w:pPr>
        <w:pStyle w:val="ListParagraph"/>
        <w:spacing w:after="0" w:line="240" w:lineRule="auto"/>
        <w:ind w:left="0"/>
        <w:contextualSpacing w:val="0"/>
        <w:jc w:val="both"/>
        <w:rPr>
          <w:rFonts w:cs="Arial"/>
          <w:b/>
          <w:bCs/>
          <w:iCs/>
          <w:lang w:val="es-ES"/>
        </w:rPr>
      </w:pPr>
      <w:r w:rsidRPr="00D0409E">
        <w:rPr>
          <w:rFonts w:cs="Arial"/>
          <w:b/>
          <w:bCs/>
          <w:iCs/>
          <w:lang w:val="es-ES"/>
        </w:rPr>
        <w:t>Propósito</w:t>
      </w:r>
    </w:p>
    <w:p w14:paraId="119E2A36" w14:textId="77777777" w:rsidR="001629E3" w:rsidRPr="00D0409E" w:rsidRDefault="001629E3" w:rsidP="001629E3">
      <w:pPr>
        <w:pStyle w:val="ListParagraph"/>
        <w:spacing w:after="0" w:line="240" w:lineRule="auto"/>
        <w:ind w:left="0"/>
        <w:contextualSpacing w:val="0"/>
        <w:jc w:val="both"/>
        <w:rPr>
          <w:rFonts w:cs="Arial"/>
          <w:b/>
          <w:bCs/>
          <w:iCs/>
          <w:lang w:val="es-ES"/>
        </w:rPr>
      </w:pPr>
    </w:p>
    <w:p w14:paraId="7BC60F56" w14:textId="77777777" w:rsidR="001629E3" w:rsidRPr="00D0409E" w:rsidRDefault="001629E3" w:rsidP="001629E3">
      <w:pPr>
        <w:pStyle w:val="ListParagraph"/>
        <w:numPr>
          <w:ilvl w:val="0"/>
          <w:numId w:val="31"/>
        </w:numPr>
        <w:spacing w:after="0" w:line="240" w:lineRule="auto"/>
        <w:contextualSpacing w:val="0"/>
        <w:jc w:val="both"/>
        <w:rPr>
          <w:rFonts w:cs="Arial"/>
          <w:lang w:val="es-ES"/>
        </w:rPr>
      </w:pPr>
      <w:r w:rsidRPr="00D0409E">
        <w:rPr>
          <w:rFonts w:cs="Arial"/>
          <w:lang w:val="es-ES"/>
        </w:rPr>
        <w:t xml:space="preserve">El objetivo principal del Grupo de Trabajo es apoyar la ejecución de las tareas pertinentes contenidas en el </w:t>
      </w:r>
      <w:r w:rsidRPr="00D0409E">
        <w:rPr>
          <w:rFonts w:cs="Arial"/>
          <w:iCs/>
          <w:lang w:val="es-ES"/>
        </w:rPr>
        <w:t>Programa</w:t>
      </w:r>
      <w:r w:rsidRPr="00D0409E">
        <w:rPr>
          <w:rFonts w:cs="Arial"/>
          <w:lang w:val="es-ES"/>
        </w:rPr>
        <w:t xml:space="preserve"> de Trabajo del Comité del Período de Sesiones. </w:t>
      </w:r>
    </w:p>
    <w:p w14:paraId="78475F82" w14:textId="77777777" w:rsidR="001629E3" w:rsidRPr="00D0409E" w:rsidRDefault="001629E3" w:rsidP="001629E3">
      <w:pPr>
        <w:pStyle w:val="ListParagraph"/>
        <w:spacing w:after="0" w:line="240" w:lineRule="auto"/>
        <w:contextualSpacing w:val="0"/>
        <w:jc w:val="both"/>
        <w:rPr>
          <w:rFonts w:cs="Arial"/>
          <w:lang w:val="es-ES"/>
        </w:rPr>
      </w:pPr>
    </w:p>
    <w:p w14:paraId="6527F56F" w14:textId="77777777" w:rsidR="001629E3" w:rsidRPr="00D0409E" w:rsidRDefault="001629E3" w:rsidP="001629E3">
      <w:pPr>
        <w:pStyle w:val="ListParagraph"/>
        <w:numPr>
          <w:ilvl w:val="0"/>
          <w:numId w:val="31"/>
        </w:numPr>
        <w:spacing w:after="0" w:line="240" w:lineRule="auto"/>
        <w:contextualSpacing w:val="0"/>
        <w:jc w:val="both"/>
        <w:rPr>
          <w:rFonts w:cs="Arial"/>
          <w:lang w:val="es-ES"/>
        </w:rPr>
      </w:pPr>
      <w:r w:rsidRPr="00D0409E">
        <w:rPr>
          <w:rFonts w:cs="Arial"/>
          <w:lang w:val="es-ES"/>
        </w:rPr>
        <w:t>Recibirá sus mandatos específicos a través de las Decisiones adoptadas en cada COP. Además, el Grupo de Trabajo apoyará la aplicación de las Resoluciones y Decisiones pertinentes dirigidas al Consejo Científico.</w:t>
      </w:r>
    </w:p>
    <w:p w14:paraId="48FFA33A" w14:textId="77777777" w:rsidR="001629E3" w:rsidRPr="00D0409E" w:rsidRDefault="001629E3" w:rsidP="001629E3">
      <w:pPr>
        <w:spacing w:after="0" w:line="240" w:lineRule="auto"/>
        <w:jc w:val="both"/>
        <w:rPr>
          <w:rFonts w:cs="Arial"/>
          <w:lang w:val="es-ES"/>
        </w:rPr>
      </w:pPr>
    </w:p>
    <w:p w14:paraId="1225C43C" w14:textId="77777777" w:rsidR="001629E3" w:rsidRPr="00D0409E" w:rsidRDefault="001629E3" w:rsidP="001629E3">
      <w:pPr>
        <w:pStyle w:val="ListParagraph"/>
        <w:numPr>
          <w:ilvl w:val="0"/>
          <w:numId w:val="31"/>
        </w:numPr>
        <w:spacing w:after="0" w:line="240" w:lineRule="auto"/>
        <w:contextualSpacing w:val="0"/>
        <w:jc w:val="both"/>
        <w:rPr>
          <w:rFonts w:cs="Arial"/>
          <w:lang w:val="es-ES"/>
        </w:rPr>
      </w:pPr>
      <w:r w:rsidRPr="00D0409E">
        <w:rPr>
          <w:rFonts w:cs="Arial"/>
          <w:lang w:val="es-ES"/>
        </w:rPr>
        <w:t>El Grupo de Trabajo apoyará la implementación de los objetivos y metas relacionados con los mamíferos acuáticos dentro del Plan Estratégico de Samarcanda para las Especies Migratorias 2024-2032, así como el Marco Mundial para la Biodiversidad de Kunming-Montreal y el desarrollo posterior de su marco de seguimiento.</w:t>
      </w:r>
    </w:p>
    <w:p w14:paraId="4DE5F54F" w14:textId="77777777" w:rsidR="001629E3" w:rsidRPr="00D0409E" w:rsidRDefault="001629E3" w:rsidP="001629E3">
      <w:pPr>
        <w:spacing w:after="0" w:line="240" w:lineRule="auto"/>
        <w:jc w:val="both"/>
        <w:rPr>
          <w:rFonts w:cs="Arial"/>
          <w:lang w:val="es-ES"/>
        </w:rPr>
      </w:pPr>
    </w:p>
    <w:p w14:paraId="0A00A46E" w14:textId="77777777" w:rsidR="001629E3" w:rsidRPr="00D0409E" w:rsidRDefault="001629E3" w:rsidP="001629E3">
      <w:pPr>
        <w:pStyle w:val="ListParagraph"/>
        <w:numPr>
          <w:ilvl w:val="0"/>
          <w:numId w:val="31"/>
        </w:numPr>
        <w:spacing w:after="0" w:line="240" w:lineRule="auto"/>
        <w:contextualSpacing w:val="0"/>
        <w:jc w:val="both"/>
        <w:rPr>
          <w:rFonts w:cs="Arial"/>
          <w:lang w:val="es-ES"/>
        </w:rPr>
      </w:pPr>
      <w:r w:rsidRPr="00D0409E">
        <w:rPr>
          <w:rFonts w:cs="Arial"/>
          <w:lang w:val="es-ES"/>
        </w:rPr>
        <w:t>El Grupo de Trabajo proporcionará una plataforma para debatir e intercambiar información y descubrimientos científicos sobre asuntos relacionados con los mamíferos acuáticos.</w:t>
      </w:r>
    </w:p>
    <w:p w14:paraId="7946715B" w14:textId="77777777" w:rsidR="001629E3" w:rsidRPr="00D0409E" w:rsidRDefault="001629E3" w:rsidP="001629E3">
      <w:pPr>
        <w:pStyle w:val="ListParagraph"/>
        <w:spacing w:after="0" w:line="240" w:lineRule="auto"/>
        <w:ind w:left="0"/>
        <w:contextualSpacing w:val="0"/>
        <w:jc w:val="both"/>
        <w:rPr>
          <w:rFonts w:cs="Arial"/>
          <w:b/>
          <w:bCs/>
          <w:iCs/>
          <w:lang w:val="es-ES"/>
        </w:rPr>
      </w:pPr>
    </w:p>
    <w:p w14:paraId="1E77AFD0" w14:textId="77777777" w:rsidR="001629E3" w:rsidRPr="00D0409E" w:rsidRDefault="001629E3" w:rsidP="001629E3">
      <w:pPr>
        <w:pStyle w:val="ListParagraph"/>
        <w:spacing w:after="0" w:line="240" w:lineRule="auto"/>
        <w:ind w:left="0"/>
        <w:contextualSpacing w:val="0"/>
        <w:jc w:val="both"/>
        <w:rPr>
          <w:rFonts w:cs="Arial"/>
          <w:b/>
          <w:bCs/>
          <w:iCs/>
          <w:lang w:val="es-ES"/>
        </w:rPr>
      </w:pPr>
      <w:r w:rsidRPr="00D0409E">
        <w:rPr>
          <w:rFonts w:cs="Arial"/>
          <w:b/>
          <w:bCs/>
          <w:iCs/>
          <w:lang w:val="es-ES"/>
        </w:rPr>
        <w:t>Membresía</w:t>
      </w:r>
    </w:p>
    <w:p w14:paraId="70A08CDC" w14:textId="77777777" w:rsidR="001629E3" w:rsidRPr="00D0409E" w:rsidRDefault="001629E3" w:rsidP="001629E3">
      <w:pPr>
        <w:pStyle w:val="ListParagraph"/>
        <w:spacing w:after="0" w:line="240" w:lineRule="auto"/>
        <w:ind w:left="0"/>
        <w:contextualSpacing w:val="0"/>
        <w:jc w:val="both"/>
        <w:rPr>
          <w:rFonts w:cs="Arial"/>
          <w:b/>
          <w:bCs/>
          <w:iCs/>
          <w:lang w:val="es-ES"/>
        </w:rPr>
      </w:pPr>
    </w:p>
    <w:p w14:paraId="5A48CD01" w14:textId="77777777" w:rsidR="001629E3" w:rsidRPr="00D0409E" w:rsidRDefault="001629E3" w:rsidP="00A65566">
      <w:pPr>
        <w:pStyle w:val="ListParagraph"/>
        <w:numPr>
          <w:ilvl w:val="0"/>
          <w:numId w:val="30"/>
        </w:numPr>
        <w:spacing w:after="80" w:line="240" w:lineRule="auto"/>
        <w:contextualSpacing w:val="0"/>
        <w:jc w:val="both"/>
        <w:rPr>
          <w:rFonts w:cs="Arial"/>
          <w:iCs/>
          <w:lang w:val="es-ES"/>
        </w:rPr>
      </w:pPr>
      <w:r w:rsidRPr="00D0409E">
        <w:rPr>
          <w:rFonts w:cs="Arial"/>
          <w:iCs/>
          <w:lang w:val="es-ES"/>
        </w:rPr>
        <w:t>La membresía del Grupo de Trabajo está abierta a:</w:t>
      </w:r>
    </w:p>
    <w:p w14:paraId="35ED8D95" w14:textId="77777777" w:rsidR="001629E3" w:rsidRPr="00D0409E" w:rsidRDefault="001629E3" w:rsidP="00EB6021">
      <w:pPr>
        <w:pStyle w:val="ListParagraph"/>
        <w:numPr>
          <w:ilvl w:val="1"/>
          <w:numId w:val="30"/>
        </w:numPr>
        <w:spacing w:after="80" w:line="240" w:lineRule="auto"/>
        <w:ind w:left="1080"/>
        <w:contextualSpacing w:val="0"/>
        <w:jc w:val="both"/>
        <w:rPr>
          <w:rFonts w:cs="Arial"/>
          <w:iCs/>
          <w:lang w:val="es-ES"/>
        </w:rPr>
      </w:pPr>
      <w:r w:rsidRPr="00D0409E">
        <w:rPr>
          <w:rFonts w:cs="Arial"/>
          <w:iCs/>
          <w:lang w:val="es-ES"/>
        </w:rPr>
        <w:t>Miembros del Consejo Científico;</w:t>
      </w:r>
    </w:p>
    <w:p w14:paraId="755D6E62" w14:textId="77777777" w:rsidR="001629E3" w:rsidRPr="00D0409E" w:rsidRDefault="001629E3" w:rsidP="00EB6021">
      <w:pPr>
        <w:pStyle w:val="ListParagraph"/>
        <w:numPr>
          <w:ilvl w:val="1"/>
          <w:numId w:val="30"/>
        </w:numPr>
        <w:spacing w:after="80" w:line="240" w:lineRule="auto"/>
        <w:ind w:left="1080"/>
        <w:contextualSpacing w:val="0"/>
        <w:jc w:val="both"/>
        <w:rPr>
          <w:rFonts w:cs="Arial"/>
          <w:iCs/>
          <w:lang w:val="es-ES"/>
        </w:rPr>
      </w:pPr>
      <w:r w:rsidRPr="00D0409E">
        <w:rPr>
          <w:rFonts w:cs="Arial"/>
          <w:iCs/>
          <w:lang w:val="es-ES"/>
        </w:rPr>
        <w:t>Representantes de las Partes;</w:t>
      </w:r>
    </w:p>
    <w:p w14:paraId="1C609CF7" w14:textId="77777777" w:rsidR="001629E3" w:rsidRPr="00D0409E" w:rsidRDefault="001629E3" w:rsidP="00EB6021">
      <w:pPr>
        <w:pStyle w:val="ListParagraph"/>
        <w:numPr>
          <w:ilvl w:val="1"/>
          <w:numId w:val="30"/>
        </w:numPr>
        <w:spacing w:after="80" w:line="240" w:lineRule="auto"/>
        <w:ind w:left="1080"/>
        <w:contextualSpacing w:val="0"/>
        <w:jc w:val="both"/>
        <w:rPr>
          <w:rFonts w:cs="Arial"/>
          <w:iCs/>
          <w:lang w:val="es-ES"/>
        </w:rPr>
      </w:pPr>
      <w:r w:rsidRPr="00D0409E">
        <w:rPr>
          <w:rFonts w:cs="Arial"/>
          <w:iCs/>
          <w:lang w:val="es-ES"/>
        </w:rPr>
        <w:t>Consejeros científicos;</w:t>
      </w:r>
    </w:p>
    <w:p w14:paraId="417270D8" w14:textId="77777777" w:rsidR="001629E3" w:rsidRPr="00D0409E" w:rsidRDefault="001629E3" w:rsidP="00EB6021">
      <w:pPr>
        <w:pStyle w:val="ListParagraph"/>
        <w:numPr>
          <w:ilvl w:val="1"/>
          <w:numId w:val="30"/>
        </w:numPr>
        <w:spacing w:after="80" w:line="240" w:lineRule="auto"/>
        <w:ind w:left="1080"/>
        <w:contextualSpacing w:val="0"/>
        <w:jc w:val="both"/>
        <w:rPr>
          <w:rFonts w:cs="Arial"/>
          <w:iCs/>
          <w:lang w:val="es-ES"/>
        </w:rPr>
      </w:pPr>
      <w:r w:rsidRPr="00D0409E">
        <w:rPr>
          <w:rFonts w:cs="Arial"/>
          <w:iCs/>
          <w:lang w:val="es-ES"/>
        </w:rPr>
        <w:t>Representantes de los órganos científicos o consultivos de todos los acuerdos sobre mamíferos acuáticos de la CMS;</w:t>
      </w:r>
    </w:p>
    <w:p w14:paraId="5E5FE263" w14:textId="77777777" w:rsidR="001629E3" w:rsidRPr="00D0409E" w:rsidRDefault="001629E3" w:rsidP="00EB6021">
      <w:pPr>
        <w:pStyle w:val="ListParagraph"/>
        <w:numPr>
          <w:ilvl w:val="1"/>
          <w:numId w:val="30"/>
        </w:numPr>
        <w:spacing w:after="80" w:line="240" w:lineRule="auto"/>
        <w:ind w:left="1080"/>
        <w:contextualSpacing w:val="0"/>
        <w:jc w:val="both"/>
        <w:rPr>
          <w:rFonts w:cs="Arial"/>
          <w:iCs/>
          <w:lang w:val="es-ES"/>
        </w:rPr>
      </w:pPr>
      <w:r w:rsidRPr="00D0409E">
        <w:rPr>
          <w:rFonts w:cs="Arial"/>
          <w:iCs/>
          <w:lang w:val="es-ES"/>
        </w:rPr>
        <w:t>Representantes de AMUMA relevantes y las ONG pertinentes;</w:t>
      </w:r>
    </w:p>
    <w:p w14:paraId="1F7CDA97" w14:textId="77777777" w:rsidR="001629E3" w:rsidRPr="00D0409E" w:rsidRDefault="001629E3" w:rsidP="00EB6021">
      <w:pPr>
        <w:pStyle w:val="ListParagraph"/>
        <w:numPr>
          <w:ilvl w:val="1"/>
          <w:numId w:val="30"/>
        </w:numPr>
        <w:spacing w:after="0" w:line="240" w:lineRule="auto"/>
        <w:ind w:left="1080"/>
        <w:contextualSpacing w:val="0"/>
        <w:jc w:val="both"/>
        <w:rPr>
          <w:rFonts w:cs="Arial"/>
          <w:iCs/>
          <w:lang w:val="es-ES"/>
        </w:rPr>
      </w:pPr>
      <w:r w:rsidRPr="00D0409E">
        <w:rPr>
          <w:rFonts w:cs="Arial"/>
          <w:iCs/>
          <w:lang w:val="es-ES"/>
        </w:rPr>
        <w:t>Otros expertos relevantes.</w:t>
      </w:r>
    </w:p>
    <w:p w14:paraId="13DA988B" w14:textId="77777777" w:rsidR="001629E3" w:rsidRPr="00D0409E" w:rsidRDefault="001629E3" w:rsidP="001629E3">
      <w:pPr>
        <w:spacing w:after="0" w:line="240" w:lineRule="auto"/>
        <w:jc w:val="both"/>
        <w:rPr>
          <w:rFonts w:cs="Arial"/>
          <w:iCs/>
          <w:lang w:val="es-ES"/>
        </w:rPr>
      </w:pPr>
    </w:p>
    <w:p w14:paraId="441ABD20" w14:textId="77777777" w:rsidR="001629E3" w:rsidRPr="00D0409E" w:rsidRDefault="001629E3" w:rsidP="001629E3">
      <w:pPr>
        <w:pStyle w:val="ListParagraph"/>
        <w:numPr>
          <w:ilvl w:val="0"/>
          <w:numId w:val="30"/>
        </w:numPr>
        <w:spacing w:after="0" w:line="240" w:lineRule="auto"/>
        <w:contextualSpacing w:val="0"/>
        <w:jc w:val="both"/>
        <w:rPr>
          <w:rFonts w:cs="Arial"/>
          <w:lang w:val="es-ES"/>
        </w:rPr>
      </w:pPr>
      <w:r w:rsidRPr="00D0409E">
        <w:rPr>
          <w:rFonts w:cs="Arial"/>
          <w:lang w:val="es-ES"/>
        </w:rPr>
        <w:t xml:space="preserve">El Grupo de Trabajo se esforzará por mantener un equilibrio de género, representación regional y áreas de experiencia. </w:t>
      </w:r>
    </w:p>
    <w:p w14:paraId="50D64A0B" w14:textId="77777777" w:rsidR="001629E3" w:rsidRPr="00D0409E" w:rsidRDefault="001629E3" w:rsidP="001629E3">
      <w:pPr>
        <w:pStyle w:val="ListParagraph"/>
        <w:spacing w:after="0" w:line="240" w:lineRule="auto"/>
        <w:ind w:left="0"/>
        <w:contextualSpacing w:val="0"/>
        <w:jc w:val="both"/>
        <w:rPr>
          <w:rFonts w:cs="Arial"/>
          <w:lang w:val="es-ES"/>
        </w:rPr>
      </w:pPr>
    </w:p>
    <w:p w14:paraId="47E36488" w14:textId="77777777" w:rsidR="001629E3" w:rsidRPr="00D0409E" w:rsidRDefault="001629E3" w:rsidP="001629E3">
      <w:pPr>
        <w:pStyle w:val="ListParagraph"/>
        <w:numPr>
          <w:ilvl w:val="0"/>
          <w:numId w:val="30"/>
        </w:numPr>
        <w:spacing w:after="0" w:line="240" w:lineRule="auto"/>
        <w:contextualSpacing w:val="0"/>
        <w:jc w:val="both"/>
        <w:rPr>
          <w:rFonts w:cs="Arial"/>
          <w:lang w:val="es-ES"/>
        </w:rPr>
      </w:pPr>
      <w:r w:rsidRPr="00D0409E">
        <w:rPr>
          <w:rFonts w:cs="Arial"/>
          <w:lang w:val="es-ES"/>
        </w:rPr>
        <w:t xml:space="preserve">La participación de los miembros del Grupo de Trabajo es completamente voluntaria. </w:t>
      </w:r>
    </w:p>
    <w:p w14:paraId="79949BC1" w14:textId="77777777" w:rsidR="001629E3" w:rsidRPr="00D0409E" w:rsidRDefault="001629E3" w:rsidP="001629E3">
      <w:pPr>
        <w:pStyle w:val="ListParagraph"/>
        <w:spacing w:after="0" w:line="240" w:lineRule="auto"/>
        <w:ind w:left="0"/>
        <w:contextualSpacing w:val="0"/>
        <w:jc w:val="both"/>
        <w:rPr>
          <w:rFonts w:cs="Arial"/>
          <w:lang w:val="es-ES"/>
        </w:rPr>
      </w:pPr>
    </w:p>
    <w:p w14:paraId="55283FF6" w14:textId="77777777" w:rsidR="001629E3" w:rsidRDefault="001629E3" w:rsidP="001629E3">
      <w:pPr>
        <w:pStyle w:val="ListParagraph"/>
        <w:numPr>
          <w:ilvl w:val="0"/>
          <w:numId w:val="30"/>
        </w:numPr>
        <w:spacing w:after="0" w:line="240" w:lineRule="auto"/>
        <w:contextualSpacing w:val="0"/>
        <w:jc w:val="both"/>
        <w:rPr>
          <w:rFonts w:cs="Arial"/>
          <w:lang w:val="es-ES"/>
        </w:rPr>
      </w:pPr>
      <w:r w:rsidRPr="00D0409E">
        <w:rPr>
          <w:rFonts w:cs="Arial"/>
          <w:lang w:val="es-ES"/>
        </w:rPr>
        <w:lastRenderedPageBreak/>
        <w:t>Si fuera necesario, ocasionalmente se podría invitar a expertos adicionales interesados en contribuir a los objetivos del Grupo de Trabajo a participar en reuniones o a prestar apoyo en tareas específicas.</w:t>
      </w:r>
    </w:p>
    <w:p w14:paraId="1464A494" w14:textId="77777777" w:rsidR="006724C2" w:rsidRPr="006724C2" w:rsidRDefault="006724C2" w:rsidP="006724C2">
      <w:pPr>
        <w:pStyle w:val="ListParagraph"/>
        <w:rPr>
          <w:rFonts w:cs="Arial"/>
          <w:lang w:val="es-ES"/>
        </w:rPr>
      </w:pPr>
    </w:p>
    <w:p w14:paraId="042A9C29" w14:textId="77777777" w:rsidR="001629E3" w:rsidRPr="00D0409E" w:rsidRDefault="001629E3" w:rsidP="001629E3">
      <w:pPr>
        <w:pStyle w:val="ListParagraph"/>
        <w:spacing w:after="0" w:line="240" w:lineRule="auto"/>
        <w:ind w:left="0"/>
        <w:contextualSpacing w:val="0"/>
        <w:jc w:val="both"/>
        <w:rPr>
          <w:rFonts w:cs="Arial"/>
          <w:b/>
          <w:bCs/>
          <w:iCs/>
          <w:lang w:val="es-ES"/>
        </w:rPr>
      </w:pPr>
      <w:r w:rsidRPr="00D0409E">
        <w:rPr>
          <w:rFonts w:cs="Arial"/>
          <w:b/>
          <w:bCs/>
          <w:iCs/>
          <w:lang w:val="es-ES"/>
        </w:rPr>
        <w:t>Organización del trabajo</w:t>
      </w:r>
    </w:p>
    <w:p w14:paraId="71B57190" w14:textId="77777777" w:rsidR="001629E3" w:rsidRPr="00D0409E" w:rsidRDefault="001629E3" w:rsidP="001629E3">
      <w:pPr>
        <w:pStyle w:val="ListParagraph"/>
        <w:spacing w:after="0" w:line="240" w:lineRule="auto"/>
        <w:ind w:left="0"/>
        <w:contextualSpacing w:val="0"/>
        <w:jc w:val="both"/>
        <w:rPr>
          <w:rFonts w:cs="Arial"/>
          <w:b/>
          <w:bCs/>
          <w:iCs/>
          <w:lang w:val="es-ES"/>
        </w:rPr>
      </w:pPr>
    </w:p>
    <w:p w14:paraId="58D282A5" w14:textId="77777777" w:rsidR="001629E3" w:rsidRPr="00D0409E" w:rsidRDefault="001629E3" w:rsidP="001629E3">
      <w:pPr>
        <w:pStyle w:val="ListParagraph"/>
        <w:numPr>
          <w:ilvl w:val="0"/>
          <w:numId w:val="29"/>
        </w:numPr>
        <w:spacing w:after="0" w:line="240" w:lineRule="auto"/>
        <w:contextualSpacing w:val="0"/>
        <w:jc w:val="both"/>
        <w:rPr>
          <w:rFonts w:cs="Arial"/>
          <w:lang w:val="es-ES"/>
        </w:rPr>
      </w:pPr>
      <w:r w:rsidRPr="00D0409E">
        <w:rPr>
          <w:rFonts w:cs="Arial"/>
          <w:lang w:val="es-ES"/>
        </w:rPr>
        <w:t xml:space="preserve">El Grupo de Trabajo estará </w:t>
      </w:r>
      <w:bookmarkStart w:id="23" w:name="_Hlk75936251"/>
      <w:r w:rsidRPr="00D0409E">
        <w:rPr>
          <w:rFonts w:cs="Arial"/>
          <w:lang w:val="es-ES"/>
        </w:rPr>
        <w:t xml:space="preserve">presidido por el </w:t>
      </w:r>
      <w:proofErr w:type="gramStart"/>
      <w:r w:rsidRPr="00D0409E">
        <w:rPr>
          <w:rFonts w:cs="Arial"/>
          <w:lang w:val="es-ES"/>
        </w:rPr>
        <w:t>Consejero</w:t>
      </w:r>
      <w:proofErr w:type="gramEnd"/>
      <w:r w:rsidRPr="00D0409E">
        <w:rPr>
          <w:rFonts w:cs="Arial"/>
          <w:lang w:val="es-ES"/>
        </w:rPr>
        <w:t xml:space="preserve"> designado </w:t>
      </w:r>
      <w:r w:rsidRPr="00D0409E">
        <w:rPr>
          <w:rFonts w:cs="Arial"/>
          <w:iCs/>
          <w:lang w:val="es-ES"/>
        </w:rPr>
        <w:t>por la COP</w:t>
      </w:r>
      <w:r w:rsidRPr="00D0409E">
        <w:rPr>
          <w:rFonts w:cs="Arial"/>
          <w:lang w:val="es-ES"/>
        </w:rPr>
        <w:t xml:space="preserve"> para</w:t>
      </w:r>
      <w:bookmarkEnd w:id="23"/>
      <w:r w:rsidRPr="00D0409E">
        <w:rPr>
          <w:rFonts w:cs="Arial"/>
          <w:lang w:val="es-ES"/>
        </w:rPr>
        <w:t xml:space="preserve"> los mamíferos acuáticos. Si el presidente tiene que abandonar su cargo, se nombrará a un nuevo presidente de entre los miembros restantes del Consejo Científico del Grupo de Trabajo.  </w:t>
      </w:r>
    </w:p>
    <w:p w14:paraId="1EEACBFC" w14:textId="77777777" w:rsidR="001629E3" w:rsidRPr="00D0409E" w:rsidRDefault="001629E3" w:rsidP="001629E3">
      <w:pPr>
        <w:pStyle w:val="ListParagraph"/>
        <w:spacing w:after="0" w:line="240" w:lineRule="auto"/>
        <w:ind w:left="0"/>
        <w:contextualSpacing w:val="0"/>
        <w:jc w:val="both"/>
        <w:rPr>
          <w:rFonts w:cs="Arial"/>
          <w:lang w:val="es-ES"/>
        </w:rPr>
      </w:pPr>
    </w:p>
    <w:p w14:paraId="30A0466F" w14:textId="77777777" w:rsidR="001629E3" w:rsidRPr="00D0409E" w:rsidRDefault="001629E3" w:rsidP="001629E3">
      <w:pPr>
        <w:pStyle w:val="ListParagraph"/>
        <w:numPr>
          <w:ilvl w:val="0"/>
          <w:numId w:val="29"/>
        </w:numPr>
        <w:spacing w:after="0" w:line="240" w:lineRule="auto"/>
        <w:contextualSpacing w:val="0"/>
        <w:jc w:val="both"/>
        <w:rPr>
          <w:rFonts w:cs="Arial"/>
          <w:lang w:val="es-ES"/>
        </w:rPr>
      </w:pPr>
      <w:r w:rsidRPr="00D0409E">
        <w:rPr>
          <w:rFonts w:cs="Arial"/>
          <w:lang w:val="es-ES"/>
        </w:rPr>
        <w:t xml:space="preserve">El grupo de trabajo operará principalmente por medios electrónicos, utilizando </w:t>
      </w:r>
      <w:r w:rsidRPr="00D0409E">
        <w:rPr>
          <w:rFonts w:cs="Arial"/>
          <w:iCs/>
          <w:lang w:val="es-ES"/>
        </w:rPr>
        <w:t xml:space="preserve">un </w:t>
      </w:r>
      <w:r w:rsidRPr="00D0409E">
        <w:rPr>
          <w:rFonts w:cs="Arial"/>
          <w:lang w:val="es-ES"/>
        </w:rPr>
        <w:t xml:space="preserve">espacio de trabajo específico en MS </w:t>
      </w:r>
      <w:proofErr w:type="spellStart"/>
      <w:r w:rsidRPr="00D0409E">
        <w:rPr>
          <w:rFonts w:cs="Arial"/>
          <w:lang w:val="es-ES"/>
        </w:rPr>
        <w:t>Teams</w:t>
      </w:r>
      <w:proofErr w:type="spellEnd"/>
      <w:r w:rsidRPr="00D0409E">
        <w:rPr>
          <w:rFonts w:cs="Arial"/>
          <w:lang w:val="es-ES"/>
        </w:rPr>
        <w:t xml:space="preserve">, complementado con comunicaciones por correo electrónico si fuera necesario. Las reuniones (presenciales o virtuales) se celebrarán según sea necesario, y las reuniones presenciales </w:t>
      </w:r>
      <w:r w:rsidRPr="00D0409E">
        <w:rPr>
          <w:rFonts w:cs="Arial"/>
          <w:iCs/>
          <w:lang w:val="es-ES"/>
        </w:rPr>
        <w:t>generalmente</w:t>
      </w:r>
      <w:r w:rsidRPr="00D0409E">
        <w:rPr>
          <w:rFonts w:cs="Arial"/>
          <w:lang w:val="es-ES"/>
        </w:rPr>
        <w:t xml:space="preserve"> se celebrarán </w:t>
      </w:r>
      <w:r w:rsidRPr="00D0409E">
        <w:rPr>
          <w:rFonts w:cs="Arial"/>
          <w:iCs/>
          <w:lang w:val="es-ES"/>
        </w:rPr>
        <w:t xml:space="preserve">como parte de </w:t>
      </w:r>
      <w:r w:rsidRPr="00D0409E">
        <w:rPr>
          <w:rFonts w:cs="Arial"/>
          <w:lang w:val="es-ES"/>
        </w:rPr>
        <w:t xml:space="preserve">las reuniones del Comité del Período de Sesiones. </w:t>
      </w:r>
    </w:p>
    <w:p w14:paraId="0FBAD988" w14:textId="77777777" w:rsidR="001629E3" w:rsidRPr="00D0409E" w:rsidRDefault="001629E3" w:rsidP="001629E3">
      <w:pPr>
        <w:pStyle w:val="ListParagraph"/>
        <w:spacing w:after="0" w:line="240" w:lineRule="auto"/>
        <w:ind w:left="0"/>
        <w:contextualSpacing w:val="0"/>
        <w:jc w:val="both"/>
        <w:rPr>
          <w:rFonts w:cs="Arial"/>
          <w:lang w:val="es-ES"/>
        </w:rPr>
      </w:pPr>
    </w:p>
    <w:p w14:paraId="0E37FBA5" w14:textId="77777777" w:rsidR="001629E3" w:rsidRPr="00D0409E" w:rsidRDefault="001629E3" w:rsidP="001629E3">
      <w:pPr>
        <w:pStyle w:val="ListParagraph"/>
        <w:numPr>
          <w:ilvl w:val="0"/>
          <w:numId w:val="29"/>
        </w:numPr>
        <w:spacing w:after="0" w:line="240" w:lineRule="auto"/>
        <w:contextualSpacing w:val="0"/>
        <w:jc w:val="both"/>
        <w:rPr>
          <w:rFonts w:cs="Arial"/>
          <w:lang w:val="es-ES"/>
        </w:rPr>
      </w:pPr>
      <w:r w:rsidRPr="00D0409E">
        <w:rPr>
          <w:rFonts w:cs="Arial"/>
          <w:lang w:val="es-ES"/>
        </w:rPr>
        <w:t xml:space="preserve">El presidente del Grupo de Trabajo informará sobre los avances al Comité del Período de Sesiones. </w:t>
      </w:r>
    </w:p>
    <w:p w14:paraId="14BD9620" w14:textId="77777777" w:rsidR="001629E3" w:rsidRPr="00D0409E" w:rsidRDefault="001629E3" w:rsidP="001629E3">
      <w:pPr>
        <w:pStyle w:val="ListParagraph"/>
        <w:spacing w:after="0" w:line="240" w:lineRule="auto"/>
        <w:ind w:left="0"/>
        <w:contextualSpacing w:val="0"/>
        <w:jc w:val="both"/>
        <w:rPr>
          <w:rFonts w:cs="Arial"/>
          <w:lang w:val="es-ES"/>
        </w:rPr>
      </w:pPr>
    </w:p>
    <w:p w14:paraId="48351168" w14:textId="77777777" w:rsidR="001629E3" w:rsidRPr="00D0409E" w:rsidRDefault="001629E3" w:rsidP="001629E3">
      <w:pPr>
        <w:pStyle w:val="ListParagraph"/>
        <w:numPr>
          <w:ilvl w:val="0"/>
          <w:numId w:val="29"/>
        </w:numPr>
        <w:spacing w:after="0" w:line="240" w:lineRule="auto"/>
        <w:contextualSpacing w:val="0"/>
        <w:jc w:val="both"/>
        <w:rPr>
          <w:rFonts w:cs="Arial"/>
          <w:lang w:val="es-ES"/>
        </w:rPr>
      </w:pPr>
      <w:r w:rsidRPr="00D0409E">
        <w:rPr>
          <w:rFonts w:cs="Arial"/>
          <w:lang w:val="es-ES"/>
        </w:rPr>
        <w:t xml:space="preserve">La Secretaría apoyará y facilitará la coordinación de las actividades y la organización de las reuniones del Grupo de Trabajo. </w:t>
      </w:r>
    </w:p>
    <w:p w14:paraId="36E99D12" w14:textId="77777777" w:rsidR="001629E3" w:rsidRPr="00D0409E" w:rsidRDefault="001629E3" w:rsidP="001629E3">
      <w:pPr>
        <w:pStyle w:val="ListParagraph"/>
        <w:spacing w:after="0" w:line="240" w:lineRule="auto"/>
        <w:ind w:left="0"/>
        <w:contextualSpacing w:val="0"/>
        <w:jc w:val="both"/>
        <w:rPr>
          <w:rFonts w:cs="Arial"/>
          <w:b/>
          <w:lang w:val="es-ES"/>
        </w:rPr>
      </w:pPr>
    </w:p>
    <w:p w14:paraId="3B3B90A9" w14:textId="77777777" w:rsidR="001629E3" w:rsidRPr="00D0409E" w:rsidRDefault="001629E3" w:rsidP="001629E3">
      <w:pPr>
        <w:pStyle w:val="ListParagraph"/>
        <w:spacing w:after="0" w:line="240" w:lineRule="auto"/>
        <w:ind w:left="0"/>
        <w:contextualSpacing w:val="0"/>
        <w:jc w:val="both"/>
        <w:rPr>
          <w:rFonts w:cs="Arial"/>
          <w:b/>
          <w:bCs/>
          <w:iCs/>
          <w:lang w:val="es-ES"/>
        </w:rPr>
      </w:pPr>
      <w:r w:rsidRPr="00D0409E">
        <w:rPr>
          <w:rFonts w:cs="Arial"/>
          <w:b/>
          <w:bCs/>
          <w:iCs/>
          <w:lang w:val="es-ES"/>
        </w:rPr>
        <w:t>Duración</w:t>
      </w:r>
    </w:p>
    <w:p w14:paraId="7729640E" w14:textId="77777777" w:rsidR="001629E3" w:rsidRPr="00D0409E" w:rsidRDefault="001629E3" w:rsidP="001629E3">
      <w:pPr>
        <w:spacing w:after="0" w:line="240" w:lineRule="auto"/>
        <w:rPr>
          <w:rFonts w:cs="Arial"/>
          <w:iCs/>
          <w:lang w:val="es-ES"/>
        </w:rPr>
      </w:pPr>
    </w:p>
    <w:p w14:paraId="1B4C5F57" w14:textId="09F063ED" w:rsidR="00EF0155" w:rsidRPr="001629E3" w:rsidRDefault="001629E3" w:rsidP="001629E3">
      <w:pPr>
        <w:spacing w:after="0" w:line="240" w:lineRule="auto"/>
        <w:rPr>
          <w:rFonts w:cs="Arial"/>
          <w:iCs/>
          <w:lang w:val="es-ES"/>
        </w:rPr>
      </w:pPr>
      <w:r w:rsidRPr="00D0409E">
        <w:rPr>
          <w:rFonts w:cs="Arial"/>
          <w:iCs/>
          <w:lang w:val="es-ES"/>
        </w:rPr>
        <w:t>La duración del Grupo de Trabajo es indefinida</w:t>
      </w:r>
      <w:r w:rsidR="00EF0155" w:rsidRPr="001629E3">
        <w:rPr>
          <w:rFonts w:cs="Arial"/>
          <w:iCs/>
          <w:lang w:val="es-ES"/>
        </w:rPr>
        <w:t>.</w:t>
      </w:r>
    </w:p>
    <w:p w14:paraId="431FF8F0" w14:textId="77777777" w:rsidR="00EF0155" w:rsidRPr="001629E3" w:rsidRDefault="00EF0155" w:rsidP="00EF0155">
      <w:pPr>
        <w:pStyle w:val="Secondnumbering"/>
        <w:numPr>
          <w:ilvl w:val="0"/>
          <w:numId w:val="0"/>
        </w:numPr>
        <w:ind w:left="360" w:hanging="360"/>
        <w:jc w:val="both"/>
        <w:rPr>
          <w:lang w:val="es-ES"/>
        </w:rPr>
      </w:pPr>
    </w:p>
    <w:p w14:paraId="6F8E24A5" w14:textId="77777777" w:rsidR="00EF0155" w:rsidRPr="001629E3" w:rsidRDefault="00EF0155" w:rsidP="00EF0155">
      <w:pPr>
        <w:pStyle w:val="Secondnumbering"/>
        <w:numPr>
          <w:ilvl w:val="0"/>
          <w:numId w:val="0"/>
        </w:numPr>
        <w:ind w:left="360" w:hanging="360"/>
        <w:jc w:val="both"/>
        <w:rPr>
          <w:lang w:val="es-ES"/>
        </w:rPr>
        <w:sectPr w:rsidR="00EF0155" w:rsidRPr="001629E3" w:rsidSect="00323406">
          <w:headerReference w:type="even" r:id="rId71"/>
          <w:headerReference w:type="first" r:id="rId72"/>
          <w:pgSz w:w="11906" w:h="16838" w:code="9"/>
          <w:pgMar w:top="1440" w:right="1440" w:bottom="1440" w:left="1440" w:header="720" w:footer="720" w:gutter="0"/>
          <w:cols w:space="720"/>
          <w:titlePg/>
          <w:docGrid w:linePitch="360"/>
        </w:sectPr>
      </w:pPr>
    </w:p>
    <w:p w14:paraId="7F102C22" w14:textId="30D091C4" w:rsidR="00D86F81" w:rsidRPr="00D0409E" w:rsidRDefault="00D86F81" w:rsidP="00D86F81">
      <w:pPr>
        <w:pStyle w:val="Heading1"/>
        <w:jc w:val="right"/>
        <w:rPr>
          <w:lang w:val="es-ES"/>
        </w:rPr>
      </w:pPr>
      <w:bookmarkStart w:id="24" w:name="_Toc201243937"/>
      <w:bookmarkStart w:id="25" w:name="_Toc201244178"/>
      <w:r w:rsidRPr="00D0409E">
        <w:rPr>
          <w:lang w:val="es-ES"/>
        </w:rPr>
        <w:lastRenderedPageBreak/>
        <w:t xml:space="preserve">ANEXO </w:t>
      </w:r>
      <w:bookmarkEnd w:id="24"/>
      <w:bookmarkEnd w:id="25"/>
      <w:r w:rsidR="003A3805">
        <w:rPr>
          <w:lang w:val="es-ES"/>
        </w:rPr>
        <w:t>6</w:t>
      </w:r>
    </w:p>
    <w:p w14:paraId="2A7A00C6" w14:textId="77777777" w:rsidR="00D86F81" w:rsidRDefault="00D86F81" w:rsidP="00D86F81">
      <w:pPr>
        <w:spacing w:after="0" w:line="240" w:lineRule="auto"/>
        <w:rPr>
          <w:rFonts w:cs="Arial"/>
          <w:lang w:val="es-ES"/>
        </w:rPr>
      </w:pPr>
    </w:p>
    <w:p w14:paraId="14AA5103" w14:textId="77777777" w:rsidR="006724C2" w:rsidRPr="00D0409E" w:rsidRDefault="006724C2" w:rsidP="00D86F81">
      <w:pPr>
        <w:spacing w:after="0" w:line="240" w:lineRule="auto"/>
        <w:rPr>
          <w:rFonts w:cs="Arial"/>
          <w:lang w:val="es-ES"/>
        </w:rPr>
      </w:pPr>
    </w:p>
    <w:p w14:paraId="257C7F7A" w14:textId="77777777" w:rsidR="00D86F81" w:rsidRPr="00D0409E" w:rsidRDefault="00D86F81" w:rsidP="00D86F8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es-ES"/>
        </w:rPr>
      </w:pPr>
      <w:bookmarkStart w:id="26" w:name="_Toc201154092"/>
      <w:bookmarkStart w:id="27" w:name="_Toc201243938"/>
      <w:r w:rsidRPr="00D0409E">
        <w:rPr>
          <w:rFonts w:cs="Arial"/>
          <w:bCs/>
          <w:caps/>
          <w:lang w:val="es-ES"/>
        </w:rPr>
        <w:t>PROYECTOS DE DECISIÓN</w:t>
      </w:r>
      <w:bookmarkEnd w:id="26"/>
      <w:bookmarkEnd w:id="27"/>
    </w:p>
    <w:p w14:paraId="3433331A" w14:textId="77777777" w:rsidR="00D86F81" w:rsidRPr="00D0409E" w:rsidRDefault="00D86F81" w:rsidP="00D86F81">
      <w:pPr>
        <w:spacing w:after="0" w:line="240" w:lineRule="auto"/>
        <w:jc w:val="both"/>
        <w:rPr>
          <w:rFonts w:cs="Arial"/>
          <w:i/>
          <w:lang w:val="es-ES"/>
        </w:rPr>
      </w:pPr>
    </w:p>
    <w:p w14:paraId="2B3C46BC" w14:textId="77777777" w:rsidR="00D86F81" w:rsidRPr="00D0409E" w:rsidRDefault="00D86F81" w:rsidP="00D86F81">
      <w:pPr>
        <w:pStyle w:val="Firstnumbering"/>
        <w:numPr>
          <w:ilvl w:val="0"/>
          <w:numId w:val="0"/>
        </w:numPr>
        <w:ind w:left="567" w:hanging="567"/>
        <w:jc w:val="center"/>
        <w:rPr>
          <w:b/>
          <w:bCs/>
          <w:lang w:val="es-ES"/>
        </w:rPr>
      </w:pPr>
      <w:r w:rsidRPr="00D0409E">
        <w:rPr>
          <w:b/>
          <w:bCs/>
          <w:lang w:val="es-ES"/>
        </w:rPr>
        <w:t>PRIORIDADES DE CONSERVACIÓN PARA LOS CETÁCEOS</w:t>
      </w:r>
    </w:p>
    <w:p w14:paraId="42726F6A" w14:textId="77777777" w:rsidR="00D86F81" w:rsidRPr="00D0409E" w:rsidRDefault="00D86F81" w:rsidP="00D86F81">
      <w:pPr>
        <w:spacing w:after="0" w:line="240" w:lineRule="auto"/>
        <w:jc w:val="both"/>
        <w:rPr>
          <w:rFonts w:cs="Arial"/>
          <w:lang w:val="es-ES"/>
        </w:rPr>
      </w:pPr>
    </w:p>
    <w:p w14:paraId="3B291C89" w14:textId="77777777" w:rsidR="00D86F81" w:rsidRPr="00D0409E" w:rsidRDefault="00D86F81" w:rsidP="00D86F81">
      <w:pPr>
        <w:spacing w:after="0" w:line="240" w:lineRule="auto"/>
        <w:jc w:val="both"/>
        <w:rPr>
          <w:rFonts w:cs="Arial"/>
          <w:lang w:val="es-ES"/>
        </w:rPr>
      </w:pPr>
    </w:p>
    <w:p w14:paraId="3338843E" w14:textId="77777777" w:rsidR="00D86F81" w:rsidRPr="00D0409E" w:rsidRDefault="00D86F81" w:rsidP="00D86F81">
      <w:pPr>
        <w:spacing w:after="0" w:line="240" w:lineRule="auto"/>
        <w:jc w:val="both"/>
        <w:rPr>
          <w:rFonts w:cs="Arial"/>
          <w:b/>
          <w:i/>
          <w:lang w:val="es-ES"/>
        </w:rPr>
      </w:pPr>
      <w:r w:rsidRPr="00D0409E">
        <w:rPr>
          <w:rFonts w:cs="Arial"/>
          <w:b/>
          <w:i/>
          <w:lang w:val="es-ES"/>
        </w:rPr>
        <w:t>Dirigido a las Partes</w:t>
      </w:r>
    </w:p>
    <w:p w14:paraId="1A361B83" w14:textId="77777777" w:rsidR="00D86F81" w:rsidRPr="00D0409E" w:rsidRDefault="00D86F81" w:rsidP="00D86F81">
      <w:pPr>
        <w:spacing w:after="0" w:line="240" w:lineRule="auto"/>
        <w:jc w:val="both"/>
        <w:rPr>
          <w:rFonts w:cs="Arial"/>
          <w:b/>
          <w:i/>
          <w:lang w:val="es-ES"/>
        </w:rPr>
      </w:pPr>
    </w:p>
    <w:p w14:paraId="28CA3407" w14:textId="77777777" w:rsidR="00D86F81" w:rsidRPr="00D0409E" w:rsidRDefault="00D86F81" w:rsidP="009E5B47">
      <w:pPr>
        <w:spacing w:after="0" w:line="240" w:lineRule="auto"/>
        <w:ind w:left="900" w:hanging="900"/>
        <w:jc w:val="both"/>
        <w:rPr>
          <w:rFonts w:cs="Arial"/>
          <w:bCs/>
          <w:iCs/>
          <w:lang w:val="es-ES"/>
        </w:rPr>
      </w:pPr>
      <w:r w:rsidRPr="00D0409E">
        <w:rPr>
          <w:rFonts w:cs="Arial"/>
          <w:bCs/>
          <w:iCs/>
          <w:lang w:val="es-ES"/>
        </w:rPr>
        <w:t>15.AA</w:t>
      </w:r>
      <w:r w:rsidRPr="00D0409E">
        <w:rPr>
          <w:rFonts w:cs="Arial"/>
          <w:bCs/>
          <w:iCs/>
          <w:lang w:val="es-ES"/>
        </w:rPr>
        <w:tab/>
        <w:t>Se insta a las Partes a:</w:t>
      </w:r>
    </w:p>
    <w:p w14:paraId="703AB64C" w14:textId="77777777" w:rsidR="00D86F81" w:rsidRPr="00D0409E" w:rsidRDefault="00D86F81" w:rsidP="00D86F81">
      <w:pPr>
        <w:spacing w:after="0" w:line="240" w:lineRule="auto"/>
        <w:jc w:val="both"/>
        <w:rPr>
          <w:rFonts w:cs="Arial"/>
          <w:bCs/>
          <w:iCs/>
          <w:lang w:val="es-ES"/>
        </w:rPr>
      </w:pPr>
    </w:p>
    <w:p w14:paraId="177085F0" w14:textId="77777777" w:rsidR="00D86F81" w:rsidRPr="00D0409E" w:rsidRDefault="00D86F81" w:rsidP="009E5B47">
      <w:pPr>
        <w:pStyle w:val="ListParagraph"/>
        <w:numPr>
          <w:ilvl w:val="0"/>
          <w:numId w:val="32"/>
        </w:numPr>
        <w:spacing w:after="0" w:line="240" w:lineRule="auto"/>
        <w:ind w:left="1530" w:hanging="630"/>
        <w:contextualSpacing w:val="0"/>
        <w:jc w:val="both"/>
        <w:rPr>
          <w:rFonts w:cs="Arial"/>
          <w:bCs/>
          <w:iCs/>
          <w:lang w:val="es-ES"/>
        </w:rPr>
      </w:pPr>
      <w:r w:rsidRPr="00D0409E">
        <w:rPr>
          <w:rFonts w:cs="Arial"/>
          <w:bCs/>
          <w:iCs/>
          <w:lang w:val="es-ES"/>
        </w:rPr>
        <w:t>incluir a los cetáceos en sus respectivas Estrategias y Planes de Acción Nacionales sobre Biodiversidad, y garantizar que los objetivos y metas del Marco Mundial para la Biodiversidad de Kunming-Montreal se apliquen de manera que se alineen de manera positiva con las prioridades de conservación de los cetáceos;</w:t>
      </w:r>
    </w:p>
    <w:p w14:paraId="52CEF345" w14:textId="77777777" w:rsidR="00D86F81" w:rsidRPr="00D0409E" w:rsidRDefault="00D86F81" w:rsidP="009E5B47">
      <w:pPr>
        <w:pStyle w:val="ListParagraph"/>
        <w:spacing w:after="0" w:line="240" w:lineRule="auto"/>
        <w:ind w:left="1530" w:hanging="630"/>
        <w:contextualSpacing w:val="0"/>
        <w:rPr>
          <w:rFonts w:cs="Arial"/>
          <w:bCs/>
          <w:iCs/>
          <w:lang w:val="es-ES"/>
        </w:rPr>
      </w:pPr>
    </w:p>
    <w:p w14:paraId="685788E9" w14:textId="77777777" w:rsidR="00D86F81" w:rsidRPr="00D0409E" w:rsidRDefault="00D86F81" w:rsidP="009E5B47">
      <w:pPr>
        <w:pStyle w:val="ListParagraph"/>
        <w:numPr>
          <w:ilvl w:val="0"/>
          <w:numId w:val="32"/>
        </w:numPr>
        <w:spacing w:after="0" w:line="240" w:lineRule="auto"/>
        <w:ind w:left="1530" w:hanging="630"/>
        <w:contextualSpacing w:val="0"/>
        <w:jc w:val="both"/>
        <w:rPr>
          <w:rFonts w:cs="Arial"/>
          <w:bCs/>
          <w:iCs/>
          <w:lang w:val="es-ES"/>
        </w:rPr>
      </w:pPr>
      <w:r w:rsidRPr="00D0409E">
        <w:rPr>
          <w:rFonts w:cs="Arial"/>
          <w:bCs/>
          <w:iCs/>
          <w:lang w:val="es-ES"/>
        </w:rPr>
        <w:t>evaluar si se produce alguna captura de cetáceos incluidos en el Apéndice I dentro de su jurisdicción y, en caso afirmativo, examinar y aplicar, según proceda, las recomendaciones que figuran en el Anexo 1 del documento UNEP/CMS/COP15/Doc.25.4.1 para hacer frente a esta situación;</w:t>
      </w:r>
    </w:p>
    <w:p w14:paraId="012C539A" w14:textId="77777777" w:rsidR="00D86F81" w:rsidRPr="00D0409E" w:rsidRDefault="00D86F81" w:rsidP="009E5B47">
      <w:pPr>
        <w:pStyle w:val="ListParagraph"/>
        <w:spacing w:after="0" w:line="240" w:lineRule="auto"/>
        <w:ind w:left="1530" w:hanging="630"/>
        <w:contextualSpacing w:val="0"/>
        <w:rPr>
          <w:rFonts w:cs="Arial"/>
          <w:bCs/>
          <w:iCs/>
          <w:lang w:val="es-ES"/>
        </w:rPr>
      </w:pPr>
    </w:p>
    <w:p w14:paraId="1C8FDF37" w14:textId="77777777" w:rsidR="00D86F81" w:rsidRPr="00D0409E" w:rsidRDefault="00D86F81" w:rsidP="009E5B47">
      <w:pPr>
        <w:pStyle w:val="ListParagraph"/>
        <w:widowControl w:val="0"/>
        <w:numPr>
          <w:ilvl w:val="0"/>
          <w:numId w:val="32"/>
        </w:numPr>
        <w:autoSpaceDE w:val="0"/>
        <w:autoSpaceDN w:val="0"/>
        <w:adjustRightInd w:val="0"/>
        <w:spacing w:after="0" w:line="240" w:lineRule="auto"/>
        <w:ind w:left="1530" w:hanging="630"/>
        <w:contextualSpacing w:val="0"/>
        <w:jc w:val="both"/>
        <w:rPr>
          <w:rFonts w:cs="Arial"/>
          <w:lang w:val="es-ES"/>
        </w:rPr>
      </w:pPr>
      <w:r w:rsidRPr="00D0409E">
        <w:rPr>
          <w:rFonts w:cs="Arial"/>
          <w:lang w:val="es-ES"/>
        </w:rPr>
        <w:t>aumentar los esfuerzos de recopilación de datos sobre todas las especies incluidas en el Apéndice I de la CMS de las que son Estados del área de distribución, en particular sobre la abundancia y las tendencias de las poblaciones, los patrones migratorios y el comercio nacional y regional, con el fin de comprender mejor en qué medida las poblaciones están sujetas a capturas contemporáneas y otras amenazas;</w:t>
      </w:r>
    </w:p>
    <w:p w14:paraId="5672F129" w14:textId="77777777" w:rsidR="00D86F81" w:rsidRPr="00D0409E" w:rsidRDefault="00D86F81" w:rsidP="009E5B47">
      <w:pPr>
        <w:pStyle w:val="ListParagraph"/>
        <w:spacing w:after="0" w:line="240" w:lineRule="auto"/>
        <w:ind w:left="1530" w:hanging="630"/>
        <w:contextualSpacing w:val="0"/>
        <w:rPr>
          <w:rFonts w:cs="Arial"/>
          <w:lang w:val="es-ES"/>
        </w:rPr>
      </w:pPr>
    </w:p>
    <w:p w14:paraId="129A8F5F" w14:textId="6E5A612A" w:rsidR="00D86F81" w:rsidRPr="00D0409E" w:rsidRDefault="00D86F81" w:rsidP="009E5B47">
      <w:pPr>
        <w:pStyle w:val="ListParagraph"/>
        <w:numPr>
          <w:ilvl w:val="0"/>
          <w:numId w:val="32"/>
        </w:numPr>
        <w:spacing w:after="0" w:line="240" w:lineRule="auto"/>
        <w:ind w:left="1530" w:hanging="630"/>
        <w:contextualSpacing w:val="0"/>
        <w:jc w:val="both"/>
        <w:rPr>
          <w:rFonts w:cs="Arial"/>
          <w:bCs/>
          <w:iCs/>
          <w:lang w:val="es-ES"/>
        </w:rPr>
      </w:pPr>
      <w:r w:rsidRPr="00D0409E">
        <w:rPr>
          <w:rFonts w:cs="Arial"/>
          <w:bCs/>
          <w:iCs/>
          <w:lang w:val="es-ES"/>
        </w:rPr>
        <w:t xml:space="preserve">evaluar en qué medida el bienestar </w:t>
      </w:r>
      <w:r w:rsidR="00713CA4">
        <w:rPr>
          <w:rFonts w:cs="Arial"/>
          <w:bCs/>
          <w:iCs/>
          <w:lang w:val="es-ES"/>
        </w:rPr>
        <w:t xml:space="preserve">y </w:t>
      </w:r>
      <w:r w:rsidR="00DD73A2">
        <w:rPr>
          <w:rFonts w:cs="Arial"/>
          <w:bCs/>
          <w:iCs/>
          <w:lang w:val="es-ES"/>
        </w:rPr>
        <w:t xml:space="preserve">la </w:t>
      </w:r>
      <w:r w:rsidR="00713CA4">
        <w:rPr>
          <w:rFonts w:cs="Arial"/>
          <w:bCs/>
          <w:iCs/>
          <w:lang w:val="es-ES"/>
        </w:rPr>
        <w:t>conservación</w:t>
      </w:r>
      <w:r w:rsidR="00DD73A2">
        <w:rPr>
          <w:rFonts w:cs="Arial"/>
          <w:bCs/>
          <w:iCs/>
          <w:lang w:val="es-ES"/>
        </w:rPr>
        <w:t xml:space="preserve"> </w:t>
      </w:r>
      <w:r w:rsidRPr="00D0409E">
        <w:rPr>
          <w:rFonts w:cs="Arial"/>
          <w:bCs/>
          <w:iCs/>
          <w:lang w:val="es-ES"/>
        </w:rPr>
        <w:t>de los cetáceos que se encuentran dentro de su jurisdicción se ve afectado por el cambio climático, y examinar y aplicar, según proceda, las recomendaciones que figuran en el Anexo 2 del documento UNEP/CMS/COP15/Doc.25.4.1 para abordar esta cuestión;</w:t>
      </w:r>
    </w:p>
    <w:p w14:paraId="4E7AE6A9" w14:textId="77777777" w:rsidR="00D86F81" w:rsidRPr="00D0409E" w:rsidRDefault="00D86F81" w:rsidP="009E5B47">
      <w:pPr>
        <w:pStyle w:val="ListParagraph"/>
        <w:spacing w:after="0" w:line="240" w:lineRule="auto"/>
        <w:ind w:left="1530" w:hanging="630"/>
        <w:contextualSpacing w:val="0"/>
        <w:rPr>
          <w:rFonts w:cs="Arial"/>
          <w:bCs/>
          <w:iCs/>
          <w:lang w:val="es-ES"/>
        </w:rPr>
      </w:pPr>
    </w:p>
    <w:p w14:paraId="5BEFAF3E" w14:textId="3C42091A" w:rsidR="00D86F81" w:rsidRPr="00D0409E" w:rsidRDefault="00D86F81" w:rsidP="009E5B47">
      <w:pPr>
        <w:pStyle w:val="ListParagraph"/>
        <w:numPr>
          <w:ilvl w:val="0"/>
          <w:numId w:val="32"/>
        </w:numPr>
        <w:spacing w:after="0" w:line="240" w:lineRule="auto"/>
        <w:ind w:left="1530" w:hanging="630"/>
        <w:contextualSpacing w:val="0"/>
        <w:jc w:val="both"/>
        <w:rPr>
          <w:rFonts w:cs="Arial"/>
          <w:bCs/>
          <w:iCs/>
          <w:lang w:val="es-ES"/>
        </w:rPr>
      </w:pPr>
      <w:r w:rsidRPr="00D0409E">
        <w:rPr>
          <w:rFonts w:cs="Arial"/>
          <w:bCs/>
          <w:iCs/>
          <w:lang w:val="es-ES"/>
        </w:rPr>
        <w:t xml:space="preserve">prepararse con antelación para la aparición de cetáceos fuera de su hábitat mediante la creación de protocolos que abarquen temas como la comunicación, la consulta a las partes interesadas, la formación de los equipos de respuesta y la resolución de conflictos entre seres humanos y fauna silvestre (HWC), teniendo en cuenta, según proceda, las recomendaciones incluidas en el </w:t>
      </w:r>
      <w:r w:rsidR="00E96DAB">
        <w:rPr>
          <w:rFonts w:cs="Arial"/>
          <w:bCs/>
          <w:iCs/>
          <w:lang w:val="es-ES"/>
        </w:rPr>
        <w:t xml:space="preserve">Anexo 3 del documento </w:t>
      </w:r>
      <w:r w:rsidRPr="00D0409E">
        <w:rPr>
          <w:rFonts w:cs="Arial"/>
          <w:bCs/>
          <w:iCs/>
          <w:lang w:val="es-ES"/>
        </w:rPr>
        <w:t>UNEP/CMS/COP15/</w:t>
      </w:r>
      <w:r w:rsidR="00E96DAB">
        <w:rPr>
          <w:rFonts w:cs="Arial"/>
          <w:lang w:val="es-ES"/>
        </w:rPr>
        <w:t>Doc</w:t>
      </w:r>
      <w:r w:rsidRPr="00D0409E">
        <w:rPr>
          <w:rFonts w:cs="Arial"/>
          <w:lang w:val="es-ES"/>
        </w:rPr>
        <w:t>.25.4.1</w:t>
      </w:r>
      <w:r w:rsidRPr="00D0409E">
        <w:rPr>
          <w:rFonts w:cs="Arial"/>
          <w:bCs/>
          <w:iCs/>
          <w:lang w:val="es-ES"/>
        </w:rPr>
        <w:t xml:space="preserve">. </w:t>
      </w:r>
    </w:p>
    <w:p w14:paraId="1522D32A" w14:textId="77777777" w:rsidR="00D86F81" w:rsidRPr="00D0409E" w:rsidRDefault="00D86F81" w:rsidP="00D86F81">
      <w:pPr>
        <w:spacing w:after="0" w:line="240" w:lineRule="auto"/>
        <w:jc w:val="both"/>
        <w:rPr>
          <w:rFonts w:cs="Arial"/>
          <w:lang w:val="es-ES"/>
        </w:rPr>
      </w:pPr>
    </w:p>
    <w:p w14:paraId="740BAC79" w14:textId="77777777" w:rsidR="00D86F81" w:rsidRPr="00D0409E" w:rsidRDefault="00D86F81" w:rsidP="00D86F81">
      <w:pPr>
        <w:spacing w:after="0" w:line="240" w:lineRule="auto"/>
        <w:jc w:val="both"/>
        <w:rPr>
          <w:rFonts w:cs="Arial"/>
          <w:lang w:val="es-ES"/>
        </w:rPr>
      </w:pPr>
      <w:r w:rsidRPr="00D0409E">
        <w:rPr>
          <w:rFonts w:cs="Arial"/>
          <w:b/>
          <w:i/>
          <w:lang w:val="es-ES"/>
        </w:rPr>
        <w:t xml:space="preserve">Dirigido al Consejo Científico </w:t>
      </w:r>
    </w:p>
    <w:p w14:paraId="7EE4A353" w14:textId="77777777" w:rsidR="00D86F81" w:rsidRPr="00D0409E" w:rsidRDefault="00D86F81" w:rsidP="00D86F81">
      <w:pPr>
        <w:spacing w:after="0" w:line="240" w:lineRule="auto"/>
        <w:jc w:val="both"/>
        <w:rPr>
          <w:rFonts w:cs="Arial"/>
          <w:lang w:val="es-ES"/>
        </w:rPr>
      </w:pPr>
    </w:p>
    <w:p w14:paraId="245AB3A5" w14:textId="77777777" w:rsidR="00D86F81" w:rsidRPr="00D0409E" w:rsidRDefault="00D86F81" w:rsidP="009A7457">
      <w:pPr>
        <w:spacing w:after="0" w:line="240" w:lineRule="auto"/>
        <w:ind w:left="900" w:hanging="900"/>
        <w:jc w:val="both"/>
        <w:rPr>
          <w:rFonts w:cs="Arial"/>
          <w:lang w:val="es-ES"/>
        </w:rPr>
      </w:pPr>
      <w:r w:rsidRPr="00D0409E">
        <w:rPr>
          <w:rFonts w:cs="Arial"/>
          <w:lang w:val="es-ES"/>
        </w:rPr>
        <w:t>15.BB</w:t>
      </w:r>
      <w:r w:rsidRPr="00D0409E">
        <w:rPr>
          <w:rFonts w:cs="Arial"/>
          <w:lang w:val="es-ES"/>
        </w:rPr>
        <w:tab/>
        <w:t>Se solicita al Consejo Científico, sujeto a la disponibilidad de recursos y, cuando proceda, con el apoyo del Grupo de Trabajo sobre Mamíferos Acuáticos, que:</w:t>
      </w:r>
    </w:p>
    <w:p w14:paraId="46AA8A99" w14:textId="77777777" w:rsidR="00D86F81" w:rsidRPr="00D0409E" w:rsidRDefault="00D86F81" w:rsidP="00D86F81">
      <w:pPr>
        <w:spacing w:after="0" w:line="240" w:lineRule="auto"/>
        <w:ind w:left="720" w:hanging="720"/>
        <w:jc w:val="both"/>
        <w:rPr>
          <w:rFonts w:cs="Arial"/>
          <w:lang w:val="es-ES"/>
        </w:rPr>
      </w:pPr>
    </w:p>
    <w:p w14:paraId="1793D844" w14:textId="77777777" w:rsidR="00D86F81" w:rsidRPr="00D0409E" w:rsidRDefault="00D86F81" w:rsidP="009A7457">
      <w:pPr>
        <w:pStyle w:val="ListParagraph"/>
        <w:numPr>
          <w:ilvl w:val="1"/>
          <w:numId w:val="33"/>
        </w:numPr>
        <w:spacing w:after="0" w:line="240" w:lineRule="auto"/>
        <w:ind w:left="1440" w:hanging="540"/>
        <w:contextualSpacing w:val="0"/>
        <w:jc w:val="both"/>
        <w:rPr>
          <w:lang w:val="es-ES"/>
        </w:rPr>
      </w:pPr>
      <w:r w:rsidRPr="00D0409E">
        <w:rPr>
          <w:lang w:val="es-ES"/>
        </w:rPr>
        <w:t>sintetice la investigación en comprensión emergente de cómo el bienestar de los cetáceos puede afectar a los resultados de conservación, y hacer recomendaciones a las Partes;</w:t>
      </w:r>
    </w:p>
    <w:p w14:paraId="1DDC6386" w14:textId="77777777" w:rsidR="00D86F81" w:rsidRPr="00D0409E" w:rsidRDefault="00D86F81" w:rsidP="009A7457">
      <w:pPr>
        <w:pStyle w:val="ListParagraph"/>
        <w:spacing w:after="0" w:line="240" w:lineRule="auto"/>
        <w:ind w:left="1440" w:hanging="540"/>
        <w:contextualSpacing w:val="0"/>
        <w:jc w:val="both"/>
        <w:rPr>
          <w:lang w:val="es-ES"/>
        </w:rPr>
      </w:pPr>
    </w:p>
    <w:p w14:paraId="2AE2D5B6" w14:textId="77777777" w:rsidR="00D86F81" w:rsidRPr="00D0409E" w:rsidRDefault="00D86F81" w:rsidP="009A7457">
      <w:pPr>
        <w:pStyle w:val="ListParagraph"/>
        <w:numPr>
          <w:ilvl w:val="1"/>
          <w:numId w:val="33"/>
        </w:numPr>
        <w:spacing w:after="0" w:line="240" w:lineRule="auto"/>
        <w:ind w:left="1440" w:hanging="540"/>
        <w:contextualSpacing w:val="0"/>
        <w:jc w:val="both"/>
        <w:rPr>
          <w:lang w:val="es-ES"/>
        </w:rPr>
      </w:pPr>
      <w:r w:rsidRPr="00D0409E">
        <w:rPr>
          <w:lang w:val="es-ES"/>
        </w:rPr>
        <w:lastRenderedPageBreak/>
        <w:t>en colaboración con la CBI, examine los efectos del cambio climático en la conservación y el bienestar de los cetáceos, y formule recomendaciones a las Partes;</w:t>
      </w:r>
    </w:p>
    <w:p w14:paraId="5B2D6C46" w14:textId="77777777" w:rsidR="00D86F81" w:rsidRPr="00D0409E" w:rsidRDefault="00D86F81" w:rsidP="009A7457">
      <w:pPr>
        <w:pStyle w:val="ListParagraph"/>
        <w:spacing w:after="0" w:line="240" w:lineRule="auto"/>
        <w:ind w:left="1440" w:hanging="540"/>
        <w:contextualSpacing w:val="0"/>
        <w:jc w:val="both"/>
        <w:rPr>
          <w:lang w:val="es-ES"/>
        </w:rPr>
      </w:pPr>
    </w:p>
    <w:p w14:paraId="789FAC5E" w14:textId="77777777" w:rsidR="00D86F81" w:rsidRPr="00D0409E" w:rsidRDefault="00D86F81" w:rsidP="009A7457">
      <w:pPr>
        <w:pStyle w:val="ListParagraph"/>
        <w:numPr>
          <w:ilvl w:val="1"/>
          <w:numId w:val="33"/>
        </w:numPr>
        <w:spacing w:after="0" w:line="240" w:lineRule="auto"/>
        <w:ind w:left="1440" w:hanging="540"/>
        <w:contextualSpacing w:val="0"/>
        <w:jc w:val="both"/>
        <w:rPr>
          <w:lang w:val="es-ES"/>
        </w:rPr>
      </w:pPr>
      <w:r w:rsidRPr="00D0409E">
        <w:rPr>
          <w:rFonts w:cs="Arial"/>
          <w:lang w:val="es-ES"/>
        </w:rPr>
        <w:t>investigue los efectos de la muerte masiva de cetáceos relacionada con la presencia de toxinas de algas y formule recomendaciones a las Partes;</w:t>
      </w:r>
    </w:p>
    <w:p w14:paraId="20A4846B" w14:textId="77777777" w:rsidR="00D86F81" w:rsidRPr="00D0409E" w:rsidRDefault="00D86F81" w:rsidP="009A7457">
      <w:pPr>
        <w:pStyle w:val="ListParagraph"/>
        <w:spacing w:after="0" w:line="240" w:lineRule="auto"/>
        <w:ind w:left="1440" w:hanging="540"/>
        <w:contextualSpacing w:val="0"/>
        <w:rPr>
          <w:lang w:val="es-ES"/>
        </w:rPr>
      </w:pPr>
    </w:p>
    <w:p w14:paraId="6278B07F" w14:textId="77777777" w:rsidR="00D86F81" w:rsidRDefault="00D86F81" w:rsidP="009A7457">
      <w:pPr>
        <w:pStyle w:val="ListParagraph"/>
        <w:numPr>
          <w:ilvl w:val="1"/>
          <w:numId w:val="33"/>
        </w:numPr>
        <w:spacing w:after="0" w:line="240" w:lineRule="auto"/>
        <w:ind w:left="1440" w:hanging="540"/>
        <w:contextualSpacing w:val="0"/>
        <w:jc w:val="both"/>
        <w:rPr>
          <w:lang w:val="es-ES"/>
        </w:rPr>
      </w:pPr>
      <w:r w:rsidRPr="00D0409E">
        <w:rPr>
          <w:lang w:val="es-ES"/>
        </w:rPr>
        <w:t>emprenda, en cooperación con la CBI, una cuantificación de la caza contemporánea de ballenas y la captura de carne de animales silvestres acuáticos de todos los cetáceos incluidos en el Apéndice II de la CMS en todas las regiones, y formule recomendaciones a las Partes; y</w:t>
      </w:r>
    </w:p>
    <w:p w14:paraId="42A78F80" w14:textId="77777777" w:rsidR="001953F2" w:rsidRPr="001953F2" w:rsidRDefault="001953F2" w:rsidP="001953F2">
      <w:pPr>
        <w:pStyle w:val="ListParagraph"/>
        <w:rPr>
          <w:lang w:val="es-ES"/>
        </w:rPr>
      </w:pPr>
    </w:p>
    <w:p w14:paraId="2983DC4F" w14:textId="3AE8CF11" w:rsidR="001953F2" w:rsidRPr="00D0409E" w:rsidRDefault="009815A7" w:rsidP="009A7457">
      <w:pPr>
        <w:pStyle w:val="ListParagraph"/>
        <w:numPr>
          <w:ilvl w:val="1"/>
          <w:numId w:val="33"/>
        </w:numPr>
        <w:spacing w:after="0" w:line="240" w:lineRule="auto"/>
        <w:ind w:left="1440" w:hanging="540"/>
        <w:contextualSpacing w:val="0"/>
        <w:jc w:val="both"/>
        <w:rPr>
          <w:lang w:val="es-ES"/>
        </w:rPr>
      </w:pPr>
      <w:r w:rsidRPr="009815A7">
        <w:rPr>
          <w:lang w:val="es-ES"/>
        </w:rPr>
        <w:t>Revisar la recopilación de recomendaciones que podrían dirigirse al Consejo Científico en la COP15 y futuras COP, que figura en el anexo 4 del documento UNEP/CMSCOP15/Doc.25.4.1, y formular recomendaciones a la 16ª reunión de la Conferencia de las Partes sobre las medidas prioritarias que deben adoptarse para avanzar en el próximo período entre sesiones.</w:t>
      </w:r>
    </w:p>
    <w:p w14:paraId="1841D5BF" w14:textId="77777777" w:rsidR="00D86F81" w:rsidRPr="00D0409E" w:rsidRDefault="00D86F81" w:rsidP="00D86F81">
      <w:pPr>
        <w:spacing w:after="0" w:line="240" w:lineRule="auto"/>
        <w:jc w:val="both"/>
        <w:rPr>
          <w:rFonts w:cs="Arial"/>
          <w:lang w:val="es-ES"/>
        </w:rPr>
      </w:pPr>
    </w:p>
    <w:p w14:paraId="30B1C53F" w14:textId="77777777" w:rsidR="00D86F81" w:rsidRPr="00D0409E" w:rsidRDefault="00D86F81" w:rsidP="00D86F81">
      <w:pPr>
        <w:spacing w:after="0" w:line="240" w:lineRule="auto"/>
        <w:jc w:val="both"/>
        <w:rPr>
          <w:rFonts w:cs="Arial"/>
          <w:b/>
          <w:i/>
          <w:lang w:val="es-ES"/>
        </w:rPr>
      </w:pPr>
      <w:r w:rsidRPr="00D0409E">
        <w:rPr>
          <w:rFonts w:cs="Arial"/>
          <w:b/>
          <w:i/>
          <w:lang w:val="es-ES"/>
        </w:rPr>
        <w:t>Dirigido a la Secretaría</w:t>
      </w:r>
    </w:p>
    <w:p w14:paraId="2EE8D8F4" w14:textId="77777777" w:rsidR="00D86F81" w:rsidRPr="00D0409E" w:rsidRDefault="00D86F81" w:rsidP="00D86F81">
      <w:pPr>
        <w:spacing w:after="0" w:line="240" w:lineRule="auto"/>
        <w:jc w:val="both"/>
        <w:rPr>
          <w:rFonts w:cs="Arial"/>
          <w:lang w:val="es-ES"/>
        </w:rPr>
      </w:pPr>
    </w:p>
    <w:p w14:paraId="35D7E507" w14:textId="77777777" w:rsidR="00D86F81" w:rsidRPr="00D0409E" w:rsidRDefault="00D86F81" w:rsidP="00D131A7">
      <w:pPr>
        <w:spacing w:after="0" w:line="240" w:lineRule="auto"/>
        <w:ind w:left="900" w:hanging="900"/>
        <w:jc w:val="both"/>
        <w:rPr>
          <w:rFonts w:cs="Arial"/>
          <w:lang w:val="es-ES"/>
        </w:rPr>
      </w:pPr>
      <w:r w:rsidRPr="00D0409E">
        <w:rPr>
          <w:rFonts w:cs="Arial"/>
          <w:lang w:val="es-ES"/>
        </w:rPr>
        <w:t>15.CC</w:t>
      </w:r>
      <w:r w:rsidRPr="00D0409E">
        <w:rPr>
          <w:rFonts w:cs="Arial"/>
          <w:lang w:val="es-ES"/>
        </w:rPr>
        <w:tab/>
        <w:t>La Secretaría, con sujeción a la disponibilidad de recursos, prestará apoyo al Consejo Científico en la elaboración de los informes y recomendaciones solicitados en la Decisión 15.BB.</w:t>
      </w:r>
    </w:p>
    <w:p w14:paraId="367A15F6" w14:textId="77777777" w:rsidR="00D86F81" w:rsidRPr="00D0409E" w:rsidRDefault="00D86F81" w:rsidP="00D86F81">
      <w:pPr>
        <w:spacing w:after="0" w:line="240" w:lineRule="auto"/>
        <w:rPr>
          <w:rFonts w:cs="Arial"/>
          <w:lang w:val="es-ES"/>
        </w:rPr>
      </w:pPr>
    </w:p>
    <w:p w14:paraId="04A93EBC" w14:textId="77777777" w:rsidR="00D86F81" w:rsidRPr="00D0409E" w:rsidRDefault="00D86F81" w:rsidP="00D86F81">
      <w:pPr>
        <w:spacing w:after="0" w:line="240" w:lineRule="auto"/>
        <w:rPr>
          <w:rFonts w:cs="Arial"/>
          <w:lang w:val="es-ES"/>
        </w:rPr>
      </w:pPr>
    </w:p>
    <w:p w14:paraId="6BD866E5" w14:textId="77777777" w:rsidR="00D86F81" w:rsidRPr="00D0409E" w:rsidRDefault="00D86F81" w:rsidP="00D86F81">
      <w:pPr>
        <w:pStyle w:val="Firstnumbering"/>
        <w:numPr>
          <w:ilvl w:val="0"/>
          <w:numId w:val="0"/>
        </w:numPr>
        <w:ind w:left="567" w:hanging="567"/>
        <w:jc w:val="center"/>
        <w:rPr>
          <w:b/>
          <w:lang w:val="es-ES"/>
        </w:rPr>
      </w:pPr>
      <w:r w:rsidRPr="00D0409E">
        <w:rPr>
          <w:b/>
          <w:bCs/>
          <w:lang w:val="es-ES"/>
        </w:rPr>
        <w:t>LA IMPORTANCIA DE LOS CETÁCEOS EN EL FUNCIONAMIENTO DEL ECOSISTEMA</w:t>
      </w:r>
    </w:p>
    <w:p w14:paraId="67F04CA9" w14:textId="77777777" w:rsidR="00D86F81" w:rsidRPr="00D0409E" w:rsidRDefault="00D86F81" w:rsidP="00D86F81">
      <w:pPr>
        <w:spacing w:after="0" w:line="240" w:lineRule="auto"/>
        <w:jc w:val="both"/>
        <w:rPr>
          <w:rFonts w:cs="Arial"/>
          <w:b/>
          <w:i/>
          <w:lang w:val="es-ES"/>
        </w:rPr>
      </w:pPr>
    </w:p>
    <w:p w14:paraId="08B9D7C6" w14:textId="77777777" w:rsidR="00D86F81" w:rsidRPr="00D0409E" w:rsidRDefault="00D86F81" w:rsidP="00D86F81">
      <w:pPr>
        <w:spacing w:after="0" w:line="240" w:lineRule="auto"/>
        <w:jc w:val="both"/>
        <w:rPr>
          <w:rFonts w:cs="Arial"/>
          <w:b/>
          <w:i/>
          <w:lang w:val="es-ES"/>
        </w:rPr>
      </w:pPr>
    </w:p>
    <w:p w14:paraId="5C977B61" w14:textId="77777777" w:rsidR="00D86F81" w:rsidRPr="00D0409E" w:rsidRDefault="00D86F81" w:rsidP="00D86F81">
      <w:pPr>
        <w:spacing w:after="0" w:line="240" w:lineRule="auto"/>
        <w:jc w:val="both"/>
        <w:rPr>
          <w:rFonts w:cs="Arial"/>
          <w:lang w:val="es-ES"/>
        </w:rPr>
      </w:pPr>
      <w:r w:rsidRPr="00D0409E">
        <w:rPr>
          <w:rFonts w:cs="Arial"/>
          <w:b/>
          <w:i/>
          <w:lang w:val="es-ES"/>
        </w:rPr>
        <w:t xml:space="preserve">Dirigido al Consejo Científico </w:t>
      </w:r>
    </w:p>
    <w:p w14:paraId="3A6517C6" w14:textId="77777777" w:rsidR="00D86F81" w:rsidRPr="00D0409E" w:rsidRDefault="00D86F81" w:rsidP="00D86F81">
      <w:pPr>
        <w:spacing w:after="0" w:line="240" w:lineRule="auto"/>
        <w:jc w:val="both"/>
        <w:rPr>
          <w:rFonts w:cs="Arial"/>
          <w:lang w:val="es-ES"/>
        </w:rPr>
      </w:pPr>
    </w:p>
    <w:p w14:paraId="534DD11C" w14:textId="77777777" w:rsidR="00D86F81" w:rsidRPr="00D0409E" w:rsidRDefault="00D86F81" w:rsidP="00D131A7">
      <w:pPr>
        <w:spacing w:after="0" w:line="240" w:lineRule="auto"/>
        <w:ind w:left="900" w:hanging="900"/>
        <w:jc w:val="both"/>
        <w:rPr>
          <w:rFonts w:cs="Arial"/>
          <w:lang w:val="es-ES"/>
        </w:rPr>
      </w:pPr>
      <w:r w:rsidRPr="00D0409E">
        <w:rPr>
          <w:rFonts w:cs="Arial"/>
          <w:lang w:val="es-ES"/>
        </w:rPr>
        <w:t>15.DD</w:t>
      </w:r>
      <w:r w:rsidRPr="00D0409E">
        <w:rPr>
          <w:rFonts w:cs="Arial"/>
          <w:lang w:val="es-ES"/>
        </w:rPr>
        <w:tab/>
      </w:r>
      <w:r w:rsidRPr="00D0409E">
        <w:rPr>
          <w:rFonts w:cs="Arial"/>
          <w:bCs/>
          <w:iCs/>
          <w:lang w:val="es-ES"/>
        </w:rPr>
        <w:t>Se solicita al Consejo Científico que, a través del Grupo de Trabajo sobre Mamíferos Acuáticos, asesore a la Secretaría en relación con la labor sobre la importancia de los cetáceos en el funcionamiento del ecosistema, tomando nota de la labor realizada en la CBI, y que aporte información a la CBI según sea necesario.</w:t>
      </w:r>
    </w:p>
    <w:p w14:paraId="6B5BF244" w14:textId="77777777" w:rsidR="00D86F81" w:rsidRPr="00D0409E" w:rsidRDefault="00D86F81" w:rsidP="00D86F81">
      <w:pPr>
        <w:spacing w:after="0" w:line="240" w:lineRule="auto"/>
        <w:jc w:val="both"/>
        <w:rPr>
          <w:rFonts w:cs="Arial"/>
          <w:b/>
          <w:i/>
          <w:lang w:val="es-ES"/>
        </w:rPr>
      </w:pPr>
    </w:p>
    <w:p w14:paraId="416A0567" w14:textId="77777777" w:rsidR="00D86F81" w:rsidRPr="00D0409E" w:rsidRDefault="00D86F81" w:rsidP="00D86F81">
      <w:pPr>
        <w:spacing w:after="0" w:line="240" w:lineRule="auto"/>
        <w:jc w:val="both"/>
        <w:rPr>
          <w:rFonts w:cs="Arial"/>
          <w:b/>
          <w:i/>
          <w:lang w:val="es-ES"/>
        </w:rPr>
      </w:pPr>
      <w:r w:rsidRPr="00D0409E">
        <w:rPr>
          <w:rFonts w:cs="Arial"/>
          <w:b/>
          <w:i/>
          <w:lang w:val="es-ES"/>
        </w:rPr>
        <w:t>Dirigido a la Secretaría</w:t>
      </w:r>
    </w:p>
    <w:p w14:paraId="1B5E0D12" w14:textId="77777777" w:rsidR="00D86F81" w:rsidRPr="00D0409E" w:rsidRDefault="00D86F81" w:rsidP="00D86F81">
      <w:pPr>
        <w:spacing w:after="0" w:line="240" w:lineRule="auto"/>
        <w:jc w:val="both"/>
        <w:rPr>
          <w:rFonts w:cs="Arial"/>
          <w:lang w:val="es-ES"/>
        </w:rPr>
      </w:pPr>
    </w:p>
    <w:p w14:paraId="02283E6A" w14:textId="77777777" w:rsidR="00D86F81" w:rsidRPr="00D0409E" w:rsidRDefault="00D86F81" w:rsidP="00D131A7">
      <w:pPr>
        <w:widowControl w:val="0"/>
        <w:autoSpaceDE w:val="0"/>
        <w:autoSpaceDN w:val="0"/>
        <w:adjustRightInd w:val="0"/>
        <w:spacing w:after="0" w:line="240" w:lineRule="auto"/>
        <w:ind w:left="900" w:hanging="900"/>
        <w:jc w:val="both"/>
        <w:rPr>
          <w:rFonts w:cs="Arial"/>
          <w:iCs/>
          <w:lang w:val="es-ES"/>
        </w:rPr>
      </w:pPr>
      <w:r w:rsidRPr="00D0409E">
        <w:rPr>
          <w:rFonts w:cs="Arial"/>
          <w:lang w:val="es-ES"/>
        </w:rPr>
        <w:t>15.EE</w:t>
      </w:r>
      <w:r w:rsidRPr="00D0409E">
        <w:rPr>
          <w:rFonts w:cs="Arial"/>
          <w:lang w:val="es-ES"/>
        </w:rPr>
        <w:tab/>
        <w:t xml:space="preserve">La secretaría </w:t>
      </w:r>
      <w:r w:rsidRPr="00D0409E">
        <w:rPr>
          <w:rFonts w:cs="Arial"/>
          <w:iCs/>
          <w:lang w:val="es-ES"/>
        </w:rPr>
        <w:t>seguirá colaborando con la Secretaría de la CBI en relación con la labor sobre la importancia de los cetáceos en el funcionamiento del ecosistema.</w:t>
      </w:r>
    </w:p>
    <w:p w14:paraId="5CEF17F0" w14:textId="77777777" w:rsidR="00D86F81" w:rsidRPr="006F18BE" w:rsidRDefault="00D86F81" w:rsidP="00D86F81">
      <w:pPr>
        <w:spacing w:after="0" w:line="240" w:lineRule="auto"/>
        <w:jc w:val="both"/>
        <w:rPr>
          <w:rFonts w:cs="Arial"/>
          <w:iCs/>
          <w:lang w:val="es-ES"/>
        </w:rPr>
      </w:pPr>
    </w:p>
    <w:p w14:paraId="7D3B85EF" w14:textId="77777777" w:rsidR="00EF0155" w:rsidRPr="00D86F81" w:rsidRDefault="00EF0155" w:rsidP="00D86F8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right"/>
        <w:textAlignment w:val="baseline"/>
        <w:outlineLvl w:val="0"/>
        <w:rPr>
          <w:lang w:val="es-ES"/>
        </w:rPr>
      </w:pPr>
    </w:p>
    <w:sectPr w:rsidR="00EF0155" w:rsidRPr="00D86F81" w:rsidSect="00323406">
      <w:headerReference w:type="even" r:id="rId73"/>
      <w:headerReference w:type="default" r:id="rId74"/>
      <w:headerReference w:type="first" r:id="rId7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B3A5" w14:textId="77777777" w:rsidR="00956B18" w:rsidRDefault="00956B18" w:rsidP="00002A97">
      <w:pPr>
        <w:spacing w:after="0" w:line="240" w:lineRule="auto"/>
      </w:pPr>
      <w:r>
        <w:separator/>
      </w:r>
    </w:p>
  </w:endnote>
  <w:endnote w:type="continuationSeparator" w:id="0">
    <w:p w14:paraId="304BF79A" w14:textId="77777777" w:rsidR="00956B18" w:rsidRDefault="00956B18"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35C093C6"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32197"/>
      <w:docPartObj>
        <w:docPartGallery w:val="Page Numbers (Bottom of Page)"/>
        <w:docPartUnique/>
      </w:docPartObj>
    </w:sdtPr>
    <w:sdtEndPr>
      <w:rPr>
        <w:noProof/>
        <w:sz w:val="18"/>
        <w:szCs w:val="18"/>
      </w:rPr>
    </w:sdtEndPr>
    <w:sdtContent>
      <w:p w14:paraId="4D1C991C" w14:textId="20FF7CD1" w:rsidR="00EE116F" w:rsidRPr="00EE116F" w:rsidRDefault="00EE116F">
        <w:pPr>
          <w:pStyle w:val="Footer"/>
          <w:jc w:val="center"/>
          <w:rPr>
            <w:sz w:val="18"/>
            <w:szCs w:val="18"/>
          </w:rPr>
        </w:pPr>
        <w:r w:rsidRPr="00EE116F">
          <w:rPr>
            <w:sz w:val="18"/>
            <w:szCs w:val="18"/>
          </w:rPr>
          <w:fldChar w:fldCharType="begin"/>
        </w:r>
        <w:r w:rsidRPr="00EE116F">
          <w:rPr>
            <w:sz w:val="18"/>
            <w:szCs w:val="18"/>
          </w:rPr>
          <w:instrText xml:space="preserve"> PAGE   \* MERGEFORMAT </w:instrText>
        </w:r>
        <w:r w:rsidRPr="00EE116F">
          <w:rPr>
            <w:sz w:val="18"/>
            <w:szCs w:val="18"/>
          </w:rPr>
          <w:fldChar w:fldCharType="separate"/>
        </w:r>
        <w:r w:rsidRPr="00EE116F">
          <w:rPr>
            <w:noProof/>
            <w:sz w:val="18"/>
            <w:szCs w:val="18"/>
          </w:rPr>
          <w:t>2</w:t>
        </w:r>
        <w:r w:rsidRPr="00EE116F">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16803"/>
      <w:docPartObj>
        <w:docPartGallery w:val="Page Numbers (Bottom of Page)"/>
        <w:docPartUnique/>
      </w:docPartObj>
    </w:sdtPr>
    <w:sdtEndPr>
      <w:rPr>
        <w:noProof/>
        <w:sz w:val="18"/>
        <w:szCs w:val="18"/>
      </w:rPr>
    </w:sdtEndPr>
    <w:sdtContent>
      <w:p w14:paraId="1B1FC464" w14:textId="30171A4A" w:rsidR="00EE116F" w:rsidRPr="00EE116F" w:rsidRDefault="00EE116F">
        <w:pPr>
          <w:pStyle w:val="Footer"/>
          <w:jc w:val="center"/>
          <w:rPr>
            <w:sz w:val="18"/>
            <w:szCs w:val="18"/>
          </w:rPr>
        </w:pPr>
        <w:r w:rsidRPr="00EE116F">
          <w:rPr>
            <w:sz w:val="18"/>
            <w:szCs w:val="18"/>
          </w:rPr>
          <w:fldChar w:fldCharType="begin"/>
        </w:r>
        <w:r w:rsidRPr="00EE116F">
          <w:rPr>
            <w:sz w:val="18"/>
            <w:szCs w:val="18"/>
          </w:rPr>
          <w:instrText xml:space="preserve"> PAGE   \* MERGEFORMAT </w:instrText>
        </w:r>
        <w:r w:rsidRPr="00EE116F">
          <w:rPr>
            <w:sz w:val="18"/>
            <w:szCs w:val="18"/>
          </w:rPr>
          <w:fldChar w:fldCharType="separate"/>
        </w:r>
        <w:r w:rsidRPr="00EE116F">
          <w:rPr>
            <w:noProof/>
            <w:sz w:val="18"/>
            <w:szCs w:val="18"/>
          </w:rPr>
          <w:t>2</w:t>
        </w:r>
        <w:r w:rsidRPr="00EE116F">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212185"/>
      <w:docPartObj>
        <w:docPartGallery w:val="Page Numbers (Bottom of Page)"/>
        <w:docPartUnique/>
      </w:docPartObj>
    </w:sdtPr>
    <w:sdtEndPr>
      <w:rPr>
        <w:noProof/>
        <w:sz w:val="18"/>
        <w:szCs w:val="18"/>
      </w:rPr>
    </w:sdtEndPr>
    <w:sdtContent>
      <w:p w14:paraId="7B75C5AD" w14:textId="57DC03B7" w:rsidR="00A87ACB" w:rsidRPr="00A87ACB" w:rsidRDefault="00A87ACB">
        <w:pPr>
          <w:pStyle w:val="Footer"/>
          <w:jc w:val="center"/>
          <w:rPr>
            <w:sz w:val="18"/>
            <w:szCs w:val="18"/>
          </w:rPr>
        </w:pPr>
        <w:r w:rsidRPr="00A87ACB">
          <w:rPr>
            <w:sz w:val="18"/>
            <w:szCs w:val="18"/>
          </w:rPr>
          <w:fldChar w:fldCharType="begin"/>
        </w:r>
        <w:r w:rsidRPr="00A87ACB">
          <w:rPr>
            <w:sz w:val="18"/>
            <w:szCs w:val="18"/>
          </w:rPr>
          <w:instrText xml:space="preserve"> PAGE   \* MERGEFORMAT </w:instrText>
        </w:r>
        <w:r w:rsidRPr="00A87ACB">
          <w:rPr>
            <w:sz w:val="18"/>
            <w:szCs w:val="18"/>
          </w:rPr>
          <w:fldChar w:fldCharType="separate"/>
        </w:r>
        <w:r w:rsidRPr="00A87ACB">
          <w:rPr>
            <w:noProof/>
            <w:sz w:val="18"/>
            <w:szCs w:val="18"/>
          </w:rPr>
          <w:t>2</w:t>
        </w:r>
        <w:r w:rsidRPr="00A87AC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D0985" w14:textId="77777777" w:rsidR="00956B18" w:rsidRDefault="00956B18" w:rsidP="00002A97">
      <w:pPr>
        <w:spacing w:after="0" w:line="240" w:lineRule="auto"/>
      </w:pPr>
      <w:r>
        <w:separator/>
      </w:r>
    </w:p>
  </w:footnote>
  <w:footnote w:type="continuationSeparator" w:id="0">
    <w:p w14:paraId="61028F69" w14:textId="77777777" w:rsidR="00956B18" w:rsidRDefault="00956B18" w:rsidP="00002A97">
      <w:pPr>
        <w:spacing w:after="0" w:line="240" w:lineRule="auto"/>
      </w:pPr>
      <w:r>
        <w:continuationSeparator/>
      </w:r>
    </w:p>
  </w:footnote>
  <w:footnote w:id="1">
    <w:p w14:paraId="5F504DD9" w14:textId="77777777" w:rsidR="009028C6" w:rsidRPr="00D0409E" w:rsidRDefault="009028C6" w:rsidP="00D57CC4">
      <w:pPr>
        <w:pStyle w:val="FootnoteText"/>
        <w:jc w:val="both"/>
        <w:rPr>
          <w:sz w:val="16"/>
          <w:szCs w:val="16"/>
          <w:lang w:val="es-ES"/>
        </w:rPr>
      </w:pPr>
      <w:r w:rsidRPr="00D0409E">
        <w:rPr>
          <w:rStyle w:val="FootnoteReference"/>
          <w:sz w:val="16"/>
          <w:szCs w:val="16"/>
          <w:lang w:val="es-ES"/>
        </w:rPr>
        <w:footnoteRef/>
      </w:r>
      <w:r w:rsidRPr="00D0409E">
        <w:rPr>
          <w:sz w:val="16"/>
          <w:szCs w:val="16"/>
          <w:lang w:val="es-ES"/>
        </w:rPr>
        <w:t xml:space="preserve"> Anexo a </w:t>
      </w:r>
      <w:r>
        <w:fldChar w:fldCharType="begin"/>
      </w:r>
      <w:r w:rsidRPr="00895330">
        <w:rPr>
          <w:lang w:val="es-ES"/>
        </w:rPr>
        <w:instrText>HYPERLINK "https://www.ascobans.org/en/document/small-cetacean-stranding-response-0"</w:instrText>
      </w:r>
      <w:r>
        <w:fldChar w:fldCharType="separate"/>
      </w:r>
      <w:r w:rsidRPr="00D0409E">
        <w:rPr>
          <w:rStyle w:val="Hyperlink"/>
          <w:rFonts w:cs="Arial"/>
          <w:sz w:val="16"/>
          <w:szCs w:val="16"/>
          <w:lang w:val="es-ES"/>
        </w:rPr>
        <w:t>UNEP/ASCOBANS/Resolución 8.5 (Rev.MOP9)</w:t>
      </w:r>
      <w:r>
        <w:fldChar w:fldCharType="end"/>
      </w:r>
      <w:r w:rsidRPr="00D0409E">
        <w:rPr>
          <w:sz w:val="16"/>
          <w:szCs w:val="16"/>
          <w:lang w:val="es-ES"/>
        </w:rPr>
        <w:t xml:space="preserve"> </w:t>
      </w:r>
      <w:r w:rsidRPr="00D0409E">
        <w:rPr>
          <w:rFonts w:cs="Arial"/>
          <w:i/>
          <w:iCs/>
          <w:sz w:val="16"/>
          <w:szCs w:val="16"/>
          <w:lang w:val="es-ES"/>
        </w:rPr>
        <w:t>Respuesta al varamiento de pequeños cetáceos.</w:t>
      </w:r>
    </w:p>
  </w:footnote>
  <w:footnote w:id="2">
    <w:p w14:paraId="26C76C34" w14:textId="5CB765E4" w:rsidR="009028C6" w:rsidRPr="00D0409E" w:rsidRDefault="009028C6" w:rsidP="00D57CC4">
      <w:pPr>
        <w:pStyle w:val="FootnoteText"/>
        <w:jc w:val="both"/>
        <w:rPr>
          <w:i/>
          <w:iCs/>
          <w:sz w:val="16"/>
          <w:szCs w:val="16"/>
          <w:lang w:val="es-ES"/>
        </w:rPr>
      </w:pPr>
      <w:r w:rsidRPr="00D0409E">
        <w:rPr>
          <w:rStyle w:val="FootnoteReference"/>
          <w:sz w:val="16"/>
          <w:szCs w:val="16"/>
          <w:lang w:val="es-ES"/>
        </w:rPr>
        <w:footnoteRef/>
      </w:r>
      <w:r w:rsidRPr="00D0409E">
        <w:rPr>
          <w:sz w:val="16"/>
          <w:szCs w:val="16"/>
          <w:lang w:val="es-ES"/>
        </w:rPr>
        <w:t xml:space="preserve"> Anexo a </w:t>
      </w:r>
      <w:r>
        <w:fldChar w:fldCharType="begin"/>
      </w:r>
      <w:r w:rsidRPr="00895330">
        <w:rPr>
          <w:lang w:val="es-ES"/>
        </w:rPr>
        <w:instrText>HYPERLINK "https://accobams.org/wp-content/uploads/2019/12/Res.7.14_-Best-Practices-Strandings.pdf"</w:instrText>
      </w:r>
      <w:r>
        <w:fldChar w:fldCharType="separate"/>
      </w:r>
      <w:r w:rsidRPr="00D0409E">
        <w:rPr>
          <w:rStyle w:val="Hyperlink"/>
          <w:sz w:val="16"/>
          <w:szCs w:val="16"/>
          <w:lang w:val="es-ES"/>
        </w:rPr>
        <w:t>ACCOBAMS/Resolución 7.14</w:t>
      </w:r>
      <w:r>
        <w:fldChar w:fldCharType="end"/>
      </w:r>
      <w:r w:rsidRPr="00D0409E">
        <w:rPr>
          <w:sz w:val="16"/>
          <w:szCs w:val="16"/>
          <w:lang w:val="es-ES"/>
        </w:rPr>
        <w:t xml:space="preserve"> </w:t>
      </w:r>
      <w:r w:rsidRPr="00D0409E">
        <w:rPr>
          <w:i/>
          <w:iCs/>
          <w:sz w:val="16"/>
          <w:szCs w:val="16"/>
          <w:lang w:val="es-ES"/>
        </w:rPr>
        <w:t>Mejores prácticas en el seguimiento y la gestión de los varamientos de cetáceos.</w:t>
      </w:r>
    </w:p>
  </w:footnote>
  <w:footnote w:id="3">
    <w:p w14:paraId="4B8ECFB8" w14:textId="77777777" w:rsidR="009028C6" w:rsidRPr="0012010B" w:rsidRDefault="009028C6" w:rsidP="00D57CC4">
      <w:pPr>
        <w:pStyle w:val="FootnoteText"/>
        <w:jc w:val="both"/>
        <w:rPr>
          <w:sz w:val="16"/>
          <w:szCs w:val="16"/>
          <w:lang w:val="es-ES"/>
        </w:rPr>
      </w:pPr>
      <w:r w:rsidRPr="00D0409E">
        <w:rPr>
          <w:rStyle w:val="FootnoteReference"/>
          <w:sz w:val="16"/>
          <w:szCs w:val="16"/>
          <w:lang w:val="es-ES"/>
        </w:rPr>
        <w:footnoteRef/>
      </w:r>
      <w:r w:rsidRPr="00D0409E">
        <w:rPr>
          <w:sz w:val="16"/>
          <w:szCs w:val="16"/>
          <w:lang w:val="es-ES"/>
        </w:rPr>
        <w:t xml:space="preserve"> </w:t>
      </w:r>
      <w:r>
        <w:fldChar w:fldCharType="begin"/>
      </w:r>
      <w:r w:rsidRPr="00895330">
        <w:rPr>
          <w:lang w:val="es-ES"/>
        </w:rPr>
        <w:instrText>HYPERLINK "https://iwc.int/management-and-conservation/strandings/strandings-initiative?visLang=es"</w:instrText>
      </w:r>
      <w:r>
        <w:fldChar w:fldCharType="separate"/>
      </w:r>
      <w:r w:rsidRPr="00D0409E">
        <w:rPr>
          <w:rStyle w:val="Hyperlink"/>
          <w:sz w:val="16"/>
          <w:szCs w:val="16"/>
          <w:lang w:val="es-ES"/>
        </w:rPr>
        <w:t>https://iwc.int/management-and-conservation/strandings/strandings-initiative?visLang=es</w:t>
      </w:r>
      <w:r>
        <w:fldChar w:fldCharType="end"/>
      </w:r>
      <w:r w:rsidRPr="0012010B">
        <w:rPr>
          <w:sz w:val="16"/>
          <w:szCs w:val="16"/>
          <w:lang w:val="es-ES"/>
        </w:rPr>
        <w:t xml:space="preserve"> </w:t>
      </w:r>
    </w:p>
  </w:footnote>
  <w:footnote w:id="4">
    <w:p w14:paraId="3355388B" w14:textId="77777777" w:rsidR="00D62EC6" w:rsidRPr="00D0409E" w:rsidRDefault="00D62EC6" w:rsidP="00D62EC6">
      <w:pPr>
        <w:pStyle w:val="FootnoteText"/>
        <w:jc w:val="both"/>
        <w:rPr>
          <w:sz w:val="16"/>
          <w:szCs w:val="16"/>
          <w:lang w:val="es-ES"/>
        </w:rPr>
      </w:pPr>
      <w:r w:rsidRPr="00D0409E">
        <w:rPr>
          <w:rStyle w:val="FootnoteReference"/>
          <w:sz w:val="16"/>
          <w:szCs w:val="16"/>
          <w:lang w:val="es-ES"/>
        </w:rPr>
        <w:footnoteRef/>
      </w:r>
      <w:r w:rsidRPr="00D0409E">
        <w:rPr>
          <w:sz w:val="16"/>
          <w:szCs w:val="16"/>
          <w:lang w:val="es-ES"/>
        </w:rPr>
        <w:t xml:space="preserve"> La herramienta de evaluación del bienestar de los cetáceos silvestres se basa en el modelo de los cinco dominios del bienestar animal. Este modelo se diseñó para facilitar la evaluación y calificación sistemática, estructurada y coherente del compromiso del bienestar animal, incorporando cuatro ámbitos físicos (nutrición, entorno, salud y comportamiento), centrados en las fuentes de estímulos sensoriales medibles procedentes del interior y el exterior del cuerpo que pueden dar lugar a experiencias subjetivas. Posteriormente, estos ámbitos se acumulan en un quinto dominio, el estado mental o afectivo.</w:t>
      </w:r>
    </w:p>
  </w:footnote>
  <w:footnote w:id="5">
    <w:p w14:paraId="6766E97C" w14:textId="77777777" w:rsidR="00D62EC6" w:rsidRPr="00713CA4" w:rsidRDefault="00D62EC6" w:rsidP="00D62EC6">
      <w:pPr>
        <w:pStyle w:val="FootnoteText"/>
        <w:jc w:val="both"/>
        <w:rPr>
          <w:sz w:val="16"/>
          <w:szCs w:val="16"/>
          <w:lang w:val="es-ES"/>
        </w:rPr>
      </w:pPr>
      <w:r w:rsidRPr="00D0409E">
        <w:rPr>
          <w:rStyle w:val="FootnoteReference"/>
          <w:sz w:val="16"/>
          <w:szCs w:val="16"/>
          <w:lang w:val="es-ES"/>
        </w:rPr>
        <w:footnoteRef/>
      </w:r>
      <w:r w:rsidRPr="00D0409E">
        <w:rPr>
          <w:sz w:val="16"/>
          <w:szCs w:val="16"/>
          <w:lang w:val="es-ES"/>
        </w:rPr>
        <w:t xml:space="preserve"> Nicol, C., </w:t>
      </w:r>
      <w:proofErr w:type="spellStart"/>
      <w:r w:rsidRPr="00D0409E">
        <w:rPr>
          <w:sz w:val="16"/>
          <w:szCs w:val="16"/>
          <w:lang w:val="es-ES"/>
        </w:rPr>
        <w:t>Bejder</w:t>
      </w:r>
      <w:proofErr w:type="spellEnd"/>
      <w:r w:rsidRPr="00D0409E">
        <w:rPr>
          <w:sz w:val="16"/>
          <w:szCs w:val="16"/>
          <w:lang w:val="es-ES"/>
        </w:rPr>
        <w:t xml:space="preserve">, L., Green, L., Johnson, C., Keeling, L., </w:t>
      </w:r>
      <w:proofErr w:type="spellStart"/>
      <w:r w:rsidRPr="00D0409E">
        <w:rPr>
          <w:sz w:val="16"/>
          <w:szCs w:val="16"/>
          <w:lang w:val="es-ES"/>
        </w:rPr>
        <w:t>Noren</w:t>
      </w:r>
      <w:proofErr w:type="spellEnd"/>
      <w:r w:rsidRPr="00D0409E">
        <w:rPr>
          <w:sz w:val="16"/>
          <w:szCs w:val="16"/>
          <w:lang w:val="es-ES"/>
        </w:rPr>
        <w:t xml:space="preserve">, D., van der Hoop, J., y Simmonds, M. (2020). Amenazas antropogénicas para el bienestar de los cetáceos silvestres y una herramienta para informar las políticas en este ámbito. </w:t>
      </w:r>
      <w:r w:rsidRPr="00713CA4">
        <w:rPr>
          <w:sz w:val="16"/>
          <w:szCs w:val="16"/>
          <w:lang w:val="es-ES"/>
        </w:rPr>
        <w:t xml:space="preserve">Fronteras en ciencia veterinaria, 7. </w:t>
      </w:r>
      <w:hyperlink r:id="rId1" w:history="1">
        <w:r w:rsidRPr="00713CA4">
          <w:rPr>
            <w:rStyle w:val="Hyperlink"/>
            <w:sz w:val="16"/>
            <w:szCs w:val="16"/>
            <w:lang w:val="es-ES"/>
          </w:rPr>
          <w:t>https://doi.org/10.3389/fvets.2020.00057</w:t>
        </w:r>
      </w:hyperlink>
      <w:r w:rsidRPr="00713CA4">
        <w:rPr>
          <w:sz w:val="16"/>
          <w:szCs w:val="16"/>
          <w:lang w:val="es-ES"/>
        </w:rPr>
        <w:t xml:space="preserve"> </w:t>
      </w:r>
    </w:p>
  </w:footnote>
  <w:footnote w:id="6">
    <w:p w14:paraId="5E80B64B" w14:textId="77777777" w:rsidR="00D74D68" w:rsidRPr="00D0409E" w:rsidRDefault="00D74D68" w:rsidP="00D74D68">
      <w:pPr>
        <w:pStyle w:val="FootnoteText"/>
        <w:jc w:val="both"/>
        <w:rPr>
          <w:sz w:val="16"/>
          <w:szCs w:val="16"/>
          <w:lang w:val="es-ES"/>
        </w:rPr>
      </w:pPr>
      <w:r w:rsidRPr="00D0409E">
        <w:rPr>
          <w:rStyle w:val="FootnoteReference"/>
          <w:sz w:val="16"/>
          <w:szCs w:val="16"/>
          <w:lang w:val="es-ES"/>
        </w:rPr>
        <w:footnoteRef/>
      </w:r>
      <w:r w:rsidRPr="00D0409E">
        <w:rPr>
          <w:sz w:val="16"/>
          <w:szCs w:val="16"/>
          <w:lang w:val="es-ES"/>
        </w:rPr>
        <w:t xml:space="preserve"> Anónimo (2021). Informe del Taller sobre Mamíferos Marinos «Fuera de su Hábitat». 30 de septiembre – 1 de octubre de 2021. </w:t>
      </w:r>
      <w:hyperlink r:id="rId2" w:history="1">
        <w:r w:rsidRPr="00D0409E">
          <w:rPr>
            <w:rStyle w:val="Hyperlink"/>
            <w:sz w:val="16"/>
            <w:szCs w:val="16"/>
            <w:lang w:val="es-ES"/>
          </w:rPr>
          <w:t>https://wildanimalwelfare.files.wordpress.com/2021/12/out-of-habitat-marine-Mamíferos-workshop-report-final-1.pdf</w:t>
        </w:r>
      </w:hyperlink>
      <w:r w:rsidRPr="00D0409E">
        <w:rPr>
          <w:sz w:val="16"/>
          <w:szCs w:val="16"/>
          <w:lang w:val="es-ES"/>
        </w:rPr>
        <w:t xml:space="preserve"> </w:t>
      </w:r>
    </w:p>
  </w:footnote>
  <w:footnote w:id="7">
    <w:p w14:paraId="0ADE4C3E" w14:textId="77777777" w:rsidR="00D74D68" w:rsidRPr="00713CA4" w:rsidRDefault="00D74D68" w:rsidP="00D74D68">
      <w:pPr>
        <w:pStyle w:val="FootnoteText"/>
        <w:jc w:val="both"/>
        <w:rPr>
          <w:sz w:val="16"/>
          <w:szCs w:val="16"/>
          <w:lang w:val="es-ES"/>
        </w:rPr>
      </w:pPr>
      <w:r w:rsidRPr="00D0409E">
        <w:rPr>
          <w:rStyle w:val="FootnoteReference"/>
          <w:sz w:val="16"/>
          <w:szCs w:val="16"/>
          <w:lang w:val="es-ES"/>
        </w:rPr>
        <w:footnoteRef/>
      </w:r>
      <w:r w:rsidRPr="00D0409E">
        <w:rPr>
          <w:sz w:val="16"/>
          <w:szCs w:val="16"/>
          <w:lang w:val="es-ES"/>
        </w:rPr>
        <w:t xml:space="preserve"> Anónimo (2023). Mamíferos Marinos «Fuera de su Hábitat» II - Informe del Segundo Taller Internacional. </w:t>
      </w:r>
      <w:r w:rsidRPr="00713CA4">
        <w:rPr>
          <w:sz w:val="16"/>
          <w:szCs w:val="16"/>
          <w:lang w:val="es-ES"/>
        </w:rPr>
        <w:t xml:space="preserve">6 – 7 de diciembre de 2022. </w:t>
      </w:r>
      <w:hyperlink r:id="rId3" w:history="1">
        <w:r w:rsidRPr="00713CA4">
          <w:rPr>
            <w:rStyle w:val="Hyperlink"/>
            <w:sz w:val="16"/>
            <w:szCs w:val="16"/>
            <w:lang w:val="es-ES"/>
          </w:rPr>
          <w:t>https://www.oceancare.org/wp-content/uploads/2023/03/Out-of-Habitat-Report-2-.pdf</w:t>
        </w:r>
      </w:hyperlink>
      <w:r w:rsidRPr="00713CA4">
        <w:rPr>
          <w:sz w:val="16"/>
          <w:szCs w:val="16"/>
          <w:lang w:val="es-ES"/>
        </w:rPr>
        <w:t xml:space="preserve"> </w:t>
      </w:r>
    </w:p>
  </w:footnote>
  <w:footnote w:id="8">
    <w:p w14:paraId="663631DE" w14:textId="77777777" w:rsidR="001629E3" w:rsidRPr="00D0409E" w:rsidRDefault="001629E3" w:rsidP="001629E3">
      <w:pPr>
        <w:pStyle w:val="FootnoteText"/>
        <w:jc w:val="both"/>
        <w:rPr>
          <w:lang w:val="es-ES"/>
        </w:rPr>
      </w:pPr>
      <w:r w:rsidRPr="00D0409E">
        <w:rPr>
          <w:rStyle w:val="FootnoteReference"/>
          <w:sz w:val="16"/>
          <w:szCs w:val="16"/>
          <w:lang w:val="es-ES"/>
        </w:rPr>
        <w:footnoteRef/>
      </w:r>
      <w:r w:rsidRPr="00D0409E">
        <w:rPr>
          <w:sz w:val="16"/>
          <w:szCs w:val="16"/>
          <w:lang w:val="es-ES"/>
        </w:rPr>
        <w:t xml:space="preserve"> La Resolución 10.15 fue derogada y consolidada en la Resolución 14.9 en la COP14. La Resolución 14.9 solicita al Consejo Científico que continúe apoyando a este grupo de trabajo.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1150E9C1" w:rsidR="00D70275" w:rsidRPr="00002A97" w:rsidRDefault="00D70275" w:rsidP="00002A97">
    <w:pPr>
      <w:pStyle w:val="Header"/>
      <w:pBdr>
        <w:bottom w:val="single" w:sz="4" w:space="1" w:color="auto"/>
      </w:pBdr>
      <w:rPr>
        <w:i/>
        <w:sz w:val="18"/>
        <w:szCs w:val="18"/>
      </w:rPr>
    </w:pPr>
    <w:bookmarkStart w:id="15" w:name="_Hlk124847022"/>
    <w:bookmarkStart w:id="16" w:name="_Hlk124847023"/>
    <w:bookmarkStart w:id="17" w:name="_Hlk124847024"/>
    <w:bookmarkStart w:id="18" w:name="_Hlk124847025"/>
    <w:bookmarkStart w:id="19" w:name="_Hlk124847026"/>
    <w:bookmarkStart w:id="20" w:name="_Hlk124847027"/>
    <w:bookmarkStart w:id="21" w:name="_Hlk124847217"/>
    <w:bookmarkStart w:id="22"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5"/>
    <w:bookmarkEnd w:id="16"/>
    <w:bookmarkEnd w:id="17"/>
    <w:bookmarkEnd w:id="18"/>
    <w:bookmarkEnd w:id="19"/>
    <w:bookmarkEnd w:id="20"/>
    <w:bookmarkEnd w:id="21"/>
    <w:bookmarkEnd w:id="22"/>
    <w:r w:rsidR="00675068">
      <w:rPr>
        <w:rFonts w:eastAsia="Times New Roman" w:cs="Arial"/>
        <w:i/>
        <w:sz w:val="18"/>
        <w:szCs w:val="18"/>
        <w:lang w:val="fr-FR" w:eastAsia="es-ES"/>
      </w:rPr>
      <w:t>25.4.1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9ACA" w14:textId="5216A085" w:rsidR="00A87ACB" w:rsidRPr="00002A97" w:rsidRDefault="00A87ACB"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25.4.1/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CC3B" w14:textId="5346BBB8" w:rsidR="00DA76C3" w:rsidRPr="00002A97" w:rsidRDefault="00DA76C3"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Doc.25.4.1/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p w14:paraId="6DC5C687" w14:textId="77777777" w:rsidR="00DA76C3" w:rsidRDefault="00DA76C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EE7E" w14:textId="3CBBDD6D" w:rsidR="00170DA2" w:rsidRPr="00170DA2" w:rsidRDefault="00170DA2" w:rsidP="00805E41">
    <w:pPr>
      <w:pStyle w:val="Header"/>
      <w:pBdr>
        <w:bottom w:val="single" w:sz="4" w:space="1" w:color="auto"/>
      </w:pBdr>
      <w:rPr>
        <w:i/>
        <w:sz w:val="18"/>
        <w:szCs w:val="18"/>
      </w:rPr>
    </w:pPr>
    <w:r w:rsidRPr="00170DA2">
      <w:rPr>
        <w:rFonts w:eastAsia="Times New Roman" w:cs="Arial"/>
        <w:i/>
        <w:sz w:val="18"/>
        <w:szCs w:val="18"/>
        <w:lang w:eastAsia="es-ES"/>
      </w:rPr>
      <w:t>UNEP/CMS/COP15/Doc.25.4.1/An</w:t>
    </w:r>
    <w:r>
      <w:rPr>
        <w:rFonts w:eastAsia="Times New Roman" w:cs="Arial"/>
        <w:i/>
        <w:sz w:val="18"/>
        <w:szCs w:val="18"/>
        <w:lang w:eastAsia="es-ES"/>
      </w:rPr>
      <w:t xml:space="preserve">exo </w:t>
    </w:r>
    <w:r w:rsidR="00A87ACB">
      <w:rPr>
        <w:rFonts w:eastAsia="Times New Roman" w:cs="Arial"/>
        <w:i/>
        <w:sz w:val="18"/>
        <w:szCs w:val="18"/>
        <w:lang w:eastAsia="es-ES"/>
      </w:rPr>
      <w:t>3</w:t>
    </w:r>
  </w:p>
  <w:p w14:paraId="5CCF2027" w14:textId="77777777" w:rsidR="00170DA2" w:rsidRPr="006F22B0" w:rsidRDefault="00170DA2" w:rsidP="006F22B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B08C" w14:textId="69EB8E4E" w:rsidR="00A87ACB" w:rsidRPr="00002A97" w:rsidRDefault="00A87ACB"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25.4.1/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0075" w14:textId="12DA9DAF" w:rsidR="006724C2" w:rsidRPr="00002A97" w:rsidRDefault="006724C2"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Doc.25.4.1/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4</w:t>
    </w:r>
  </w:p>
  <w:p w14:paraId="51C67C58" w14:textId="77777777" w:rsidR="006724C2" w:rsidRDefault="006724C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D518" w14:textId="208634F0" w:rsidR="00A87ACB" w:rsidRPr="00170DA2" w:rsidRDefault="00A87ACB" w:rsidP="00DA76C3">
    <w:pPr>
      <w:pStyle w:val="Header"/>
      <w:pBdr>
        <w:bottom w:val="single" w:sz="4" w:space="1" w:color="auto"/>
      </w:pBdr>
      <w:rPr>
        <w:i/>
        <w:sz w:val="18"/>
        <w:szCs w:val="18"/>
      </w:rPr>
    </w:pPr>
    <w:r w:rsidRPr="00170DA2">
      <w:rPr>
        <w:rFonts w:eastAsia="Times New Roman" w:cs="Arial"/>
        <w:i/>
        <w:sz w:val="18"/>
        <w:szCs w:val="18"/>
        <w:lang w:eastAsia="es-ES"/>
      </w:rPr>
      <w:t>UNEP/CMS/COP15/Doc.25.4.1/An</w:t>
    </w:r>
    <w:r>
      <w:rPr>
        <w:rFonts w:eastAsia="Times New Roman" w:cs="Arial"/>
        <w:i/>
        <w:sz w:val="18"/>
        <w:szCs w:val="18"/>
        <w:lang w:eastAsia="es-ES"/>
      </w:rPr>
      <w:t>exo 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D9DF" w14:textId="2E65446C" w:rsidR="003A3805" w:rsidRPr="00002A97" w:rsidRDefault="003A3805"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25.4.1/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54EB" w14:textId="1EFDEED2" w:rsidR="003A3805" w:rsidRPr="00170DA2" w:rsidRDefault="003A3805" w:rsidP="003A3805">
    <w:pPr>
      <w:pStyle w:val="Header"/>
      <w:pBdr>
        <w:bottom w:val="single" w:sz="4" w:space="1" w:color="auto"/>
      </w:pBdr>
      <w:jc w:val="right"/>
      <w:rPr>
        <w:i/>
        <w:sz w:val="18"/>
        <w:szCs w:val="18"/>
      </w:rPr>
    </w:pPr>
    <w:r w:rsidRPr="00170DA2">
      <w:rPr>
        <w:rFonts w:eastAsia="Times New Roman" w:cs="Arial"/>
        <w:i/>
        <w:sz w:val="18"/>
        <w:szCs w:val="18"/>
        <w:lang w:eastAsia="es-ES"/>
      </w:rPr>
      <w:t>UNEP/CMS/COP15/Doc.25.4.1/An</w:t>
    </w:r>
    <w:r>
      <w:rPr>
        <w:rFonts w:eastAsia="Times New Roman" w:cs="Arial"/>
        <w:i/>
        <w:sz w:val="18"/>
        <w:szCs w:val="18"/>
        <w:lang w:eastAsia="es-ES"/>
      </w:rPr>
      <w:t>exo 5</w:t>
    </w:r>
  </w:p>
  <w:p w14:paraId="5A3EA46B" w14:textId="77777777" w:rsidR="003A3805" w:rsidRPr="006F22B0" w:rsidRDefault="003A3805" w:rsidP="006F22B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1085" w14:textId="608C9C48" w:rsidR="00A87ACB" w:rsidRPr="00002A97" w:rsidRDefault="00A87ACB"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25.4.1/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w:t>
    </w:r>
    <w:r w:rsidR="003A3805">
      <w:rPr>
        <w:rFonts w:eastAsia="Times New Roman" w:cs="Arial"/>
        <w:i/>
        <w:sz w:val="18"/>
        <w:szCs w:val="18"/>
        <w:lang w:val="fr-FR" w:eastAsia="es-ES"/>
      </w:rPr>
      <w:t>6</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0DAA" w14:textId="6FC43D84" w:rsidR="008E1226" w:rsidRPr="00002A97" w:rsidRDefault="008E1226"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Doc.25.4.1/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w:t>
    </w:r>
    <w:r w:rsidR="00B837B8">
      <w:rPr>
        <w:rFonts w:eastAsia="Times New Roman" w:cs="Arial"/>
        <w:i/>
        <w:sz w:val="18"/>
        <w:szCs w:val="18"/>
        <w:lang w:val="fr-FR" w:eastAsia="es-ES"/>
      </w:rPr>
      <w:t>5</w:t>
    </w:r>
  </w:p>
  <w:p w14:paraId="0065F18D" w14:textId="77777777" w:rsidR="008E1226" w:rsidRDefault="008E1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5484328F"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675068">
      <w:rPr>
        <w:rFonts w:eastAsia="Times New Roman" w:cs="Arial"/>
        <w:i/>
        <w:sz w:val="18"/>
        <w:szCs w:val="18"/>
        <w:lang w:val="fr-FR" w:eastAsia="es-ES"/>
      </w:rPr>
      <w:t>25.4.1</w:t>
    </w:r>
  </w:p>
  <w:p w14:paraId="1543D16E" w14:textId="77777777" w:rsidR="000F4BDA" w:rsidRDefault="000F4BD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6DE2" w14:textId="38B327D0" w:rsidR="00A87ACB" w:rsidRPr="00170DA2" w:rsidRDefault="00A87ACB" w:rsidP="009A5DBB">
    <w:pPr>
      <w:pStyle w:val="Header"/>
      <w:pBdr>
        <w:bottom w:val="single" w:sz="4" w:space="1" w:color="auto"/>
      </w:pBdr>
      <w:jc w:val="right"/>
      <w:rPr>
        <w:i/>
        <w:sz w:val="18"/>
        <w:szCs w:val="18"/>
      </w:rPr>
    </w:pPr>
    <w:r w:rsidRPr="00170DA2">
      <w:rPr>
        <w:rFonts w:eastAsia="Times New Roman" w:cs="Arial"/>
        <w:i/>
        <w:sz w:val="18"/>
        <w:szCs w:val="18"/>
        <w:lang w:eastAsia="es-ES"/>
      </w:rPr>
      <w:t>UNEP/CMS/COP15/Doc.25.4.1/An</w:t>
    </w:r>
    <w:r>
      <w:rPr>
        <w:rFonts w:eastAsia="Times New Roman" w:cs="Arial"/>
        <w:i/>
        <w:sz w:val="18"/>
        <w:szCs w:val="18"/>
        <w:lang w:eastAsia="es-ES"/>
      </w:rPr>
      <w:t xml:space="preserve">exo </w:t>
    </w:r>
    <w:r w:rsidR="003A3805">
      <w:rPr>
        <w:rFonts w:eastAsia="Times New Roman" w:cs="Arial"/>
        <w:i/>
        <w:sz w:val="18"/>
        <w:szCs w:val="18"/>
        <w:lang w:eastAsia="es-E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B298" w14:textId="1406C44D" w:rsidR="00170DA2" w:rsidRPr="00002A97" w:rsidRDefault="00170DA2"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25.4.1/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5448" w14:textId="1719849D" w:rsidR="00170DA2" w:rsidRPr="00002A97" w:rsidRDefault="00170DA2"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Doc.25.4.1/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p w14:paraId="2545078E" w14:textId="77777777" w:rsidR="00170DA2" w:rsidRDefault="00170D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FA87" w14:textId="1F059B32" w:rsidR="00EF0155" w:rsidRPr="00170DA2" w:rsidRDefault="00EF0155" w:rsidP="00EF0155">
    <w:pPr>
      <w:pStyle w:val="Header"/>
      <w:pBdr>
        <w:bottom w:val="single" w:sz="4" w:space="1" w:color="auto"/>
      </w:pBdr>
      <w:rPr>
        <w:i/>
        <w:sz w:val="18"/>
        <w:szCs w:val="18"/>
      </w:rPr>
    </w:pPr>
    <w:r w:rsidRPr="00170DA2">
      <w:rPr>
        <w:rFonts w:eastAsia="Times New Roman" w:cs="Arial"/>
        <w:i/>
        <w:sz w:val="18"/>
        <w:szCs w:val="18"/>
        <w:lang w:eastAsia="es-ES"/>
      </w:rPr>
      <w:t>UNEP/CMS/COP15/Doc.</w:t>
    </w:r>
    <w:r w:rsidR="00675068" w:rsidRPr="00170DA2">
      <w:rPr>
        <w:rFonts w:eastAsia="Times New Roman" w:cs="Arial"/>
        <w:i/>
        <w:sz w:val="18"/>
        <w:szCs w:val="18"/>
        <w:lang w:eastAsia="es-ES"/>
      </w:rPr>
      <w:t>25.4.1</w:t>
    </w:r>
    <w:r w:rsidR="00170DA2" w:rsidRPr="00170DA2">
      <w:rPr>
        <w:rFonts w:eastAsia="Times New Roman" w:cs="Arial"/>
        <w:i/>
        <w:sz w:val="18"/>
        <w:szCs w:val="18"/>
        <w:lang w:eastAsia="es-ES"/>
      </w:rPr>
      <w:t>/An</w:t>
    </w:r>
    <w:r w:rsidR="00170DA2">
      <w:rPr>
        <w:rFonts w:eastAsia="Times New Roman" w:cs="Arial"/>
        <w:i/>
        <w:sz w:val="18"/>
        <w:szCs w:val="18"/>
        <w:lang w:eastAsia="es-ES"/>
      </w:rPr>
      <w:t>exo 1</w:t>
    </w:r>
  </w:p>
  <w:p w14:paraId="6A420B92" w14:textId="77777777" w:rsidR="00EF0155" w:rsidRPr="006F22B0" w:rsidRDefault="00EF0155" w:rsidP="006F22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E9E" w14:textId="7831904E" w:rsidR="00170DA2" w:rsidRPr="00002A97" w:rsidRDefault="00170DA2"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25.4.1/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9FBA" w14:textId="594492CB" w:rsidR="00170DA2" w:rsidRPr="00002A97" w:rsidRDefault="00170DA2"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Doc.25.4.1/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p w14:paraId="338D652F" w14:textId="77777777" w:rsidR="00170DA2" w:rsidRDefault="00170DA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3D1E" w14:textId="25E24F18" w:rsidR="00170DA2" w:rsidRPr="00170DA2" w:rsidRDefault="00170DA2" w:rsidP="00EF0155">
    <w:pPr>
      <w:pStyle w:val="Header"/>
      <w:pBdr>
        <w:bottom w:val="single" w:sz="4" w:space="1" w:color="auto"/>
      </w:pBdr>
      <w:rPr>
        <w:i/>
        <w:sz w:val="18"/>
        <w:szCs w:val="18"/>
      </w:rPr>
    </w:pPr>
    <w:r w:rsidRPr="00170DA2">
      <w:rPr>
        <w:rFonts w:eastAsia="Times New Roman" w:cs="Arial"/>
        <w:i/>
        <w:sz w:val="18"/>
        <w:szCs w:val="18"/>
        <w:lang w:eastAsia="es-ES"/>
      </w:rPr>
      <w:t>UNEP/CMS/COP15/Doc.25.4.1/An</w:t>
    </w:r>
    <w:r>
      <w:rPr>
        <w:rFonts w:eastAsia="Times New Roman" w:cs="Arial"/>
        <w:i/>
        <w:sz w:val="18"/>
        <w:szCs w:val="18"/>
        <w:lang w:eastAsia="es-ES"/>
      </w:rPr>
      <w:t>exo 2</w:t>
    </w:r>
  </w:p>
  <w:p w14:paraId="4A1976F3" w14:textId="77777777" w:rsidR="00170DA2" w:rsidRPr="006F22B0" w:rsidRDefault="00170DA2"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F5531"/>
    <w:multiLevelType w:val="hybridMultilevel"/>
    <w:tmpl w:val="E24642A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FA5F3F"/>
    <w:multiLevelType w:val="hybridMultilevel"/>
    <w:tmpl w:val="9A5ADA0A"/>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E5D6D82"/>
    <w:multiLevelType w:val="hybridMultilevel"/>
    <w:tmpl w:val="A920D62E"/>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2A104D4"/>
    <w:multiLevelType w:val="hybridMultilevel"/>
    <w:tmpl w:val="CB3EA73A"/>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9" w15:restartNumberingAfterBreak="0">
    <w:nsid w:val="32BE5B61"/>
    <w:multiLevelType w:val="hybridMultilevel"/>
    <w:tmpl w:val="67E4189E"/>
    <w:lvl w:ilvl="0" w:tplc="20000017">
      <w:start w:val="1"/>
      <w:numFmt w:val="lowerLetter"/>
      <w:lvlText w:val="%1)"/>
      <w:lvlJc w:val="left"/>
      <w:pPr>
        <w:ind w:left="1154" w:hanging="360"/>
      </w:pPr>
    </w:lvl>
    <w:lvl w:ilvl="1" w:tplc="0C000019" w:tentative="1">
      <w:start w:val="1"/>
      <w:numFmt w:val="lowerLetter"/>
      <w:lvlText w:val="%2."/>
      <w:lvlJc w:val="left"/>
      <w:pPr>
        <w:ind w:left="1874" w:hanging="360"/>
      </w:pPr>
    </w:lvl>
    <w:lvl w:ilvl="2" w:tplc="0C00001B" w:tentative="1">
      <w:start w:val="1"/>
      <w:numFmt w:val="lowerRoman"/>
      <w:lvlText w:val="%3."/>
      <w:lvlJc w:val="right"/>
      <w:pPr>
        <w:ind w:left="2594" w:hanging="180"/>
      </w:pPr>
    </w:lvl>
    <w:lvl w:ilvl="3" w:tplc="0C00000F" w:tentative="1">
      <w:start w:val="1"/>
      <w:numFmt w:val="decimal"/>
      <w:lvlText w:val="%4."/>
      <w:lvlJc w:val="left"/>
      <w:pPr>
        <w:ind w:left="3314" w:hanging="360"/>
      </w:pPr>
    </w:lvl>
    <w:lvl w:ilvl="4" w:tplc="0C000019" w:tentative="1">
      <w:start w:val="1"/>
      <w:numFmt w:val="lowerLetter"/>
      <w:lvlText w:val="%5."/>
      <w:lvlJc w:val="left"/>
      <w:pPr>
        <w:ind w:left="4034" w:hanging="360"/>
      </w:pPr>
    </w:lvl>
    <w:lvl w:ilvl="5" w:tplc="0C00001B" w:tentative="1">
      <w:start w:val="1"/>
      <w:numFmt w:val="lowerRoman"/>
      <w:lvlText w:val="%6."/>
      <w:lvlJc w:val="right"/>
      <w:pPr>
        <w:ind w:left="4754" w:hanging="180"/>
      </w:pPr>
    </w:lvl>
    <w:lvl w:ilvl="6" w:tplc="0C00000F" w:tentative="1">
      <w:start w:val="1"/>
      <w:numFmt w:val="decimal"/>
      <w:lvlText w:val="%7."/>
      <w:lvlJc w:val="left"/>
      <w:pPr>
        <w:ind w:left="5474" w:hanging="360"/>
      </w:pPr>
    </w:lvl>
    <w:lvl w:ilvl="7" w:tplc="0C000019" w:tentative="1">
      <w:start w:val="1"/>
      <w:numFmt w:val="lowerLetter"/>
      <w:lvlText w:val="%8."/>
      <w:lvlJc w:val="left"/>
      <w:pPr>
        <w:ind w:left="6194" w:hanging="360"/>
      </w:pPr>
    </w:lvl>
    <w:lvl w:ilvl="8" w:tplc="0C00001B" w:tentative="1">
      <w:start w:val="1"/>
      <w:numFmt w:val="lowerRoman"/>
      <w:lvlText w:val="%9."/>
      <w:lvlJc w:val="right"/>
      <w:pPr>
        <w:ind w:left="6914" w:hanging="180"/>
      </w:pPr>
    </w:lvl>
  </w:abstractNum>
  <w:abstractNum w:abstractNumId="10"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D18A5"/>
    <w:multiLevelType w:val="hybridMultilevel"/>
    <w:tmpl w:val="8780C42E"/>
    <w:lvl w:ilvl="0" w:tplc="2000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3F67114B"/>
    <w:multiLevelType w:val="hybridMultilevel"/>
    <w:tmpl w:val="79588C16"/>
    <w:lvl w:ilvl="0" w:tplc="FFFFFFFF">
      <w:start w:val="1"/>
      <w:numFmt w:val="decimal"/>
      <w:lvlText w:val="%1."/>
      <w:lvlJc w:val="left"/>
      <w:pPr>
        <w:ind w:left="360" w:hanging="360"/>
      </w:pPr>
      <w:rPr>
        <w:color w:val="auto"/>
      </w:rPr>
    </w:lvl>
    <w:lvl w:ilvl="1" w:tplc="20000015">
      <w:start w:val="1"/>
      <w:numFmt w:val="upp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460E4DE6"/>
    <w:multiLevelType w:val="hybridMultilevel"/>
    <w:tmpl w:val="C10C8940"/>
    <w:lvl w:ilvl="0" w:tplc="04130001">
      <w:start w:val="1"/>
      <w:numFmt w:val="bullet"/>
      <w:lvlText w:val=""/>
      <w:lvlJc w:val="left"/>
      <w:pPr>
        <w:ind w:left="720" w:hanging="360"/>
      </w:pPr>
      <w:rPr>
        <w:rFonts w:ascii="Symbol" w:hAnsi="Symbol" w:hint="default"/>
      </w:rPr>
    </w:lvl>
    <w:lvl w:ilvl="1" w:tplc="049E7B28">
      <w:numFmt w:val="bullet"/>
      <w:lvlText w:val="-"/>
      <w:lvlJc w:val="left"/>
      <w:pPr>
        <w:ind w:left="1480" w:hanging="40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63D664A"/>
    <w:multiLevelType w:val="hybridMultilevel"/>
    <w:tmpl w:val="D4DED1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5" w15:restartNumberingAfterBreak="0">
    <w:nsid w:val="4A084C79"/>
    <w:multiLevelType w:val="hybridMultilevel"/>
    <w:tmpl w:val="FBAA6086"/>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3573D"/>
    <w:multiLevelType w:val="hybridMultilevel"/>
    <w:tmpl w:val="F7AC21FA"/>
    <w:lvl w:ilvl="0" w:tplc="DB18D30A">
      <w:start w:val="1"/>
      <w:numFmt w:val="upperLetter"/>
      <w:lvlText w:val="%1."/>
      <w:lvlJc w:val="left"/>
      <w:pPr>
        <w:ind w:left="720" w:hanging="360"/>
      </w:pPr>
      <w:rPr>
        <w:rFonts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E4024"/>
    <w:multiLevelType w:val="hybridMultilevel"/>
    <w:tmpl w:val="CE1ED0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0" w15:restartNumberingAfterBreak="0">
    <w:nsid w:val="522B7A8B"/>
    <w:multiLevelType w:val="hybridMultilevel"/>
    <w:tmpl w:val="E3F4B9EE"/>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1"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8EBC05"/>
    <w:multiLevelType w:val="hybridMultilevel"/>
    <w:tmpl w:val="FFFFFFFF"/>
    <w:lvl w:ilvl="0" w:tplc="1F06A4FC">
      <w:start w:val="1"/>
      <w:numFmt w:val="decimal"/>
      <w:lvlText w:val="(%1)"/>
      <w:lvlJc w:val="left"/>
      <w:pPr>
        <w:ind w:left="360" w:hanging="360"/>
      </w:pPr>
    </w:lvl>
    <w:lvl w:ilvl="1" w:tplc="C55C0F70">
      <w:start w:val="1"/>
      <w:numFmt w:val="lowerLetter"/>
      <w:lvlText w:val="%2."/>
      <w:lvlJc w:val="left"/>
      <w:pPr>
        <w:ind w:left="1080" w:hanging="360"/>
      </w:pPr>
    </w:lvl>
    <w:lvl w:ilvl="2" w:tplc="932CA3C6">
      <w:start w:val="1"/>
      <w:numFmt w:val="lowerRoman"/>
      <w:lvlText w:val="%3."/>
      <w:lvlJc w:val="right"/>
      <w:pPr>
        <w:ind w:left="1800" w:hanging="180"/>
      </w:pPr>
    </w:lvl>
    <w:lvl w:ilvl="3" w:tplc="87DEECC2">
      <w:start w:val="1"/>
      <w:numFmt w:val="decimal"/>
      <w:lvlText w:val="%4."/>
      <w:lvlJc w:val="left"/>
      <w:pPr>
        <w:ind w:left="2520" w:hanging="360"/>
      </w:pPr>
    </w:lvl>
    <w:lvl w:ilvl="4" w:tplc="9280BEEA">
      <w:start w:val="1"/>
      <w:numFmt w:val="lowerLetter"/>
      <w:lvlText w:val="%5."/>
      <w:lvlJc w:val="left"/>
      <w:pPr>
        <w:ind w:left="3240" w:hanging="360"/>
      </w:pPr>
    </w:lvl>
    <w:lvl w:ilvl="5" w:tplc="B6A0C1DC">
      <w:start w:val="1"/>
      <w:numFmt w:val="lowerRoman"/>
      <w:lvlText w:val="%6."/>
      <w:lvlJc w:val="right"/>
      <w:pPr>
        <w:ind w:left="3960" w:hanging="180"/>
      </w:pPr>
    </w:lvl>
    <w:lvl w:ilvl="6" w:tplc="8BC21074">
      <w:start w:val="1"/>
      <w:numFmt w:val="decimal"/>
      <w:lvlText w:val="%7."/>
      <w:lvlJc w:val="left"/>
      <w:pPr>
        <w:ind w:left="4680" w:hanging="360"/>
      </w:pPr>
    </w:lvl>
    <w:lvl w:ilvl="7" w:tplc="7B84010E">
      <w:start w:val="1"/>
      <w:numFmt w:val="lowerLetter"/>
      <w:lvlText w:val="%8."/>
      <w:lvlJc w:val="left"/>
      <w:pPr>
        <w:ind w:left="5400" w:hanging="360"/>
      </w:pPr>
    </w:lvl>
    <w:lvl w:ilvl="8" w:tplc="C4904472">
      <w:start w:val="1"/>
      <w:numFmt w:val="lowerRoman"/>
      <w:lvlText w:val="%9."/>
      <w:lvlJc w:val="right"/>
      <w:pPr>
        <w:ind w:left="6120" w:hanging="180"/>
      </w:pPr>
    </w:lvl>
  </w:abstractNum>
  <w:abstractNum w:abstractNumId="2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BD60A4"/>
    <w:multiLevelType w:val="hybridMultilevel"/>
    <w:tmpl w:val="A1C81632"/>
    <w:lvl w:ilvl="0" w:tplc="20000017">
      <w:start w:val="1"/>
      <w:numFmt w:val="lowerLetter"/>
      <w:lvlText w:val="%1)"/>
      <w:lvlJc w:val="left"/>
      <w:pPr>
        <w:ind w:left="1117" w:hanging="360"/>
      </w:pPr>
    </w:lvl>
    <w:lvl w:ilvl="1" w:tplc="20000019" w:tentative="1">
      <w:start w:val="1"/>
      <w:numFmt w:val="lowerLetter"/>
      <w:lvlText w:val="%2."/>
      <w:lvlJc w:val="left"/>
      <w:pPr>
        <w:ind w:left="1837" w:hanging="360"/>
      </w:pPr>
    </w:lvl>
    <w:lvl w:ilvl="2" w:tplc="2000001B" w:tentative="1">
      <w:start w:val="1"/>
      <w:numFmt w:val="lowerRoman"/>
      <w:lvlText w:val="%3."/>
      <w:lvlJc w:val="right"/>
      <w:pPr>
        <w:ind w:left="2557" w:hanging="180"/>
      </w:pPr>
    </w:lvl>
    <w:lvl w:ilvl="3" w:tplc="2000000F" w:tentative="1">
      <w:start w:val="1"/>
      <w:numFmt w:val="decimal"/>
      <w:lvlText w:val="%4."/>
      <w:lvlJc w:val="left"/>
      <w:pPr>
        <w:ind w:left="3277" w:hanging="360"/>
      </w:pPr>
    </w:lvl>
    <w:lvl w:ilvl="4" w:tplc="20000019" w:tentative="1">
      <w:start w:val="1"/>
      <w:numFmt w:val="lowerLetter"/>
      <w:lvlText w:val="%5."/>
      <w:lvlJc w:val="left"/>
      <w:pPr>
        <w:ind w:left="3997" w:hanging="360"/>
      </w:pPr>
    </w:lvl>
    <w:lvl w:ilvl="5" w:tplc="2000001B" w:tentative="1">
      <w:start w:val="1"/>
      <w:numFmt w:val="lowerRoman"/>
      <w:lvlText w:val="%6."/>
      <w:lvlJc w:val="right"/>
      <w:pPr>
        <w:ind w:left="4717" w:hanging="180"/>
      </w:pPr>
    </w:lvl>
    <w:lvl w:ilvl="6" w:tplc="2000000F" w:tentative="1">
      <w:start w:val="1"/>
      <w:numFmt w:val="decimal"/>
      <w:lvlText w:val="%7."/>
      <w:lvlJc w:val="left"/>
      <w:pPr>
        <w:ind w:left="5437" w:hanging="360"/>
      </w:pPr>
    </w:lvl>
    <w:lvl w:ilvl="7" w:tplc="20000019" w:tentative="1">
      <w:start w:val="1"/>
      <w:numFmt w:val="lowerLetter"/>
      <w:lvlText w:val="%8."/>
      <w:lvlJc w:val="left"/>
      <w:pPr>
        <w:ind w:left="6157" w:hanging="360"/>
      </w:pPr>
    </w:lvl>
    <w:lvl w:ilvl="8" w:tplc="2000001B" w:tentative="1">
      <w:start w:val="1"/>
      <w:numFmt w:val="lowerRoman"/>
      <w:lvlText w:val="%9."/>
      <w:lvlJc w:val="right"/>
      <w:pPr>
        <w:ind w:left="6877" w:hanging="180"/>
      </w:pPr>
    </w:lvl>
  </w:abstractNum>
  <w:abstractNum w:abstractNumId="25"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69A23F83"/>
    <w:multiLevelType w:val="hybridMultilevel"/>
    <w:tmpl w:val="E82EB682"/>
    <w:lvl w:ilvl="0" w:tplc="4204EBB6">
      <w:start w:val="1"/>
      <w:numFmt w:val="decimal"/>
      <w:lvlText w:val="%1."/>
      <w:lvlJc w:val="left"/>
      <w:pPr>
        <w:ind w:left="360" w:hanging="360"/>
      </w:pPr>
      <w:rPr>
        <w:i w:val="0"/>
        <w:i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AA68CA"/>
    <w:multiLevelType w:val="hybridMultilevel"/>
    <w:tmpl w:val="C4D831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1663654"/>
    <w:multiLevelType w:val="hybridMultilevel"/>
    <w:tmpl w:val="D086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5474D5"/>
    <w:multiLevelType w:val="hybridMultilevel"/>
    <w:tmpl w:val="FFFFFFFF"/>
    <w:lvl w:ilvl="0" w:tplc="E57C4D66">
      <w:start w:val="1"/>
      <w:numFmt w:val="bullet"/>
      <w:lvlText w:val=""/>
      <w:lvlJc w:val="left"/>
      <w:pPr>
        <w:ind w:left="720" w:hanging="360"/>
      </w:pPr>
      <w:rPr>
        <w:rFonts w:ascii="Symbol" w:hAnsi="Symbol" w:hint="default"/>
      </w:rPr>
    </w:lvl>
    <w:lvl w:ilvl="1" w:tplc="96665020">
      <w:start w:val="1"/>
      <w:numFmt w:val="bullet"/>
      <w:lvlText w:val="o"/>
      <w:lvlJc w:val="left"/>
      <w:pPr>
        <w:ind w:left="1440" w:hanging="360"/>
      </w:pPr>
      <w:rPr>
        <w:rFonts w:ascii="Courier New" w:hAnsi="Courier New" w:hint="default"/>
      </w:rPr>
    </w:lvl>
    <w:lvl w:ilvl="2" w:tplc="31D63700">
      <w:start w:val="1"/>
      <w:numFmt w:val="bullet"/>
      <w:lvlText w:val=""/>
      <w:lvlJc w:val="left"/>
      <w:pPr>
        <w:ind w:left="2160" w:hanging="360"/>
      </w:pPr>
      <w:rPr>
        <w:rFonts w:ascii="Wingdings" w:hAnsi="Wingdings" w:hint="default"/>
      </w:rPr>
    </w:lvl>
    <w:lvl w:ilvl="3" w:tplc="6AEC4698">
      <w:start w:val="1"/>
      <w:numFmt w:val="bullet"/>
      <w:lvlText w:val=""/>
      <w:lvlJc w:val="left"/>
      <w:pPr>
        <w:ind w:left="2880" w:hanging="360"/>
      </w:pPr>
      <w:rPr>
        <w:rFonts w:ascii="Symbol" w:hAnsi="Symbol" w:hint="default"/>
      </w:rPr>
    </w:lvl>
    <w:lvl w:ilvl="4" w:tplc="B240D3D2">
      <w:start w:val="1"/>
      <w:numFmt w:val="bullet"/>
      <w:lvlText w:val="o"/>
      <w:lvlJc w:val="left"/>
      <w:pPr>
        <w:ind w:left="3600" w:hanging="360"/>
      </w:pPr>
      <w:rPr>
        <w:rFonts w:ascii="Courier New" w:hAnsi="Courier New" w:hint="default"/>
      </w:rPr>
    </w:lvl>
    <w:lvl w:ilvl="5" w:tplc="C6400D50">
      <w:start w:val="1"/>
      <w:numFmt w:val="bullet"/>
      <w:lvlText w:val=""/>
      <w:lvlJc w:val="left"/>
      <w:pPr>
        <w:ind w:left="4320" w:hanging="360"/>
      </w:pPr>
      <w:rPr>
        <w:rFonts w:ascii="Wingdings" w:hAnsi="Wingdings" w:hint="default"/>
      </w:rPr>
    </w:lvl>
    <w:lvl w:ilvl="6" w:tplc="3C0050BC">
      <w:start w:val="1"/>
      <w:numFmt w:val="bullet"/>
      <w:lvlText w:val=""/>
      <w:lvlJc w:val="left"/>
      <w:pPr>
        <w:ind w:left="5040" w:hanging="360"/>
      </w:pPr>
      <w:rPr>
        <w:rFonts w:ascii="Symbol" w:hAnsi="Symbol" w:hint="default"/>
      </w:rPr>
    </w:lvl>
    <w:lvl w:ilvl="7" w:tplc="A4189A98">
      <w:start w:val="1"/>
      <w:numFmt w:val="bullet"/>
      <w:lvlText w:val="o"/>
      <w:lvlJc w:val="left"/>
      <w:pPr>
        <w:ind w:left="5760" w:hanging="360"/>
      </w:pPr>
      <w:rPr>
        <w:rFonts w:ascii="Courier New" w:hAnsi="Courier New" w:hint="default"/>
      </w:rPr>
    </w:lvl>
    <w:lvl w:ilvl="8" w:tplc="2CD8B4E0">
      <w:start w:val="1"/>
      <w:numFmt w:val="bullet"/>
      <w:lvlText w:val=""/>
      <w:lvlJc w:val="left"/>
      <w:pPr>
        <w:ind w:left="6480" w:hanging="360"/>
      </w:pPr>
      <w:rPr>
        <w:rFonts w:ascii="Wingdings" w:hAnsi="Wingdings" w:hint="default"/>
      </w:rPr>
    </w:lvl>
  </w:abstractNum>
  <w:abstractNum w:abstractNumId="32" w15:restartNumberingAfterBreak="0">
    <w:nsid w:val="7A1D7473"/>
    <w:multiLevelType w:val="hybridMultilevel"/>
    <w:tmpl w:val="4F5A9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D41010F"/>
    <w:multiLevelType w:val="hybridMultilevel"/>
    <w:tmpl w:val="43B60020"/>
    <w:lvl w:ilvl="0" w:tplc="20000017">
      <w:start w:val="1"/>
      <w:numFmt w:val="lowerLetter"/>
      <w:lvlText w:val="%1)"/>
      <w:lvlJc w:val="left"/>
      <w:pPr>
        <w:ind w:left="720" w:hanging="360"/>
      </w:pPr>
    </w:lvl>
    <w:lvl w:ilvl="1" w:tplc="DD84C80E">
      <w:start w:val="1"/>
      <w:numFmt w:val="lowerLetter"/>
      <w:lvlText w:val="%2)"/>
      <w:lvlJc w:val="left"/>
      <w:pPr>
        <w:ind w:left="1117" w:hanging="360"/>
      </w:pPr>
      <w:rPr>
        <w:rFonts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8"/>
  </w:num>
  <w:num w:numId="5" w16cid:durableId="37974177">
    <w:abstractNumId w:val="7"/>
  </w:num>
  <w:num w:numId="6" w16cid:durableId="1958830237">
    <w:abstractNumId w:val="21"/>
  </w:num>
  <w:num w:numId="7" w16cid:durableId="396439182">
    <w:abstractNumId w:val="25"/>
  </w:num>
  <w:num w:numId="8" w16cid:durableId="260603560">
    <w:abstractNumId w:val="16"/>
  </w:num>
  <w:num w:numId="9" w16cid:durableId="1356272424">
    <w:abstractNumId w:val="10"/>
  </w:num>
  <w:num w:numId="10" w16cid:durableId="630594039">
    <w:abstractNumId w:val="34"/>
  </w:num>
  <w:num w:numId="11" w16cid:durableId="2069759870">
    <w:abstractNumId w:val="23"/>
  </w:num>
  <w:num w:numId="12" w16cid:durableId="904724938">
    <w:abstractNumId w:val="26"/>
  </w:num>
  <w:num w:numId="13" w16cid:durableId="1741906446">
    <w:abstractNumId w:val="28"/>
  </w:num>
  <w:num w:numId="14" w16cid:durableId="947470795">
    <w:abstractNumId w:val="27"/>
  </w:num>
  <w:num w:numId="15" w16cid:durableId="23095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9053771">
    <w:abstractNumId w:val="4"/>
  </w:num>
  <w:num w:numId="17" w16cid:durableId="1533227619">
    <w:abstractNumId w:val="19"/>
  </w:num>
  <w:num w:numId="18" w16cid:durableId="1528061702">
    <w:abstractNumId w:val="8"/>
  </w:num>
  <w:num w:numId="19" w16cid:durableId="595984741">
    <w:abstractNumId w:val="9"/>
  </w:num>
  <w:num w:numId="20" w16cid:durableId="935941991">
    <w:abstractNumId w:val="11"/>
  </w:num>
  <w:num w:numId="21" w16cid:durableId="759720511">
    <w:abstractNumId w:val="12"/>
  </w:num>
  <w:num w:numId="22" w16cid:durableId="698242931">
    <w:abstractNumId w:val="17"/>
  </w:num>
  <w:num w:numId="23" w16cid:durableId="265044521">
    <w:abstractNumId w:val="30"/>
  </w:num>
  <w:num w:numId="24" w16cid:durableId="894512485">
    <w:abstractNumId w:val="22"/>
  </w:num>
  <w:num w:numId="25" w16cid:durableId="272515836">
    <w:abstractNumId w:val="29"/>
  </w:num>
  <w:num w:numId="26" w16cid:durableId="491914888">
    <w:abstractNumId w:val="31"/>
  </w:num>
  <w:num w:numId="27" w16cid:durableId="1099257216">
    <w:abstractNumId w:val="13"/>
  </w:num>
  <w:num w:numId="28" w16cid:durableId="647901246">
    <w:abstractNumId w:val="32"/>
  </w:num>
  <w:num w:numId="29" w16cid:durableId="276959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32559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9217322">
    <w:abstractNumId w:val="3"/>
  </w:num>
  <w:num w:numId="32" w16cid:durableId="1273895952">
    <w:abstractNumId w:val="24"/>
  </w:num>
  <w:num w:numId="33" w16cid:durableId="1142117764">
    <w:abstractNumId w:val="33"/>
  </w:num>
  <w:num w:numId="34" w16cid:durableId="1033766845">
    <w:abstractNumId w:val="20"/>
  </w:num>
  <w:num w:numId="35" w16cid:durableId="5531989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4660"/>
    <w:rsid w:val="00031419"/>
    <w:rsid w:val="00040D1E"/>
    <w:rsid w:val="00074138"/>
    <w:rsid w:val="000E192F"/>
    <w:rsid w:val="000F1261"/>
    <w:rsid w:val="000F4BDA"/>
    <w:rsid w:val="00103257"/>
    <w:rsid w:val="00127CCF"/>
    <w:rsid w:val="00154A11"/>
    <w:rsid w:val="001629E3"/>
    <w:rsid w:val="00166CB7"/>
    <w:rsid w:val="00170DA2"/>
    <w:rsid w:val="001722A0"/>
    <w:rsid w:val="00192411"/>
    <w:rsid w:val="001953F2"/>
    <w:rsid w:val="001A5DBE"/>
    <w:rsid w:val="001A6F64"/>
    <w:rsid w:val="001D2FB4"/>
    <w:rsid w:val="001E6CDF"/>
    <w:rsid w:val="001E73E0"/>
    <w:rsid w:val="00202F40"/>
    <w:rsid w:val="0024152C"/>
    <w:rsid w:val="00254E9C"/>
    <w:rsid w:val="0025580C"/>
    <w:rsid w:val="00256158"/>
    <w:rsid w:val="00266B1F"/>
    <w:rsid w:val="00267B81"/>
    <w:rsid w:val="002A40B8"/>
    <w:rsid w:val="002A5ABE"/>
    <w:rsid w:val="002C3D4D"/>
    <w:rsid w:val="002D5F2A"/>
    <w:rsid w:val="002E765D"/>
    <w:rsid w:val="002F43C9"/>
    <w:rsid w:val="002F7EC2"/>
    <w:rsid w:val="003133A7"/>
    <w:rsid w:val="0031579B"/>
    <w:rsid w:val="00323406"/>
    <w:rsid w:val="003A2C2E"/>
    <w:rsid w:val="003A3805"/>
    <w:rsid w:val="003B5C25"/>
    <w:rsid w:val="003E20E3"/>
    <w:rsid w:val="00414E35"/>
    <w:rsid w:val="00422BF9"/>
    <w:rsid w:val="00430A25"/>
    <w:rsid w:val="00457C8A"/>
    <w:rsid w:val="00475DDA"/>
    <w:rsid w:val="004C7808"/>
    <w:rsid w:val="004D3A1B"/>
    <w:rsid w:val="004D4A80"/>
    <w:rsid w:val="005013EE"/>
    <w:rsid w:val="00502E5F"/>
    <w:rsid w:val="00504438"/>
    <w:rsid w:val="005330F7"/>
    <w:rsid w:val="00552936"/>
    <w:rsid w:val="00563598"/>
    <w:rsid w:val="00591364"/>
    <w:rsid w:val="00592262"/>
    <w:rsid w:val="0059243E"/>
    <w:rsid w:val="005B584E"/>
    <w:rsid w:val="005C39FC"/>
    <w:rsid w:val="005D346C"/>
    <w:rsid w:val="005D74C4"/>
    <w:rsid w:val="005F1CD9"/>
    <w:rsid w:val="006114FC"/>
    <w:rsid w:val="0065538E"/>
    <w:rsid w:val="006724C2"/>
    <w:rsid w:val="00675068"/>
    <w:rsid w:val="006B0764"/>
    <w:rsid w:val="006B68BE"/>
    <w:rsid w:val="006C2EF5"/>
    <w:rsid w:val="006F22B0"/>
    <w:rsid w:val="006F76DA"/>
    <w:rsid w:val="007063E3"/>
    <w:rsid w:val="00713CA4"/>
    <w:rsid w:val="00721469"/>
    <w:rsid w:val="007549D1"/>
    <w:rsid w:val="007575C3"/>
    <w:rsid w:val="007800F9"/>
    <w:rsid w:val="00790422"/>
    <w:rsid w:val="007A794B"/>
    <w:rsid w:val="007B48AC"/>
    <w:rsid w:val="007B53CC"/>
    <w:rsid w:val="007C1BEF"/>
    <w:rsid w:val="007C212E"/>
    <w:rsid w:val="007E5A82"/>
    <w:rsid w:val="00800CB3"/>
    <w:rsid w:val="00805E41"/>
    <w:rsid w:val="00810C00"/>
    <w:rsid w:val="00810C64"/>
    <w:rsid w:val="00822C94"/>
    <w:rsid w:val="00834F78"/>
    <w:rsid w:val="00864C60"/>
    <w:rsid w:val="00874FBD"/>
    <w:rsid w:val="00895330"/>
    <w:rsid w:val="008D686F"/>
    <w:rsid w:val="008E1226"/>
    <w:rsid w:val="009028C6"/>
    <w:rsid w:val="009059D0"/>
    <w:rsid w:val="00922C9A"/>
    <w:rsid w:val="00933C8C"/>
    <w:rsid w:val="00943D15"/>
    <w:rsid w:val="00956B18"/>
    <w:rsid w:val="009815A7"/>
    <w:rsid w:val="009A5DBB"/>
    <w:rsid w:val="009A7457"/>
    <w:rsid w:val="009B58DC"/>
    <w:rsid w:val="009E5B47"/>
    <w:rsid w:val="009F359F"/>
    <w:rsid w:val="00A336BD"/>
    <w:rsid w:val="00A65566"/>
    <w:rsid w:val="00A764E0"/>
    <w:rsid w:val="00A87ACB"/>
    <w:rsid w:val="00A96EB9"/>
    <w:rsid w:val="00AC09AE"/>
    <w:rsid w:val="00B044E7"/>
    <w:rsid w:val="00B104EC"/>
    <w:rsid w:val="00B279C8"/>
    <w:rsid w:val="00B40E07"/>
    <w:rsid w:val="00B837B8"/>
    <w:rsid w:val="00BC5707"/>
    <w:rsid w:val="00BE6C85"/>
    <w:rsid w:val="00BF356F"/>
    <w:rsid w:val="00BF7838"/>
    <w:rsid w:val="00C03C58"/>
    <w:rsid w:val="00C22155"/>
    <w:rsid w:val="00C41DAD"/>
    <w:rsid w:val="00C64C00"/>
    <w:rsid w:val="00C664E8"/>
    <w:rsid w:val="00C67F03"/>
    <w:rsid w:val="00CB2B71"/>
    <w:rsid w:val="00CC4FDA"/>
    <w:rsid w:val="00CF261D"/>
    <w:rsid w:val="00CF660D"/>
    <w:rsid w:val="00D131A7"/>
    <w:rsid w:val="00D23ECF"/>
    <w:rsid w:val="00D377F2"/>
    <w:rsid w:val="00D57CC4"/>
    <w:rsid w:val="00D62EC6"/>
    <w:rsid w:val="00D6424C"/>
    <w:rsid w:val="00D70275"/>
    <w:rsid w:val="00D74D68"/>
    <w:rsid w:val="00D84650"/>
    <w:rsid w:val="00D86F81"/>
    <w:rsid w:val="00DA06E3"/>
    <w:rsid w:val="00DA5805"/>
    <w:rsid w:val="00DA76C3"/>
    <w:rsid w:val="00DB043A"/>
    <w:rsid w:val="00DD73A2"/>
    <w:rsid w:val="00E21F5D"/>
    <w:rsid w:val="00E22D3C"/>
    <w:rsid w:val="00E3306A"/>
    <w:rsid w:val="00E607BD"/>
    <w:rsid w:val="00E71F1B"/>
    <w:rsid w:val="00E77A9F"/>
    <w:rsid w:val="00E81B4A"/>
    <w:rsid w:val="00E84343"/>
    <w:rsid w:val="00E96DAB"/>
    <w:rsid w:val="00EB6021"/>
    <w:rsid w:val="00EE116F"/>
    <w:rsid w:val="00EF0155"/>
    <w:rsid w:val="00EF1D13"/>
    <w:rsid w:val="00F00C95"/>
    <w:rsid w:val="00F147ED"/>
    <w:rsid w:val="00F2072F"/>
    <w:rsid w:val="00F57365"/>
    <w:rsid w:val="00F60180"/>
    <w:rsid w:val="00F92D44"/>
    <w:rsid w:val="00F973DB"/>
    <w:rsid w:val="00FB2ED1"/>
    <w:rsid w:val="00FE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1"/>
    <w:next w:val="Normal"/>
    <w:link w:val="Heading1Char"/>
    <w:uiPriority w:val="9"/>
    <w:qFormat/>
    <w:rsid w:val="00D86F81"/>
    <w:pPr>
      <w:spacing w:after="0"/>
      <w:outlineLvl w:val="0"/>
    </w:pPr>
    <w:rPr>
      <w:bCs w:val="0"/>
      <w:caps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Firstnumbering">
    <w:name w:val="First numbering"/>
    <w:basedOn w:val="ListParagraph"/>
    <w:link w:val="FirstnumberingChar"/>
    <w:qFormat/>
    <w:rsid w:val="00EF0155"/>
    <w:pPr>
      <w:numPr>
        <w:numId w:val="13"/>
      </w:numPr>
      <w:spacing w:after="0" w:line="240" w:lineRule="auto"/>
      <w:ind w:left="567" w:hanging="567"/>
      <w:contextualSpacing w:val="0"/>
    </w:pPr>
    <w:rPr>
      <w:lang w:val="en-GB"/>
    </w:rPr>
  </w:style>
  <w:style w:type="paragraph" w:customStyle="1" w:styleId="Secondnumbering">
    <w:name w:val="Second numbering"/>
    <w:basedOn w:val="Firstnumbering"/>
    <w:link w:val="SecondnumberingChar"/>
    <w:qFormat/>
    <w:rsid w:val="00EF0155"/>
    <w:pPr>
      <w:numPr>
        <w:numId w:val="15"/>
      </w:numPr>
    </w:pPr>
  </w:style>
  <w:style w:type="character" w:customStyle="1" w:styleId="FirstnumberingChar">
    <w:name w:val="First numbering Char"/>
    <w:basedOn w:val="ListParagraphChar"/>
    <w:link w:val="Firstnumbering"/>
    <w:rsid w:val="00EF0155"/>
    <w:rPr>
      <w:lang w:val="en-GB"/>
    </w:rPr>
  </w:style>
  <w:style w:type="character" w:customStyle="1" w:styleId="SecondnumberingChar">
    <w:name w:val="Second numbering Char"/>
    <w:basedOn w:val="FirstnumberingChar"/>
    <w:link w:val="Secondnumbering"/>
    <w:rsid w:val="00EF0155"/>
    <w:rPr>
      <w:lang w:val="en-GB"/>
    </w:rPr>
  </w:style>
  <w:style w:type="character" w:styleId="CommentReference">
    <w:name w:val="annotation reference"/>
    <w:basedOn w:val="DefaultParagraphFont"/>
    <w:uiPriority w:val="99"/>
    <w:semiHidden/>
    <w:unhideWhenUsed/>
    <w:rsid w:val="00EF0155"/>
    <w:rPr>
      <w:sz w:val="16"/>
      <w:szCs w:val="16"/>
    </w:rPr>
  </w:style>
  <w:style w:type="paragraph" w:styleId="FootnoteText">
    <w:name w:val="footnote text"/>
    <w:basedOn w:val="Normal"/>
    <w:link w:val="FootnoteTextChar"/>
    <w:uiPriority w:val="99"/>
    <w:semiHidden/>
    <w:unhideWhenUsed/>
    <w:rsid w:val="00EF0155"/>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EF0155"/>
    <w:rPr>
      <w:sz w:val="20"/>
      <w:szCs w:val="20"/>
      <w:lang w:val="en-GB"/>
    </w:rPr>
  </w:style>
  <w:style w:type="table" w:styleId="TableGrid">
    <w:name w:val="Table Grid"/>
    <w:basedOn w:val="TableNormal"/>
    <w:uiPriority w:val="39"/>
    <w:rsid w:val="00EF0155"/>
    <w:pPr>
      <w:spacing w:after="0" w:line="240" w:lineRule="auto"/>
    </w:pPr>
    <w:rPr>
      <w:rFonts w:asciiTheme="minorHAnsi" w:hAnsiTheme="minorHAns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EndnoteReference">
    <w:name w:val="endnote reference"/>
    <w:basedOn w:val="DefaultParagraphFont"/>
    <w:uiPriority w:val="99"/>
    <w:semiHidden/>
    <w:unhideWhenUsed/>
    <w:rsid w:val="005F1CD9"/>
    <w:rPr>
      <w:vertAlign w:val="superscript"/>
    </w:rPr>
  </w:style>
  <w:style w:type="character" w:customStyle="1" w:styleId="Heading1Char">
    <w:name w:val="Heading 1 Char"/>
    <w:basedOn w:val="DefaultParagraphFont"/>
    <w:link w:val="Heading1"/>
    <w:uiPriority w:val="9"/>
    <w:rsid w:val="00D86F81"/>
    <w:rPr>
      <w:rFonts w:eastAsia="Times New Roman" w:cs="Arial"/>
      <w:b/>
      <w:lang w:val="en-GB"/>
    </w:rPr>
  </w:style>
  <w:style w:type="character" w:styleId="UnresolvedMention">
    <w:name w:val="Unresolved Mention"/>
    <w:basedOn w:val="DefaultParagraphFont"/>
    <w:uiPriority w:val="99"/>
    <w:semiHidden/>
    <w:unhideWhenUsed/>
    <w:rsid w:val="00F92D44"/>
    <w:rPr>
      <w:color w:val="605E5C"/>
      <w:shd w:val="clear" w:color="auto" w:fill="E1DFDD"/>
    </w:rPr>
  </w:style>
  <w:style w:type="character" w:styleId="FollowedHyperlink">
    <w:name w:val="FollowedHyperlink"/>
    <w:basedOn w:val="DefaultParagraphFont"/>
    <w:uiPriority w:val="99"/>
    <w:semiHidden/>
    <w:unhideWhenUsed/>
    <w:rsid w:val="00202F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https://www.cms.int/es/node/25451" TargetMode="External"/><Relationship Id="rId42" Type="http://schemas.openxmlformats.org/officeDocument/2006/relationships/hyperlink" Target="https://doi.org/10.1016/j.marpol.2025.106652" TargetMode="External"/><Relationship Id="rId47" Type="http://schemas.openxmlformats.org/officeDocument/2006/relationships/footer" Target="footer6.xml"/><Relationship Id="rId63" Type="http://schemas.openxmlformats.org/officeDocument/2006/relationships/hyperlink" Target="https://www.cms.int/es/system/403" TargetMode="External"/><Relationship Id="rId68" Type="http://schemas.openxmlformats.org/officeDocument/2006/relationships/header" Target="header13.xml"/><Relationship Id="rId16" Type="http://schemas.openxmlformats.org/officeDocument/2006/relationships/hyperlink" Target="https://www.cms.int/en/document/report-impacts-climate-change-cetacean-welfare-and-conservation" TargetMode="External"/><Relationship Id="rId11" Type="http://schemas.openxmlformats.org/officeDocument/2006/relationships/image" Target="media/image1.wmf"/><Relationship Id="rId24" Type="http://schemas.openxmlformats.org/officeDocument/2006/relationships/hyperlink" Target="https://www.cms.int/es/node/25252" TargetMode="External"/><Relationship Id="rId32" Type="http://schemas.openxmlformats.org/officeDocument/2006/relationships/hyperlink" Target="https://www.cms.int/en/document/conservation-priorities-cetaceans-2" TargetMode="External"/><Relationship Id="rId37" Type="http://schemas.openxmlformats.org/officeDocument/2006/relationships/hyperlink" Target="https://www.cms.int/en/document/report-impacts-climate-change-cetacean-welfare-and-conservation" TargetMode="External"/><Relationship Id="rId40" Type="http://schemas.openxmlformats.org/officeDocument/2006/relationships/header" Target="header9.xml"/><Relationship Id="rId45" Type="http://schemas.openxmlformats.org/officeDocument/2006/relationships/header" Target="header11.xml"/><Relationship Id="rId53" Type="http://schemas.openxmlformats.org/officeDocument/2006/relationships/hyperlink" Target="https://www.cms.int/es/system/403" TargetMode="External"/><Relationship Id="rId58" Type="http://schemas.openxmlformats.org/officeDocument/2006/relationships/hyperlink" Target="https://www.cms.int/es/system/403" TargetMode="External"/><Relationship Id="rId66" Type="http://schemas.openxmlformats.org/officeDocument/2006/relationships/hyperlink" Target="https://www.cms.int/es/system/403" TargetMode="External"/><Relationship Id="rId74" Type="http://schemas.openxmlformats.org/officeDocument/2006/relationships/header" Target="header19.xml"/><Relationship Id="rId5" Type="http://schemas.openxmlformats.org/officeDocument/2006/relationships/numbering" Target="numbering.xml"/><Relationship Id="rId61" Type="http://schemas.openxmlformats.org/officeDocument/2006/relationships/hyperlink" Target="https://www.cms.int/es/system/403" TargetMode="External"/><Relationship Id="rId19" Type="http://schemas.openxmlformats.org/officeDocument/2006/relationships/hyperlink" Target="https://www.cms.int/en/document/out-habitat-marine-mammals-identification-causes-and-management-recommendations" TargetMode="External"/><Relationship Id="rId14" Type="http://schemas.openxmlformats.org/officeDocument/2006/relationships/hyperlink" Target="https://www.cms.int/en/document/conservation-priorities-cetaceans-2" TargetMode="External"/><Relationship Id="rId22" Type="http://schemas.openxmlformats.org/officeDocument/2006/relationships/hyperlink" Target="https://www.cms.int/es/node/25458"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6.xml"/><Relationship Id="rId43" Type="http://schemas.openxmlformats.org/officeDocument/2006/relationships/hyperlink" Target="https://www.cms.int/en/document/out-habitat-marine-mammals-identification-causes-and-management-recommendations" TargetMode="External"/><Relationship Id="rId48" Type="http://schemas.openxmlformats.org/officeDocument/2006/relationships/hyperlink" Target="https://www.cms.int/document/compilation-recommendations-could-be-directed-scientific-council-cop14-and-future-cops" TargetMode="External"/><Relationship Id="rId56" Type="http://schemas.openxmlformats.org/officeDocument/2006/relationships/hyperlink" Target="https://www.cms.int/es/system/403" TargetMode="External"/><Relationship Id="rId64" Type="http://schemas.openxmlformats.org/officeDocument/2006/relationships/hyperlink" Target="https://www.cms.int/es/system/403" TargetMode="External"/><Relationship Id="rId69" Type="http://schemas.openxmlformats.org/officeDocument/2006/relationships/header" Target="header14.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cms.int/es/system/403" TargetMode="External"/><Relationship Id="rId72" Type="http://schemas.openxmlformats.org/officeDocument/2006/relationships/header" Target="header17.xml"/><Relationship Id="rId3" Type="http://schemas.openxmlformats.org/officeDocument/2006/relationships/customXml" Target="../customXml/item3.xml"/><Relationship Id="rId12" Type="http://schemas.openxmlformats.org/officeDocument/2006/relationships/hyperlink" Target="https://www.cms.int/en/document/cetacean-action-plans" TargetMode="External"/><Relationship Id="rId17" Type="http://schemas.openxmlformats.org/officeDocument/2006/relationships/hyperlink" Target="https://www.cms.int/en/document/review-support-development-second-cms-cetacean-programme-work-2024-2035" TargetMode="External"/><Relationship Id="rId25" Type="http://schemas.openxmlformats.org/officeDocument/2006/relationships/header" Target="header1.xml"/><Relationship Id="rId33" Type="http://schemas.openxmlformats.org/officeDocument/2006/relationships/header" Target="header4.xml"/><Relationship Id="rId38" Type="http://schemas.openxmlformats.org/officeDocument/2006/relationships/header" Target="header7.xml"/><Relationship Id="rId46" Type="http://schemas.openxmlformats.org/officeDocument/2006/relationships/header" Target="header12.xml"/><Relationship Id="rId59" Type="http://schemas.openxmlformats.org/officeDocument/2006/relationships/hyperlink" Target="https://www.cms.int/es/system/403" TargetMode="External"/><Relationship Id="rId67" Type="http://schemas.openxmlformats.org/officeDocument/2006/relationships/hyperlink" Target="https://www.cms.int/es/system/403" TargetMode="External"/><Relationship Id="rId20" Type="http://schemas.openxmlformats.org/officeDocument/2006/relationships/hyperlink" Target="https://www.cms.int/document/compilation-recommendations-could-be-directed-scientific-council-cop14-and-future-cops" TargetMode="External"/><Relationship Id="rId41" Type="http://schemas.openxmlformats.org/officeDocument/2006/relationships/footer" Target="footer5.xml"/><Relationship Id="rId54" Type="http://schemas.openxmlformats.org/officeDocument/2006/relationships/hyperlink" Target="https://www.cms.int/es/system/403" TargetMode="External"/><Relationship Id="rId62" Type="http://schemas.openxmlformats.org/officeDocument/2006/relationships/hyperlink" Target="https://www.cms.int/es/system/403" TargetMode="External"/><Relationship Id="rId70" Type="http://schemas.openxmlformats.org/officeDocument/2006/relationships/header" Target="header15.xml"/><Relationship Id="rId75"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en/document/quantification-contemporary-whaling-and-aquatic-wild-meat-takes-all-cms-appendix-i-listed" TargetMode="External"/><Relationship Id="rId23" Type="http://schemas.openxmlformats.org/officeDocument/2006/relationships/hyperlink" Target="https://www.cms.int/es/node/24321" TargetMode="External"/><Relationship Id="rId28" Type="http://schemas.openxmlformats.org/officeDocument/2006/relationships/footer" Target="footer2.xml"/><Relationship Id="rId36" Type="http://schemas.openxmlformats.org/officeDocument/2006/relationships/footer" Target="footer4.xml"/><Relationship Id="rId49" Type="http://schemas.openxmlformats.org/officeDocument/2006/relationships/hyperlink" Target="https://www.cms.int/document/review-support-development-second-cms-cetacean-programme-work-2024-2035" TargetMode="External"/><Relationship Id="rId57" Type="http://schemas.openxmlformats.org/officeDocument/2006/relationships/hyperlink" Target="https://www.cms.int/es/system/403" TargetMode="External"/><Relationship Id="rId10" Type="http://schemas.openxmlformats.org/officeDocument/2006/relationships/endnotes" Target="endnotes.xml"/><Relationship Id="rId31" Type="http://schemas.openxmlformats.org/officeDocument/2006/relationships/hyperlink" Target="https://www.cms.int/en/document/quantification-contemporary-whaling-and-aquatic-wild-meat-takes-all-cms-appendix-i-listed" TargetMode="External"/><Relationship Id="rId44" Type="http://schemas.openxmlformats.org/officeDocument/2006/relationships/header" Target="header10.xml"/><Relationship Id="rId52" Type="http://schemas.openxmlformats.org/officeDocument/2006/relationships/hyperlink" Target="https://www.cms.int/es/system/403" TargetMode="External"/><Relationship Id="rId60" Type="http://schemas.openxmlformats.org/officeDocument/2006/relationships/hyperlink" Target="https://www.cms.int/es/system/403" TargetMode="External"/><Relationship Id="rId65" Type="http://schemas.openxmlformats.org/officeDocument/2006/relationships/hyperlink" Target="https://www.cms.int/es/system/403" TargetMode="External"/><Relationship Id="rId73"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ms.int/en/document/priorities-area-based-conservation-marine-migratory-species" TargetMode="External"/><Relationship Id="rId18" Type="http://schemas.openxmlformats.org/officeDocument/2006/relationships/hyperlink" Target="https://doi.org/10.1016/j.marpol.2025.106652" TargetMode="External"/><Relationship Id="rId39" Type="http://schemas.openxmlformats.org/officeDocument/2006/relationships/header" Target="header8.xml"/><Relationship Id="rId34" Type="http://schemas.openxmlformats.org/officeDocument/2006/relationships/header" Target="header5.xml"/><Relationship Id="rId50" Type="http://schemas.openxmlformats.org/officeDocument/2006/relationships/hyperlink" Target="https://www.cms.int/es/system/403" TargetMode="External"/><Relationship Id="rId55" Type="http://schemas.openxmlformats.org/officeDocument/2006/relationships/hyperlink" Target="https://www.cms.int/es/system/403"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16.xml"/><Relationship Id="rId2" Type="http://schemas.openxmlformats.org/officeDocument/2006/relationships/customXml" Target="../customXml/item2.xml"/><Relationship Id="rId29"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oceancare.org/wp-content/uploads/2023/03/Out-of-Habitat-Report-2-.pdf" TargetMode="External"/><Relationship Id="rId2" Type="http://schemas.openxmlformats.org/officeDocument/2006/relationships/hyperlink" Target="https://wildanimalwelfare.files.wordpress.com/2021/12/out-of-habitat-marine-mammals-workshop-report-final-1.pdf" TargetMode="External"/><Relationship Id="rId1" Type="http://schemas.openxmlformats.org/officeDocument/2006/relationships/hyperlink" Target="https://doi.org/10.3389/fvets.2020.00057"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29D33ED5-6583-4B01-AF99-04C88FCD3B5B}"/>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115</TotalTime>
  <Pages>26</Pages>
  <Words>9714</Words>
  <Characters>55372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103</cp:revision>
  <dcterms:created xsi:type="dcterms:W3CDTF">2025-09-12T10:12:00Z</dcterms:created>
  <dcterms:modified xsi:type="dcterms:W3CDTF">2025-10-16T08:47:00Z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