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89B8E" w14:textId="77777777" w:rsidR="003740A1" w:rsidRPr="00EC2A58" w:rsidRDefault="003740A1" w:rsidP="003740A1">
      <w:pPr>
        <w:widowControl w:val="0"/>
        <w:tabs>
          <w:tab w:val="left" w:pos="-1057"/>
          <w:tab w:val="left" w:pos="-720"/>
        </w:tabs>
        <w:suppressAutoHyphens/>
        <w:autoSpaceDE w:val="0"/>
        <w:autoSpaceDN w:val="0"/>
        <w:spacing w:after="0" w:line="240" w:lineRule="auto"/>
        <w:textAlignment w:val="baseline"/>
        <w:rPr>
          <w:rFonts w:eastAsia="Times New Roman"/>
          <w:spacing w:val="-8"/>
          <w:sz w:val="12"/>
          <w:szCs w:val="12"/>
        </w:rPr>
      </w:pPr>
    </w:p>
    <w:tbl>
      <w:tblPr>
        <w:tblW w:w="9648" w:type="dxa"/>
        <w:tblLayout w:type="fixed"/>
        <w:tblCellMar>
          <w:left w:w="10" w:type="dxa"/>
          <w:right w:w="10" w:type="dxa"/>
        </w:tblCellMar>
        <w:tblLook w:val="0000" w:firstRow="0" w:lastRow="0" w:firstColumn="0" w:lastColumn="0" w:noHBand="0" w:noVBand="0"/>
      </w:tblPr>
      <w:tblGrid>
        <w:gridCol w:w="1526"/>
        <w:gridCol w:w="4414"/>
        <w:gridCol w:w="3708"/>
      </w:tblGrid>
      <w:tr w:rsidR="003740A1" w:rsidRPr="00FC4F18" w14:paraId="231BDDD7" w14:textId="77777777" w:rsidTr="00FD1FC8">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64346350" w14:textId="77777777" w:rsidR="003740A1" w:rsidRPr="00EC2A58" w:rsidRDefault="003740A1" w:rsidP="00FD1FC8">
            <w:pPr>
              <w:widowControl w:val="0"/>
              <w:suppressAutoHyphens/>
              <w:autoSpaceDE w:val="0"/>
              <w:autoSpaceDN w:val="0"/>
              <w:spacing w:after="0" w:line="240" w:lineRule="auto"/>
              <w:textAlignment w:val="baseline"/>
              <w:rPr>
                <w:rFonts w:ascii="Calibri" w:eastAsia="Calibri" w:hAnsi="Calibri" w:cs="Times New Roman"/>
              </w:rPr>
            </w:pPr>
            <w:bookmarkStart w:id="0" w:name="_Hlk208560930"/>
            <w:r w:rsidRPr="00EC2A58">
              <w:rPr>
                <w:rFonts w:eastAsia="Times New Roman"/>
                <w:noProof/>
              </w:rPr>
              <w:drawing>
                <wp:inline distT="0" distB="0" distL="0" distR="0" wp14:anchorId="6370AA6C" wp14:editId="7446D5C9">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2533" t="-726" r="-2533" b="-726"/>
                          <a:stretch>
                            <a:fillRect/>
                          </a:stretch>
                        </pic:blipFill>
                        <pic:spPr>
                          <a:xfrm>
                            <a:off x="0" y="0"/>
                            <a:ext cx="752478" cy="771525"/>
                          </a:xfrm>
                          <a:prstGeom prst="rect">
                            <a:avLst/>
                          </a:prstGeom>
                          <a:noFill/>
                          <a:ln>
                            <a:noFill/>
                            <a:prstDash/>
                          </a:ln>
                        </pic:spPr>
                      </pic:pic>
                    </a:graphicData>
                  </a:graphic>
                </wp:inline>
              </w:drawing>
            </w:r>
          </w:p>
          <w:p w14:paraId="48D2CDE7" w14:textId="77777777" w:rsidR="003740A1" w:rsidRPr="00EC2A58" w:rsidRDefault="003740A1" w:rsidP="00FD1FC8">
            <w:pPr>
              <w:widowControl w:val="0"/>
              <w:suppressAutoHyphens/>
              <w:autoSpaceDE w:val="0"/>
              <w:autoSpaceDN w:val="0"/>
              <w:spacing w:after="0" w:line="240" w:lineRule="auto"/>
              <w:textAlignment w:val="baseline"/>
              <w:rPr>
                <w:rFonts w:eastAsia="Times New Roman"/>
              </w:rPr>
            </w:pPr>
          </w:p>
        </w:tc>
        <w:tc>
          <w:tcPr>
            <w:tcW w:w="4414" w:type="dxa"/>
            <w:tcBorders>
              <w:top w:val="single" w:sz="12" w:space="0" w:color="000000"/>
              <w:bottom w:val="single" w:sz="12" w:space="0" w:color="000000"/>
            </w:tcBorders>
            <w:tcMar>
              <w:top w:w="85" w:type="dxa"/>
              <w:left w:w="108" w:type="dxa"/>
              <w:bottom w:w="0" w:type="dxa"/>
              <w:right w:w="108" w:type="dxa"/>
            </w:tcMar>
          </w:tcPr>
          <w:p w14:paraId="5A31E897" w14:textId="77777777" w:rsidR="003740A1" w:rsidRPr="00EC2A58" w:rsidRDefault="003740A1" w:rsidP="00FD1FC8">
            <w:pPr>
              <w:keepNext/>
              <w:widowControl w:val="0"/>
              <w:suppressAutoHyphens/>
              <w:autoSpaceDE w:val="0"/>
              <w:autoSpaceDN w:val="0"/>
              <w:spacing w:after="0" w:line="240" w:lineRule="auto"/>
              <w:ind w:left="-108"/>
              <w:textAlignment w:val="baseline"/>
              <w:outlineLvl w:val="1"/>
              <w:rPr>
                <w:rFonts w:eastAsia="Times New Roman"/>
                <w:sz w:val="12"/>
                <w:szCs w:val="12"/>
              </w:rPr>
            </w:pPr>
          </w:p>
          <w:p w14:paraId="47B4C23F" w14:textId="77777777" w:rsidR="003740A1" w:rsidRPr="00EC2A58" w:rsidRDefault="003740A1" w:rsidP="00FD1FC8">
            <w:pPr>
              <w:keepNext/>
              <w:widowControl w:val="0"/>
              <w:suppressAutoHyphens/>
              <w:autoSpaceDE w:val="0"/>
              <w:autoSpaceDN w:val="0"/>
              <w:spacing w:after="0" w:line="240" w:lineRule="auto"/>
              <w:ind w:left="-108"/>
              <w:textAlignment w:val="baseline"/>
              <w:outlineLvl w:val="1"/>
              <w:rPr>
                <w:rFonts w:ascii="Calibri" w:eastAsia="Calibri" w:hAnsi="Calibri" w:cs="Times New Roman"/>
              </w:rPr>
            </w:pPr>
            <w:r w:rsidRPr="00EC2A58">
              <w:rPr>
                <w:b/>
                <w:bCs/>
                <w:sz w:val="32"/>
                <w:szCs w:val="32"/>
              </w:rPr>
              <w:t>CONVENTION SUR</w:t>
            </w:r>
          </w:p>
          <w:p w14:paraId="7C8CB91C" w14:textId="77777777" w:rsidR="003740A1" w:rsidRPr="00EC2A58" w:rsidRDefault="003740A1" w:rsidP="00FD1FC8">
            <w:pPr>
              <w:keepNext/>
              <w:widowControl w:val="0"/>
              <w:suppressAutoHyphens/>
              <w:autoSpaceDE w:val="0"/>
              <w:autoSpaceDN w:val="0"/>
              <w:spacing w:after="0" w:line="240" w:lineRule="auto"/>
              <w:ind w:left="-108"/>
              <w:textAlignment w:val="baseline"/>
              <w:outlineLvl w:val="1"/>
              <w:rPr>
                <w:rFonts w:ascii="Calibri" w:eastAsia="Calibri" w:hAnsi="Calibri" w:cs="Times New Roman"/>
              </w:rPr>
            </w:pPr>
            <w:r w:rsidRPr="00EC2A58">
              <w:rPr>
                <w:b/>
                <w:bCs/>
                <w:sz w:val="32"/>
                <w:szCs w:val="32"/>
              </w:rPr>
              <w:t>LES ESPÈCES</w:t>
            </w:r>
          </w:p>
          <w:p w14:paraId="3DA6594A" w14:textId="77777777" w:rsidR="003740A1" w:rsidRPr="00EC2A58" w:rsidRDefault="003740A1" w:rsidP="00FD1FC8">
            <w:pPr>
              <w:keepNext/>
              <w:widowControl w:val="0"/>
              <w:suppressAutoHyphens/>
              <w:autoSpaceDE w:val="0"/>
              <w:autoSpaceDN w:val="0"/>
              <w:spacing w:after="0" w:line="240" w:lineRule="auto"/>
              <w:ind w:left="-108"/>
              <w:textAlignment w:val="baseline"/>
              <w:outlineLvl w:val="1"/>
              <w:rPr>
                <w:rFonts w:ascii="Calibri" w:eastAsia="Calibri" w:hAnsi="Calibri" w:cs="Times New Roman"/>
              </w:rPr>
            </w:pPr>
            <w:r w:rsidRPr="00EC2A58">
              <w:rPr>
                <w:b/>
                <w:bCs/>
                <w:sz w:val="32"/>
                <w:szCs w:val="32"/>
              </w:rPr>
              <w:t>MIGRATRICES</w:t>
            </w:r>
          </w:p>
        </w:tc>
        <w:tc>
          <w:tcPr>
            <w:tcW w:w="3708" w:type="dxa"/>
            <w:tcBorders>
              <w:top w:val="single" w:sz="12" w:space="0" w:color="000000"/>
              <w:bottom w:val="single" w:sz="12" w:space="0" w:color="000000"/>
            </w:tcBorders>
            <w:tcMar>
              <w:top w:w="85" w:type="dxa"/>
              <w:left w:w="108" w:type="dxa"/>
              <w:bottom w:w="0" w:type="dxa"/>
              <w:right w:w="108" w:type="dxa"/>
            </w:tcMar>
          </w:tcPr>
          <w:p w14:paraId="31BC37F0" w14:textId="55C02749" w:rsidR="003740A1" w:rsidRPr="00AF3AEC" w:rsidRDefault="003740A1" w:rsidP="00FD1FC8">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pPr>
            <w:r w:rsidRPr="00EC2A58">
              <w:t>UNEP/CMS/COP1</w:t>
            </w:r>
            <w:r>
              <w:t>5</w:t>
            </w:r>
            <w:r w:rsidRPr="00EC2A58">
              <w:t>/Doc.</w:t>
            </w:r>
            <w:r w:rsidR="009672B5">
              <w:t>25.3.3</w:t>
            </w:r>
          </w:p>
          <w:p w14:paraId="1CBAB3AD" w14:textId="3515EF92" w:rsidR="003740A1" w:rsidRPr="00AF3AEC" w:rsidRDefault="009672B5" w:rsidP="00FD1FC8">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pPr>
            <w:r>
              <w:t xml:space="preserve">23 octobre </w:t>
            </w:r>
            <w:r w:rsidR="003740A1" w:rsidRPr="00AF3AEC">
              <w:t>2025</w:t>
            </w:r>
          </w:p>
          <w:p w14:paraId="418BC43F" w14:textId="77777777" w:rsidR="003740A1" w:rsidRPr="00FC4F18" w:rsidRDefault="003740A1" w:rsidP="00FD1FC8">
            <w:pPr>
              <w:widowControl w:val="0"/>
              <w:suppressAutoHyphens/>
              <w:autoSpaceDE w:val="0"/>
              <w:autoSpaceDN w:val="0"/>
              <w:spacing w:after="0" w:line="240" w:lineRule="auto"/>
              <w:textAlignment w:val="baseline"/>
              <w:rPr>
                <w:rFonts w:ascii="Calibri" w:eastAsia="Calibri" w:hAnsi="Calibri" w:cs="Times New Roman"/>
              </w:rPr>
            </w:pPr>
            <w:r w:rsidRPr="00EC2A58">
              <w:t>Français</w:t>
            </w:r>
          </w:p>
          <w:p w14:paraId="29F47AE8" w14:textId="77777777" w:rsidR="003740A1" w:rsidRPr="00FC4F18" w:rsidRDefault="003740A1" w:rsidP="00FD1FC8">
            <w:pPr>
              <w:widowControl w:val="0"/>
              <w:suppressAutoHyphens/>
              <w:autoSpaceDE w:val="0"/>
              <w:autoSpaceDN w:val="0"/>
              <w:spacing w:after="120" w:line="240" w:lineRule="auto"/>
              <w:textAlignment w:val="baseline"/>
              <w:rPr>
                <w:rFonts w:ascii="Calibri" w:eastAsia="Calibri" w:hAnsi="Calibri" w:cs="Times New Roman"/>
              </w:rPr>
            </w:pPr>
            <w:r w:rsidRPr="00EC2A58">
              <w:t>Original : Anglais</w:t>
            </w:r>
          </w:p>
        </w:tc>
      </w:tr>
    </w:tbl>
    <w:p w14:paraId="7F1A467C" w14:textId="77777777" w:rsidR="003740A1" w:rsidRPr="00EC2A58" w:rsidRDefault="003740A1" w:rsidP="003740A1">
      <w:pPr>
        <w:widowControl w:val="0"/>
        <w:tabs>
          <w:tab w:val="left" w:pos="-1057"/>
          <w:tab w:val="left" w:pos="-720"/>
        </w:tabs>
        <w:suppressAutoHyphens/>
        <w:autoSpaceDE w:val="0"/>
        <w:autoSpaceDN w:val="0"/>
        <w:spacing w:after="0" w:line="240" w:lineRule="auto"/>
        <w:textAlignment w:val="baseline"/>
        <w:rPr>
          <w:sz w:val="8"/>
          <w:szCs w:val="8"/>
        </w:rPr>
      </w:pPr>
      <w:bookmarkStart w:id="1" w:name="_Hlk208560946"/>
      <w:bookmarkEnd w:id="0"/>
    </w:p>
    <w:p w14:paraId="2E0F0AE5" w14:textId="77777777" w:rsidR="003740A1" w:rsidRPr="00EC2A58" w:rsidRDefault="003740A1" w:rsidP="003740A1">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rPr>
      </w:pPr>
      <w:r w:rsidRPr="00EC2A58">
        <w:t>1</w:t>
      </w:r>
      <w:r>
        <w:t>5</w:t>
      </w:r>
      <w:r w:rsidRPr="00EC2A58">
        <w:rPr>
          <w:vertAlign w:val="superscript"/>
        </w:rPr>
        <w:t>ème</w:t>
      </w:r>
      <w:r w:rsidRPr="00EC2A58">
        <w:t xml:space="preserve"> SESSION DE LA CONFÉRENCE DES PARTIES</w:t>
      </w:r>
    </w:p>
    <w:p w14:paraId="1221B2CF" w14:textId="77777777" w:rsidR="003740A1" w:rsidRPr="00EC2A58" w:rsidRDefault="003740A1" w:rsidP="003740A1">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rPr>
      </w:pPr>
      <w:r>
        <w:rPr>
          <w:bCs/>
        </w:rPr>
        <w:t>Campo Grande, Brésil, 23 au 29 mars 2026</w:t>
      </w:r>
    </w:p>
    <w:p w14:paraId="31D56AD8" w14:textId="20E53F17" w:rsidR="003740A1" w:rsidRPr="00EC2A58" w:rsidRDefault="003740A1" w:rsidP="003740A1">
      <w:pPr>
        <w:widowControl w:val="0"/>
        <w:suppressAutoHyphens/>
        <w:autoSpaceDE w:val="0"/>
        <w:autoSpaceDN w:val="0"/>
        <w:spacing w:after="0" w:line="228" w:lineRule="auto"/>
        <w:textAlignment w:val="baseline"/>
        <w:rPr>
          <w:rFonts w:ascii="Calibri" w:eastAsia="Calibri" w:hAnsi="Calibri" w:cs="Times New Roman"/>
        </w:rPr>
      </w:pPr>
      <w:r w:rsidRPr="00EC2A58">
        <w:rPr>
          <w:iCs/>
        </w:rPr>
        <w:t xml:space="preserve">Point </w:t>
      </w:r>
      <w:r w:rsidR="009672B5">
        <w:rPr>
          <w:iCs/>
        </w:rPr>
        <w:t>25.3.3</w:t>
      </w:r>
      <w:r w:rsidRPr="00EC2A58">
        <w:rPr>
          <w:iCs/>
        </w:rPr>
        <w:t xml:space="preserve"> de l’ordre du jour</w:t>
      </w:r>
    </w:p>
    <w:bookmarkEnd w:id="1"/>
    <w:p w14:paraId="7CD0EE9B" w14:textId="77777777" w:rsidR="00383DB7" w:rsidRPr="00876FE1" w:rsidRDefault="00383DB7">
      <w:pPr>
        <w:widowControl w:val="0"/>
        <w:spacing w:after="0" w:line="240" w:lineRule="auto"/>
        <w:rPr>
          <w:color w:val="000000" w:themeColor="text1"/>
          <w:sz w:val="24"/>
          <w:szCs w:val="24"/>
        </w:rPr>
      </w:pPr>
    </w:p>
    <w:p w14:paraId="765EA006" w14:textId="77777777" w:rsidR="00383DB7" w:rsidRPr="00876FE1" w:rsidRDefault="00383DB7">
      <w:pPr>
        <w:widowControl w:val="0"/>
        <w:spacing w:after="0" w:line="240" w:lineRule="auto"/>
        <w:rPr>
          <w:color w:val="000000" w:themeColor="text1"/>
          <w:sz w:val="24"/>
          <w:szCs w:val="24"/>
        </w:rPr>
      </w:pPr>
    </w:p>
    <w:p w14:paraId="272DFFCA" w14:textId="77777777" w:rsidR="00383DB7" w:rsidRPr="00876FE1" w:rsidRDefault="00383DB7">
      <w:pPr>
        <w:widowControl w:val="0"/>
        <w:spacing w:after="0" w:line="240" w:lineRule="auto"/>
        <w:rPr>
          <w:color w:val="000000" w:themeColor="text1"/>
          <w:sz w:val="24"/>
          <w:szCs w:val="24"/>
        </w:rPr>
      </w:pPr>
    </w:p>
    <w:p w14:paraId="2ABABABB" w14:textId="526F2A3B" w:rsidR="00383DB7" w:rsidRPr="00876FE1" w:rsidRDefault="00000000">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ind w:left="-86" w:right="-360"/>
        <w:jc w:val="center"/>
        <w:textAlignment w:val="baseline"/>
        <w:outlineLvl w:val="1"/>
        <w:rPr>
          <w:rFonts w:eastAsia="Times New Roman"/>
          <w:b/>
          <w:bCs/>
        </w:rPr>
      </w:pPr>
      <w:r w:rsidRPr="00876FE1">
        <w:rPr>
          <w:b/>
        </w:rPr>
        <w:t xml:space="preserve">CONSERVER </w:t>
      </w:r>
      <w:r w:rsidRPr="00876FE1">
        <w:rPr>
          <w:b/>
          <w:smallCaps/>
        </w:rPr>
        <w:t>LES ÉCOSYSTÈMES DES MONTS SOUS-MARINS</w:t>
      </w:r>
      <w:r w:rsidR="00194C35" w:rsidRPr="00876FE1">
        <w:rPr>
          <w:b/>
          <w:smallCaps/>
        </w:rPr>
        <w:t> </w:t>
      </w:r>
      <w:r w:rsidRPr="00876FE1">
        <w:rPr>
          <w:rStyle w:val="FootnoteReference"/>
          <w:b/>
          <w:smallCaps/>
        </w:rPr>
        <w:footnoteReference w:id="1"/>
      </w:r>
    </w:p>
    <w:p w14:paraId="589A634F" w14:textId="77777777" w:rsidR="00383DB7" w:rsidRPr="00876FE1" w:rsidRDefault="00000000">
      <w:pPr>
        <w:spacing w:after="0" w:line="240" w:lineRule="auto"/>
        <w:jc w:val="center"/>
        <w:rPr>
          <w:rFonts w:ascii="Calibri" w:eastAsia="Calibri" w:hAnsi="Calibri" w:cs="Calibri"/>
        </w:rPr>
      </w:pPr>
      <w:r w:rsidRPr="00876FE1">
        <w:rPr>
          <w:rFonts w:eastAsia="Times New Roman"/>
          <w:i/>
        </w:rPr>
        <w:t>(Préparé par</w:t>
      </w:r>
      <w:r w:rsidRPr="00876FE1">
        <w:rPr>
          <w:i/>
        </w:rPr>
        <w:t xml:space="preserve"> Monaco et le Panama)</w:t>
      </w:r>
    </w:p>
    <w:p w14:paraId="35E0C390" w14:textId="77777777" w:rsidR="00383DB7" w:rsidRPr="00876FE1" w:rsidRDefault="00383DB7">
      <w:pPr>
        <w:spacing w:after="0" w:line="240" w:lineRule="auto"/>
        <w:jc w:val="center"/>
        <w:rPr>
          <w:i/>
          <w:color w:val="000000" w:themeColor="text1"/>
          <w:sz w:val="21"/>
          <w:szCs w:val="21"/>
        </w:rPr>
      </w:pPr>
    </w:p>
    <w:p w14:paraId="0ABB3A71" w14:textId="622095FF" w:rsidR="00383DB7" w:rsidRPr="00876FE1" w:rsidRDefault="00383DB7">
      <w:pPr>
        <w:widowControl w:val="0"/>
        <w:spacing w:after="0" w:line="240" w:lineRule="auto"/>
        <w:rPr>
          <w:rFonts w:ascii="Calibri" w:eastAsia="Calibri" w:hAnsi="Calibri" w:cs="Calibri"/>
        </w:rPr>
      </w:pPr>
    </w:p>
    <w:p w14:paraId="4BBDAD55" w14:textId="1727420A" w:rsidR="00383DB7" w:rsidRPr="00876FE1" w:rsidRDefault="007977BC">
      <w:pPr>
        <w:widowControl w:val="0"/>
        <w:spacing w:after="0" w:line="240" w:lineRule="auto"/>
        <w:rPr>
          <w:sz w:val="21"/>
          <w:szCs w:val="21"/>
        </w:rPr>
      </w:pPr>
      <w:r w:rsidRPr="00876FE1">
        <w:rPr>
          <w:noProof/>
        </w:rPr>
        <mc:AlternateContent>
          <mc:Choice Requires="wps">
            <w:drawing>
              <wp:anchor distT="0" distB="0" distL="114300" distR="114300" simplePos="0" relativeHeight="251658240" behindDoc="0" locked="0" layoutInCell="1" hidden="0" allowOverlap="1" wp14:anchorId="274616F2" wp14:editId="284B155E">
                <wp:simplePos x="0" y="0"/>
                <wp:positionH relativeFrom="column">
                  <wp:posOffset>876935</wp:posOffset>
                </wp:positionH>
                <wp:positionV relativeFrom="paragraph">
                  <wp:posOffset>74930</wp:posOffset>
                </wp:positionV>
                <wp:extent cx="4629150" cy="2070100"/>
                <wp:effectExtent l="0" t="0" r="19050" b="25400"/>
                <wp:wrapNone/>
                <wp:docPr id="11" name="Rectangle 11"/>
                <wp:cNvGraphicFramePr/>
                <a:graphic xmlns:a="http://schemas.openxmlformats.org/drawingml/2006/main">
                  <a:graphicData uri="http://schemas.microsoft.com/office/word/2010/wordprocessingShape">
                    <wps:wsp>
                      <wps:cNvSpPr/>
                      <wps:spPr>
                        <a:xfrm>
                          <a:off x="0" y="0"/>
                          <a:ext cx="4629150" cy="20701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C6F6D5A" w14:textId="18A8E436" w:rsidR="00383DB7" w:rsidRPr="00194C35" w:rsidRDefault="00000000" w:rsidP="009672B5">
                            <w:pPr>
                              <w:spacing w:after="0" w:line="240" w:lineRule="auto"/>
                              <w:jc w:val="both"/>
                              <w:textDirection w:val="btLr"/>
                            </w:pPr>
                            <w:r w:rsidRPr="00194C35">
                              <w:rPr>
                                <w:color w:val="000000"/>
                              </w:rPr>
                              <w:t>Résumé</w:t>
                            </w:r>
                            <w:r w:rsidR="00194C35">
                              <w:rPr>
                                <w:color w:val="000000"/>
                              </w:rPr>
                              <w:t> :</w:t>
                            </w:r>
                          </w:p>
                          <w:p w14:paraId="79C2D66E" w14:textId="77777777" w:rsidR="00383DB7" w:rsidRPr="00194C35" w:rsidRDefault="00383DB7" w:rsidP="009672B5">
                            <w:pPr>
                              <w:spacing w:after="0" w:line="240" w:lineRule="auto"/>
                              <w:jc w:val="both"/>
                              <w:textDirection w:val="btLr"/>
                              <w:rPr>
                                <w:color w:val="000000"/>
                              </w:rPr>
                            </w:pPr>
                          </w:p>
                          <w:p w14:paraId="42A94344" w14:textId="288812B0" w:rsidR="00383DB7" w:rsidRPr="00194C35" w:rsidRDefault="00000000" w:rsidP="009672B5">
                            <w:pPr>
                              <w:spacing w:after="0" w:line="240" w:lineRule="auto"/>
                              <w:jc w:val="both"/>
                              <w:textDirection w:val="btLr"/>
                              <w:rPr>
                                <w:color w:val="000000"/>
                              </w:rPr>
                            </w:pPr>
                            <w:r w:rsidRPr="00194C35">
                              <w:rPr>
                                <w:color w:val="000000"/>
                              </w:rPr>
                              <w:t>Le présent document met en évidence l’importance unique des écosystèmes des monts sous-marins en tant qu’oasis écologiques pour les espèces migratrices et propose une résolution et des décisions visant à les protéger des pratiques de pêche destructrices. En préservant ces sites à fort impact, les Parties à l</w:t>
                            </w:r>
                            <w:r w:rsidR="00194C35">
                              <w:rPr>
                                <w:color w:val="000000"/>
                              </w:rPr>
                              <w:t>a CMS</w:t>
                            </w:r>
                            <w:r w:rsidRPr="00194C35">
                              <w:rPr>
                                <w:color w:val="000000"/>
                              </w:rPr>
                              <w:t xml:space="preserve"> peuvent renforcer la connectivité écologique, conserver les habitats migratoires essentiels et favoriser la reconstitution des espèces.</w:t>
                            </w:r>
                          </w:p>
                          <w:p w14:paraId="72866F54" w14:textId="77777777" w:rsidR="00383DB7" w:rsidRPr="00194C35" w:rsidRDefault="00383DB7" w:rsidP="009672B5">
                            <w:pPr>
                              <w:spacing w:after="0" w:line="240" w:lineRule="auto"/>
                              <w:jc w:val="both"/>
                              <w:textDirection w:val="btLr"/>
                              <w:rPr>
                                <w:color w:val="000000"/>
                              </w:rPr>
                            </w:pPr>
                          </w:p>
                          <w:p w14:paraId="2A69CB60" w14:textId="4E5A0FE9" w:rsidR="00383DB7" w:rsidRDefault="006D3417" w:rsidP="009672B5">
                            <w:pPr>
                              <w:spacing w:after="0" w:line="240" w:lineRule="auto"/>
                              <w:jc w:val="both"/>
                              <w:textDirection w:val="btLr"/>
                              <w:rPr>
                                <w:color w:val="000000"/>
                              </w:rPr>
                            </w:pPr>
                            <w:r>
                              <w:rPr>
                                <w:color w:val="000000"/>
                              </w:rPr>
                              <w:t>C</w:t>
                            </w:r>
                            <w:r w:rsidRPr="00194C35">
                              <w:rPr>
                                <w:color w:val="000000"/>
                              </w:rPr>
                              <w:t xml:space="preserve">e document </w:t>
                            </w:r>
                            <w:r>
                              <w:rPr>
                                <w:color w:val="000000"/>
                              </w:rPr>
                              <w:t>contient</w:t>
                            </w:r>
                            <w:r w:rsidRPr="00194C35">
                              <w:rPr>
                                <w:color w:val="000000"/>
                              </w:rPr>
                              <w:t xml:space="preserve"> un projet de résolution et des projets de décision.</w:t>
                            </w:r>
                          </w:p>
                          <w:p w14:paraId="4496EA83" w14:textId="77777777" w:rsidR="007977BC" w:rsidRPr="007977BC" w:rsidRDefault="007977BC" w:rsidP="009672B5">
                            <w:pPr>
                              <w:spacing w:after="0" w:line="240" w:lineRule="auto"/>
                              <w:jc w:val="both"/>
                              <w:textDirection w:val="btLr"/>
                              <w:rPr>
                                <w:color w:val="000000"/>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74616F2" id="Rectangle 11" o:spid="_x0000_s1026" style="position:absolute;margin-left:69.05pt;margin-top:5.9pt;width:364.5pt;height:1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">
                <v:stroke startarrowwidth="narrow" startarrowlength="short" endarrowwidth="narrow" endarrowlength="short" joinstyle="round"/>
                <v:textbox inset="2.53958mm,1.2694mm,2.53958mm,1.2694mm">
                  <w:txbxContent>
                    <w:p w14:paraId="1C6F6D5A" w14:textId="18A8E436" w:rsidR="00383DB7" w:rsidRPr="00194C35" w:rsidRDefault="00000000" w:rsidP="009672B5">
                      <w:pPr>
                        <w:spacing w:after="0" w:line="240" w:lineRule="auto"/>
                        <w:jc w:val="both"/>
                        <w:textDirection w:val="btLr"/>
                      </w:pPr>
                      <w:r w:rsidRPr="00194C35">
                        <w:rPr>
                          <w:color w:val="000000"/>
                        </w:rPr>
                        <w:t>Résumé</w:t>
                      </w:r>
                      <w:r w:rsidR="00194C35">
                        <w:rPr>
                          <w:color w:val="000000"/>
                        </w:rPr>
                        <w:t> :</w:t>
                      </w:r>
                    </w:p>
                    <w:p w14:paraId="79C2D66E" w14:textId="77777777" w:rsidR="00383DB7" w:rsidRPr="00194C35" w:rsidRDefault="00383DB7" w:rsidP="009672B5">
                      <w:pPr>
                        <w:spacing w:after="0" w:line="240" w:lineRule="auto"/>
                        <w:jc w:val="both"/>
                        <w:textDirection w:val="btLr"/>
                        <w:rPr>
                          <w:color w:val="000000"/>
                        </w:rPr>
                      </w:pPr>
                    </w:p>
                    <w:p w14:paraId="42A94344" w14:textId="288812B0" w:rsidR="00383DB7" w:rsidRPr="00194C35" w:rsidRDefault="00000000" w:rsidP="009672B5">
                      <w:pPr>
                        <w:spacing w:after="0" w:line="240" w:lineRule="auto"/>
                        <w:jc w:val="both"/>
                        <w:textDirection w:val="btLr"/>
                        <w:rPr>
                          <w:color w:val="000000"/>
                        </w:rPr>
                      </w:pPr>
                      <w:r w:rsidRPr="00194C35">
                        <w:rPr>
                          <w:color w:val="000000"/>
                        </w:rPr>
                        <w:t>Le présent document met en évidence l’importance unique des écosystèmes des monts sous-marins en tant qu’oasis écologiques pour les espèces migratrices et propose une résolution et des décisions visant à les protéger des pratiques de pêche destructrices. En préservant ces sites à fort impact, les Parties à l</w:t>
                      </w:r>
                      <w:r w:rsidR="00194C35">
                        <w:rPr>
                          <w:color w:val="000000"/>
                        </w:rPr>
                        <w:t>a CMS</w:t>
                      </w:r>
                      <w:r w:rsidRPr="00194C35">
                        <w:rPr>
                          <w:color w:val="000000"/>
                        </w:rPr>
                        <w:t xml:space="preserve"> peuvent renforcer la connectivité écologique, conserver les habitats migratoires essentiels et favoriser la reconstitution des espèces.</w:t>
                      </w:r>
                    </w:p>
                    <w:p w14:paraId="72866F54" w14:textId="77777777" w:rsidR="00383DB7" w:rsidRPr="00194C35" w:rsidRDefault="00383DB7" w:rsidP="009672B5">
                      <w:pPr>
                        <w:spacing w:after="0" w:line="240" w:lineRule="auto"/>
                        <w:jc w:val="both"/>
                        <w:textDirection w:val="btLr"/>
                        <w:rPr>
                          <w:color w:val="000000"/>
                        </w:rPr>
                      </w:pPr>
                    </w:p>
                    <w:p w14:paraId="2A69CB60" w14:textId="4E5A0FE9" w:rsidR="00383DB7" w:rsidRDefault="006D3417" w:rsidP="009672B5">
                      <w:pPr>
                        <w:spacing w:after="0" w:line="240" w:lineRule="auto"/>
                        <w:jc w:val="both"/>
                        <w:textDirection w:val="btLr"/>
                        <w:rPr>
                          <w:color w:val="000000"/>
                        </w:rPr>
                      </w:pPr>
                      <w:r>
                        <w:rPr>
                          <w:color w:val="000000"/>
                        </w:rPr>
                        <w:t>C</w:t>
                      </w:r>
                      <w:r w:rsidRPr="00194C35">
                        <w:rPr>
                          <w:color w:val="000000"/>
                        </w:rPr>
                        <w:t xml:space="preserve">e document </w:t>
                      </w:r>
                      <w:r>
                        <w:rPr>
                          <w:color w:val="000000"/>
                        </w:rPr>
                        <w:t>contient</w:t>
                      </w:r>
                      <w:r w:rsidRPr="00194C35">
                        <w:rPr>
                          <w:color w:val="000000"/>
                        </w:rPr>
                        <w:t xml:space="preserve"> un projet de résolution et des projets de décision.</w:t>
                      </w:r>
                    </w:p>
                    <w:p w14:paraId="4496EA83" w14:textId="77777777" w:rsidR="007977BC" w:rsidRPr="007977BC" w:rsidRDefault="007977BC" w:rsidP="009672B5">
                      <w:pPr>
                        <w:spacing w:after="0" w:line="240" w:lineRule="auto"/>
                        <w:jc w:val="both"/>
                        <w:textDirection w:val="btLr"/>
                        <w:rPr>
                          <w:color w:val="000000"/>
                        </w:rPr>
                      </w:pPr>
                    </w:p>
                  </w:txbxContent>
                </v:textbox>
              </v:rect>
            </w:pict>
          </mc:Fallback>
        </mc:AlternateContent>
      </w:r>
    </w:p>
    <w:p w14:paraId="46AF7D21" w14:textId="77777777" w:rsidR="00383DB7" w:rsidRPr="00876FE1" w:rsidRDefault="00383DB7">
      <w:pPr>
        <w:widowControl w:val="0"/>
        <w:spacing w:after="0" w:line="240" w:lineRule="auto"/>
        <w:rPr>
          <w:sz w:val="21"/>
          <w:szCs w:val="21"/>
        </w:rPr>
      </w:pPr>
    </w:p>
    <w:p w14:paraId="5560405E" w14:textId="77777777" w:rsidR="00383DB7" w:rsidRPr="00876FE1" w:rsidRDefault="00383DB7">
      <w:pPr>
        <w:widowControl w:val="0"/>
        <w:spacing w:after="0" w:line="240" w:lineRule="auto"/>
        <w:rPr>
          <w:sz w:val="21"/>
          <w:szCs w:val="21"/>
        </w:rPr>
      </w:pPr>
    </w:p>
    <w:p w14:paraId="689226C5" w14:textId="77777777" w:rsidR="00383DB7" w:rsidRPr="00876FE1" w:rsidRDefault="00383DB7">
      <w:pPr>
        <w:widowControl w:val="0"/>
        <w:spacing w:after="0" w:line="240" w:lineRule="auto"/>
        <w:rPr>
          <w:sz w:val="21"/>
          <w:szCs w:val="21"/>
        </w:rPr>
      </w:pPr>
    </w:p>
    <w:p w14:paraId="49E63E7D" w14:textId="77777777" w:rsidR="00383DB7" w:rsidRPr="00876FE1" w:rsidRDefault="00383DB7">
      <w:pPr>
        <w:widowControl w:val="0"/>
        <w:spacing w:after="0" w:line="240" w:lineRule="auto"/>
        <w:rPr>
          <w:sz w:val="21"/>
          <w:szCs w:val="21"/>
        </w:rPr>
      </w:pPr>
    </w:p>
    <w:p w14:paraId="20F822F8" w14:textId="77777777" w:rsidR="00383DB7" w:rsidRPr="00876FE1" w:rsidRDefault="00383DB7">
      <w:pPr>
        <w:widowControl w:val="0"/>
        <w:spacing w:after="0" w:line="240" w:lineRule="auto"/>
        <w:rPr>
          <w:sz w:val="21"/>
          <w:szCs w:val="21"/>
        </w:rPr>
      </w:pPr>
    </w:p>
    <w:p w14:paraId="6A624A99" w14:textId="77777777" w:rsidR="00383DB7" w:rsidRPr="00876FE1" w:rsidRDefault="00383DB7">
      <w:pPr>
        <w:widowControl w:val="0"/>
        <w:spacing w:after="0" w:line="240" w:lineRule="auto"/>
        <w:rPr>
          <w:sz w:val="21"/>
          <w:szCs w:val="21"/>
        </w:rPr>
      </w:pPr>
    </w:p>
    <w:p w14:paraId="57D4CCDC" w14:textId="77777777" w:rsidR="00383DB7" w:rsidRPr="00876FE1" w:rsidRDefault="00383DB7">
      <w:pPr>
        <w:widowControl w:val="0"/>
        <w:spacing w:after="0" w:line="240" w:lineRule="auto"/>
        <w:rPr>
          <w:sz w:val="21"/>
          <w:szCs w:val="21"/>
        </w:rPr>
      </w:pPr>
    </w:p>
    <w:p w14:paraId="19C408BD" w14:textId="77777777" w:rsidR="00383DB7" w:rsidRPr="00876FE1" w:rsidRDefault="00383DB7">
      <w:pPr>
        <w:widowControl w:val="0"/>
        <w:spacing w:after="0" w:line="240" w:lineRule="auto"/>
        <w:rPr>
          <w:sz w:val="21"/>
          <w:szCs w:val="21"/>
        </w:rPr>
      </w:pPr>
    </w:p>
    <w:p w14:paraId="108FF4F5" w14:textId="77777777" w:rsidR="00383DB7" w:rsidRPr="00876FE1" w:rsidRDefault="00383DB7">
      <w:pPr>
        <w:widowControl w:val="0"/>
        <w:spacing w:after="0" w:line="240" w:lineRule="auto"/>
        <w:rPr>
          <w:sz w:val="21"/>
          <w:szCs w:val="21"/>
        </w:rPr>
      </w:pPr>
    </w:p>
    <w:p w14:paraId="7DB51A9D" w14:textId="77777777" w:rsidR="00383DB7" w:rsidRPr="00876FE1" w:rsidRDefault="00383DB7">
      <w:pPr>
        <w:widowControl w:val="0"/>
        <w:spacing w:after="0" w:line="240" w:lineRule="auto"/>
        <w:rPr>
          <w:sz w:val="21"/>
          <w:szCs w:val="21"/>
        </w:rPr>
      </w:pPr>
    </w:p>
    <w:p w14:paraId="27CB0168" w14:textId="77777777" w:rsidR="00383DB7" w:rsidRPr="00876FE1" w:rsidRDefault="00383DB7">
      <w:pPr>
        <w:widowControl w:val="0"/>
        <w:spacing w:after="0" w:line="240" w:lineRule="auto"/>
        <w:rPr>
          <w:sz w:val="21"/>
          <w:szCs w:val="21"/>
        </w:rPr>
      </w:pPr>
    </w:p>
    <w:p w14:paraId="3201BCBD" w14:textId="77777777" w:rsidR="00383DB7" w:rsidRPr="00876FE1" w:rsidRDefault="00383DB7">
      <w:pPr>
        <w:widowControl w:val="0"/>
        <w:spacing w:after="0" w:line="240" w:lineRule="auto"/>
        <w:rPr>
          <w:sz w:val="21"/>
          <w:szCs w:val="21"/>
        </w:rPr>
      </w:pPr>
    </w:p>
    <w:p w14:paraId="07B25CDB" w14:textId="77777777" w:rsidR="00383DB7" w:rsidRDefault="00383DB7">
      <w:pPr>
        <w:widowControl w:val="0"/>
        <w:spacing w:after="0" w:line="240" w:lineRule="auto"/>
        <w:rPr>
          <w:sz w:val="21"/>
          <w:szCs w:val="21"/>
        </w:rPr>
      </w:pPr>
    </w:p>
    <w:p w14:paraId="011D25DE" w14:textId="77777777" w:rsidR="00497EFD" w:rsidRPr="00876FE1" w:rsidRDefault="00497EFD">
      <w:pPr>
        <w:widowControl w:val="0"/>
        <w:spacing w:after="0" w:line="240" w:lineRule="auto"/>
        <w:rPr>
          <w:sz w:val="21"/>
          <w:szCs w:val="21"/>
        </w:rPr>
      </w:pPr>
    </w:p>
    <w:p w14:paraId="60A0E7E4" w14:textId="77777777" w:rsidR="00383DB7" w:rsidRPr="00876FE1" w:rsidRDefault="00383DB7">
      <w:pPr>
        <w:widowControl w:val="0"/>
        <w:spacing w:after="0" w:line="240" w:lineRule="auto"/>
        <w:rPr>
          <w:sz w:val="21"/>
          <w:szCs w:val="21"/>
        </w:rPr>
      </w:pPr>
    </w:p>
    <w:p w14:paraId="17ED07B9" w14:textId="77777777" w:rsidR="00383DB7" w:rsidRPr="00876FE1" w:rsidRDefault="00383DB7">
      <w:pPr>
        <w:widowControl w:val="0"/>
        <w:spacing w:after="0" w:line="240" w:lineRule="auto"/>
        <w:rPr>
          <w:sz w:val="21"/>
          <w:szCs w:val="21"/>
        </w:rPr>
        <w:sectPr w:rsidR="00383DB7" w:rsidRPr="00876FE1">
          <w:headerReference w:type="even" r:id="rId13"/>
          <w:headerReference w:type="default" r:id="rId14"/>
          <w:footerReference w:type="even" r:id="rId15"/>
          <w:headerReference w:type="first" r:id="rId16"/>
          <w:pgSz w:w="11906" w:h="16838"/>
          <w:pgMar w:top="1440" w:right="1440" w:bottom="1440" w:left="1440" w:header="720" w:footer="720" w:gutter="0"/>
          <w:pgNumType w:start="1"/>
          <w:cols w:space="720"/>
          <w:titlePg/>
          <w:docGrid w:linePitch="299"/>
        </w:sectPr>
      </w:pPr>
    </w:p>
    <w:p w14:paraId="7B4DFB47" w14:textId="77777777" w:rsidR="00383DB7" w:rsidRPr="00876FE1" w:rsidRDefault="00000000">
      <w:pPr>
        <w:spacing w:after="0" w:line="240" w:lineRule="auto"/>
        <w:jc w:val="center"/>
      </w:pPr>
      <w:r w:rsidRPr="00876FE1">
        <w:rPr>
          <w:b/>
          <w:smallCaps/>
        </w:rPr>
        <w:lastRenderedPageBreak/>
        <w:t>CONSERVER LES ÉCOSYSTÈMES DES MONTS SOUS-MARINS</w:t>
      </w:r>
    </w:p>
    <w:p w14:paraId="79ADC009" w14:textId="77777777" w:rsidR="00383DB7" w:rsidRPr="00876FE1" w:rsidRDefault="00383DB7">
      <w:pPr>
        <w:spacing w:after="0" w:line="240" w:lineRule="auto"/>
        <w:jc w:val="both"/>
        <w:rPr>
          <w:u w:val="single"/>
        </w:rPr>
      </w:pPr>
    </w:p>
    <w:p w14:paraId="19AD132E" w14:textId="77777777" w:rsidR="00383DB7" w:rsidRPr="00876FE1" w:rsidRDefault="00383DB7">
      <w:pPr>
        <w:spacing w:after="0" w:line="240" w:lineRule="auto"/>
        <w:jc w:val="both"/>
        <w:rPr>
          <w:u w:val="single"/>
        </w:rPr>
      </w:pPr>
    </w:p>
    <w:p w14:paraId="1FC59392" w14:textId="77777777" w:rsidR="00383DB7" w:rsidRPr="00876FE1" w:rsidRDefault="00000000">
      <w:pPr>
        <w:spacing w:after="0" w:line="240" w:lineRule="auto"/>
        <w:jc w:val="both"/>
        <w:rPr>
          <w:u w:val="single"/>
        </w:rPr>
      </w:pPr>
      <w:r w:rsidRPr="00876FE1">
        <w:rPr>
          <w:u w:val="single"/>
        </w:rPr>
        <w:t>Contexte</w:t>
      </w:r>
    </w:p>
    <w:p w14:paraId="79BB02EE" w14:textId="77777777" w:rsidR="00383DB7" w:rsidRPr="00876FE1" w:rsidRDefault="00383DB7">
      <w:pPr>
        <w:spacing w:after="0" w:line="240" w:lineRule="auto"/>
        <w:jc w:val="both"/>
      </w:pPr>
    </w:p>
    <w:p w14:paraId="166C5BD3" w14:textId="36463913" w:rsidR="00383DB7" w:rsidRPr="00876FE1" w:rsidRDefault="00000000" w:rsidP="00D51DF2">
      <w:pPr>
        <w:numPr>
          <w:ilvl w:val="0"/>
          <w:numId w:val="8"/>
        </w:numPr>
        <w:spacing w:after="0" w:line="240" w:lineRule="auto"/>
        <w:ind w:left="567" w:hanging="567"/>
        <w:jc w:val="both"/>
      </w:pPr>
      <w:r w:rsidRPr="00876FE1">
        <w:t xml:space="preserve">Les écosystèmes des monts sous-marins servent de stations fixes le long des voies de migration, constituant des oasis écologiques où les espèces se nourrissent, se reproduisent, frayent, se reposent et naviguent. En concentrant les proies et en soutenant les groupes centraux d’alimentation et d’agrégation, ils fournissent des services essentiels qui contribuent directement à la survie et à la reconstitution des espèces migratrices. Leur prévisibilité fait des monts sous-marins des sites stratégiques à fort </w:t>
      </w:r>
      <w:r w:rsidRPr="00876FE1">
        <w:t>impact pour la conservation, qui abritent des espèces dans l’ensemble des réseaux trophiques. Cependant, cela les expose également à des pratiques de pêche destructrices qui peuvent rapidement altérer leur intégrité écologique, perturber les services essentiels et saper la résilience des espèces migratrices qui en dépendent. Dans le cadre de la priorité accordée par les Parties à l</w:t>
      </w:r>
      <w:r w:rsidR="00194C35" w:rsidRPr="00876FE1">
        <w:t>a CMS</w:t>
      </w:r>
      <w:r w:rsidRPr="00876FE1">
        <w:t xml:space="preserve"> aux habitats essentiels, aux réseaux écologiques et aux corridors de migration pour les cinq prochaines années, la protect</w:t>
      </w:r>
      <w:r w:rsidRPr="00876FE1">
        <w:t>ion des monts sous-marins offre une occasion immédiate de sécuriser des sites identifiés qui renforcent la connectivité et favorisent la reconstitution des espèces à travers les bassins océaniques. S’appuyant sur les obligations découlant de l</w:t>
      </w:r>
      <w:r w:rsidR="00194C35" w:rsidRPr="00876FE1">
        <w:t>a CMS</w:t>
      </w:r>
      <w:r w:rsidRPr="00876FE1">
        <w:t xml:space="preserve"> de conservation des espèces migratrices et leurs habitats, comme le précisent les résolutions de l</w:t>
      </w:r>
      <w:r w:rsidR="00194C35" w:rsidRPr="00876FE1">
        <w:t>a CMS</w:t>
      </w:r>
      <w:r w:rsidRPr="00876FE1">
        <w:t xml:space="preserve"> sur la connectivité écologique (UNEP/CMS/Résolution</w:t>
      </w:r>
      <w:r w:rsidR="001C42AE" w:rsidRPr="00876FE1">
        <w:t> </w:t>
      </w:r>
      <w:r w:rsidRPr="00876FE1">
        <w:t>14.16) et les prises accessoires (UNEP/CMS/Résolution</w:t>
      </w:r>
      <w:r w:rsidR="001C42AE" w:rsidRPr="00876FE1">
        <w:t> </w:t>
      </w:r>
      <w:r w:rsidRPr="00876FE1">
        <w:t>12.22), cette proposition invite les Parties à donner</w:t>
      </w:r>
      <w:r w:rsidRPr="00876FE1">
        <w:t xml:space="preserve"> la priorité à la protection des monts sous-marins contre les pratiques de pêche destructrices en raison de leur statut de nœuds essentiels au sein des corridors de migration, améliorant ainsi l’état de conservation des espèces migratrices. </w:t>
      </w:r>
    </w:p>
    <w:p w14:paraId="560B6EC4" w14:textId="77777777" w:rsidR="00383DB7" w:rsidRPr="00876FE1" w:rsidRDefault="00383DB7">
      <w:pPr>
        <w:spacing w:after="0" w:line="240" w:lineRule="auto"/>
        <w:ind w:left="567" w:hanging="567"/>
        <w:jc w:val="both"/>
      </w:pPr>
    </w:p>
    <w:p w14:paraId="0FA52920" w14:textId="7A2D8B97" w:rsidR="00383DB7" w:rsidRPr="00876FE1" w:rsidRDefault="00000000">
      <w:pPr>
        <w:numPr>
          <w:ilvl w:val="0"/>
          <w:numId w:val="8"/>
        </w:numPr>
        <w:pBdr>
          <w:top w:val="nil"/>
          <w:left w:val="nil"/>
          <w:bottom w:val="nil"/>
          <w:right w:val="nil"/>
          <w:between w:val="nil"/>
        </w:pBdr>
        <w:spacing w:after="0" w:line="240" w:lineRule="auto"/>
        <w:ind w:left="567" w:hanging="567"/>
        <w:jc w:val="both"/>
      </w:pPr>
      <w:r w:rsidRPr="00876FE1">
        <w:t>E</w:t>
      </w:r>
      <w:r w:rsidR="003E60AE" w:rsidRPr="00876FE1">
        <w:t>n 20</w:t>
      </w:r>
      <w:r w:rsidRPr="00876FE1">
        <w:t>04, la Décision</w:t>
      </w:r>
      <w:r w:rsidR="001C42AE" w:rsidRPr="00876FE1">
        <w:t> </w:t>
      </w:r>
      <w:r w:rsidRPr="00876FE1">
        <w:t>VII/5 de l</w:t>
      </w:r>
      <w:r w:rsidR="00194C35" w:rsidRPr="00876FE1">
        <w:t>a COP</w:t>
      </w:r>
      <w:r w:rsidRPr="00876FE1">
        <w:t>7 de la Convention sur la diversité biologique (CDB) (paragraphe</w:t>
      </w:r>
      <w:r w:rsidR="001C42AE" w:rsidRPr="00876FE1">
        <w:t> </w:t>
      </w:r>
      <w:r w:rsidRPr="00876FE1">
        <w:t>30) a reconnu les monts sous-marins comme des milieux marins prioritaires dans les zones ne relevant pas de la juridiction nationale et a appelé à une action internationale urgente afin d’adopter des restrictions sur les activités destructrices (par exemple, le chalutage en eaux profondes) dans les monts sous-marins et les écosystèmes vulnérables similaires. Cet appel urgent à l’action souligne la nécessité i</w:t>
      </w:r>
      <w:r w:rsidRPr="00876FE1">
        <w:t>mpérieuse d’une coopération internationale immédiate.</w:t>
      </w:r>
      <w:r w:rsidR="001C42AE" w:rsidRPr="00876FE1">
        <w:t xml:space="preserve"> </w:t>
      </w:r>
      <w:r w:rsidRPr="00876FE1">
        <w:t>E</w:t>
      </w:r>
      <w:r w:rsidR="003E60AE" w:rsidRPr="00876FE1">
        <w:t>n 20</w:t>
      </w:r>
      <w:r w:rsidRPr="00876FE1">
        <w:t>06, l’Assemblée générale des Nations Unies a adopté la Résolution</w:t>
      </w:r>
      <w:r w:rsidR="006D3417" w:rsidRPr="00876FE1">
        <w:t> </w:t>
      </w:r>
      <w:r w:rsidRPr="00876FE1">
        <w:t>61/105, demandant aux organisations régionales de gestion des pêches, qui jouent un rôle crucial dans la réglementation des activités de pêche dans les eaux internationales, de</w:t>
      </w:r>
      <w:r w:rsidRPr="00876FE1">
        <w:rPr>
          <w:color w:val="000000"/>
        </w:rPr>
        <w:t xml:space="preserve"> </w:t>
      </w:r>
      <w:r w:rsidRPr="00876FE1">
        <w:t>«</w:t>
      </w:r>
      <w:r w:rsidR="00194C35" w:rsidRPr="00876FE1">
        <w:t> </w:t>
      </w:r>
      <w:r w:rsidRPr="00876FE1">
        <w:rPr>
          <w:i/>
          <w:color w:val="000000"/>
        </w:rPr>
        <w:t>protéger les écosystèmes marins vulnérables</w:t>
      </w:r>
      <w:r w:rsidRPr="00876FE1">
        <w:t xml:space="preserve">, </w:t>
      </w:r>
      <w:r w:rsidRPr="00876FE1">
        <w:rPr>
          <w:i/>
          <w:color w:val="000000"/>
        </w:rPr>
        <w:t xml:space="preserve">notamment les monts sous-marins, les cheminées hydrothermales et </w:t>
      </w:r>
      <w:r w:rsidRPr="00876FE1">
        <w:rPr>
          <w:i/>
        </w:rPr>
        <w:t>les coraux d’eau froide, des pratiques de pêche destructrices</w:t>
      </w:r>
      <w:r w:rsidR="001C42AE" w:rsidRPr="00876FE1">
        <w:rPr>
          <w:i/>
        </w:rPr>
        <w:t> </w:t>
      </w:r>
      <w:r w:rsidRPr="00876FE1">
        <w:rPr>
          <w:i/>
        </w:rPr>
        <w:t>»</w:t>
      </w:r>
      <w:r w:rsidRPr="00876FE1">
        <w:t xml:space="preserve"> (paragraphe</w:t>
      </w:r>
      <w:r w:rsidR="001C42AE" w:rsidRPr="00876FE1">
        <w:t> </w:t>
      </w:r>
      <w:r w:rsidRPr="00876FE1">
        <w:t>80).</w:t>
      </w:r>
      <w:r w:rsidRPr="00876FE1">
        <w:rPr>
          <w:color w:val="000000"/>
        </w:rPr>
        <w:t xml:space="preserve"> Les résolutions u</w:t>
      </w:r>
      <w:r w:rsidRPr="00876FE1">
        <w:rPr>
          <w:color w:val="000000"/>
        </w:rPr>
        <w:t>ltérieures, de la Résolution</w:t>
      </w:r>
      <w:r w:rsidR="006D3417" w:rsidRPr="00876FE1">
        <w:rPr>
          <w:color w:val="000000"/>
        </w:rPr>
        <w:t> </w:t>
      </w:r>
      <w:r w:rsidRPr="00876FE1">
        <w:rPr>
          <w:color w:val="000000"/>
        </w:rPr>
        <w:t>64/72</w:t>
      </w:r>
      <w:r w:rsidR="006D3417" w:rsidRPr="00876FE1">
        <w:rPr>
          <w:color w:val="000000"/>
        </w:rPr>
        <w:t> </w:t>
      </w:r>
      <w:r w:rsidRPr="00876FE1">
        <w:rPr>
          <w:color w:val="000000"/>
        </w:rPr>
        <w:t xml:space="preserve">(2009) </w:t>
      </w:r>
      <w:r w:rsidRPr="00876FE1">
        <w:t>à la</w:t>
      </w:r>
      <w:r w:rsidRPr="00876FE1">
        <w:rPr>
          <w:color w:val="000000"/>
        </w:rPr>
        <w:t xml:space="preserve"> Résolution</w:t>
      </w:r>
      <w:r w:rsidR="006D3417" w:rsidRPr="00876FE1">
        <w:rPr>
          <w:color w:val="000000"/>
        </w:rPr>
        <w:t> </w:t>
      </w:r>
      <w:r w:rsidRPr="00876FE1">
        <w:rPr>
          <w:color w:val="000000"/>
        </w:rPr>
        <w:t>79/145</w:t>
      </w:r>
      <w:r w:rsidR="006D3417" w:rsidRPr="00876FE1">
        <w:rPr>
          <w:color w:val="000000"/>
        </w:rPr>
        <w:t> </w:t>
      </w:r>
      <w:r w:rsidRPr="00876FE1">
        <w:rPr>
          <w:color w:val="000000"/>
        </w:rPr>
        <w:t xml:space="preserve">(2024), ont réaffirmé la nécessité </w:t>
      </w:r>
      <w:r w:rsidRPr="00876FE1">
        <w:t xml:space="preserve">de </w:t>
      </w:r>
      <w:r w:rsidRPr="00876FE1">
        <w:rPr>
          <w:color w:val="000000"/>
        </w:rPr>
        <w:t xml:space="preserve">protéger les monts sous-marins, </w:t>
      </w:r>
      <w:r w:rsidRPr="00876FE1">
        <w:t>reconnaissant</w:t>
      </w:r>
      <w:r w:rsidRPr="00876FE1">
        <w:rPr>
          <w:color w:val="000000"/>
        </w:rPr>
        <w:t xml:space="preserve"> leur importance écologique inhérente et </w:t>
      </w:r>
      <w:r w:rsidRPr="00876FE1">
        <w:t>leur rôle dans le soutien des espèces</w:t>
      </w:r>
      <w:r w:rsidRPr="00876FE1">
        <w:rPr>
          <w:color w:val="000000"/>
        </w:rPr>
        <w:t xml:space="preserve"> associées et dépendantes.</w:t>
      </w:r>
    </w:p>
    <w:p w14:paraId="4E2774E2" w14:textId="77777777" w:rsidR="00383DB7" w:rsidRPr="00876FE1" w:rsidRDefault="00000000">
      <w:pPr>
        <w:pBdr>
          <w:top w:val="nil"/>
          <w:left w:val="nil"/>
          <w:bottom w:val="nil"/>
          <w:right w:val="nil"/>
          <w:between w:val="nil"/>
        </w:pBdr>
        <w:spacing w:after="0" w:line="240" w:lineRule="auto"/>
        <w:ind w:left="567" w:hanging="567"/>
        <w:jc w:val="both"/>
      </w:pPr>
      <w:r w:rsidRPr="00876FE1">
        <w:rPr>
          <w:color w:val="000000"/>
        </w:rPr>
        <w:t xml:space="preserve"> </w:t>
      </w:r>
    </w:p>
    <w:p w14:paraId="5ABBEE26" w14:textId="6543E870" w:rsidR="00383DB7" w:rsidRPr="00876FE1" w:rsidRDefault="00000000">
      <w:pPr>
        <w:numPr>
          <w:ilvl w:val="0"/>
          <w:numId w:val="8"/>
        </w:numPr>
        <w:pBdr>
          <w:top w:val="nil"/>
          <w:left w:val="nil"/>
          <w:bottom w:val="nil"/>
          <w:right w:val="nil"/>
          <w:between w:val="nil"/>
        </w:pBdr>
        <w:spacing w:after="0" w:line="240" w:lineRule="auto"/>
        <w:ind w:left="567" w:hanging="567"/>
        <w:jc w:val="both"/>
      </w:pPr>
      <w:r w:rsidRPr="00876FE1">
        <w:rPr>
          <w:color w:val="000000"/>
        </w:rPr>
        <w:t xml:space="preserve">La protection des habitats essentiels pour les espèces marines migratrices dans l’ensemble de leur aire de répartition et à tous les stades de leur vie, notamment les sites connus d’agrégation, d’alimentation et de reproduction et les couloirs de migration, est un principe fondamental de la Convention </w:t>
      </w:r>
      <w:r w:rsidRPr="00876FE1">
        <w:t>sur les espèces migratrices appartenant à la faune sauvage</w:t>
      </w:r>
      <w:r w:rsidRPr="00876FE1">
        <w:rPr>
          <w:color w:val="000000"/>
        </w:rPr>
        <w:t xml:space="preserve"> (CMS), comme le reflète le paragraphe</w:t>
      </w:r>
      <w:r w:rsidR="001C42AE" w:rsidRPr="00876FE1">
        <w:rPr>
          <w:color w:val="000000"/>
        </w:rPr>
        <w:t> </w:t>
      </w:r>
      <w:r w:rsidRPr="00876FE1">
        <w:rPr>
          <w:color w:val="000000"/>
        </w:rPr>
        <w:t>1) de l’article</w:t>
      </w:r>
      <w:r w:rsidR="001C42AE" w:rsidRPr="00876FE1">
        <w:rPr>
          <w:color w:val="000000"/>
        </w:rPr>
        <w:t> </w:t>
      </w:r>
      <w:r w:rsidRPr="00876FE1">
        <w:rPr>
          <w:color w:val="000000"/>
        </w:rPr>
        <w:t>II de la Convention. Affirmant ce principe, la Conférence des Parties, lors de sa 14</w:t>
      </w:r>
      <w:r w:rsidRPr="00876FE1">
        <w:rPr>
          <w:color w:val="000000"/>
          <w:vertAlign w:val="superscript"/>
        </w:rPr>
        <w:t>e</w:t>
      </w:r>
      <w:r w:rsidR="001C42AE" w:rsidRPr="00876FE1">
        <w:rPr>
          <w:color w:val="000000"/>
        </w:rPr>
        <w:t> </w:t>
      </w:r>
      <w:r w:rsidRPr="00876FE1">
        <w:rPr>
          <w:color w:val="000000"/>
        </w:rPr>
        <w:t>réunion, a adopté le Plan stratégique de Samarcande pour les espèces migratrices</w:t>
      </w:r>
      <w:r w:rsidR="001C42AE" w:rsidRPr="00876FE1">
        <w:rPr>
          <w:color w:val="000000"/>
        </w:rPr>
        <w:t> </w:t>
      </w:r>
      <w:r w:rsidRPr="00876FE1">
        <w:rPr>
          <w:color w:val="000000"/>
        </w:rPr>
        <w:t>2024-2032 (UNEP/CMS/Résolution</w:t>
      </w:r>
      <w:r w:rsidR="001C42AE" w:rsidRPr="00876FE1">
        <w:rPr>
          <w:color w:val="000000"/>
        </w:rPr>
        <w:t> </w:t>
      </w:r>
      <w:r w:rsidRPr="00876FE1">
        <w:rPr>
          <w:color w:val="000000"/>
        </w:rPr>
        <w:t>14.1), qui vise à maintenir et restaurer ces habitats</w:t>
      </w:r>
      <w:r w:rsidR="00194C35" w:rsidRPr="00876FE1">
        <w:rPr>
          <w:color w:val="000000"/>
        </w:rPr>
        <w:t> :</w:t>
      </w:r>
    </w:p>
    <w:p w14:paraId="76ABFECB" w14:textId="77777777" w:rsidR="00383DB7" w:rsidRPr="00876FE1" w:rsidRDefault="00383DB7">
      <w:pPr>
        <w:pBdr>
          <w:top w:val="nil"/>
          <w:left w:val="nil"/>
          <w:bottom w:val="nil"/>
          <w:right w:val="nil"/>
          <w:between w:val="nil"/>
        </w:pBdr>
        <w:spacing w:after="0" w:line="240" w:lineRule="auto"/>
        <w:ind w:left="567" w:hanging="567"/>
        <w:jc w:val="both"/>
      </w:pPr>
    </w:p>
    <w:p w14:paraId="3F5AAD87" w14:textId="73D3553B" w:rsidR="00383DB7" w:rsidRPr="00D51DF2" w:rsidRDefault="001C42AE" w:rsidP="00194C35">
      <w:pPr>
        <w:pBdr>
          <w:top w:val="nil"/>
          <w:left w:val="nil"/>
          <w:bottom w:val="nil"/>
          <w:right w:val="nil"/>
          <w:between w:val="nil"/>
        </w:pBdr>
        <w:spacing w:after="0" w:line="240" w:lineRule="auto"/>
        <w:ind w:left="900"/>
        <w:jc w:val="both"/>
        <w:rPr>
          <w:i/>
          <w:sz w:val="20"/>
          <w:szCs w:val="20"/>
        </w:rPr>
      </w:pPr>
      <w:r w:rsidRPr="00D51DF2">
        <w:rPr>
          <w:i/>
          <w:sz w:val="20"/>
          <w:szCs w:val="20"/>
        </w:rPr>
        <w:lastRenderedPageBreak/>
        <w:t>« </w:t>
      </w:r>
      <w:r w:rsidR="00194C35" w:rsidRPr="00D51DF2">
        <w:rPr>
          <w:b/>
          <w:i/>
          <w:sz w:val="20"/>
          <w:szCs w:val="20"/>
        </w:rPr>
        <w:t>Cible</w:t>
      </w:r>
      <w:r w:rsidRPr="00D51DF2">
        <w:rPr>
          <w:b/>
          <w:i/>
          <w:sz w:val="20"/>
          <w:szCs w:val="20"/>
        </w:rPr>
        <w:t> 2.1.</w:t>
      </w:r>
      <w:r w:rsidRPr="00D51DF2">
        <w:rPr>
          <w:i/>
          <w:sz w:val="20"/>
          <w:szCs w:val="20"/>
        </w:rPr>
        <w:t xml:space="preserve"> </w:t>
      </w:r>
      <w:r w:rsidR="00194C35" w:rsidRPr="00D51DF2">
        <w:rPr>
          <w:i/>
          <w:sz w:val="20"/>
          <w:szCs w:val="20"/>
        </w:rPr>
        <w:t>D’ici</w:t>
      </w:r>
      <w:r w:rsidR="006D3417" w:rsidRPr="00D51DF2">
        <w:rPr>
          <w:i/>
          <w:sz w:val="20"/>
          <w:szCs w:val="20"/>
        </w:rPr>
        <w:t> </w:t>
      </w:r>
      <w:r w:rsidR="00194C35" w:rsidRPr="00D51DF2">
        <w:rPr>
          <w:i/>
          <w:sz w:val="20"/>
          <w:szCs w:val="20"/>
        </w:rPr>
        <w:t>2029, tous les habitats importants pour les espèces migratrices inscrites aux Annexes de la CMS sont identifiés, évalués et suivis afin de garantir leur fonctionnalité et leur capacité à soutenir les espèces migratrices tout au long</w:t>
      </w:r>
      <w:r w:rsidR="006D3417" w:rsidRPr="00D51DF2">
        <w:rPr>
          <w:i/>
          <w:sz w:val="20"/>
          <w:szCs w:val="20"/>
        </w:rPr>
        <w:t xml:space="preserve"> </w:t>
      </w:r>
      <w:r w:rsidR="00194C35" w:rsidRPr="00D51DF2">
        <w:rPr>
          <w:i/>
          <w:sz w:val="20"/>
          <w:szCs w:val="20"/>
        </w:rPr>
        <w:t>de leur cycle de vie.</w:t>
      </w:r>
    </w:p>
    <w:p w14:paraId="14BFF095" w14:textId="77777777" w:rsidR="00383DB7" w:rsidRPr="00D51DF2" w:rsidRDefault="00383DB7">
      <w:pPr>
        <w:pBdr>
          <w:top w:val="nil"/>
          <w:left w:val="nil"/>
          <w:bottom w:val="nil"/>
          <w:right w:val="nil"/>
          <w:between w:val="nil"/>
        </w:pBdr>
        <w:spacing w:after="0" w:line="240" w:lineRule="auto"/>
        <w:ind w:left="900"/>
        <w:jc w:val="both"/>
        <w:rPr>
          <w:i/>
          <w:sz w:val="20"/>
          <w:szCs w:val="20"/>
        </w:rPr>
      </w:pPr>
    </w:p>
    <w:p w14:paraId="227D441F" w14:textId="0DA80543" w:rsidR="00383DB7" w:rsidRPr="00876FE1" w:rsidRDefault="00194C35">
      <w:pPr>
        <w:pBdr>
          <w:top w:val="nil"/>
          <w:left w:val="nil"/>
          <w:bottom w:val="nil"/>
          <w:right w:val="nil"/>
          <w:between w:val="nil"/>
        </w:pBdr>
        <w:spacing w:after="0" w:line="240" w:lineRule="auto"/>
        <w:ind w:left="900"/>
        <w:jc w:val="both"/>
        <w:rPr>
          <w:i/>
          <w:sz w:val="20"/>
          <w:szCs w:val="20"/>
        </w:rPr>
      </w:pPr>
      <w:r w:rsidRPr="00D51DF2">
        <w:rPr>
          <w:b/>
          <w:i/>
          <w:sz w:val="20"/>
          <w:szCs w:val="20"/>
        </w:rPr>
        <w:t>Cible</w:t>
      </w:r>
      <w:r w:rsidR="001C42AE" w:rsidRPr="00D51DF2">
        <w:rPr>
          <w:b/>
          <w:i/>
          <w:sz w:val="20"/>
          <w:szCs w:val="20"/>
        </w:rPr>
        <w:t> </w:t>
      </w:r>
      <w:r w:rsidRPr="00D51DF2">
        <w:rPr>
          <w:b/>
          <w:i/>
          <w:sz w:val="20"/>
          <w:szCs w:val="20"/>
        </w:rPr>
        <w:t>2.2.</w:t>
      </w:r>
      <w:r w:rsidRPr="00D51DF2">
        <w:rPr>
          <w:i/>
          <w:sz w:val="20"/>
          <w:szCs w:val="20"/>
        </w:rPr>
        <w:t xml:space="preserve"> D’ici</w:t>
      </w:r>
      <w:r w:rsidR="006D3417" w:rsidRPr="00D51DF2">
        <w:rPr>
          <w:i/>
          <w:sz w:val="20"/>
          <w:szCs w:val="20"/>
        </w:rPr>
        <w:t> </w:t>
      </w:r>
      <w:r w:rsidRPr="00D51DF2">
        <w:rPr>
          <w:i/>
          <w:sz w:val="20"/>
          <w:szCs w:val="20"/>
        </w:rPr>
        <w:t>2032, tous les habitats importants pour les espèces migratrices inscrites aux Annexes de la CMS sont protégés, efficacement conservés, gérés et restaurés grâce à des systèmes écologiquement représentatifs, bien reliés et équitablement gouvernés d’aires protégées et d’autres mesures de conservation efficaces basées sur ces aires.</w:t>
      </w:r>
      <w:r w:rsidR="001C42AE" w:rsidRPr="00D51DF2">
        <w:rPr>
          <w:i/>
          <w:sz w:val="20"/>
          <w:szCs w:val="20"/>
        </w:rPr>
        <w:t> »</w:t>
      </w:r>
    </w:p>
    <w:p w14:paraId="3AAB1162" w14:textId="77777777" w:rsidR="00383DB7" w:rsidRPr="00876FE1" w:rsidRDefault="00383DB7">
      <w:pPr>
        <w:pBdr>
          <w:top w:val="nil"/>
          <w:left w:val="nil"/>
          <w:bottom w:val="nil"/>
          <w:right w:val="nil"/>
          <w:between w:val="nil"/>
        </w:pBdr>
        <w:spacing w:after="0" w:line="240" w:lineRule="auto"/>
        <w:ind w:left="720"/>
        <w:jc w:val="both"/>
        <w:rPr>
          <w:i/>
          <w:color w:val="000000"/>
        </w:rPr>
      </w:pPr>
    </w:p>
    <w:p w14:paraId="4FC6B850" w14:textId="55B47015" w:rsidR="00383DB7" w:rsidRPr="00876FE1" w:rsidRDefault="00000000">
      <w:pPr>
        <w:numPr>
          <w:ilvl w:val="0"/>
          <w:numId w:val="8"/>
        </w:numPr>
        <w:pBdr>
          <w:top w:val="nil"/>
          <w:left w:val="nil"/>
          <w:bottom w:val="nil"/>
          <w:right w:val="nil"/>
          <w:between w:val="nil"/>
        </w:pBdr>
        <w:spacing w:after="0" w:line="240" w:lineRule="auto"/>
        <w:ind w:left="567" w:hanging="567"/>
        <w:jc w:val="both"/>
      </w:pPr>
      <w:r w:rsidRPr="00876FE1">
        <w:t>Les écosystèmes des monts sous-marins sont largement reconnus pour leur valeur écologique exceptionnelle, qui bénéficie à de nombreuses espèces marines. Pour aider les Parties à l</w:t>
      </w:r>
      <w:r w:rsidR="00194C35" w:rsidRPr="00876FE1">
        <w:t>a CMS</w:t>
      </w:r>
      <w:r w:rsidRPr="00876FE1">
        <w:t xml:space="preserve"> à repérer ces zones essentielles, la Convention reconnaît et encourage l’utilisation des processus de désignation des Aires importantes pour les mammifères marins (AIMM), comme indiqué dans la Résolution</w:t>
      </w:r>
      <w:r w:rsidR="001C42AE" w:rsidRPr="00876FE1">
        <w:t> </w:t>
      </w:r>
      <w:r w:rsidRPr="00876FE1">
        <w:t>12.13 de l</w:t>
      </w:r>
      <w:r w:rsidR="00194C35" w:rsidRPr="00876FE1">
        <w:t>a CMS</w:t>
      </w:r>
      <w:r w:rsidRPr="00876FE1">
        <w:t>, ainsi que des Aires importantes pour les requins et les raies (AIRR), comme précisé dans la Résolution</w:t>
      </w:r>
      <w:r w:rsidR="001C42AE" w:rsidRPr="00876FE1">
        <w:t> </w:t>
      </w:r>
      <w:r w:rsidRPr="00876FE1">
        <w:t>14.7 de l</w:t>
      </w:r>
      <w:r w:rsidR="00194C35" w:rsidRPr="00876FE1">
        <w:t>a CMS</w:t>
      </w:r>
      <w:r w:rsidRPr="00876FE1">
        <w:t>. Ces critères reflètent la nécessité de disposer de réseaux écologiquement représentatifs, comme l’exige la Résolution sur la connectivité écologique (UNEP/CMS/Résolut</w:t>
      </w:r>
      <w:r w:rsidRPr="00876FE1">
        <w:t>ion</w:t>
      </w:r>
      <w:r w:rsidR="001C42AE" w:rsidRPr="00876FE1">
        <w:t> </w:t>
      </w:r>
      <w:r w:rsidRPr="00876FE1">
        <w:t>14.6) et comme l’indique la Résolution sur les voies de migration [UNEP/CMS/Résolution</w:t>
      </w:r>
      <w:r w:rsidR="001C42AE" w:rsidRPr="00876FE1">
        <w:t> </w:t>
      </w:r>
      <w:r w:rsidRPr="00876FE1">
        <w:t>12.11 (</w:t>
      </w:r>
      <w:proofErr w:type="spellStart"/>
      <w:r w:rsidRPr="00876FE1">
        <w:t>Rev</w:t>
      </w:r>
      <w:proofErr w:type="spellEnd"/>
      <w:r w:rsidRPr="00876FE1">
        <w:t>.</w:t>
      </w:r>
      <w:r w:rsidR="001C42AE" w:rsidRPr="00876FE1">
        <w:t> </w:t>
      </w:r>
      <w:r w:rsidRPr="00876FE1">
        <w:t>COP13)]. Ces processus contribuent également à la désignation d’Aires marines d’importance écologique ou biologique (AIEB) dans le cadre de la CDB. Certains écosystèmes des monts sous-marins ont déjà été reconnus dans le cadre de ces processus en tant qu’AIMM (par exemple, les monts sous-marins et les bancs du sud de la Nouvelle-Calédonie), en tant qu’AIRR (par exemple, l’île Cocos et ses monts sous-marins</w:t>
      </w:r>
      <w:r w:rsidRPr="00876FE1">
        <w:t xml:space="preserve">, le mont sous-marin </w:t>
      </w:r>
      <w:proofErr w:type="spellStart"/>
      <w:r w:rsidRPr="00876FE1">
        <w:t>Mommon</w:t>
      </w:r>
      <w:proofErr w:type="spellEnd"/>
      <w:r w:rsidRPr="00876FE1">
        <w:t xml:space="preserve">) et en tant qu’AIEB (par exemple, la jonction </w:t>
      </w:r>
      <w:proofErr w:type="spellStart"/>
      <w:r w:rsidRPr="00876FE1">
        <w:t>Kermadec</w:t>
      </w:r>
      <w:proofErr w:type="spellEnd"/>
      <w:r w:rsidRPr="00876FE1">
        <w:t>-Tonga-Louisville, la chaîne des monts sous-marins de l’Empereur, la dorsale de Salas-y-Gómez et de Nazca), ce qui met en évidence leur importance écologique.</w:t>
      </w:r>
    </w:p>
    <w:p w14:paraId="1599BB7E" w14:textId="77777777" w:rsidR="00383DB7" w:rsidRPr="00876FE1" w:rsidRDefault="00383DB7">
      <w:pPr>
        <w:pBdr>
          <w:top w:val="nil"/>
          <w:left w:val="nil"/>
          <w:bottom w:val="nil"/>
          <w:right w:val="nil"/>
          <w:between w:val="nil"/>
        </w:pBdr>
        <w:spacing w:after="0" w:line="240" w:lineRule="auto"/>
        <w:ind w:left="567" w:hanging="567"/>
        <w:jc w:val="both"/>
      </w:pPr>
    </w:p>
    <w:p w14:paraId="45BA8FDD" w14:textId="697268F1" w:rsidR="00383DB7" w:rsidRPr="00876FE1" w:rsidRDefault="00000000">
      <w:pPr>
        <w:numPr>
          <w:ilvl w:val="0"/>
          <w:numId w:val="8"/>
        </w:numPr>
        <w:pBdr>
          <w:top w:val="nil"/>
          <w:left w:val="nil"/>
          <w:bottom w:val="nil"/>
          <w:right w:val="nil"/>
          <w:between w:val="nil"/>
        </w:pBdr>
        <w:spacing w:after="0" w:line="240" w:lineRule="auto"/>
        <w:ind w:left="567" w:hanging="567"/>
        <w:jc w:val="both"/>
      </w:pPr>
      <w:r w:rsidRPr="00876FE1">
        <w:t>Les écosystèmes des monts sous-marins, principalement constitués de vestiges de volcans éteints</w:t>
      </w:r>
      <w:r w:rsidR="00194C35" w:rsidRPr="00876FE1">
        <w:t> </w:t>
      </w:r>
      <w:r w:rsidRPr="00876FE1">
        <w:rPr>
          <w:vertAlign w:val="superscript"/>
        </w:rPr>
        <w:footnoteReference w:id="2"/>
      </w:r>
      <w:r w:rsidR="00194C35" w:rsidRPr="00876FE1">
        <w:t>,</w:t>
      </w:r>
      <w:r w:rsidRPr="00876FE1">
        <w:t xml:space="preserve"> comprennent les monts sous-marins «</w:t>
      </w:r>
      <w:r w:rsidR="001C42AE" w:rsidRPr="00876FE1">
        <w:t> </w:t>
      </w:r>
      <w:r w:rsidRPr="00876FE1">
        <w:t>véritables</w:t>
      </w:r>
      <w:r w:rsidR="001C42AE" w:rsidRPr="00876FE1">
        <w:t> </w:t>
      </w:r>
      <w:r w:rsidRPr="00876FE1">
        <w:t>», qui s’élèvent à au moins 1</w:t>
      </w:r>
      <w:r w:rsidR="001C42AE" w:rsidRPr="00876FE1">
        <w:t> </w:t>
      </w:r>
      <w:r w:rsidRPr="00876FE1">
        <w:t>000</w:t>
      </w:r>
      <w:r w:rsidR="001C42AE" w:rsidRPr="00876FE1">
        <w:t> </w:t>
      </w:r>
      <w:r w:rsidRPr="00876FE1">
        <w:t>mètres au-dessus du fond marin, ainsi que des formations semblables aux monts sous-marins, telles que des collines et des bancs</w:t>
      </w:r>
      <w:r w:rsidR="00194C35" w:rsidRPr="00876FE1">
        <w:t> </w:t>
      </w:r>
      <w:r w:rsidRPr="00876FE1">
        <w:rPr>
          <w:vertAlign w:val="superscript"/>
        </w:rPr>
        <w:footnoteReference w:id="3"/>
      </w:r>
      <w:r w:rsidR="00194C35" w:rsidRPr="00876FE1">
        <w:t>.</w:t>
      </w:r>
      <w:r w:rsidRPr="00876FE1">
        <w:t xml:space="preserve"> Largement répandus dans les bassins océaniques du monde, les monts sous-marins seraient au nombre de 10</w:t>
      </w:r>
      <w:r w:rsidR="001C42AE" w:rsidRPr="00876FE1">
        <w:t> </w:t>
      </w:r>
      <w:r w:rsidRPr="00876FE1">
        <w:t>000 à plus de 60</w:t>
      </w:r>
      <w:r w:rsidR="001C42AE" w:rsidRPr="00876FE1">
        <w:t> </w:t>
      </w:r>
      <w:r w:rsidRPr="00876FE1">
        <w:t>000</w:t>
      </w:r>
      <w:r w:rsidR="00194C35" w:rsidRPr="00876FE1">
        <w:t> </w:t>
      </w:r>
      <w:r w:rsidRPr="00876FE1">
        <w:rPr>
          <w:vertAlign w:val="superscript"/>
        </w:rPr>
        <w:footnoteReference w:id="4"/>
      </w:r>
      <w:r w:rsidR="00194C35" w:rsidRPr="00876FE1">
        <w:t>.</w:t>
      </w:r>
      <w:r w:rsidRPr="00876FE1">
        <w:t xml:space="preserve"> Pourtant, de manière étonnante, moins de 0,1</w:t>
      </w:r>
      <w:r w:rsidR="001C42AE" w:rsidRPr="00876FE1">
        <w:t> </w:t>
      </w:r>
      <w:r w:rsidRPr="00876FE1">
        <w:t>% de ces formations remarquables ont été explorées, laissant un immense mystère sous les vagues</w:t>
      </w:r>
      <w:r w:rsidR="00194C35" w:rsidRPr="00876FE1">
        <w:t> </w:t>
      </w:r>
      <w:r w:rsidRPr="00876FE1">
        <w:rPr>
          <w:vertAlign w:val="superscript"/>
        </w:rPr>
        <w:footnoteReference w:id="5"/>
      </w:r>
      <w:r w:rsidR="00194C35" w:rsidRPr="00876FE1">
        <w:t>.</w:t>
      </w:r>
      <w:r w:rsidRPr="00876FE1">
        <w:t xml:space="preserve"> Leur topographie unique et les processus hydrodynamiques complexes qui leur sont associés, tels que la remontée et la rétention des nutriments, créent des conditions favorables à la production primaire. Ces caractéristiques offrent des zones de recherche de nourriture essentielles dans des régions autrement pauvres en nutriments</w:t>
      </w:r>
      <w:r w:rsidR="00194C35" w:rsidRPr="00876FE1">
        <w:t> </w:t>
      </w:r>
      <w:r w:rsidRPr="00876FE1">
        <w:rPr>
          <w:vertAlign w:val="superscript"/>
        </w:rPr>
        <w:footnoteReference w:id="6"/>
      </w:r>
      <w:r w:rsidR="00194C35" w:rsidRPr="00876FE1">
        <w:t>.</w:t>
      </w:r>
      <w:r w:rsidRPr="00876FE1">
        <w:t xml:space="preserve"> Par conséquent, les écosystèmes des monts sous-marins sont des hauts lieux dynamiques de la biodiversité, fournissant des services écosystémiques essentiels et reliant harmonieusement les profondeurs de l’océan aux zones pélagiques situées au-dessus.</w:t>
      </w:r>
    </w:p>
    <w:p w14:paraId="5DF0A4E0" w14:textId="77777777" w:rsidR="00194C35" w:rsidRPr="00876FE1" w:rsidRDefault="00194C35">
      <w:r w:rsidRPr="00876FE1">
        <w:br w:type="page"/>
      </w:r>
    </w:p>
    <w:p w14:paraId="794BC02C" w14:textId="330089E5" w:rsidR="00383DB7" w:rsidRPr="00876FE1" w:rsidRDefault="00000000">
      <w:pPr>
        <w:numPr>
          <w:ilvl w:val="0"/>
          <w:numId w:val="8"/>
        </w:numPr>
        <w:pBdr>
          <w:top w:val="nil"/>
          <w:left w:val="nil"/>
          <w:bottom w:val="nil"/>
          <w:right w:val="nil"/>
          <w:between w:val="nil"/>
        </w:pBdr>
        <w:spacing w:after="0" w:line="240" w:lineRule="auto"/>
        <w:ind w:left="567" w:hanging="567"/>
        <w:jc w:val="both"/>
      </w:pPr>
      <w:r w:rsidRPr="00876FE1">
        <w:lastRenderedPageBreak/>
        <w:t>Les monts sous-marins, bien qu’ils constituent l’un des biomes océaniques les moins bien connus, sont des points névralgiques de la biodiversité, des zones à forte biomasse et des refuges pour les grandes espèces marines. Leur diversité globale, bien que significative, n’a pas été explorée aussi en détail que celle d</w:t>
      </w:r>
      <w:r w:rsidR="006D3417" w:rsidRPr="00876FE1">
        <w:t>’</w:t>
      </w:r>
      <w:r w:rsidRPr="00876FE1">
        <w:t>écosystèmes tels que les récifs coralliens. On a constaté que les monts sous-marins peu profonds, situés à une profondeur de 50</w:t>
      </w:r>
      <w:r w:rsidR="001C42AE" w:rsidRPr="00876FE1">
        <w:t> </w:t>
      </w:r>
      <w:r w:rsidRPr="00876FE1">
        <w:t>mètres, présentent des niveaux de biomasse de grands prédateurs, tels que les requins, qui sont trois fois supérieurs à ceux observés dans les environnements de récifs coralliens. Cependant, les espèces partagées entre les récifs coralliens et les écosystèmes marins profonds étaient principalement constituées de grands prédateurs très mobiles. Le fait que ces monts sous-marins ser</w:t>
      </w:r>
      <w:r w:rsidRPr="00876FE1">
        <w:t>vent d’oasis essentielles de biomasse et de refuges pour la mégafaune menacée met en évidence la nécessité urgente de leur conservation</w:t>
      </w:r>
      <w:r w:rsidR="00194C35" w:rsidRPr="00876FE1">
        <w:t> </w:t>
      </w:r>
      <w:r w:rsidRPr="00876FE1">
        <w:rPr>
          <w:vertAlign w:val="superscript"/>
        </w:rPr>
        <w:footnoteReference w:id="7"/>
      </w:r>
      <w:r w:rsidR="00194C35" w:rsidRPr="00876FE1">
        <w:t>.</w:t>
      </w:r>
    </w:p>
    <w:p w14:paraId="6A186047" w14:textId="77777777" w:rsidR="00383DB7" w:rsidRPr="00876FE1" w:rsidRDefault="00383DB7">
      <w:pPr>
        <w:pBdr>
          <w:top w:val="nil"/>
          <w:left w:val="nil"/>
          <w:bottom w:val="nil"/>
          <w:right w:val="nil"/>
          <w:between w:val="nil"/>
        </w:pBdr>
        <w:spacing w:after="0" w:line="240" w:lineRule="auto"/>
        <w:ind w:left="567" w:hanging="567"/>
        <w:jc w:val="both"/>
      </w:pPr>
    </w:p>
    <w:p w14:paraId="44326D38" w14:textId="1CDEB556" w:rsidR="00383DB7" w:rsidRPr="00876FE1" w:rsidRDefault="00000000">
      <w:pPr>
        <w:numPr>
          <w:ilvl w:val="0"/>
          <w:numId w:val="8"/>
        </w:numPr>
        <w:pBdr>
          <w:top w:val="nil"/>
          <w:left w:val="nil"/>
          <w:bottom w:val="nil"/>
          <w:right w:val="nil"/>
          <w:between w:val="nil"/>
        </w:pBdr>
        <w:spacing w:after="0" w:line="240" w:lineRule="auto"/>
        <w:ind w:left="567" w:hanging="567"/>
        <w:jc w:val="both"/>
      </w:pPr>
      <w:r w:rsidRPr="00876FE1">
        <w:rPr>
          <w:color w:val="000000"/>
        </w:rPr>
        <w:t>Les monts sous-marins attirent une grande diversité de mégafaune marine pélagique, notamment des concentrations d’espèces en danger. Par exemple, il a été prouvé que les monts sous-marins présentent une abondance de requins 41</w:t>
      </w:r>
      <w:r w:rsidR="001C42AE" w:rsidRPr="00876FE1">
        <w:rPr>
          <w:color w:val="000000"/>
        </w:rPr>
        <w:t> </w:t>
      </w:r>
      <w:r w:rsidRPr="00876FE1">
        <w:rPr>
          <w:color w:val="000000"/>
        </w:rPr>
        <w:t>fois supérieure à celle des espaces océaniques environnants</w:t>
      </w:r>
      <w:r w:rsidR="00194C35" w:rsidRPr="00876FE1">
        <w:rPr>
          <w:color w:val="000000"/>
        </w:rPr>
        <w:t> </w:t>
      </w:r>
      <w:r w:rsidRPr="00876FE1">
        <w:rPr>
          <w:color w:val="000000"/>
          <w:vertAlign w:val="superscript"/>
        </w:rPr>
        <w:footnoteReference w:id="8"/>
      </w:r>
      <w:r w:rsidR="00194C35" w:rsidRPr="00876FE1">
        <w:rPr>
          <w:color w:val="000000"/>
        </w:rPr>
        <w:t>.</w:t>
      </w:r>
      <w:r w:rsidRPr="00876FE1">
        <w:rPr>
          <w:color w:val="000000"/>
        </w:rPr>
        <w:t xml:space="preserve"> Ces écosystèmes jouent un rôle à différents stades de la vie, fournissant des zones de reproduction ou de frai, des sites d’alimentation, des haltes migratoires, des refuges, ainsi que des repères de navigation pour un large éventail d’espèces, notamment les cétacés, les élasmobranches, les tortues et les poissons à valeur commerciale. Cette</w:t>
      </w:r>
      <w:r w:rsidR="001C42AE" w:rsidRPr="00876FE1">
        <w:rPr>
          <w:color w:val="000000"/>
        </w:rPr>
        <w:t xml:space="preserve"> diversité</w:t>
      </w:r>
      <w:r w:rsidRPr="00876FE1">
        <w:rPr>
          <w:color w:val="000000"/>
        </w:rPr>
        <w:t xml:space="preserve"> inclut </w:t>
      </w:r>
      <w:r w:rsidR="001C42AE" w:rsidRPr="00876FE1">
        <w:rPr>
          <w:color w:val="000000"/>
        </w:rPr>
        <w:t>d</w:t>
      </w:r>
      <w:r w:rsidRPr="00876FE1">
        <w:rPr>
          <w:color w:val="000000"/>
        </w:rPr>
        <w:t>es espèces inscrites à l’Annexe</w:t>
      </w:r>
      <w:r w:rsidR="006D3417" w:rsidRPr="00876FE1">
        <w:rPr>
          <w:color w:val="000000"/>
        </w:rPr>
        <w:t> </w:t>
      </w:r>
      <w:r w:rsidRPr="00876FE1">
        <w:rPr>
          <w:color w:val="000000"/>
        </w:rPr>
        <w:t>I de l</w:t>
      </w:r>
      <w:r w:rsidR="00194C35" w:rsidRPr="00876FE1">
        <w:rPr>
          <w:color w:val="000000"/>
        </w:rPr>
        <w:t>a CMS</w:t>
      </w:r>
      <w:r w:rsidRPr="00876FE1">
        <w:rPr>
          <w:color w:val="000000"/>
        </w:rPr>
        <w:t>, telles que les cachalots (</w:t>
      </w:r>
      <w:proofErr w:type="spellStart"/>
      <w:r w:rsidRPr="00876FE1">
        <w:rPr>
          <w:i/>
          <w:color w:val="000000"/>
        </w:rPr>
        <w:t>Physeter</w:t>
      </w:r>
      <w:proofErr w:type="spellEnd"/>
      <w:r w:rsidRPr="00876FE1">
        <w:rPr>
          <w:i/>
          <w:color w:val="000000"/>
        </w:rPr>
        <w:t xml:space="preserve"> </w:t>
      </w:r>
      <w:proofErr w:type="spellStart"/>
      <w:r w:rsidRPr="00876FE1">
        <w:rPr>
          <w:i/>
          <w:color w:val="000000"/>
        </w:rPr>
        <w:t>macrocephalus</w:t>
      </w:r>
      <w:proofErr w:type="spellEnd"/>
      <w:r w:rsidRPr="00876FE1">
        <w:rPr>
          <w:color w:val="000000"/>
        </w:rPr>
        <w:t xml:space="preserve">), les </w:t>
      </w:r>
      <w:proofErr w:type="spellStart"/>
      <w:r w:rsidRPr="00876FE1">
        <w:rPr>
          <w:color w:val="000000"/>
        </w:rPr>
        <w:t>ziphius</w:t>
      </w:r>
      <w:proofErr w:type="spellEnd"/>
      <w:r w:rsidRPr="00876FE1">
        <w:rPr>
          <w:color w:val="000000"/>
        </w:rPr>
        <w:t xml:space="preserve"> (</w:t>
      </w:r>
      <w:proofErr w:type="spellStart"/>
      <w:r w:rsidRPr="00876FE1">
        <w:rPr>
          <w:i/>
          <w:color w:val="000000"/>
        </w:rPr>
        <w:t>Ziphius</w:t>
      </w:r>
      <w:proofErr w:type="spellEnd"/>
      <w:r w:rsidRPr="00876FE1">
        <w:rPr>
          <w:i/>
          <w:color w:val="000000"/>
        </w:rPr>
        <w:t xml:space="preserve"> </w:t>
      </w:r>
      <w:proofErr w:type="spellStart"/>
      <w:r w:rsidRPr="00876FE1">
        <w:rPr>
          <w:i/>
          <w:color w:val="000000"/>
        </w:rPr>
        <w:t>cavirostris</w:t>
      </w:r>
      <w:proofErr w:type="spellEnd"/>
      <w:r w:rsidRPr="00876FE1">
        <w:rPr>
          <w:color w:val="000000"/>
        </w:rPr>
        <w:t>), les rorquals commu</w:t>
      </w:r>
      <w:r w:rsidRPr="00876FE1">
        <w:rPr>
          <w:color w:val="000000"/>
        </w:rPr>
        <w:t>ns (</w:t>
      </w:r>
      <w:proofErr w:type="spellStart"/>
      <w:r w:rsidRPr="00876FE1">
        <w:rPr>
          <w:i/>
          <w:color w:val="000000"/>
        </w:rPr>
        <w:t>Balaenoptera</w:t>
      </w:r>
      <w:proofErr w:type="spellEnd"/>
      <w:r w:rsidRPr="00876FE1">
        <w:rPr>
          <w:i/>
          <w:color w:val="000000"/>
        </w:rPr>
        <w:t xml:space="preserve"> </w:t>
      </w:r>
      <w:proofErr w:type="spellStart"/>
      <w:r w:rsidRPr="00876FE1">
        <w:rPr>
          <w:i/>
          <w:color w:val="000000"/>
        </w:rPr>
        <w:t>physalus</w:t>
      </w:r>
      <w:proofErr w:type="spellEnd"/>
      <w:r w:rsidRPr="00876FE1">
        <w:rPr>
          <w:color w:val="000000"/>
        </w:rPr>
        <w:t>), les rorquals boréaux (</w:t>
      </w:r>
      <w:proofErr w:type="spellStart"/>
      <w:r w:rsidRPr="00876FE1">
        <w:rPr>
          <w:i/>
          <w:color w:val="000000"/>
        </w:rPr>
        <w:t>Balaenoptera</w:t>
      </w:r>
      <w:proofErr w:type="spellEnd"/>
      <w:r w:rsidRPr="00876FE1">
        <w:rPr>
          <w:i/>
          <w:color w:val="000000"/>
        </w:rPr>
        <w:t xml:space="preserve"> </w:t>
      </w:r>
      <w:proofErr w:type="spellStart"/>
      <w:r w:rsidRPr="00876FE1">
        <w:rPr>
          <w:i/>
          <w:color w:val="000000"/>
        </w:rPr>
        <w:t>borealis</w:t>
      </w:r>
      <w:proofErr w:type="spellEnd"/>
      <w:r w:rsidRPr="00876FE1">
        <w:rPr>
          <w:color w:val="000000"/>
        </w:rPr>
        <w:t>), les baleines bleues (</w:t>
      </w:r>
      <w:proofErr w:type="spellStart"/>
      <w:r w:rsidRPr="00876FE1">
        <w:rPr>
          <w:i/>
          <w:color w:val="000000"/>
        </w:rPr>
        <w:t>Balaenoptera</w:t>
      </w:r>
      <w:proofErr w:type="spellEnd"/>
      <w:r w:rsidRPr="00876FE1">
        <w:rPr>
          <w:i/>
          <w:color w:val="000000"/>
        </w:rPr>
        <w:t xml:space="preserve"> </w:t>
      </w:r>
      <w:proofErr w:type="spellStart"/>
      <w:r w:rsidRPr="00876FE1">
        <w:rPr>
          <w:i/>
          <w:color w:val="000000"/>
        </w:rPr>
        <w:t>musculus</w:t>
      </w:r>
      <w:proofErr w:type="spellEnd"/>
      <w:r w:rsidRPr="00876FE1">
        <w:rPr>
          <w:color w:val="000000"/>
        </w:rPr>
        <w:t>), les baleines à bosse (</w:t>
      </w:r>
      <w:proofErr w:type="spellStart"/>
      <w:r w:rsidRPr="00876FE1">
        <w:rPr>
          <w:i/>
          <w:color w:val="000000"/>
        </w:rPr>
        <w:t>Megaptera</w:t>
      </w:r>
      <w:proofErr w:type="spellEnd"/>
      <w:r w:rsidRPr="00876FE1">
        <w:rPr>
          <w:i/>
          <w:color w:val="000000"/>
        </w:rPr>
        <w:t xml:space="preserve"> </w:t>
      </w:r>
      <w:proofErr w:type="spellStart"/>
      <w:r w:rsidRPr="00876FE1">
        <w:rPr>
          <w:i/>
          <w:color w:val="000000"/>
        </w:rPr>
        <w:t>novaeangliae</w:t>
      </w:r>
      <w:proofErr w:type="spellEnd"/>
      <w:r w:rsidRPr="00876FE1">
        <w:rPr>
          <w:color w:val="000000"/>
        </w:rPr>
        <w:t>), les tortues caouannes (</w:t>
      </w:r>
      <w:proofErr w:type="spellStart"/>
      <w:r w:rsidRPr="00876FE1">
        <w:rPr>
          <w:i/>
          <w:color w:val="000000"/>
        </w:rPr>
        <w:t>Caretta</w:t>
      </w:r>
      <w:proofErr w:type="spellEnd"/>
      <w:r w:rsidRPr="00876FE1">
        <w:rPr>
          <w:i/>
          <w:color w:val="000000"/>
        </w:rPr>
        <w:t xml:space="preserve"> </w:t>
      </w:r>
      <w:proofErr w:type="spellStart"/>
      <w:r w:rsidRPr="00876FE1">
        <w:rPr>
          <w:i/>
          <w:color w:val="000000"/>
        </w:rPr>
        <w:t>caretta</w:t>
      </w:r>
      <w:proofErr w:type="spellEnd"/>
      <w:r w:rsidRPr="00876FE1">
        <w:rPr>
          <w:color w:val="000000"/>
        </w:rPr>
        <w:t>) et les tortues vertes (</w:t>
      </w:r>
      <w:proofErr w:type="spellStart"/>
      <w:r w:rsidRPr="00876FE1">
        <w:rPr>
          <w:i/>
          <w:color w:val="000000"/>
        </w:rPr>
        <w:t>Chelonia</w:t>
      </w:r>
      <w:proofErr w:type="spellEnd"/>
      <w:r w:rsidRPr="00876FE1">
        <w:rPr>
          <w:i/>
          <w:color w:val="000000"/>
        </w:rPr>
        <w:t xml:space="preserve"> </w:t>
      </w:r>
      <w:proofErr w:type="spellStart"/>
      <w:r w:rsidRPr="00876FE1">
        <w:rPr>
          <w:i/>
          <w:color w:val="000000"/>
        </w:rPr>
        <w:t>mydas</w:t>
      </w:r>
      <w:proofErr w:type="spellEnd"/>
      <w:r w:rsidRPr="00876FE1">
        <w:rPr>
          <w:color w:val="000000"/>
        </w:rPr>
        <w:t>). Les espèces inscrites à l’Annexe</w:t>
      </w:r>
      <w:r w:rsidR="001C42AE" w:rsidRPr="00876FE1">
        <w:rPr>
          <w:color w:val="000000"/>
        </w:rPr>
        <w:t> </w:t>
      </w:r>
      <w:r w:rsidRPr="00876FE1">
        <w:rPr>
          <w:color w:val="000000"/>
        </w:rPr>
        <w:t xml:space="preserve">II qui ont été observées sur les monts sous-marins et autour de ces derniers dans l’ensemble du bassin océanique comprennent le requin-marteau </w:t>
      </w:r>
      <w:proofErr w:type="spellStart"/>
      <w:r w:rsidRPr="00876FE1">
        <w:rPr>
          <w:color w:val="000000"/>
        </w:rPr>
        <w:t>halicorne</w:t>
      </w:r>
      <w:proofErr w:type="spellEnd"/>
      <w:r w:rsidRPr="00876FE1">
        <w:rPr>
          <w:color w:val="000000"/>
        </w:rPr>
        <w:t xml:space="preserve"> (</w:t>
      </w:r>
      <w:proofErr w:type="spellStart"/>
      <w:r w:rsidRPr="00876FE1">
        <w:rPr>
          <w:i/>
          <w:color w:val="000000"/>
        </w:rPr>
        <w:t>Sphyrna</w:t>
      </w:r>
      <w:proofErr w:type="spellEnd"/>
      <w:r w:rsidRPr="00876FE1">
        <w:rPr>
          <w:i/>
          <w:color w:val="000000"/>
        </w:rPr>
        <w:t xml:space="preserve"> </w:t>
      </w:r>
      <w:proofErr w:type="spellStart"/>
      <w:r w:rsidRPr="00876FE1">
        <w:rPr>
          <w:i/>
          <w:color w:val="000000"/>
        </w:rPr>
        <w:t>lewini</w:t>
      </w:r>
      <w:proofErr w:type="spellEnd"/>
      <w:r w:rsidRPr="00876FE1">
        <w:rPr>
          <w:color w:val="000000"/>
        </w:rPr>
        <w:t>)</w:t>
      </w:r>
      <w:r w:rsidR="006D3417" w:rsidRPr="00876FE1">
        <w:rPr>
          <w:color w:val="000000"/>
        </w:rPr>
        <w:t xml:space="preserve"> et</w:t>
      </w:r>
      <w:r w:rsidRPr="00876FE1">
        <w:rPr>
          <w:color w:val="000000"/>
        </w:rPr>
        <w:t xml:space="preserve"> la peau bleue (</w:t>
      </w:r>
      <w:proofErr w:type="spellStart"/>
      <w:r w:rsidRPr="00876FE1">
        <w:rPr>
          <w:i/>
          <w:color w:val="000000"/>
        </w:rPr>
        <w:t>Prionace</w:t>
      </w:r>
      <w:proofErr w:type="spellEnd"/>
      <w:r w:rsidRPr="00876FE1">
        <w:rPr>
          <w:i/>
          <w:color w:val="000000"/>
        </w:rPr>
        <w:t xml:space="preserve"> </w:t>
      </w:r>
      <w:proofErr w:type="spellStart"/>
      <w:r w:rsidRPr="00876FE1">
        <w:rPr>
          <w:i/>
          <w:color w:val="000000"/>
        </w:rPr>
        <w:t>glauca</w:t>
      </w:r>
      <w:proofErr w:type="spellEnd"/>
      <w:r w:rsidRPr="00876FE1">
        <w:rPr>
          <w:color w:val="000000"/>
        </w:rPr>
        <w:t>), ainsi que le dauphin rayé (</w:t>
      </w:r>
      <w:proofErr w:type="spellStart"/>
      <w:r w:rsidRPr="00876FE1">
        <w:rPr>
          <w:i/>
          <w:color w:val="000000"/>
        </w:rPr>
        <w:t>Stenella</w:t>
      </w:r>
      <w:proofErr w:type="spellEnd"/>
      <w:r w:rsidRPr="00876FE1">
        <w:rPr>
          <w:i/>
          <w:color w:val="000000"/>
        </w:rPr>
        <w:t xml:space="preserve"> </w:t>
      </w:r>
      <w:proofErr w:type="spellStart"/>
      <w:r w:rsidRPr="00876FE1">
        <w:rPr>
          <w:i/>
          <w:color w:val="000000"/>
        </w:rPr>
        <w:t>coeruleoalba</w:t>
      </w:r>
      <w:proofErr w:type="spellEnd"/>
      <w:r w:rsidRPr="00876FE1">
        <w:rPr>
          <w:color w:val="000000"/>
        </w:rPr>
        <w:t>) et le grand dauphin (</w:t>
      </w:r>
      <w:proofErr w:type="spellStart"/>
      <w:r w:rsidRPr="00876FE1">
        <w:rPr>
          <w:i/>
          <w:color w:val="000000"/>
        </w:rPr>
        <w:t>Tursiops</w:t>
      </w:r>
      <w:proofErr w:type="spellEnd"/>
      <w:r w:rsidRPr="00876FE1">
        <w:rPr>
          <w:i/>
          <w:color w:val="000000"/>
        </w:rPr>
        <w:t xml:space="preserve"> </w:t>
      </w:r>
      <w:proofErr w:type="spellStart"/>
      <w:r w:rsidRPr="00876FE1">
        <w:rPr>
          <w:i/>
          <w:color w:val="000000"/>
        </w:rPr>
        <w:t>truncatus</w:t>
      </w:r>
      <w:proofErr w:type="spellEnd"/>
      <w:r w:rsidRPr="00876FE1">
        <w:rPr>
          <w:color w:val="000000"/>
        </w:rPr>
        <w:t>)</w:t>
      </w:r>
      <w:r w:rsidRPr="00876FE1">
        <w:t>.</w:t>
      </w:r>
    </w:p>
    <w:p w14:paraId="5D94C69F" w14:textId="77777777" w:rsidR="00383DB7" w:rsidRPr="00876FE1" w:rsidRDefault="00383DB7">
      <w:pPr>
        <w:pBdr>
          <w:top w:val="nil"/>
          <w:left w:val="nil"/>
          <w:bottom w:val="nil"/>
          <w:right w:val="nil"/>
          <w:between w:val="nil"/>
        </w:pBdr>
        <w:spacing w:after="0" w:line="240" w:lineRule="auto"/>
        <w:ind w:left="567" w:hanging="567"/>
        <w:jc w:val="both"/>
      </w:pPr>
    </w:p>
    <w:p w14:paraId="2F94B454" w14:textId="647C59C0" w:rsidR="00383DB7" w:rsidRPr="00876FE1" w:rsidRDefault="00000000">
      <w:pPr>
        <w:numPr>
          <w:ilvl w:val="0"/>
          <w:numId w:val="8"/>
        </w:numPr>
        <w:pBdr>
          <w:top w:val="nil"/>
          <w:left w:val="nil"/>
          <w:bottom w:val="nil"/>
          <w:right w:val="nil"/>
          <w:between w:val="nil"/>
        </w:pBdr>
        <w:spacing w:after="0" w:line="240" w:lineRule="auto"/>
        <w:ind w:left="567" w:hanging="567"/>
        <w:jc w:val="both"/>
      </w:pPr>
      <w:r w:rsidRPr="00876FE1">
        <w:rPr>
          <w:color w:val="000000"/>
        </w:rPr>
        <w:t>D’autres espèces menacées, notamment divers oiseaux de mer, des requins et le phoque moine d’Hawaï (</w:t>
      </w:r>
      <w:proofErr w:type="spellStart"/>
      <w:r w:rsidRPr="00876FE1">
        <w:rPr>
          <w:i/>
          <w:color w:val="000000"/>
        </w:rPr>
        <w:t>Neomonachus</w:t>
      </w:r>
      <w:proofErr w:type="spellEnd"/>
      <w:r w:rsidRPr="00876FE1">
        <w:rPr>
          <w:i/>
          <w:color w:val="000000"/>
        </w:rPr>
        <w:t xml:space="preserve"> </w:t>
      </w:r>
      <w:proofErr w:type="spellStart"/>
      <w:r w:rsidRPr="00876FE1">
        <w:rPr>
          <w:i/>
          <w:color w:val="000000"/>
        </w:rPr>
        <w:t>schauinslandi</w:t>
      </w:r>
      <w:proofErr w:type="spellEnd"/>
      <w:r w:rsidRPr="00876FE1">
        <w:rPr>
          <w:color w:val="000000"/>
        </w:rPr>
        <w:t xml:space="preserve">), utilisent les monts sous-marins </w:t>
      </w:r>
      <w:r w:rsidRPr="00876FE1">
        <w:t>pour se nourrir</w:t>
      </w:r>
      <w:r w:rsidRPr="00876FE1">
        <w:rPr>
          <w:color w:val="000000"/>
        </w:rPr>
        <w:t xml:space="preserve">, </w:t>
      </w:r>
      <w:r w:rsidRPr="00876FE1">
        <w:t>naviguer</w:t>
      </w:r>
      <w:r w:rsidRPr="00876FE1">
        <w:rPr>
          <w:color w:val="000000"/>
        </w:rPr>
        <w:t xml:space="preserve"> à travers les bassins océaniques ou </w:t>
      </w:r>
      <w:r w:rsidRPr="00876FE1">
        <w:t>trouver</w:t>
      </w:r>
      <w:r w:rsidRPr="00876FE1">
        <w:rPr>
          <w:color w:val="000000"/>
        </w:rPr>
        <w:t xml:space="preserve"> un abri. Par exemple, dans le sud-ouest du Pacifique, des chaînes de monts sous-marins, telles que la dorsale de Norfolk, servent de corridors migratoires et de refuges saisonniers pour les requins</w:t>
      </w:r>
      <w:r w:rsidR="001C42AE" w:rsidRPr="00876FE1">
        <w:rPr>
          <w:color w:val="000000"/>
        </w:rPr>
        <w:t>-</w:t>
      </w:r>
      <w:r w:rsidRPr="00876FE1">
        <w:rPr>
          <w:color w:val="000000"/>
        </w:rPr>
        <w:t>tigres adultes (</w:t>
      </w:r>
      <w:proofErr w:type="spellStart"/>
      <w:r w:rsidRPr="00876FE1">
        <w:rPr>
          <w:i/>
          <w:color w:val="000000"/>
        </w:rPr>
        <w:t>Galeocerdo</w:t>
      </w:r>
      <w:proofErr w:type="spellEnd"/>
      <w:r w:rsidRPr="00876FE1">
        <w:rPr>
          <w:i/>
          <w:color w:val="000000"/>
        </w:rPr>
        <w:t xml:space="preserve"> cuvier</w:t>
      </w:r>
      <w:r w:rsidRPr="00876FE1">
        <w:rPr>
          <w:color w:val="000000"/>
        </w:rPr>
        <w:t>)</w:t>
      </w:r>
      <w:r w:rsidR="00194C35" w:rsidRPr="00876FE1">
        <w:rPr>
          <w:color w:val="000000"/>
        </w:rPr>
        <w:t> </w:t>
      </w:r>
      <w:r w:rsidRPr="00876FE1">
        <w:rPr>
          <w:color w:val="000000"/>
          <w:vertAlign w:val="superscript"/>
        </w:rPr>
        <w:footnoteReference w:id="9"/>
      </w:r>
      <w:r w:rsidR="00194C35" w:rsidRPr="00876FE1">
        <w:rPr>
          <w:color w:val="000000"/>
        </w:rPr>
        <w:t>.</w:t>
      </w:r>
      <w:r w:rsidRPr="00876FE1">
        <w:rPr>
          <w:color w:val="000000"/>
        </w:rPr>
        <w:t xml:space="preserve"> En outre, les espèces ciblées à des fins commerciales, telles que les thons et les espadons, utilisent les monts sous-marins comme zones de frai et terrains de chasse</w:t>
      </w:r>
      <w:r w:rsidRPr="00876FE1">
        <w:t xml:space="preserve">. Le Corridor marin du Pacifique oriental tropical (CMAR, son acronyme en espagnol) comprend plusieurs aires marines protégées qui préservent les monts sous-marins. Dans le parc national de </w:t>
      </w:r>
      <w:proofErr w:type="spellStart"/>
      <w:r w:rsidRPr="00876FE1">
        <w:t>Revillagigedo</w:t>
      </w:r>
      <w:proofErr w:type="spellEnd"/>
      <w:r w:rsidRPr="00876FE1">
        <w:t xml:space="preserve"> au Mexique,</w:t>
      </w:r>
      <w:r w:rsidRPr="00876FE1">
        <w:rPr>
          <w:b/>
        </w:rPr>
        <w:t xml:space="preserve"> </w:t>
      </w:r>
      <w:r w:rsidRPr="00876FE1">
        <w:t>la plaine abyssale du côté mer de la fosse atteint des profondeurs comprises entre 3</w:t>
      </w:r>
      <w:r w:rsidR="001C42AE" w:rsidRPr="00876FE1">
        <w:t> </w:t>
      </w:r>
      <w:r w:rsidRPr="00876FE1">
        <w:t>500 et 4</w:t>
      </w:r>
      <w:r w:rsidR="001C42AE" w:rsidRPr="00876FE1">
        <w:t> </w:t>
      </w:r>
      <w:r w:rsidRPr="00876FE1">
        <w:t>000</w:t>
      </w:r>
      <w:r w:rsidR="001C42AE" w:rsidRPr="00876FE1">
        <w:t> </w:t>
      </w:r>
      <w:r w:rsidRPr="00876FE1">
        <w:t>mètres et présente des élévations pouvant atteindre 1</w:t>
      </w:r>
      <w:r w:rsidR="001C42AE" w:rsidRPr="00876FE1">
        <w:t> </w:t>
      </w:r>
      <w:r w:rsidRPr="00876FE1">
        <w:t>000</w:t>
      </w:r>
      <w:r w:rsidR="001C42AE" w:rsidRPr="00876FE1">
        <w:t> </w:t>
      </w:r>
      <w:r w:rsidRPr="00876FE1">
        <w:t>mètres dans les monts sous-marins, avec des fractures atteignant des profondeurs allant jusqu’à 5</w:t>
      </w:r>
      <w:r w:rsidR="001C42AE" w:rsidRPr="00876FE1">
        <w:t> </w:t>
      </w:r>
      <w:r w:rsidRPr="00876FE1">
        <w:t>886</w:t>
      </w:r>
      <w:r w:rsidR="001C42AE" w:rsidRPr="00876FE1">
        <w:t> </w:t>
      </w:r>
      <w:r w:rsidRPr="00876FE1">
        <w:t>mètres</w:t>
      </w:r>
      <w:r w:rsidR="00194C35" w:rsidRPr="00876FE1">
        <w:t> </w:t>
      </w:r>
      <w:r w:rsidRPr="00876FE1">
        <w:rPr>
          <w:vertAlign w:val="superscript"/>
        </w:rPr>
        <w:footnoteReference w:id="10"/>
      </w:r>
      <w:r w:rsidR="00194C35" w:rsidRPr="00876FE1">
        <w:t>.</w:t>
      </w:r>
      <w:r w:rsidRPr="00876FE1">
        <w:t xml:space="preserve"> Au Panama, la zone élargie de ressources gérées de la </w:t>
      </w:r>
      <w:r w:rsidR="00D72C7C" w:rsidRPr="00876FE1">
        <w:t>c</w:t>
      </w:r>
      <w:r w:rsidRPr="00876FE1">
        <w:t xml:space="preserve">ordillère de </w:t>
      </w:r>
      <w:proofErr w:type="spellStart"/>
      <w:r w:rsidRPr="00876FE1">
        <w:t>Coiba</w:t>
      </w:r>
      <w:proofErr w:type="spellEnd"/>
      <w:r w:rsidRPr="00876FE1">
        <w:t xml:space="preserve"> englobe un paysage sous-marin exceptionnel </w:t>
      </w:r>
      <w:r w:rsidRPr="00876FE1">
        <w:lastRenderedPageBreak/>
        <w:t>comprenant neuf chaînes de monts sous-marins, 24</w:t>
      </w:r>
      <w:r w:rsidR="001C42AE" w:rsidRPr="00876FE1">
        <w:t> </w:t>
      </w:r>
      <w:r w:rsidRPr="00876FE1">
        <w:t>monts sous-marins distincts et une fosse abyssale atteignant des profondeurs allant jusqu’à 4</w:t>
      </w:r>
      <w:r w:rsidR="001C42AE" w:rsidRPr="00876FE1">
        <w:t> </w:t>
      </w:r>
      <w:r w:rsidRPr="00876FE1">
        <w:t>745</w:t>
      </w:r>
      <w:r w:rsidR="001C42AE" w:rsidRPr="00876FE1">
        <w:t> </w:t>
      </w:r>
      <w:r w:rsidRPr="00876FE1">
        <w:t>mètres, bordée de crêtes élevées</w:t>
      </w:r>
      <w:r w:rsidR="00194C35" w:rsidRPr="00876FE1">
        <w:t> </w:t>
      </w:r>
      <w:r w:rsidRPr="00876FE1">
        <w:rPr>
          <w:vertAlign w:val="superscript"/>
        </w:rPr>
        <w:footnoteReference w:id="11"/>
      </w:r>
      <w:r w:rsidR="00194C35" w:rsidRPr="00876FE1">
        <w:t>.</w:t>
      </w:r>
      <w:r w:rsidRPr="00876FE1">
        <w:t xml:space="preserve"> La région présente une profondeur moyenne de 2</w:t>
      </w:r>
      <w:r w:rsidR="001C42AE" w:rsidRPr="00876FE1">
        <w:t> </w:t>
      </w:r>
      <w:r w:rsidRPr="00876FE1">
        <w:t>841</w:t>
      </w:r>
      <w:r w:rsidR="001C42AE" w:rsidRPr="00876FE1">
        <w:t> </w:t>
      </w:r>
      <w:r w:rsidRPr="00876FE1">
        <w:t>mètres, les zones les moins profondes étant situées à environ 303</w:t>
      </w:r>
      <w:r w:rsidR="001C42AE" w:rsidRPr="00876FE1">
        <w:t> </w:t>
      </w:r>
      <w:r w:rsidRPr="00876FE1">
        <w:t>mètres</w:t>
      </w:r>
      <w:r w:rsidR="00194C35" w:rsidRPr="00876FE1">
        <w:t> </w:t>
      </w:r>
      <w:r w:rsidRPr="00876FE1">
        <w:rPr>
          <w:vertAlign w:val="superscript"/>
        </w:rPr>
        <w:footnoteReference w:id="12"/>
      </w:r>
      <w:r w:rsidR="00194C35" w:rsidRPr="00876FE1">
        <w:t>.</w:t>
      </w:r>
      <w:r w:rsidRPr="00876FE1">
        <w:t xml:space="preserve"> Cet écosystème complexe de monts sous-marins constitue un corridor essentiel de migration et d’alimentation pour environ quatorze espèces de mammifères marins</w:t>
      </w:r>
      <w:r w:rsidR="00194C35" w:rsidRPr="00876FE1">
        <w:t> </w:t>
      </w:r>
      <w:r w:rsidRPr="00876FE1">
        <w:rPr>
          <w:vertAlign w:val="superscript"/>
        </w:rPr>
        <w:footnoteReference w:id="13"/>
      </w:r>
      <w:r w:rsidR="00194C35" w:rsidRPr="00876FE1">
        <w:t>.</w:t>
      </w:r>
      <w:r w:rsidRPr="00876FE1">
        <w:t xml:space="preserve"> Il abrite également des tortues de mer, des marlins et de nombreuses espèces de requins, dont plusieurs sont classées par l’Union internationale pour la conservation de la nature dans les catégories «</w:t>
      </w:r>
      <w:r w:rsidR="001C42AE" w:rsidRPr="00876FE1">
        <w:t> </w:t>
      </w:r>
      <w:r w:rsidRPr="00876FE1">
        <w:t>Vulnérable</w:t>
      </w:r>
      <w:r w:rsidR="001C42AE" w:rsidRPr="00876FE1">
        <w:t> </w:t>
      </w:r>
      <w:r w:rsidRPr="00876FE1">
        <w:t>», «</w:t>
      </w:r>
      <w:r w:rsidR="001C42AE" w:rsidRPr="00876FE1">
        <w:t> </w:t>
      </w:r>
      <w:r w:rsidRPr="00876FE1">
        <w:t>En danger</w:t>
      </w:r>
      <w:r w:rsidR="001C42AE" w:rsidRPr="00876FE1">
        <w:t> </w:t>
      </w:r>
      <w:r w:rsidRPr="00876FE1">
        <w:t>» ou «</w:t>
      </w:r>
      <w:r w:rsidR="001C42AE" w:rsidRPr="00876FE1">
        <w:t> </w:t>
      </w:r>
      <w:r w:rsidRPr="00876FE1">
        <w:t>En danger critique d’extinction</w:t>
      </w:r>
      <w:r w:rsidR="001C42AE" w:rsidRPr="00876FE1">
        <w:t> </w:t>
      </w:r>
      <w:r w:rsidRPr="00876FE1">
        <w:t>»</w:t>
      </w:r>
      <w:r w:rsidR="00194C35" w:rsidRPr="00876FE1">
        <w:t> </w:t>
      </w:r>
      <w:r w:rsidRPr="00876FE1">
        <w:rPr>
          <w:vertAlign w:val="superscript"/>
        </w:rPr>
        <w:footnoteReference w:id="14"/>
      </w:r>
      <w:r w:rsidR="00194C35" w:rsidRPr="00876FE1">
        <w:t>.</w:t>
      </w:r>
    </w:p>
    <w:p w14:paraId="76D6C9F0" w14:textId="77777777" w:rsidR="00383DB7" w:rsidRPr="00876FE1" w:rsidRDefault="00383DB7">
      <w:pPr>
        <w:pBdr>
          <w:top w:val="nil"/>
          <w:left w:val="nil"/>
          <w:bottom w:val="nil"/>
          <w:right w:val="nil"/>
          <w:between w:val="nil"/>
        </w:pBdr>
        <w:spacing w:after="0" w:line="240" w:lineRule="auto"/>
        <w:ind w:left="567" w:hanging="567"/>
        <w:jc w:val="both"/>
        <w:rPr>
          <w:color w:val="000000"/>
        </w:rPr>
      </w:pPr>
    </w:p>
    <w:p w14:paraId="290DEAB5" w14:textId="2CC92025" w:rsidR="00383DB7" w:rsidRPr="00876FE1" w:rsidRDefault="00000000">
      <w:pPr>
        <w:numPr>
          <w:ilvl w:val="0"/>
          <w:numId w:val="8"/>
        </w:numPr>
        <w:pBdr>
          <w:top w:val="nil"/>
          <w:left w:val="nil"/>
          <w:bottom w:val="nil"/>
          <w:right w:val="nil"/>
          <w:between w:val="nil"/>
        </w:pBdr>
        <w:spacing w:after="0" w:line="240" w:lineRule="auto"/>
        <w:ind w:left="567" w:hanging="567"/>
        <w:jc w:val="both"/>
        <w:rPr>
          <w:color w:val="000000"/>
        </w:rPr>
      </w:pPr>
      <w:r w:rsidRPr="00876FE1">
        <w:rPr>
          <w:color w:val="000000"/>
        </w:rPr>
        <w:t>Outre leur importance écologique, les monts sous-marins et leur relation avec les espèces migratrices revêtent une grande valeur culturelle et de subsistance pour les cultures autochtones et les communautés locales</w:t>
      </w:r>
      <w:r w:rsidR="00194C35" w:rsidRPr="00876FE1">
        <w:rPr>
          <w:color w:val="000000"/>
        </w:rPr>
        <w:t> </w:t>
      </w:r>
      <w:r w:rsidRPr="00876FE1">
        <w:rPr>
          <w:color w:val="000000"/>
          <w:vertAlign w:val="superscript"/>
        </w:rPr>
        <w:footnoteReference w:id="15"/>
      </w:r>
      <w:r w:rsidR="00194C35" w:rsidRPr="00876FE1">
        <w:rPr>
          <w:color w:val="000000"/>
        </w:rPr>
        <w:t>.</w:t>
      </w:r>
      <w:r w:rsidRPr="00876FE1">
        <w:rPr>
          <w:color w:val="000000"/>
        </w:rPr>
        <w:t xml:space="preserve"> Ils jouent un rôle central dans les pratiques traditionnelles, favorisent les moyens de subsistance et ont</w:t>
      </w:r>
      <w:r w:rsidRPr="00876FE1">
        <w:t xml:space="preserve"> une signification spirituelle</w:t>
      </w:r>
      <w:r w:rsidR="00194C35" w:rsidRPr="00876FE1">
        <w:t> </w:t>
      </w:r>
      <w:r w:rsidRPr="00876FE1">
        <w:rPr>
          <w:color w:val="000000"/>
          <w:vertAlign w:val="superscript"/>
        </w:rPr>
        <w:footnoteReference w:id="16"/>
      </w:r>
      <w:r w:rsidR="00194C35" w:rsidRPr="00876FE1">
        <w:t>.</w:t>
      </w:r>
      <w:r w:rsidRPr="00876FE1">
        <w:rPr>
          <w:color w:val="000000"/>
        </w:rPr>
        <w:t xml:space="preserve"> Par exemple, les schémas de déplacement des espèces marines migratrices servent d’indicateurs culturels, marquant les transitions saisonnières au sein des systèmes calendaires traditionnels</w:t>
      </w:r>
      <w:r w:rsidR="00194C35" w:rsidRPr="00876FE1">
        <w:rPr>
          <w:color w:val="000000"/>
        </w:rPr>
        <w:t> </w:t>
      </w:r>
      <w:r w:rsidRPr="00876FE1">
        <w:rPr>
          <w:color w:val="000000"/>
          <w:vertAlign w:val="superscript"/>
        </w:rPr>
        <w:footnoteReference w:id="17"/>
      </w:r>
      <w:r w:rsidR="00194C35" w:rsidRPr="00876FE1">
        <w:rPr>
          <w:color w:val="000000"/>
        </w:rPr>
        <w:t>.</w:t>
      </w:r>
      <w:r w:rsidRPr="00876FE1">
        <w:rPr>
          <w:color w:val="000000"/>
        </w:rPr>
        <w:t xml:space="preserve"> La protection des monts sous-marins n’est donc pas seulement un impératif écologique, mais également une question de préservation du patrimoine culturel, du bien-être et des moyens de subsistance des peuples autochtones. </w:t>
      </w:r>
    </w:p>
    <w:p w14:paraId="439C6989" w14:textId="77777777" w:rsidR="00194C35" w:rsidRPr="00876FE1" w:rsidRDefault="00194C35" w:rsidP="00194C35">
      <w:pPr>
        <w:pBdr>
          <w:top w:val="nil"/>
          <w:left w:val="nil"/>
          <w:bottom w:val="nil"/>
          <w:right w:val="nil"/>
          <w:between w:val="nil"/>
        </w:pBdr>
        <w:spacing w:after="0" w:line="240" w:lineRule="auto"/>
        <w:jc w:val="both"/>
        <w:rPr>
          <w:color w:val="000000"/>
        </w:rPr>
      </w:pPr>
    </w:p>
    <w:p w14:paraId="15F1F899" w14:textId="77777777" w:rsidR="00383DB7" w:rsidRPr="00876FE1" w:rsidRDefault="00000000">
      <w:pPr>
        <w:spacing w:after="0" w:line="240" w:lineRule="auto"/>
        <w:jc w:val="both"/>
        <w:rPr>
          <w:u w:val="single"/>
        </w:rPr>
      </w:pPr>
      <w:r w:rsidRPr="00876FE1">
        <w:rPr>
          <w:u w:val="single"/>
        </w:rPr>
        <w:t>Recherche émergente</w:t>
      </w:r>
    </w:p>
    <w:p w14:paraId="7EDACD0F" w14:textId="77777777" w:rsidR="00383DB7" w:rsidRPr="00876FE1" w:rsidRDefault="00383DB7">
      <w:pPr>
        <w:spacing w:after="0" w:line="240" w:lineRule="auto"/>
        <w:jc w:val="both"/>
      </w:pPr>
    </w:p>
    <w:p w14:paraId="2AF9C398" w14:textId="0D5747CD" w:rsidR="00194C35" w:rsidRPr="00876FE1" w:rsidRDefault="00000000">
      <w:pPr>
        <w:numPr>
          <w:ilvl w:val="0"/>
          <w:numId w:val="8"/>
        </w:numPr>
        <w:pBdr>
          <w:top w:val="nil"/>
          <w:left w:val="nil"/>
          <w:bottom w:val="nil"/>
          <w:right w:val="nil"/>
          <w:between w:val="nil"/>
        </w:pBdr>
        <w:spacing w:after="0" w:line="240" w:lineRule="auto"/>
        <w:ind w:left="567" w:hanging="567"/>
        <w:jc w:val="both"/>
        <w:rPr>
          <w:color w:val="000000"/>
        </w:rPr>
      </w:pPr>
      <w:bookmarkStart w:id="4" w:name="_heading=h.xlhkyopcv3l" w:colFirst="0" w:colLast="0"/>
      <w:bookmarkEnd w:id="4"/>
      <w:r w:rsidRPr="00876FE1">
        <w:rPr>
          <w:color w:val="000000"/>
        </w:rPr>
        <w:t xml:space="preserve">Les avancées technologiques, telles que le marquage satellitaire, l’échantillonnage d’ADN environnemental et les relevés par drone, permettent aux scientifiques d’élargir leurs recherches et d’observer </w:t>
      </w:r>
      <w:r w:rsidRPr="00876FE1">
        <w:t>les comportements</w:t>
      </w:r>
      <w:r w:rsidRPr="00876FE1">
        <w:rPr>
          <w:color w:val="000000"/>
        </w:rPr>
        <w:t xml:space="preserve"> autour des monts sous-marins, de collecter des données environnementales pertinentes et d’enregistrer les schémas de présence (et d’absence) sur des périodes prolongées. Bien que les recherches actuelles aient déjà mis en évidence des liens écologiques essentiels entre les monts sous-marins et les espèces migratrices</w:t>
      </w:r>
      <w:r w:rsidR="00194C35" w:rsidRPr="00876FE1">
        <w:rPr>
          <w:color w:val="000000"/>
        </w:rPr>
        <w:t> </w:t>
      </w:r>
      <w:r w:rsidRPr="00876FE1">
        <w:rPr>
          <w:color w:val="000000"/>
          <w:vertAlign w:val="superscript"/>
        </w:rPr>
        <w:footnoteReference w:id="18"/>
      </w:r>
      <w:r w:rsidR="00194C35" w:rsidRPr="00876FE1">
        <w:rPr>
          <w:color w:val="000000"/>
        </w:rPr>
        <w:t xml:space="preserve">, </w:t>
      </w:r>
      <w:r w:rsidRPr="00876FE1">
        <w:rPr>
          <w:color w:val="000000"/>
        </w:rPr>
        <w:t>des recherches supplémentaires sont nécessaires pour mieux comprendre ces relations</w:t>
      </w:r>
      <w:r w:rsidR="00194C35" w:rsidRPr="00876FE1">
        <w:rPr>
          <w:color w:val="000000"/>
        </w:rPr>
        <w:t> </w:t>
      </w:r>
      <w:r w:rsidRPr="00876FE1">
        <w:rPr>
          <w:color w:val="000000"/>
          <w:vertAlign w:val="superscript"/>
        </w:rPr>
        <w:footnoteReference w:id="19"/>
      </w:r>
      <w:r w:rsidR="00194C35" w:rsidRPr="00876FE1">
        <w:rPr>
          <w:color w:val="000000"/>
        </w:rPr>
        <w:t>.</w:t>
      </w:r>
      <w:r w:rsidRPr="00876FE1">
        <w:rPr>
          <w:color w:val="000000"/>
        </w:rPr>
        <w:t xml:space="preserve"> Alors que les connaissances sur la connectivité écologique entre les monts sous-marins et les espèces migratrices continuent de s’approfondir, ces informations doivent être traduites en mesures de conservation ciblées.</w:t>
      </w:r>
    </w:p>
    <w:p w14:paraId="15657887" w14:textId="48D91B44" w:rsidR="00383DB7" w:rsidRPr="00876FE1" w:rsidRDefault="00194C35" w:rsidP="00194C35">
      <w:pPr>
        <w:rPr>
          <w:color w:val="000000"/>
        </w:rPr>
      </w:pPr>
      <w:r w:rsidRPr="00876FE1">
        <w:rPr>
          <w:color w:val="000000"/>
        </w:rPr>
        <w:br w:type="page"/>
      </w:r>
    </w:p>
    <w:p w14:paraId="5CFE16E7" w14:textId="750C7918" w:rsidR="00383DB7" w:rsidRPr="00876FE1" w:rsidRDefault="00000000">
      <w:pPr>
        <w:numPr>
          <w:ilvl w:val="0"/>
          <w:numId w:val="8"/>
        </w:numPr>
        <w:pBdr>
          <w:top w:val="nil"/>
          <w:left w:val="nil"/>
          <w:bottom w:val="nil"/>
          <w:right w:val="nil"/>
          <w:between w:val="nil"/>
        </w:pBdr>
        <w:spacing w:after="0" w:line="240" w:lineRule="auto"/>
        <w:ind w:left="567" w:hanging="567"/>
        <w:jc w:val="both"/>
      </w:pPr>
      <w:bookmarkStart w:id="5" w:name="_heading=h.ust057f5jqyk" w:colFirst="0" w:colLast="0"/>
      <w:bookmarkEnd w:id="5"/>
      <w:r w:rsidRPr="00876FE1">
        <w:rPr>
          <w:color w:val="000000"/>
        </w:rPr>
        <w:lastRenderedPageBreak/>
        <w:t>Les preuves indiquent que les monts sous-marins non perturbés abritent une plus grande biodiversité et davantage d’espèces menacées, ce qui renforce la nécessité de prendre des mesures de protection</w:t>
      </w:r>
      <w:r w:rsidR="00194C35" w:rsidRPr="00876FE1">
        <w:rPr>
          <w:color w:val="000000"/>
        </w:rPr>
        <w:t> </w:t>
      </w:r>
      <w:r w:rsidRPr="00876FE1">
        <w:rPr>
          <w:color w:val="000000"/>
          <w:vertAlign w:val="superscript"/>
        </w:rPr>
        <w:footnoteReference w:id="20"/>
      </w:r>
      <w:r w:rsidR="00194C35" w:rsidRPr="00876FE1">
        <w:rPr>
          <w:color w:val="000000"/>
        </w:rPr>
        <w:t>.</w:t>
      </w:r>
      <w:r w:rsidRPr="00876FE1">
        <w:rPr>
          <w:color w:val="000000"/>
        </w:rPr>
        <w:t xml:space="preserve"> Les monts sous-marins présentent une grande variété de caractéristiques géologiques et écologiques et, bien qu’ils soient fréquents dans les écosystèmes océaniques, peu d’entre eux ont fait l’objet d’une étude approfondie. Une compréhension accrue de leur biodiversité, de leur productivité et de leurs caractéristiques géophysiques peut contribuer à une gestion ciblée et durable. Une connaissance combinée des modèles spatiaux de la valeur écologique et de l’impact humain est essentielle pour une conservati</w:t>
      </w:r>
      <w:r w:rsidRPr="00876FE1">
        <w:rPr>
          <w:color w:val="000000"/>
        </w:rPr>
        <w:t>on efficace.</w:t>
      </w:r>
    </w:p>
    <w:p w14:paraId="1AC1765C" w14:textId="77777777" w:rsidR="00383DB7" w:rsidRPr="00876FE1" w:rsidRDefault="00383DB7">
      <w:pPr>
        <w:pBdr>
          <w:top w:val="nil"/>
          <w:left w:val="nil"/>
          <w:bottom w:val="nil"/>
          <w:right w:val="nil"/>
          <w:between w:val="nil"/>
        </w:pBdr>
        <w:spacing w:after="0" w:line="240" w:lineRule="auto"/>
        <w:ind w:left="360" w:hanging="360"/>
        <w:jc w:val="both"/>
        <w:rPr>
          <w:color w:val="000000"/>
          <w:u w:val="single"/>
        </w:rPr>
      </w:pPr>
    </w:p>
    <w:p w14:paraId="0AE6641E" w14:textId="77777777" w:rsidR="00383DB7" w:rsidRPr="00876FE1" w:rsidRDefault="00000000">
      <w:pPr>
        <w:spacing w:after="0" w:line="240" w:lineRule="auto"/>
        <w:jc w:val="both"/>
        <w:rPr>
          <w:u w:val="single"/>
        </w:rPr>
      </w:pPr>
      <w:r w:rsidRPr="00876FE1">
        <w:rPr>
          <w:u w:val="single"/>
        </w:rPr>
        <w:t>Menaces et pressions</w:t>
      </w:r>
    </w:p>
    <w:p w14:paraId="439B8B52" w14:textId="77777777" w:rsidR="00383DB7" w:rsidRPr="00876FE1" w:rsidRDefault="00383DB7">
      <w:pPr>
        <w:spacing w:after="0" w:line="240" w:lineRule="auto"/>
        <w:jc w:val="both"/>
        <w:rPr>
          <w:u w:val="single"/>
        </w:rPr>
      </w:pPr>
    </w:p>
    <w:p w14:paraId="413C9A03" w14:textId="489717B0" w:rsidR="00383DB7" w:rsidRPr="00876FE1" w:rsidRDefault="00000000">
      <w:pPr>
        <w:numPr>
          <w:ilvl w:val="0"/>
          <w:numId w:val="8"/>
        </w:numPr>
        <w:pBdr>
          <w:top w:val="nil"/>
          <w:left w:val="nil"/>
          <w:bottom w:val="nil"/>
          <w:right w:val="nil"/>
          <w:between w:val="nil"/>
        </w:pBdr>
        <w:spacing w:after="0" w:line="240" w:lineRule="auto"/>
        <w:ind w:left="567" w:hanging="567"/>
        <w:jc w:val="both"/>
      </w:pPr>
      <w:r w:rsidRPr="00876FE1">
        <w:rPr>
          <w:color w:val="000000"/>
        </w:rPr>
        <w:t xml:space="preserve">Les écosystèmes des monts sous-marins font partie des habitats les plus vulnérables de l’océan, car leurs communautés sont composées d’espèces fragiles, à la vie extrêmement longue et à la croissance lente. Par conséquent, ils sont </w:t>
      </w:r>
      <w:r w:rsidRPr="00876FE1">
        <w:t>susceptibles</w:t>
      </w:r>
      <w:r w:rsidRPr="00876FE1">
        <w:rPr>
          <w:color w:val="000000"/>
        </w:rPr>
        <w:t xml:space="preserve"> aux perturbations, présentent une faible résilience et peuvent mettre des siècles, voire des millénaires, à se remettre des impacts. Ces habitats abritent une riche diversité de vie associée et interdépendante, notamment </w:t>
      </w:r>
      <w:r w:rsidR="006F13D1" w:rsidRPr="00876FE1">
        <w:rPr>
          <w:color w:val="000000"/>
        </w:rPr>
        <w:t>d</w:t>
      </w:r>
      <w:r w:rsidRPr="00876FE1">
        <w:rPr>
          <w:color w:val="000000"/>
        </w:rPr>
        <w:t>es espèces migratrices inscrites aux Annexes de la Convention et leurs proies. Les monts sous-marins sont confrontés à de multiples menaces, notamment à une forte pression de pêche</w:t>
      </w:r>
      <w:r w:rsidRPr="00876FE1">
        <w:t>. Pourtant, il existe</w:t>
      </w:r>
      <w:r w:rsidRPr="00876FE1">
        <w:rPr>
          <w:color w:val="000000"/>
        </w:rPr>
        <w:t xml:space="preserve"> de plus en plus de preuves des impacts des changements climatiques, notamme</w:t>
      </w:r>
      <w:r w:rsidRPr="00876FE1">
        <w:rPr>
          <w:color w:val="000000"/>
        </w:rPr>
        <w:t>nt l’acidification des océans, la désoxygénation et le réchauffement</w:t>
      </w:r>
      <w:r w:rsidR="00194C35" w:rsidRPr="00876FE1">
        <w:rPr>
          <w:color w:val="000000"/>
        </w:rPr>
        <w:t> </w:t>
      </w:r>
      <w:r w:rsidRPr="00876FE1">
        <w:rPr>
          <w:color w:val="000000"/>
          <w:vertAlign w:val="superscript"/>
        </w:rPr>
        <w:footnoteReference w:id="21"/>
      </w:r>
      <w:r w:rsidRPr="00876FE1">
        <w:rPr>
          <w:color w:val="000000"/>
        </w:rPr>
        <w:t>, ainsi que des pressions supplémentaires dues à la pollution</w:t>
      </w:r>
      <w:r w:rsidR="00194C35" w:rsidRPr="00876FE1">
        <w:rPr>
          <w:color w:val="000000"/>
        </w:rPr>
        <w:t> </w:t>
      </w:r>
      <w:r w:rsidRPr="00876FE1">
        <w:rPr>
          <w:color w:val="000000"/>
          <w:vertAlign w:val="superscript"/>
        </w:rPr>
        <w:footnoteReference w:id="22"/>
      </w:r>
      <w:r w:rsidRPr="00876FE1">
        <w:rPr>
          <w:color w:val="000000"/>
        </w:rPr>
        <w:t xml:space="preserve"> et au potentiel d’exploitation minière en eaux profondes. Bien que diverses activités de pêche </w:t>
      </w:r>
      <w:proofErr w:type="gramStart"/>
      <w:r w:rsidRPr="00876FE1">
        <w:rPr>
          <w:color w:val="000000"/>
        </w:rPr>
        <w:t>aient</w:t>
      </w:r>
      <w:proofErr w:type="gramEnd"/>
      <w:r w:rsidRPr="00876FE1">
        <w:rPr>
          <w:color w:val="000000"/>
        </w:rPr>
        <w:t xml:space="preserve"> des répercussions sur les espèces migratrices autour des monts sous-marins, la deuxième évaluation mondiale des océans des Nations Unies (2021) a souligné que le chalutage de fond représentait la menace la plus importante pour les écosystèmes des monts sous-marins, les pêcheries s’effondrant souvent en l’espace de quelques années lorsque les stocks sont épuisés. En dépit de leurs répercussions écologiques, </w:t>
      </w:r>
      <w:r w:rsidRPr="00876FE1">
        <w:rPr>
          <w:color w:val="000000"/>
        </w:rPr>
        <w:t>les pêcheries au chalut de fond en eaux profondes représentent moins de 0,5</w:t>
      </w:r>
      <w:r w:rsidR="001C42AE" w:rsidRPr="00876FE1">
        <w:rPr>
          <w:color w:val="000000"/>
        </w:rPr>
        <w:t> </w:t>
      </w:r>
      <w:r w:rsidRPr="00876FE1">
        <w:rPr>
          <w:color w:val="000000"/>
        </w:rPr>
        <w:t>% des débarquements mondiaux</w:t>
      </w:r>
      <w:r w:rsidR="00194C35" w:rsidRPr="00876FE1">
        <w:rPr>
          <w:color w:val="000000"/>
        </w:rPr>
        <w:t> </w:t>
      </w:r>
      <w:r w:rsidRPr="00876FE1">
        <w:rPr>
          <w:color w:val="000000"/>
          <w:vertAlign w:val="superscript"/>
        </w:rPr>
        <w:footnoteReference w:id="23"/>
      </w:r>
      <w:r w:rsidR="00194C35" w:rsidRPr="00876FE1">
        <w:rPr>
          <w:color w:val="000000"/>
        </w:rPr>
        <w:t>.</w:t>
      </w:r>
    </w:p>
    <w:p w14:paraId="4CED3B08" w14:textId="77777777" w:rsidR="00383DB7" w:rsidRPr="00876FE1" w:rsidRDefault="00383DB7">
      <w:pPr>
        <w:pBdr>
          <w:top w:val="nil"/>
          <w:left w:val="nil"/>
          <w:bottom w:val="nil"/>
          <w:right w:val="nil"/>
          <w:between w:val="nil"/>
        </w:pBdr>
        <w:spacing w:after="0" w:line="240" w:lineRule="auto"/>
        <w:ind w:left="567" w:hanging="567"/>
        <w:jc w:val="both"/>
        <w:rPr>
          <w:color w:val="000000"/>
          <w:u w:val="single"/>
        </w:rPr>
      </w:pPr>
    </w:p>
    <w:p w14:paraId="7DB2230E" w14:textId="77777777" w:rsidR="00194C35" w:rsidRPr="00876FE1" w:rsidRDefault="00194C35">
      <w:r w:rsidRPr="00876FE1">
        <w:br w:type="page"/>
      </w:r>
    </w:p>
    <w:p w14:paraId="43FE88DC" w14:textId="7E096D22" w:rsidR="00383DB7" w:rsidRPr="00876FE1" w:rsidRDefault="00000000">
      <w:pPr>
        <w:numPr>
          <w:ilvl w:val="0"/>
          <w:numId w:val="8"/>
        </w:numPr>
        <w:pBdr>
          <w:top w:val="nil"/>
          <w:left w:val="nil"/>
          <w:bottom w:val="nil"/>
          <w:right w:val="nil"/>
          <w:between w:val="nil"/>
        </w:pBdr>
        <w:spacing w:after="0" w:line="240" w:lineRule="auto"/>
        <w:ind w:left="567" w:hanging="567"/>
        <w:jc w:val="both"/>
      </w:pPr>
      <w:r w:rsidRPr="00876FE1">
        <w:lastRenderedPageBreak/>
        <w:t>Les</w:t>
      </w:r>
      <w:r w:rsidRPr="00876FE1">
        <w:rPr>
          <w:color w:val="000000"/>
        </w:rPr>
        <w:t xml:space="preserve"> pratiques de pêche destructrices sur les monts sous-marins peuvent avoir de graves incidences sur les espèces migratrices, car nombre d’entre elles dépendent de ces éléments pour des fonctions essentielles de leur cycle de vie, telles que l’alimentation, le repos et le frai. Les dommages causés aux habitats benthiques, notamment aux coraux et aux éponges, peuvent persister pendant des siècles</w:t>
      </w:r>
      <w:r w:rsidR="00194C35" w:rsidRPr="00876FE1">
        <w:rPr>
          <w:color w:val="000000"/>
        </w:rPr>
        <w:t> </w:t>
      </w:r>
      <w:r w:rsidRPr="00876FE1">
        <w:rPr>
          <w:color w:val="000000"/>
          <w:vertAlign w:val="superscript"/>
        </w:rPr>
        <w:footnoteReference w:id="24"/>
      </w:r>
      <w:r w:rsidR="00194C35" w:rsidRPr="00876FE1">
        <w:rPr>
          <w:color w:val="000000"/>
        </w:rPr>
        <w:t>,</w:t>
      </w:r>
      <w:r w:rsidRPr="00876FE1">
        <w:rPr>
          <w:color w:val="000000"/>
        </w:rPr>
        <w:t xml:space="preserve"> dégradant d’importantes zones d’alimentation et de reproduction pour les espèces migratrices et d’autres espèces associées</w:t>
      </w:r>
      <w:r w:rsidR="00194C35" w:rsidRPr="00876FE1">
        <w:rPr>
          <w:color w:val="000000"/>
        </w:rPr>
        <w:t> </w:t>
      </w:r>
      <w:r w:rsidRPr="00876FE1">
        <w:rPr>
          <w:color w:val="000000"/>
          <w:vertAlign w:val="superscript"/>
        </w:rPr>
        <w:footnoteReference w:id="25"/>
      </w:r>
      <w:r w:rsidR="00194C35" w:rsidRPr="00876FE1">
        <w:rPr>
          <w:color w:val="000000"/>
        </w:rPr>
        <w:t>.</w:t>
      </w:r>
      <w:r w:rsidRPr="00876FE1">
        <w:rPr>
          <w:color w:val="000000"/>
        </w:rPr>
        <w:t xml:space="preserve"> Le chalutage de fond prélève sans discernement de grandes quantités de poissons, réduisant ainsi la disponibilité des proies pour les prédateurs migrateurs qui dépendent des monts sous-marins comme zones d’alimentation riches en ressources au cours de leurs migrations</w:t>
      </w:r>
      <w:r w:rsidR="00194C35" w:rsidRPr="00876FE1">
        <w:rPr>
          <w:color w:val="000000"/>
        </w:rPr>
        <w:t> </w:t>
      </w:r>
      <w:r w:rsidRPr="00876FE1">
        <w:rPr>
          <w:color w:val="000000"/>
          <w:vertAlign w:val="superscript"/>
        </w:rPr>
        <w:footnoteReference w:id="26"/>
      </w:r>
      <w:r w:rsidR="00194C35" w:rsidRPr="00876FE1">
        <w:rPr>
          <w:color w:val="000000"/>
        </w:rPr>
        <w:t>.</w:t>
      </w:r>
      <w:r w:rsidRPr="00876FE1">
        <w:rPr>
          <w:color w:val="000000"/>
        </w:rPr>
        <w:t xml:space="preserve"> Cette perte de proies peut réduire de manière significative la survie et le succès reproductif de ces espèces. Les prises accessoires et l’enchevêtrement causés par les palangres disposées au fond de la mer et les filets maillants peuvent réduire les populations d’espèces non</w:t>
      </w:r>
      <w:r w:rsidRPr="00876FE1">
        <w:rPr>
          <w:rFonts w:ascii="Cambria Math" w:eastAsia="Cambria Math" w:hAnsi="Cambria Math" w:cs="Cambria Math"/>
          <w:color w:val="000000"/>
        </w:rPr>
        <w:t xml:space="preserve"> </w:t>
      </w:r>
      <w:r w:rsidRPr="00876FE1">
        <w:rPr>
          <w:color w:val="000000"/>
        </w:rPr>
        <w:t>ciblées telles que les tortues de mer, les requins et les oiseaux de mer</w:t>
      </w:r>
      <w:r w:rsidR="00194C35" w:rsidRPr="00876FE1">
        <w:rPr>
          <w:color w:val="000000"/>
        </w:rPr>
        <w:t> </w:t>
      </w:r>
      <w:r w:rsidRPr="00876FE1">
        <w:rPr>
          <w:color w:val="000000"/>
          <w:vertAlign w:val="superscript"/>
        </w:rPr>
        <w:footnoteReference w:id="27"/>
      </w:r>
      <w:r w:rsidR="00194C35" w:rsidRPr="00876FE1">
        <w:rPr>
          <w:color w:val="000000"/>
        </w:rPr>
        <w:t>.</w:t>
      </w:r>
      <w:r w:rsidRPr="00876FE1">
        <w:rPr>
          <w:color w:val="000000"/>
        </w:rPr>
        <w:t xml:space="preserve"> Ils peuvent également perturber la structure des populations en supprimant des classes d’âge clés, ce qui déstabilise les populations et interrompt les migrations futures, menaçant finalement la survie à long terme de ces espèces</w:t>
      </w:r>
      <w:r w:rsidR="00194C35" w:rsidRPr="00876FE1">
        <w:rPr>
          <w:color w:val="000000"/>
        </w:rPr>
        <w:t> </w:t>
      </w:r>
      <w:r w:rsidRPr="00876FE1">
        <w:rPr>
          <w:color w:val="000000"/>
          <w:vertAlign w:val="superscript"/>
        </w:rPr>
        <w:footnoteReference w:id="28"/>
      </w:r>
      <w:r w:rsidR="00194C35" w:rsidRPr="00876FE1">
        <w:rPr>
          <w:color w:val="000000"/>
        </w:rPr>
        <w:t>.</w:t>
      </w:r>
      <w:r w:rsidRPr="00876FE1">
        <w:rPr>
          <w:color w:val="000000"/>
        </w:rPr>
        <w:t xml:space="preserve"> Une activité de pêche intense dans les corridors de migration peut inciter les animaux à modifier leurs </w:t>
      </w:r>
      <w:r w:rsidRPr="00876FE1">
        <w:t>comportements migratoires</w:t>
      </w:r>
      <w:r w:rsidRPr="00876FE1">
        <w:rPr>
          <w:color w:val="000000"/>
        </w:rPr>
        <w:t>, ce qui entraîne une augmentation des coûts énergétiques et réduit leur taux de survie</w:t>
      </w:r>
      <w:r w:rsidR="00194C35" w:rsidRPr="00876FE1">
        <w:rPr>
          <w:rFonts w:ascii="Times New Roman" w:eastAsia="Times New Roman" w:hAnsi="Times New Roman" w:cs="Times New Roman"/>
          <w:color w:val="000000"/>
          <w:sz w:val="24"/>
          <w:szCs w:val="24"/>
        </w:rPr>
        <w:t> </w:t>
      </w:r>
      <w:r w:rsidRPr="00876FE1">
        <w:rPr>
          <w:color w:val="000000"/>
          <w:vertAlign w:val="superscript"/>
        </w:rPr>
        <w:footnoteReference w:id="29"/>
      </w:r>
      <w:r w:rsidR="00194C35" w:rsidRPr="00876FE1">
        <w:rPr>
          <w:rFonts w:ascii="Times New Roman" w:eastAsia="Times New Roman" w:hAnsi="Times New Roman" w:cs="Times New Roman"/>
          <w:color w:val="000000"/>
          <w:sz w:val="24"/>
          <w:szCs w:val="24"/>
        </w:rPr>
        <w:t>.</w:t>
      </w:r>
      <w:r w:rsidRPr="00876FE1">
        <w:rPr>
          <w:rFonts w:ascii="Times New Roman" w:eastAsia="Times New Roman" w:hAnsi="Times New Roman" w:cs="Times New Roman"/>
          <w:color w:val="000000"/>
          <w:sz w:val="24"/>
          <w:szCs w:val="24"/>
        </w:rPr>
        <w:t xml:space="preserve"> </w:t>
      </w:r>
      <w:r w:rsidRPr="00876FE1">
        <w:rPr>
          <w:color w:val="000000"/>
        </w:rPr>
        <w:t xml:space="preserve">Nombre de ces espèces, notamment les requins, les raies et les tortues, ont </w:t>
      </w:r>
      <w:r w:rsidRPr="00876FE1">
        <w:t>une longue durée de vie et une maturation lente, ce qui les rend particulièrement vulnérables à une récupération lente</w:t>
      </w:r>
      <w:r w:rsidRPr="00876FE1">
        <w:rPr>
          <w:color w:val="000000"/>
        </w:rPr>
        <w:t xml:space="preserve"> en cas de déclin de la population ou de perte d’habitat. Le bruit généré par les navires de pêche peut perturber la navigation et la communication des espèces qui dépendent des sons, telles que les baleines</w:t>
      </w:r>
      <w:r w:rsidR="00194C35" w:rsidRPr="00876FE1">
        <w:rPr>
          <w:color w:val="000000"/>
        </w:rPr>
        <w:t> </w:t>
      </w:r>
      <w:r w:rsidRPr="00876FE1">
        <w:rPr>
          <w:color w:val="000000"/>
          <w:vertAlign w:val="superscript"/>
        </w:rPr>
        <w:footnoteReference w:id="30"/>
      </w:r>
      <w:r w:rsidR="00194C35" w:rsidRPr="00876FE1">
        <w:rPr>
          <w:color w:val="000000"/>
        </w:rPr>
        <w:t>.</w:t>
      </w:r>
    </w:p>
    <w:p w14:paraId="16D5296E" w14:textId="77777777" w:rsidR="00383DB7" w:rsidRPr="00876FE1" w:rsidRDefault="00383DB7">
      <w:pPr>
        <w:pBdr>
          <w:top w:val="nil"/>
          <w:left w:val="nil"/>
          <w:bottom w:val="nil"/>
          <w:right w:val="nil"/>
          <w:between w:val="nil"/>
        </w:pBdr>
        <w:spacing w:after="0" w:line="240" w:lineRule="auto"/>
        <w:ind w:left="567" w:hanging="567"/>
        <w:jc w:val="both"/>
        <w:rPr>
          <w:color w:val="000000"/>
          <w:u w:val="single"/>
        </w:rPr>
      </w:pPr>
    </w:p>
    <w:p w14:paraId="0AA31BB5" w14:textId="3126094A" w:rsidR="00383DB7" w:rsidRPr="00876FE1" w:rsidRDefault="00000000">
      <w:pPr>
        <w:numPr>
          <w:ilvl w:val="0"/>
          <w:numId w:val="8"/>
        </w:numPr>
        <w:pBdr>
          <w:top w:val="nil"/>
          <w:left w:val="nil"/>
          <w:bottom w:val="nil"/>
          <w:right w:val="nil"/>
          <w:between w:val="nil"/>
        </w:pBdr>
        <w:spacing w:after="0" w:line="240" w:lineRule="auto"/>
        <w:ind w:left="567" w:hanging="567"/>
        <w:jc w:val="both"/>
      </w:pPr>
      <w:r w:rsidRPr="00876FE1">
        <w:rPr>
          <w:color w:val="000000"/>
        </w:rPr>
        <w:t>La protection des monts sous-marins est essentielle pour maintenir des fonctions écologiques fondamentales favorables aux espèces migratrices et qui préviennent les perturbations des processus vitaux du cycle de vie, contribuant ainsi à la survie et à la restauration des populations vulnérables. À titre d’exemple, les monts sous-marins exploités présentent une biodiversité réduite de 50</w:t>
      </w:r>
      <w:r w:rsidR="001C42AE" w:rsidRPr="00876FE1">
        <w:rPr>
          <w:color w:val="000000"/>
        </w:rPr>
        <w:t> </w:t>
      </w:r>
      <w:r w:rsidRPr="00876FE1">
        <w:rPr>
          <w:color w:val="000000"/>
        </w:rPr>
        <w:t>% par rapport à celle des monts sous-marins non perturbés, ainsi qu’une biomasse d’espèces benthiques sept fois plus faible</w:t>
      </w:r>
      <w:r w:rsidR="00194C35" w:rsidRPr="00876FE1">
        <w:rPr>
          <w:color w:val="000000"/>
        </w:rPr>
        <w:t> </w:t>
      </w:r>
      <w:r w:rsidRPr="00876FE1">
        <w:rPr>
          <w:color w:val="000000"/>
          <w:vertAlign w:val="superscript"/>
        </w:rPr>
        <w:footnoteReference w:id="31"/>
      </w:r>
      <w:r w:rsidRPr="00876FE1">
        <w:rPr>
          <w:color w:val="000000"/>
        </w:rPr>
        <w:t xml:space="preserve">. Dans la région </w:t>
      </w:r>
      <w:proofErr w:type="spellStart"/>
      <w:r w:rsidRPr="00876FE1">
        <w:rPr>
          <w:color w:val="000000"/>
        </w:rPr>
        <w:t>Indo</w:t>
      </w:r>
      <w:r w:rsidRPr="00876FE1">
        <w:rPr>
          <w:rFonts w:ascii="Cambria Math" w:eastAsia="Cambria Math" w:hAnsi="Cambria Math" w:cs="Cambria Math"/>
          <w:color w:val="000000"/>
        </w:rPr>
        <w:t>‑</w:t>
      </w:r>
      <w:r w:rsidRPr="00876FE1">
        <w:rPr>
          <w:color w:val="000000"/>
        </w:rPr>
        <w:t>Pacifique</w:t>
      </w:r>
      <w:proofErr w:type="spellEnd"/>
      <w:r w:rsidRPr="00876FE1">
        <w:t>,</w:t>
      </w:r>
      <w:r w:rsidRPr="00876FE1">
        <w:rPr>
          <w:color w:val="000000"/>
        </w:rPr>
        <w:t xml:space="preserve"> les monts sous-marins isolés constituent certains des derniers refuges pour les requins</w:t>
      </w:r>
      <w:r w:rsidR="00194C35" w:rsidRPr="00876FE1">
        <w:rPr>
          <w:color w:val="000000"/>
        </w:rPr>
        <w:t> </w:t>
      </w:r>
      <w:r w:rsidRPr="00876FE1">
        <w:rPr>
          <w:color w:val="000000"/>
          <w:vertAlign w:val="superscript"/>
        </w:rPr>
        <w:footnoteReference w:id="32"/>
      </w:r>
      <w:r w:rsidR="00194C35" w:rsidRPr="00876FE1">
        <w:rPr>
          <w:color w:val="000000"/>
        </w:rPr>
        <w:t>.</w:t>
      </w:r>
      <w:r w:rsidRPr="00876FE1">
        <w:rPr>
          <w:color w:val="000000"/>
        </w:rPr>
        <w:t xml:space="preserve"> Grâce à la préservation des habitats des monts sous-marins, les espèces migratrices pourraient bénéficier d’un accès garanti à des zones d’alimentation, de reproduction, de frai et de repos prévisibles le long de leurs itinéraires. Étant donné </w:t>
      </w:r>
      <w:r w:rsidRPr="00876FE1">
        <w:t xml:space="preserve">que les espèces migratrices sont confrontées à des pressions cumulées sur l’ensemble de leurs vastes habitats, la sauvegarde des </w:t>
      </w:r>
      <w:r w:rsidRPr="00876FE1">
        <w:lastRenderedPageBreak/>
        <w:t>«</w:t>
      </w:r>
      <w:r w:rsidR="001C42AE" w:rsidRPr="00876FE1">
        <w:t> </w:t>
      </w:r>
      <w:r w:rsidRPr="00876FE1">
        <w:t>oasis</w:t>
      </w:r>
      <w:r w:rsidR="001C42AE" w:rsidRPr="00876FE1">
        <w:t> </w:t>
      </w:r>
      <w:r w:rsidRPr="00876FE1">
        <w:t>» que représentent les monts sous-marins, où elles peuvent se nourrir, dormir et se reproduire, est essentielle pour atténuer les</w:t>
      </w:r>
      <w:r w:rsidRPr="00876FE1">
        <w:t xml:space="preserve"> impacts globaux et fournir la résilience indispensable</w:t>
      </w:r>
      <w:r w:rsidRPr="00876FE1">
        <w:rPr>
          <w:color w:val="000000"/>
        </w:rPr>
        <w:t xml:space="preserve"> à la poursuite de leur survie.</w:t>
      </w:r>
    </w:p>
    <w:p w14:paraId="2E6AB1D1" w14:textId="77777777" w:rsidR="00383DB7" w:rsidRPr="00876FE1" w:rsidRDefault="00383DB7">
      <w:pPr>
        <w:pBdr>
          <w:top w:val="nil"/>
          <w:left w:val="nil"/>
          <w:bottom w:val="nil"/>
          <w:right w:val="nil"/>
          <w:between w:val="nil"/>
        </w:pBdr>
        <w:spacing w:after="0" w:line="240" w:lineRule="auto"/>
        <w:ind w:left="567" w:hanging="567"/>
        <w:jc w:val="both"/>
        <w:rPr>
          <w:u w:val="single"/>
        </w:rPr>
      </w:pPr>
    </w:p>
    <w:p w14:paraId="4E346835" w14:textId="55E6B7FC" w:rsidR="00383DB7" w:rsidRPr="00876FE1" w:rsidRDefault="00000000">
      <w:pPr>
        <w:numPr>
          <w:ilvl w:val="0"/>
          <w:numId w:val="8"/>
        </w:numPr>
        <w:pBdr>
          <w:top w:val="nil"/>
          <w:left w:val="nil"/>
          <w:bottom w:val="nil"/>
          <w:right w:val="nil"/>
          <w:between w:val="nil"/>
        </w:pBdr>
        <w:spacing w:after="0" w:line="240" w:lineRule="auto"/>
        <w:ind w:left="567" w:hanging="567"/>
        <w:jc w:val="both"/>
      </w:pPr>
      <w:r w:rsidRPr="00876FE1">
        <w:rPr>
          <w:color w:val="000000"/>
        </w:rPr>
        <w:t>Un grand nombre des monts sous-marins repérés (environ 58</w:t>
      </w:r>
      <w:r w:rsidR="001C42AE" w:rsidRPr="00876FE1">
        <w:rPr>
          <w:color w:val="000000"/>
        </w:rPr>
        <w:t> </w:t>
      </w:r>
      <w:r w:rsidRPr="00876FE1">
        <w:rPr>
          <w:color w:val="000000"/>
        </w:rPr>
        <w:t>%) se trouvent dans des zones ne relevant pas de la juridiction nationale</w:t>
      </w:r>
      <w:r w:rsidRPr="00876FE1">
        <w:t>,</w:t>
      </w:r>
      <w:r w:rsidRPr="00876FE1">
        <w:rPr>
          <w:color w:val="000000"/>
        </w:rPr>
        <w:t xml:space="preserve"> et leur protection nécessite par conséquent une collaboration internationale</w:t>
      </w:r>
      <w:r w:rsidR="00194C35" w:rsidRPr="00876FE1">
        <w:rPr>
          <w:color w:val="000000"/>
        </w:rPr>
        <w:t> </w:t>
      </w:r>
      <w:r w:rsidRPr="00876FE1">
        <w:rPr>
          <w:color w:val="000000"/>
          <w:vertAlign w:val="superscript"/>
        </w:rPr>
        <w:footnoteReference w:id="33"/>
      </w:r>
      <w:r w:rsidR="00194C35" w:rsidRPr="00876FE1">
        <w:rPr>
          <w:color w:val="000000"/>
        </w:rPr>
        <w:t>.</w:t>
      </w:r>
      <w:r w:rsidRPr="00876FE1">
        <w:rPr>
          <w:color w:val="000000"/>
        </w:rPr>
        <w:t xml:space="preserve"> Actuellement, moins de 1</w:t>
      </w:r>
      <w:r w:rsidR="001C42AE" w:rsidRPr="00876FE1">
        <w:rPr>
          <w:color w:val="000000"/>
        </w:rPr>
        <w:t> </w:t>
      </w:r>
      <w:r w:rsidRPr="00876FE1">
        <w:rPr>
          <w:color w:val="000000"/>
        </w:rPr>
        <w:t xml:space="preserve">% de ces écosystèmes sont efficacement protégés, </w:t>
      </w:r>
      <w:r w:rsidRPr="00876FE1">
        <w:t>ce qui réduit la résilience des espèces migratrices lors de leurs longs voyages et les rend vulnérables sur les monts sous-marins qui devraient servir de refuges essentiels</w:t>
      </w:r>
      <w:r w:rsidRPr="00876FE1">
        <w:rPr>
          <w:color w:val="000000"/>
        </w:rPr>
        <w:t>. Les progrès réalisés dans la mise en place de mesures de gestion spatiale et dans l’identification des écosystèmes sensibles des monts sous-marins restent jusqu’à présent limités</w:t>
      </w:r>
      <w:r w:rsidR="00194C35" w:rsidRPr="00876FE1">
        <w:rPr>
          <w:color w:val="000000"/>
        </w:rPr>
        <w:t> </w:t>
      </w:r>
      <w:r w:rsidRPr="00876FE1">
        <w:rPr>
          <w:color w:val="000000"/>
          <w:vertAlign w:val="superscript"/>
        </w:rPr>
        <w:footnoteReference w:id="34"/>
      </w:r>
      <w:r w:rsidR="00194C35" w:rsidRPr="00876FE1">
        <w:rPr>
          <w:color w:val="000000"/>
        </w:rPr>
        <w:t>.</w:t>
      </w:r>
      <w:r w:rsidRPr="00876FE1">
        <w:rPr>
          <w:color w:val="000000"/>
        </w:rPr>
        <w:t xml:space="preserve"> Les approches incohérentes des </w:t>
      </w:r>
      <w:r w:rsidR="00D72C7C" w:rsidRPr="00876FE1">
        <w:rPr>
          <w:color w:val="000000"/>
        </w:rPr>
        <w:t>o</w:t>
      </w:r>
      <w:r w:rsidRPr="00876FE1">
        <w:rPr>
          <w:color w:val="000000"/>
        </w:rPr>
        <w:t xml:space="preserve">rganisations régionales de gestion des pêches dans la </w:t>
      </w:r>
      <w:r w:rsidRPr="00876FE1">
        <w:t>reconnaissance</w:t>
      </w:r>
      <w:r w:rsidRPr="00876FE1">
        <w:rPr>
          <w:color w:val="000000"/>
        </w:rPr>
        <w:t xml:space="preserve"> et la protection des monts sous-marins en tant qu’écosystèmes marins vulnérables continuent d’entraver l’efficacité des efforts de conservation et de gestion</w:t>
      </w:r>
      <w:r w:rsidR="00194C35" w:rsidRPr="00876FE1">
        <w:rPr>
          <w:color w:val="000000"/>
        </w:rPr>
        <w:t> </w:t>
      </w:r>
      <w:r w:rsidRPr="00876FE1">
        <w:rPr>
          <w:color w:val="000000"/>
          <w:vertAlign w:val="superscript"/>
        </w:rPr>
        <w:footnoteReference w:id="35"/>
      </w:r>
      <w:r w:rsidR="00194C35" w:rsidRPr="00876FE1">
        <w:rPr>
          <w:color w:val="000000"/>
        </w:rPr>
        <w:t>.</w:t>
      </w:r>
      <w:r w:rsidRPr="00876FE1">
        <w:rPr>
          <w:color w:val="000000"/>
        </w:rPr>
        <w:t xml:space="preserve"> </w:t>
      </w:r>
    </w:p>
    <w:p w14:paraId="4B8E8575" w14:textId="77777777" w:rsidR="00383DB7" w:rsidRPr="00876FE1" w:rsidRDefault="00383DB7">
      <w:pPr>
        <w:widowControl w:val="0"/>
        <w:pBdr>
          <w:top w:val="nil"/>
          <w:left w:val="nil"/>
          <w:bottom w:val="nil"/>
          <w:right w:val="nil"/>
          <w:between w:val="nil"/>
        </w:pBdr>
        <w:spacing w:after="0" w:line="240" w:lineRule="auto"/>
        <w:ind w:left="720"/>
        <w:jc w:val="both"/>
        <w:rPr>
          <w:color w:val="000000"/>
          <w:u w:val="single"/>
        </w:rPr>
      </w:pPr>
    </w:p>
    <w:p w14:paraId="35A2A8EE" w14:textId="77777777" w:rsidR="00383DB7" w:rsidRPr="00876FE1" w:rsidRDefault="00000000">
      <w:pPr>
        <w:widowControl w:val="0"/>
        <w:spacing w:after="0" w:line="240" w:lineRule="auto"/>
        <w:jc w:val="both"/>
        <w:rPr>
          <w:u w:val="single"/>
        </w:rPr>
      </w:pPr>
      <w:r w:rsidRPr="00876FE1">
        <w:rPr>
          <w:u w:val="single"/>
        </w:rPr>
        <w:t>Discussion et analyse</w:t>
      </w:r>
    </w:p>
    <w:p w14:paraId="3C377A9E" w14:textId="77777777" w:rsidR="00383DB7" w:rsidRPr="00876FE1" w:rsidRDefault="00383DB7">
      <w:pPr>
        <w:widowControl w:val="0"/>
        <w:spacing w:after="0" w:line="240" w:lineRule="auto"/>
        <w:jc w:val="both"/>
        <w:rPr>
          <w:u w:val="single"/>
        </w:rPr>
      </w:pPr>
    </w:p>
    <w:p w14:paraId="3767D62B" w14:textId="57705BF7" w:rsidR="00383DB7" w:rsidRPr="00876FE1" w:rsidRDefault="00000000">
      <w:pPr>
        <w:numPr>
          <w:ilvl w:val="0"/>
          <w:numId w:val="8"/>
        </w:numPr>
        <w:pBdr>
          <w:top w:val="nil"/>
          <w:left w:val="nil"/>
          <w:bottom w:val="nil"/>
          <w:right w:val="nil"/>
          <w:between w:val="nil"/>
        </w:pBdr>
        <w:spacing w:after="0" w:line="240" w:lineRule="auto"/>
        <w:ind w:left="567" w:hanging="567"/>
        <w:jc w:val="both"/>
      </w:pPr>
      <w:r w:rsidRPr="00876FE1">
        <w:rPr>
          <w:color w:val="000000"/>
        </w:rPr>
        <w:t>Accorder la priorité à la protection des monts sous-marins constitue une opportunité majeure de conservation</w:t>
      </w:r>
      <w:r w:rsidR="006F13D1" w:rsidRPr="00876FE1">
        <w:rPr>
          <w:color w:val="000000"/>
        </w:rPr>
        <w:t>,</w:t>
      </w:r>
      <w:r w:rsidRPr="00876FE1">
        <w:rPr>
          <w:color w:val="000000"/>
        </w:rPr>
        <w:t xml:space="preserve"> </w:t>
      </w:r>
      <w:r w:rsidR="006F13D1" w:rsidRPr="00876FE1">
        <w:rPr>
          <w:color w:val="000000"/>
        </w:rPr>
        <w:t>qui permettrait</w:t>
      </w:r>
      <w:r w:rsidRPr="00876FE1">
        <w:rPr>
          <w:color w:val="000000"/>
        </w:rPr>
        <w:t xml:space="preserve"> de protéger les espèces migratrices sur l’ensemble de leur aire d’habitat. Alors que les espèces migratrices sont de plus en plus menacées par les activités humaines, la préservation des écosystèmes des monts sous-marins</w:t>
      </w:r>
      <w:r w:rsidRPr="00876FE1">
        <w:t xml:space="preserve"> — des habitats clés indispensables aux étapes cruciales de la vie et qui maintiennent la connectivité écologique entre les bassins océaniques — </w:t>
      </w:r>
      <w:r w:rsidRPr="00876FE1">
        <w:rPr>
          <w:color w:val="000000"/>
        </w:rPr>
        <w:t>est essentielle pour la survie à long terme de nombreuses espèces migratrices. Compte tenu de leur importance, la protection des monts sous-marins</w:t>
      </w:r>
      <w:r w:rsidRPr="00876FE1">
        <w:rPr>
          <w:color w:val="000000"/>
        </w:rPr>
        <w:t xml:space="preserve"> exige une attention rigoureuse et coordonnée à l’échelle mondiale. L</w:t>
      </w:r>
      <w:r w:rsidR="00194C35" w:rsidRPr="00876FE1">
        <w:rPr>
          <w:color w:val="000000"/>
        </w:rPr>
        <w:t>a CMS</w:t>
      </w:r>
      <w:r w:rsidRPr="00876FE1">
        <w:rPr>
          <w:color w:val="000000"/>
        </w:rPr>
        <w:t xml:space="preserve"> est particulièrement bien placée pour diriger les efforts internationaux visant à protéger les monts sous-marins des pratiques destructrices. Le Plan stratégique de l</w:t>
      </w:r>
      <w:r w:rsidR="00194C35" w:rsidRPr="00876FE1">
        <w:rPr>
          <w:color w:val="000000"/>
        </w:rPr>
        <w:t>a CMS</w:t>
      </w:r>
      <w:r w:rsidRPr="00876FE1">
        <w:rPr>
          <w:color w:val="000000"/>
        </w:rPr>
        <w:t xml:space="preserve"> (2024–2032) envisage un avenir dans lequel «</w:t>
      </w:r>
      <w:r w:rsidR="001C42AE" w:rsidRPr="00876FE1">
        <w:rPr>
          <w:color w:val="000000"/>
        </w:rPr>
        <w:t> </w:t>
      </w:r>
      <w:r w:rsidRPr="00876FE1">
        <w:rPr>
          <w:color w:val="000000"/>
        </w:rPr>
        <w:t>les espèces migratrices prospèrent et vivent dans des habitats entièrement restaurés et connectés</w:t>
      </w:r>
      <w:r w:rsidR="001C42AE" w:rsidRPr="00876FE1">
        <w:rPr>
          <w:color w:val="000000"/>
        </w:rPr>
        <w:t> </w:t>
      </w:r>
      <w:r w:rsidRPr="00876FE1">
        <w:rPr>
          <w:color w:val="000000"/>
        </w:rPr>
        <w:t>» (UNEP/CMS/Résolution</w:t>
      </w:r>
      <w:r w:rsidR="001C42AE" w:rsidRPr="00876FE1">
        <w:rPr>
          <w:color w:val="000000"/>
        </w:rPr>
        <w:t> </w:t>
      </w:r>
      <w:r w:rsidRPr="00876FE1">
        <w:rPr>
          <w:color w:val="000000"/>
        </w:rPr>
        <w:t>14.1). La réalisation de cette vision pour les monts sous-marins et leurs espèces associées nécessi</w:t>
      </w:r>
      <w:r w:rsidRPr="00876FE1">
        <w:rPr>
          <w:color w:val="000000"/>
        </w:rPr>
        <w:t>tera une action urgente, coordonnée et décisive.</w:t>
      </w:r>
    </w:p>
    <w:p w14:paraId="258FF023" w14:textId="77777777" w:rsidR="00383DB7" w:rsidRPr="00876FE1" w:rsidRDefault="00383DB7">
      <w:pPr>
        <w:pBdr>
          <w:top w:val="nil"/>
          <w:left w:val="nil"/>
          <w:bottom w:val="nil"/>
          <w:right w:val="nil"/>
          <w:between w:val="nil"/>
        </w:pBdr>
        <w:spacing w:after="0" w:line="240" w:lineRule="auto"/>
        <w:ind w:left="567" w:hanging="567"/>
        <w:jc w:val="both"/>
      </w:pPr>
    </w:p>
    <w:p w14:paraId="1DFC3141" w14:textId="066E1C4C" w:rsidR="00383DB7" w:rsidRPr="00876FE1" w:rsidRDefault="00000000">
      <w:pPr>
        <w:numPr>
          <w:ilvl w:val="0"/>
          <w:numId w:val="8"/>
        </w:numPr>
        <w:pBdr>
          <w:top w:val="nil"/>
          <w:left w:val="nil"/>
          <w:bottom w:val="nil"/>
          <w:right w:val="nil"/>
          <w:between w:val="nil"/>
        </w:pBdr>
        <w:spacing w:after="0" w:line="240" w:lineRule="auto"/>
        <w:ind w:left="567" w:hanging="567"/>
        <w:jc w:val="both"/>
      </w:pPr>
      <w:r w:rsidRPr="00876FE1">
        <w:rPr>
          <w:color w:val="000000"/>
        </w:rPr>
        <w:t>Reconnaître l’importance des monts sous-marins pour les espèces inscrites aux Annexes de l</w:t>
      </w:r>
      <w:r w:rsidR="00194C35" w:rsidRPr="00876FE1">
        <w:rPr>
          <w:color w:val="000000"/>
        </w:rPr>
        <w:t>a CMS</w:t>
      </w:r>
      <w:r w:rsidRPr="00876FE1">
        <w:rPr>
          <w:color w:val="000000"/>
        </w:rPr>
        <w:t xml:space="preserve"> peut renforcer les engagements internationaux visant à protéger leurs habitats, leurs proies et les espèces potentiellement à risque dont l’inscription sur la liste pourrait être envisagée à l’avenir si leur état de conservation se détériore. Il s’agit notamment de collaborer avec d’autres instruments et processus internationaux pertinents, tels que la Convention sur la diversité biologique, les organismes régionaux de pêche et le futur Accord se rapportant à la Convention des Nations Unies sur le dro</w:t>
      </w:r>
      <w:r w:rsidRPr="00876FE1">
        <w:rPr>
          <w:color w:val="000000"/>
        </w:rPr>
        <w:t>it de la mer et portant sur la conservation et l’utilisation durable de la diversité biologique marine des zones ne relevant pas de la juridiction nationale.</w:t>
      </w:r>
    </w:p>
    <w:p w14:paraId="6EFA497A" w14:textId="77777777" w:rsidR="00383DB7" w:rsidRPr="00876FE1" w:rsidRDefault="00383DB7">
      <w:pPr>
        <w:widowControl w:val="0"/>
        <w:spacing w:after="0" w:line="240" w:lineRule="auto"/>
        <w:ind w:left="567" w:hanging="567"/>
        <w:jc w:val="both"/>
      </w:pPr>
    </w:p>
    <w:p w14:paraId="391B90F9" w14:textId="77777777" w:rsidR="00194C35" w:rsidRPr="00876FE1" w:rsidRDefault="00194C35">
      <w:pPr>
        <w:rPr>
          <w:color w:val="000000"/>
        </w:rPr>
      </w:pPr>
      <w:r w:rsidRPr="00876FE1">
        <w:rPr>
          <w:color w:val="000000"/>
        </w:rPr>
        <w:br w:type="page"/>
      </w:r>
    </w:p>
    <w:p w14:paraId="12E1B65F" w14:textId="410FB807" w:rsidR="00383DB7" w:rsidRPr="00876FE1" w:rsidRDefault="00000000">
      <w:pPr>
        <w:widowControl w:val="0"/>
        <w:numPr>
          <w:ilvl w:val="0"/>
          <w:numId w:val="8"/>
        </w:numPr>
        <w:pBdr>
          <w:top w:val="nil"/>
          <w:left w:val="nil"/>
          <w:bottom w:val="nil"/>
          <w:right w:val="nil"/>
          <w:between w:val="nil"/>
        </w:pBdr>
        <w:spacing w:after="0" w:line="240" w:lineRule="auto"/>
        <w:ind w:left="567" w:hanging="567"/>
        <w:jc w:val="both"/>
      </w:pPr>
      <w:r w:rsidRPr="00876FE1">
        <w:rPr>
          <w:color w:val="000000"/>
        </w:rPr>
        <w:lastRenderedPageBreak/>
        <w:t>Une coopération renforcée dans les efforts de recherche par l’intermédiaire de l</w:t>
      </w:r>
      <w:r w:rsidR="00194C35" w:rsidRPr="00876FE1">
        <w:rPr>
          <w:color w:val="000000"/>
        </w:rPr>
        <w:t>a CMS</w:t>
      </w:r>
      <w:r w:rsidRPr="00876FE1">
        <w:rPr>
          <w:color w:val="000000"/>
        </w:rPr>
        <w:t xml:space="preserve"> et d’autres processus et instruments associés peut améliorer notre compréhension du lien écologique entre les écosystèmes des monts sous-marins et les espèces migratrices. Cette meilleure compréhension renforcera à son tour les bases scientifiques permettant de prendre des décisions éclairées.</w:t>
      </w:r>
    </w:p>
    <w:p w14:paraId="781E2776" w14:textId="77777777" w:rsidR="00383DB7" w:rsidRPr="00876FE1" w:rsidRDefault="00383DB7">
      <w:pPr>
        <w:widowControl w:val="0"/>
        <w:pBdr>
          <w:top w:val="nil"/>
          <w:left w:val="nil"/>
          <w:bottom w:val="nil"/>
          <w:right w:val="nil"/>
          <w:between w:val="nil"/>
        </w:pBdr>
        <w:spacing w:after="0" w:line="240" w:lineRule="auto"/>
        <w:ind w:left="567" w:hanging="567"/>
        <w:jc w:val="both"/>
      </w:pPr>
    </w:p>
    <w:p w14:paraId="37DCC89D" w14:textId="77777777" w:rsidR="00383DB7" w:rsidRPr="00876FE1" w:rsidRDefault="00000000">
      <w:pPr>
        <w:numPr>
          <w:ilvl w:val="0"/>
          <w:numId w:val="8"/>
        </w:numPr>
        <w:pBdr>
          <w:top w:val="nil"/>
          <w:left w:val="nil"/>
          <w:bottom w:val="nil"/>
          <w:right w:val="nil"/>
          <w:between w:val="nil"/>
        </w:pBdr>
        <w:spacing w:after="0" w:line="240" w:lineRule="auto"/>
        <w:ind w:left="567" w:hanging="567"/>
        <w:jc w:val="both"/>
      </w:pPr>
      <w:r w:rsidRPr="00876FE1">
        <w:rPr>
          <w:color w:val="000000"/>
        </w:rPr>
        <w:t>Renforcer la protection des monts sous-marins revient également à reconnaître les liens coutumiers et ancestraux que les détenteurs de savoirs autochtones et les communautés entretiennent avec ces monts sous-marins, ainsi qu’avec les espèces migratrices qui dépendent de ces formations.</w:t>
      </w:r>
    </w:p>
    <w:p w14:paraId="2C08F47F" w14:textId="77777777" w:rsidR="00383DB7" w:rsidRPr="00876FE1" w:rsidRDefault="00383DB7">
      <w:pPr>
        <w:spacing w:after="0" w:line="240" w:lineRule="auto"/>
        <w:jc w:val="both"/>
        <w:rPr>
          <w:u w:val="single"/>
        </w:rPr>
      </w:pPr>
    </w:p>
    <w:p w14:paraId="6E986E39" w14:textId="77777777" w:rsidR="00383DB7" w:rsidRPr="00876FE1" w:rsidRDefault="00000000">
      <w:pPr>
        <w:widowControl w:val="0"/>
        <w:pBdr>
          <w:top w:val="single" w:sz="6" w:space="0" w:color="FFFFFF"/>
          <w:left w:val="single" w:sz="6" w:space="0" w:color="FFFFFF"/>
          <w:bottom w:val="single" w:sz="6" w:space="0" w:color="FFFFFF"/>
          <w:right w:val="single" w:sz="6" w:space="0" w:color="FFFFFF"/>
        </w:pBdr>
        <w:spacing w:after="0" w:line="240" w:lineRule="auto"/>
        <w:jc w:val="both"/>
        <w:rPr>
          <w:u w:val="single"/>
        </w:rPr>
      </w:pPr>
      <w:r w:rsidRPr="00876FE1">
        <w:rPr>
          <w:u w:val="single"/>
        </w:rPr>
        <w:t>Actions recommandées</w:t>
      </w:r>
    </w:p>
    <w:p w14:paraId="68C9627C" w14:textId="77777777" w:rsidR="00383DB7" w:rsidRPr="00876FE1" w:rsidRDefault="00383DB7">
      <w:pPr>
        <w:widowControl w:val="0"/>
        <w:pBdr>
          <w:top w:val="single" w:sz="6" w:space="0" w:color="FFFFFF"/>
          <w:left w:val="single" w:sz="6" w:space="0" w:color="FFFFFF"/>
          <w:bottom w:val="single" w:sz="6" w:space="0" w:color="FFFFFF"/>
          <w:right w:val="single" w:sz="6" w:space="0" w:color="FFFFFF"/>
        </w:pBdr>
        <w:spacing w:after="0" w:line="240" w:lineRule="auto"/>
        <w:jc w:val="both"/>
      </w:pPr>
    </w:p>
    <w:p w14:paraId="10D430E7" w14:textId="43388C04" w:rsidR="00383DB7" w:rsidRPr="00876FE1" w:rsidRDefault="00000000">
      <w:pPr>
        <w:numPr>
          <w:ilvl w:val="0"/>
          <w:numId w:val="8"/>
        </w:numPr>
        <w:pBdr>
          <w:top w:val="nil"/>
          <w:left w:val="nil"/>
          <w:bottom w:val="nil"/>
          <w:right w:val="nil"/>
          <w:between w:val="nil"/>
        </w:pBdr>
        <w:spacing w:after="0" w:line="240" w:lineRule="auto"/>
        <w:ind w:left="567" w:hanging="567"/>
        <w:jc w:val="both"/>
      </w:pPr>
      <w:r w:rsidRPr="00876FE1">
        <w:rPr>
          <w:color w:val="000000"/>
        </w:rPr>
        <w:t>Il est recommandé à la Conférence des Parties</w:t>
      </w:r>
      <w:r w:rsidR="00194C35" w:rsidRPr="00876FE1">
        <w:rPr>
          <w:color w:val="000000"/>
        </w:rPr>
        <w:t> :</w:t>
      </w:r>
    </w:p>
    <w:p w14:paraId="3764B914" w14:textId="77777777" w:rsidR="00383DB7" w:rsidRPr="00876FE1" w:rsidRDefault="00383DB7">
      <w:pPr>
        <w:widowControl w:val="0"/>
        <w:pBdr>
          <w:top w:val="single" w:sz="6" w:space="0" w:color="FFFFFF"/>
          <w:left w:val="single" w:sz="6" w:space="0" w:color="FFFFFF"/>
          <w:bottom w:val="single" w:sz="6" w:space="0" w:color="FFFFFF"/>
          <w:right w:val="single" w:sz="6" w:space="0" w:color="FFFFFF"/>
          <w:between w:val="nil"/>
        </w:pBdr>
        <w:spacing w:after="0" w:line="240" w:lineRule="auto"/>
        <w:jc w:val="both"/>
      </w:pPr>
    </w:p>
    <w:p w14:paraId="2E1CFFB8" w14:textId="6A129952" w:rsidR="00383DB7" w:rsidRPr="00876FE1" w:rsidRDefault="00000000">
      <w:pPr>
        <w:widowControl w:val="0"/>
        <w:numPr>
          <w:ilvl w:val="0"/>
          <w:numId w:val="5"/>
        </w:numPr>
        <w:pBdr>
          <w:top w:val="single" w:sz="6" w:space="0" w:color="FFFFFF"/>
          <w:left w:val="single" w:sz="6" w:space="0" w:color="FFFFFF"/>
          <w:bottom w:val="single" w:sz="6" w:space="0" w:color="FFFFFF"/>
          <w:right w:val="single" w:sz="6" w:space="0" w:color="FFFFFF"/>
          <w:between w:val="nil"/>
        </w:pBdr>
        <w:spacing w:after="0" w:line="240" w:lineRule="auto"/>
        <w:ind w:left="900"/>
        <w:jc w:val="both"/>
        <w:rPr>
          <w:color w:val="000000"/>
        </w:rPr>
      </w:pPr>
      <w:r w:rsidRPr="00876FE1">
        <w:t>d’adopter</w:t>
      </w:r>
      <w:r w:rsidRPr="00876FE1">
        <w:rPr>
          <w:color w:val="000000"/>
        </w:rPr>
        <w:t xml:space="preserve"> le projet de résolution figurant à l’annexe</w:t>
      </w:r>
      <w:r w:rsidR="001C42AE" w:rsidRPr="00876FE1">
        <w:rPr>
          <w:color w:val="000000"/>
        </w:rPr>
        <w:t> </w:t>
      </w:r>
      <w:r w:rsidRPr="00876FE1">
        <w:rPr>
          <w:color w:val="000000"/>
        </w:rPr>
        <w:t>1 du présent document</w:t>
      </w:r>
      <w:r w:rsidR="00194C35" w:rsidRPr="00876FE1">
        <w:rPr>
          <w:color w:val="000000"/>
        </w:rPr>
        <w:t> ;</w:t>
      </w:r>
    </w:p>
    <w:p w14:paraId="298B0C50" w14:textId="77777777" w:rsidR="00383DB7" w:rsidRPr="00876FE1" w:rsidRDefault="00383DB7">
      <w:pPr>
        <w:widowControl w:val="0"/>
        <w:pBdr>
          <w:top w:val="single" w:sz="6" w:space="0" w:color="FFFFFF"/>
          <w:left w:val="single" w:sz="6" w:space="0" w:color="FFFFFF"/>
          <w:bottom w:val="single" w:sz="6" w:space="0" w:color="FFFFFF"/>
          <w:right w:val="single" w:sz="6" w:space="0" w:color="FFFFFF"/>
          <w:between w:val="nil"/>
        </w:pBdr>
        <w:spacing w:after="0" w:line="240" w:lineRule="auto"/>
        <w:ind w:left="900"/>
        <w:jc w:val="both"/>
        <w:rPr>
          <w:color w:val="000000"/>
        </w:rPr>
      </w:pPr>
    </w:p>
    <w:p w14:paraId="56642411" w14:textId="5E2F2ECC" w:rsidR="00383DB7" w:rsidRPr="00876FE1" w:rsidRDefault="00000000">
      <w:pPr>
        <w:widowControl w:val="0"/>
        <w:numPr>
          <w:ilvl w:val="0"/>
          <w:numId w:val="5"/>
        </w:numPr>
        <w:pBdr>
          <w:top w:val="single" w:sz="6" w:space="0" w:color="FFFFFF"/>
          <w:left w:val="single" w:sz="6" w:space="0" w:color="FFFFFF"/>
          <w:bottom w:val="single" w:sz="6" w:space="0" w:color="FFFFFF"/>
          <w:right w:val="single" w:sz="6" w:space="0" w:color="FFFFFF"/>
          <w:between w:val="nil"/>
        </w:pBdr>
        <w:spacing w:after="0" w:line="240" w:lineRule="auto"/>
        <w:ind w:left="900"/>
        <w:jc w:val="both"/>
        <w:rPr>
          <w:color w:val="000000"/>
        </w:rPr>
      </w:pPr>
      <w:r w:rsidRPr="00876FE1">
        <w:t>d’adopter</w:t>
      </w:r>
      <w:r w:rsidRPr="00876FE1">
        <w:rPr>
          <w:color w:val="000000"/>
        </w:rPr>
        <w:t xml:space="preserve"> le projet de décision figurant à l’annexe</w:t>
      </w:r>
      <w:r w:rsidR="001C42AE" w:rsidRPr="00876FE1">
        <w:rPr>
          <w:color w:val="000000"/>
        </w:rPr>
        <w:t> </w:t>
      </w:r>
      <w:r w:rsidRPr="00876FE1">
        <w:rPr>
          <w:color w:val="000000"/>
        </w:rPr>
        <w:t>2 du présent document.</w:t>
      </w:r>
    </w:p>
    <w:p w14:paraId="5AC87332" w14:textId="77777777" w:rsidR="00383DB7" w:rsidRPr="00876FE1" w:rsidRDefault="00383DB7">
      <w:pPr>
        <w:widowControl w:val="0"/>
        <w:pBdr>
          <w:top w:val="single" w:sz="6" w:space="0" w:color="FFFFFF"/>
          <w:left w:val="single" w:sz="6" w:space="0" w:color="FFFFFF"/>
          <w:bottom w:val="single" w:sz="6" w:space="0" w:color="FFFFFF"/>
          <w:right w:val="single" w:sz="6" w:space="0" w:color="FFFFFF"/>
          <w:between w:val="nil"/>
        </w:pBdr>
        <w:spacing w:after="0" w:line="240" w:lineRule="auto"/>
        <w:jc w:val="both"/>
        <w:rPr>
          <w:color w:val="000000"/>
        </w:rPr>
      </w:pPr>
    </w:p>
    <w:p w14:paraId="56F828E4" w14:textId="77777777" w:rsidR="00383DB7" w:rsidRPr="00876FE1" w:rsidRDefault="00383DB7">
      <w:pPr>
        <w:widowControl w:val="0"/>
        <w:pBdr>
          <w:top w:val="single" w:sz="6" w:space="0" w:color="FFFFFF"/>
          <w:left w:val="single" w:sz="6" w:space="0" w:color="FFFFFF"/>
          <w:bottom w:val="single" w:sz="6" w:space="0" w:color="FFFFFF"/>
          <w:right w:val="single" w:sz="6" w:space="0" w:color="FFFFFF"/>
          <w:between w:val="nil"/>
        </w:pBdr>
        <w:spacing w:after="0" w:line="240" w:lineRule="auto"/>
        <w:jc w:val="both"/>
        <w:rPr>
          <w:color w:val="000000"/>
        </w:rPr>
        <w:sectPr w:rsidR="00383DB7" w:rsidRPr="00876FE1">
          <w:headerReference w:type="even" r:id="rId17"/>
          <w:headerReference w:type="default" r:id="rId18"/>
          <w:footerReference w:type="default" r:id="rId19"/>
          <w:headerReference w:type="first" r:id="rId20"/>
          <w:footerReference w:type="first" r:id="rId21"/>
          <w:pgSz w:w="11906" w:h="16838"/>
          <w:pgMar w:top="1440" w:right="1440" w:bottom="1440" w:left="1440" w:header="720" w:footer="720" w:gutter="0"/>
          <w:cols w:space="720"/>
          <w:titlePg/>
          <w:docGrid w:linePitch="299"/>
        </w:sectPr>
      </w:pPr>
    </w:p>
    <w:p w14:paraId="0945A9F8" w14:textId="09C56BD1" w:rsidR="00383DB7" w:rsidRPr="00876FE1" w:rsidRDefault="00000000">
      <w:pPr>
        <w:pBdr>
          <w:top w:val="nil"/>
          <w:left w:val="nil"/>
          <w:bottom w:val="nil"/>
          <w:right w:val="nil"/>
          <w:between w:val="nil"/>
        </w:pBdr>
        <w:spacing w:after="0" w:line="240" w:lineRule="auto"/>
        <w:ind w:left="360" w:hanging="360"/>
        <w:jc w:val="right"/>
        <w:rPr>
          <w:b/>
          <w:color w:val="000000"/>
        </w:rPr>
      </w:pPr>
      <w:r w:rsidRPr="00876FE1">
        <w:rPr>
          <w:b/>
          <w:smallCaps/>
          <w:color w:val="000000"/>
        </w:rPr>
        <w:lastRenderedPageBreak/>
        <w:t>ANNEXE</w:t>
      </w:r>
      <w:r w:rsidR="001C42AE" w:rsidRPr="00876FE1">
        <w:rPr>
          <w:b/>
          <w:smallCaps/>
          <w:color w:val="000000"/>
        </w:rPr>
        <w:t> </w:t>
      </w:r>
      <w:r w:rsidRPr="00876FE1">
        <w:rPr>
          <w:b/>
          <w:smallCaps/>
          <w:color w:val="000000"/>
        </w:rPr>
        <w:t>1</w:t>
      </w:r>
    </w:p>
    <w:p w14:paraId="50963B3A" w14:textId="77777777" w:rsidR="00383DB7" w:rsidRPr="00876FE1" w:rsidRDefault="00383DB7">
      <w:pPr>
        <w:pBdr>
          <w:top w:val="nil"/>
          <w:left w:val="nil"/>
          <w:bottom w:val="nil"/>
          <w:right w:val="nil"/>
          <w:between w:val="nil"/>
        </w:pBdr>
        <w:spacing w:after="0" w:line="240" w:lineRule="auto"/>
        <w:ind w:left="360" w:hanging="360"/>
        <w:jc w:val="center"/>
      </w:pPr>
    </w:p>
    <w:p w14:paraId="2E6AF963" w14:textId="77777777" w:rsidR="00383DB7" w:rsidRPr="00876FE1" w:rsidRDefault="00383DB7">
      <w:pPr>
        <w:pBdr>
          <w:top w:val="nil"/>
          <w:left w:val="nil"/>
          <w:bottom w:val="nil"/>
          <w:right w:val="nil"/>
          <w:between w:val="nil"/>
        </w:pBdr>
        <w:spacing w:after="0" w:line="240" w:lineRule="auto"/>
        <w:ind w:left="360" w:hanging="360"/>
        <w:jc w:val="center"/>
      </w:pPr>
    </w:p>
    <w:p w14:paraId="58EE1238" w14:textId="77777777" w:rsidR="00383DB7" w:rsidRPr="00876FE1" w:rsidRDefault="00000000">
      <w:pPr>
        <w:pBdr>
          <w:top w:val="nil"/>
          <w:left w:val="nil"/>
          <w:bottom w:val="nil"/>
          <w:right w:val="nil"/>
          <w:between w:val="nil"/>
        </w:pBdr>
        <w:spacing w:after="0" w:line="240" w:lineRule="auto"/>
        <w:ind w:left="360" w:hanging="360"/>
        <w:jc w:val="center"/>
        <w:rPr>
          <w:color w:val="000000"/>
        </w:rPr>
      </w:pPr>
      <w:r w:rsidRPr="00876FE1">
        <w:rPr>
          <w:color w:val="000000"/>
        </w:rPr>
        <w:t>PROJET DE RÉSOLUTION</w:t>
      </w:r>
    </w:p>
    <w:p w14:paraId="403DE495" w14:textId="77777777" w:rsidR="00383DB7" w:rsidRPr="00876FE1" w:rsidRDefault="00383DB7">
      <w:pPr>
        <w:pBdr>
          <w:top w:val="nil"/>
          <w:left w:val="nil"/>
          <w:bottom w:val="nil"/>
          <w:right w:val="nil"/>
          <w:between w:val="nil"/>
        </w:pBdr>
        <w:spacing w:after="0" w:line="240" w:lineRule="auto"/>
        <w:ind w:left="360" w:hanging="360"/>
        <w:jc w:val="center"/>
        <w:rPr>
          <w:b/>
          <w:color w:val="000000"/>
        </w:rPr>
      </w:pPr>
    </w:p>
    <w:p w14:paraId="2176F3BC" w14:textId="77777777" w:rsidR="00383DB7" w:rsidRPr="00876FE1" w:rsidRDefault="00000000">
      <w:pPr>
        <w:pBdr>
          <w:top w:val="nil"/>
          <w:left w:val="nil"/>
          <w:bottom w:val="nil"/>
          <w:right w:val="nil"/>
          <w:between w:val="nil"/>
        </w:pBdr>
        <w:spacing w:after="0" w:line="240" w:lineRule="auto"/>
        <w:ind w:left="360" w:hanging="360"/>
        <w:jc w:val="center"/>
        <w:rPr>
          <w:b/>
          <w:color w:val="000000"/>
        </w:rPr>
      </w:pPr>
      <w:r w:rsidRPr="00876FE1">
        <w:rPr>
          <w:b/>
          <w:color w:val="000000"/>
        </w:rPr>
        <w:t>CONSERVER LES ÉCOSYSTÈMES DES MONTS SOUS-MARINS</w:t>
      </w:r>
    </w:p>
    <w:p w14:paraId="6B713156" w14:textId="77777777" w:rsidR="00383DB7" w:rsidRPr="00876FE1" w:rsidRDefault="00383DB7">
      <w:pPr>
        <w:pBdr>
          <w:top w:val="nil"/>
          <w:left w:val="nil"/>
          <w:bottom w:val="nil"/>
          <w:right w:val="nil"/>
          <w:between w:val="nil"/>
        </w:pBdr>
        <w:spacing w:after="0" w:line="240" w:lineRule="auto"/>
        <w:ind w:left="360" w:hanging="360"/>
        <w:jc w:val="both"/>
        <w:rPr>
          <w:color w:val="000000"/>
        </w:rPr>
      </w:pPr>
    </w:p>
    <w:p w14:paraId="707E995D" w14:textId="77777777" w:rsidR="00383DB7" w:rsidRPr="00876FE1" w:rsidRDefault="00383DB7">
      <w:pPr>
        <w:pBdr>
          <w:top w:val="nil"/>
          <w:left w:val="nil"/>
          <w:bottom w:val="nil"/>
          <w:right w:val="nil"/>
          <w:between w:val="nil"/>
        </w:pBdr>
        <w:spacing w:after="0" w:line="240" w:lineRule="auto"/>
        <w:ind w:left="360" w:hanging="360"/>
        <w:jc w:val="both"/>
        <w:rPr>
          <w:color w:val="000000"/>
        </w:rPr>
      </w:pPr>
    </w:p>
    <w:p w14:paraId="43CE7EFE" w14:textId="186EF2D3" w:rsidR="00383DB7" w:rsidRPr="00876FE1" w:rsidRDefault="00000000">
      <w:pPr>
        <w:pBdr>
          <w:top w:val="nil"/>
          <w:left w:val="nil"/>
          <w:bottom w:val="nil"/>
          <w:right w:val="nil"/>
          <w:between w:val="nil"/>
        </w:pBdr>
        <w:spacing w:after="0" w:line="240" w:lineRule="auto"/>
        <w:jc w:val="both"/>
        <w:rPr>
          <w:color w:val="000000"/>
        </w:rPr>
      </w:pPr>
      <w:r w:rsidRPr="00876FE1">
        <w:rPr>
          <w:i/>
          <w:color w:val="000000"/>
        </w:rPr>
        <w:t xml:space="preserve">Reconnaissant </w:t>
      </w:r>
      <w:r w:rsidRPr="00876FE1">
        <w:rPr>
          <w:color w:val="000000"/>
        </w:rPr>
        <w:t>l’importance des monts sous-marins en tant qu’habitats essentiels et repères de navigation pour diverses espèces marines migratrices, notamment celles inscrites à l’Annexe</w:t>
      </w:r>
      <w:r w:rsidR="006F13D1" w:rsidRPr="00876FE1">
        <w:rPr>
          <w:color w:val="000000"/>
        </w:rPr>
        <w:t> </w:t>
      </w:r>
      <w:r w:rsidRPr="00876FE1">
        <w:rPr>
          <w:color w:val="000000"/>
        </w:rPr>
        <w:t>I et à l’Annexe</w:t>
      </w:r>
      <w:r w:rsidR="001C42AE" w:rsidRPr="00876FE1">
        <w:rPr>
          <w:color w:val="000000"/>
        </w:rPr>
        <w:t> </w:t>
      </w:r>
      <w:r w:rsidRPr="00876FE1">
        <w:rPr>
          <w:color w:val="000000"/>
        </w:rPr>
        <w:t>II de la Convention, telles que les baleines, les dauphins, les requins et les tortues,</w:t>
      </w:r>
    </w:p>
    <w:p w14:paraId="63EABA00" w14:textId="77777777" w:rsidR="00383DB7" w:rsidRPr="00876FE1" w:rsidRDefault="00383DB7">
      <w:pPr>
        <w:pBdr>
          <w:top w:val="nil"/>
          <w:left w:val="nil"/>
          <w:bottom w:val="nil"/>
          <w:right w:val="nil"/>
          <w:between w:val="nil"/>
        </w:pBdr>
        <w:spacing w:after="0" w:line="240" w:lineRule="auto"/>
        <w:jc w:val="both"/>
        <w:rPr>
          <w:color w:val="000000"/>
        </w:rPr>
      </w:pPr>
    </w:p>
    <w:p w14:paraId="3EEE8923" w14:textId="38703DDF" w:rsidR="00383DB7" w:rsidRPr="00876FE1" w:rsidRDefault="00000000">
      <w:pPr>
        <w:pBdr>
          <w:top w:val="nil"/>
          <w:left w:val="nil"/>
          <w:bottom w:val="nil"/>
          <w:right w:val="nil"/>
          <w:between w:val="nil"/>
        </w:pBdr>
        <w:spacing w:after="0" w:line="240" w:lineRule="auto"/>
        <w:jc w:val="both"/>
        <w:rPr>
          <w:color w:val="000000"/>
        </w:rPr>
      </w:pPr>
      <w:r w:rsidRPr="00876FE1">
        <w:rPr>
          <w:i/>
          <w:color w:val="0E101A"/>
        </w:rPr>
        <w:t xml:space="preserve">Rappelant </w:t>
      </w:r>
      <w:r w:rsidRPr="00876FE1">
        <w:t>les principes fondamentaux de la Convention tels qu’exprimés à l’Article</w:t>
      </w:r>
      <w:r w:rsidR="001C42AE" w:rsidRPr="00876FE1">
        <w:t> </w:t>
      </w:r>
      <w:r w:rsidRPr="00876FE1">
        <w:t>II, qui encourage des actions individuelles ou coopératives visant à conserver les espèces migratrices et leurs habitats, ainsi que le premier paragraphe de l’Article</w:t>
      </w:r>
      <w:r w:rsidR="006F13D1" w:rsidRPr="00876FE1">
        <w:t> </w:t>
      </w:r>
      <w:r w:rsidRPr="00876FE1">
        <w:t>I, qui définit l’«</w:t>
      </w:r>
      <w:r w:rsidR="001C42AE" w:rsidRPr="00876FE1">
        <w:t> </w:t>
      </w:r>
      <w:r w:rsidRPr="00876FE1">
        <w:t>aire de répartition</w:t>
      </w:r>
      <w:r w:rsidR="001C42AE" w:rsidRPr="00876FE1">
        <w:t> </w:t>
      </w:r>
      <w:r w:rsidRPr="00876FE1">
        <w:t>» dans le cadre de la Convention comme englobant l’ensemble des surfaces terrestres ou aquatiques qu’une espèce migratrice habite, fréquente temporairement, traverse ou survole à un moment quelconque le long de son itinéraire habitue</w:t>
      </w:r>
      <w:r w:rsidRPr="00876FE1">
        <w:t>l de migration,</w:t>
      </w:r>
    </w:p>
    <w:p w14:paraId="600FD636" w14:textId="77777777" w:rsidR="00383DB7" w:rsidRPr="00876FE1" w:rsidRDefault="00383DB7">
      <w:pPr>
        <w:pBdr>
          <w:top w:val="nil"/>
          <w:left w:val="nil"/>
          <w:bottom w:val="nil"/>
          <w:right w:val="nil"/>
          <w:between w:val="nil"/>
        </w:pBdr>
        <w:spacing w:after="0" w:line="240" w:lineRule="auto"/>
        <w:jc w:val="both"/>
        <w:rPr>
          <w:color w:val="000000"/>
        </w:rPr>
      </w:pPr>
    </w:p>
    <w:p w14:paraId="5A99AEEE" w14:textId="3F7701B5" w:rsidR="00383DB7" w:rsidRPr="00876FE1" w:rsidRDefault="00000000">
      <w:pPr>
        <w:pBdr>
          <w:top w:val="nil"/>
          <w:left w:val="nil"/>
          <w:bottom w:val="nil"/>
          <w:right w:val="nil"/>
          <w:between w:val="nil"/>
        </w:pBdr>
        <w:spacing w:after="0" w:line="240" w:lineRule="auto"/>
        <w:jc w:val="both"/>
        <w:rPr>
          <w:color w:val="000000"/>
        </w:rPr>
      </w:pPr>
      <w:r w:rsidRPr="00876FE1">
        <w:rPr>
          <w:i/>
          <w:color w:val="000000"/>
        </w:rPr>
        <w:t>Soulignant</w:t>
      </w:r>
      <w:r w:rsidRPr="00876FE1">
        <w:rPr>
          <w:color w:val="000000"/>
        </w:rPr>
        <w:t xml:space="preserve"> la Résolution</w:t>
      </w:r>
      <w:r w:rsidR="001C42AE" w:rsidRPr="00876FE1">
        <w:rPr>
          <w:color w:val="000000"/>
        </w:rPr>
        <w:t> </w:t>
      </w:r>
      <w:r w:rsidRPr="00876FE1">
        <w:rPr>
          <w:color w:val="000000"/>
        </w:rPr>
        <w:t>14.16 sur la connectivité écologique, dans laquelle les Parties à l</w:t>
      </w:r>
      <w:r w:rsidR="00194C35" w:rsidRPr="00876FE1">
        <w:rPr>
          <w:color w:val="000000"/>
        </w:rPr>
        <w:t>a CMS</w:t>
      </w:r>
      <w:r w:rsidRPr="00876FE1">
        <w:rPr>
          <w:color w:val="000000"/>
        </w:rPr>
        <w:t xml:space="preserve"> sont instamment priées de repérer les zones critiques telles que les Aires marines d’importance écologique ou biologique (AIEB) et de prendre en considération les liens écologiques lors de la conception et de la mise en œuvre des mesures de conservation, notamment dans les zones ne relevant pas de la juridiction nationale, par la collaboration,</w:t>
      </w:r>
    </w:p>
    <w:p w14:paraId="54D8CE15" w14:textId="77777777" w:rsidR="00383DB7" w:rsidRPr="00876FE1" w:rsidRDefault="00383DB7">
      <w:pPr>
        <w:pBdr>
          <w:top w:val="nil"/>
          <w:left w:val="nil"/>
          <w:bottom w:val="nil"/>
          <w:right w:val="nil"/>
          <w:between w:val="nil"/>
        </w:pBdr>
        <w:spacing w:after="0" w:line="240" w:lineRule="auto"/>
        <w:jc w:val="both"/>
        <w:rPr>
          <w:color w:val="000000"/>
        </w:rPr>
      </w:pPr>
    </w:p>
    <w:p w14:paraId="1C66CB81" w14:textId="06104A5F" w:rsidR="00383DB7" w:rsidRPr="00876FE1" w:rsidRDefault="00000000">
      <w:pPr>
        <w:pBdr>
          <w:top w:val="nil"/>
          <w:left w:val="nil"/>
          <w:bottom w:val="nil"/>
          <w:right w:val="nil"/>
          <w:between w:val="nil"/>
        </w:pBdr>
        <w:spacing w:after="0" w:line="240" w:lineRule="auto"/>
        <w:jc w:val="both"/>
        <w:rPr>
          <w:color w:val="000000"/>
        </w:rPr>
      </w:pPr>
      <w:r w:rsidRPr="00876FE1">
        <w:rPr>
          <w:i/>
          <w:color w:val="000000"/>
        </w:rPr>
        <w:t>Rappelant</w:t>
      </w:r>
      <w:r w:rsidRPr="00876FE1">
        <w:rPr>
          <w:color w:val="000000"/>
        </w:rPr>
        <w:t xml:space="preserve"> les </w:t>
      </w:r>
      <w:r w:rsidRPr="00876FE1">
        <w:t>Résolutions</w:t>
      </w:r>
      <w:r w:rsidR="006F13D1" w:rsidRPr="00876FE1">
        <w:t> </w:t>
      </w:r>
      <w:r w:rsidRPr="00876FE1">
        <w:t>61/105</w:t>
      </w:r>
      <w:r w:rsidR="006F13D1" w:rsidRPr="00876FE1">
        <w:t> </w:t>
      </w:r>
      <w:r w:rsidRPr="00876FE1">
        <w:t>(2006), 64/72</w:t>
      </w:r>
      <w:r w:rsidR="006F13D1" w:rsidRPr="00876FE1">
        <w:t> </w:t>
      </w:r>
      <w:r w:rsidRPr="00876FE1">
        <w:t>(2009), 66/68</w:t>
      </w:r>
      <w:r w:rsidR="006F13D1" w:rsidRPr="00876FE1">
        <w:t> </w:t>
      </w:r>
      <w:r w:rsidRPr="00876FE1">
        <w:t>(2011), 71/123</w:t>
      </w:r>
      <w:r w:rsidR="006F13D1" w:rsidRPr="00876FE1">
        <w:t> </w:t>
      </w:r>
      <w:r w:rsidRPr="00876FE1">
        <w:t>(2016) et 77/118</w:t>
      </w:r>
      <w:r w:rsidR="006F13D1" w:rsidRPr="00876FE1">
        <w:t> </w:t>
      </w:r>
      <w:r w:rsidRPr="00876FE1">
        <w:t xml:space="preserve">(2022) de l’Assemblée générale des Nations Unies, qui exigent des États qu’ils protègent les écosystèmes </w:t>
      </w:r>
      <w:r w:rsidRPr="00876FE1">
        <w:rPr>
          <w:color w:val="000000"/>
        </w:rPr>
        <w:t>marins vulnérables, notamment les monts sous-marins, contre le chalutage de fond dans les zones ne relevant pas de la juridiction nationale,</w:t>
      </w:r>
    </w:p>
    <w:p w14:paraId="2E99DF78" w14:textId="77777777" w:rsidR="00383DB7" w:rsidRPr="00876FE1" w:rsidRDefault="00383DB7">
      <w:pPr>
        <w:pBdr>
          <w:top w:val="nil"/>
          <w:left w:val="nil"/>
          <w:bottom w:val="nil"/>
          <w:right w:val="nil"/>
          <w:between w:val="nil"/>
        </w:pBdr>
        <w:spacing w:after="0" w:line="240" w:lineRule="auto"/>
        <w:jc w:val="both"/>
        <w:rPr>
          <w:color w:val="000000"/>
        </w:rPr>
      </w:pPr>
    </w:p>
    <w:p w14:paraId="601EBCA2" w14:textId="71DC1459" w:rsidR="00383DB7" w:rsidRPr="00876FE1" w:rsidRDefault="00000000">
      <w:pPr>
        <w:pBdr>
          <w:top w:val="nil"/>
          <w:left w:val="nil"/>
          <w:bottom w:val="nil"/>
          <w:right w:val="nil"/>
          <w:between w:val="nil"/>
        </w:pBdr>
        <w:spacing w:after="0" w:line="240" w:lineRule="auto"/>
        <w:jc w:val="both"/>
        <w:rPr>
          <w:color w:val="000000"/>
        </w:rPr>
      </w:pPr>
      <w:r w:rsidRPr="00876FE1">
        <w:rPr>
          <w:i/>
          <w:color w:val="000000"/>
        </w:rPr>
        <w:t>Rappelant également</w:t>
      </w:r>
      <w:r w:rsidRPr="00876FE1">
        <w:rPr>
          <w:color w:val="000000"/>
        </w:rPr>
        <w:t xml:space="preserve"> la décision</w:t>
      </w:r>
      <w:r w:rsidR="001C42AE" w:rsidRPr="00876FE1">
        <w:rPr>
          <w:color w:val="000000"/>
        </w:rPr>
        <w:t> </w:t>
      </w:r>
      <w:r w:rsidRPr="00876FE1">
        <w:rPr>
          <w:color w:val="000000"/>
        </w:rPr>
        <w:t>VII/5</w:t>
      </w:r>
      <w:r w:rsidR="006F13D1" w:rsidRPr="00876FE1">
        <w:t> </w:t>
      </w:r>
      <w:r w:rsidRPr="00876FE1">
        <w:t>(2004) de l</w:t>
      </w:r>
      <w:r w:rsidR="00194C35" w:rsidRPr="00876FE1">
        <w:t>a COP</w:t>
      </w:r>
      <w:r w:rsidRPr="00876FE1">
        <w:t>7 de la Convention sur la diversité biologique (CDB)</w:t>
      </w:r>
      <w:r w:rsidRPr="00876FE1">
        <w:rPr>
          <w:color w:val="000000"/>
        </w:rPr>
        <w:t xml:space="preserve"> relative à la biodiversité marine et côtière, qui invite les Parties à coopérer afin de protéger les monts sous-marins, tant à l’intérieur qu’au-delà des juridictions nationales,</w:t>
      </w:r>
    </w:p>
    <w:p w14:paraId="16377BFB" w14:textId="77777777" w:rsidR="00383DB7" w:rsidRPr="00876FE1" w:rsidRDefault="00383DB7">
      <w:pPr>
        <w:pBdr>
          <w:top w:val="nil"/>
          <w:left w:val="nil"/>
          <w:bottom w:val="nil"/>
          <w:right w:val="nil"/>
          <w:between w:val="nil"/>
        </w:pBdr>
        <w:spacing w:after="0" w:line="240" w:lineRule="auto"/>
        <w:jc w:val="both"/>
        <w:rPr>
          <w:color w:val="000000"/>
        </w:rPr>
      </w:pPr>
    </w:p>
    <w:p w14:paraId="699BF997" w14:textId="27AA7B3E" w:rsidR="00383DB7" w:rsidRPr="00876FE1" w:rsidRDefault="00000000">
      <w:pPr>
        <w:pBdr>
          <w:top w:val="nil"/>
          <w:left w:val="nil"/>
          <w:bottom w:val="nil"/>
          <w:right w:val="nil"/>
          <w:between w:val="nil"/>
        </w:pBdr>
        <w:spacing w:after="0" w:line="240" w:lineRule="auto"/>
        <w:jc w:val="both"/>
        <w:rPr>
          <w:color w:val="000000"/>
        </w:rPr>
      </w:pPr>
      <w:r w:rsidRPr="00876FE1">
        <w:rPr>
          <w:i/>
          <w:iCs/>
          <w:color w:val="000000"/>
        </w:rPr>
        <w:t>Reconnaissant</w:t>
      </w:r>
      <w:r w:rsidRPr="00876FE1">
        <w:rPr>
          <w:color w:val="000000"/>
        </w:rPr>
        <w:t xml:space="preserve"> la Recommandation</w:t>
      </w:r>
      <w:r w:rsidR="001C42AE" w:rsidRPr="00876FE1">
        <w:rPr>
          <w:color w:val="000000"/>
        </w:rPr>
        <w:t> </w:t>
      </w:r>
      <w:r w:rsidRPr="00876FE1">
        <w:rPr>
          <w:color w:val="000000"/>
        </w:rPr>
        <w:t>3.099 de l’Union internationale pour la conservation de la nature (UICN) relative à la protection des monts sous-marins contre le chalutage de fond, et notant la motion</w:t>
      </w:r>
      <w:r w:rsidR="001C42AE" w:rsidRPr="00876FE1">
        <w:rPr>
          <w:color w:val="000000"/>
        </w:rPr>
        <w:t> </w:t>
      </w:r>
      <w:r w:rsidRPr="00876FE1">
        <w:rPr>
          <w:color w:val="000000"/>
        </w:rPr>
        <w:t>032 récemment adoptée e</w:t>
      </w:r>
      <w:r w:rsidR="003E60AE" w:rsidRPr="00876FE1">
        <w:rPr>
          <w:color w:val="000000"/>
        </w:rPr>
        <w:t>n 20</w:t>
      </w:r>
      <w:r w:rsidRPr="00876FE1">
        <w:rPr>
          <w:color w:val="000000"/>
        </w:rPr>
        <w:t>25 par le Congrès mondial de la nature de l’UICN, qui appelle à la protection des monts sous-marins et d’autres écosystèmes marins vulnérables contre les pratiques de pêche destructrices, ainsi qu’à l’abandon du chalutage de fond sur les monts sous-marins d’ici la fin de</w:t>
      </w:r>
      <w:r w:rsidR="006F13D1" w:rsidRPr="00876FE1">
        <w:rPr>
          <w:color w:val="000000"/>
        </w:rPr>
        <w:t> </w:t>
      </w:r>
      <w:r w:rsidRPr="00876FE1">
        <w:rPr>
          <w:color w:val="000000"/>
        </w:rPr>
        <w:t>2026,</w:t>
      </w:r>
    </w:p>
    <w:p w14:paraId="1FC2F28B" w14:textId="77777777" w:rsidR="00383DB7" w:rsidRPr="00876FE1" w:rsidRDefault="00383DB7">
      <w:pPr>
        <w:pBdr>
          <w:top w:val="nil"/>
          <w:left w:val="nil"/>
          <w:bottom w:val="nil"/>
          <w:right w:val="nil"/>
          <w:between w:val="nil"/>
        </w:pBdr>
        <w:spacing w:after="0" w:line="240" w:lineRule="auto"/>
        <w:jc w:val="both"/>
        <w:rPr>
          <w:color w:val="000000"/>
        </w:rPr>
      </w:pPr>
    </w:p>
    <w:p w14:paraId="14DF8C6D" w14:textId="1517194D" w:rsidR="00383DB7" w:rsidRPr="00876FE1" w:rsidRDefault="00000000">
      <w:pPr>
        <w:spacing w:after="0" w:line="240" w:lineRule="auto"/>
        <w:jc w:val="both"/>
      </w:pPr>
      <w:r w:rsidRPr="00876FE1">
        <w:rPr>
          <w:i/>
        </w:rPr>
        <w:t>Reconnaissant en outre</w:t>
      </w:r>
      <w:r w:rsidRPr="00876FE1">
        <w:t xml:space="preserve"> les initiatives relatives aux Aires importantes pour les mammifères marins (AIMM) et aux Aires importantes pour les requins et les raies (AIRR), développées sous l’égide de l’UICN et reconnues par l</w:t>
      </w:r>
      <w:r w:rsidR="00194C35" w:rsidRPr="00876FE1">
        <w:t>a CMS</w:t>
      </w:r>
      <w:r w:rsidRPr="00876FE1">
        <w:t xml:space="preserve"> comme des outils permettant d’aider les Parties à recenser les habitats clés et les zones préoccupantes en matière de conservation, et notant que ces processus désignent de plus en plus les écosystèmes des monts sous-marins comme des habitats essentiels pour les espèces migratrices,</w:t>
      </w:r>
    </w:p>
    <w:p w14:paraId="5F1AE17A" w14:textId="77777777" w:rsidR="00383DB7" w:rsidRPr="00876FE1" w:rsidRDefault="00383DB7">
      <w:pPr>
        <w:spacing w:after="0" w:line="240" w:lineRule="auto"/>
        <w:jc w:val="both"/>
        <w:rPr>
          <w:rFonts w:ascii="Calibri" w:eastAsia="Calibri" w:hAnsi="Calibri" w:cs="Calibri"/>
          <w:color w:val="222222"/>
        </w:rPr>
      </w:pPr>
    </w:p>
    <w:p w14:paraId="2548E1C9" w14:textId="77777777" w:rsidR="00383DB7" w:rsidRPr="00876FE1" w:rsidRDefault="00000000">
      <w:pPr>
        <w:pBdr>
          <w:top w:val="nil"/>
          <w:left w:val="nil"/>
          <w:bottom w:val="nil"/>
          <w:right w:val="nil"/>
          <w:between w:val="nil"/>
        </w:pBdr>
        <w:spacing w:after="0" w:line="240" w:lineRule="auto"/>
        <w:jc w:val="both"/>
        <w:rPr>
          <w:color w:val="000000"/>
        </w:rPr>
      </w:pPr>
      <w:r w:rsidRPr="00876FE1">
        <w:rPr>
          <w:i/>
          <w:color w:val="000000"/>
        </w:rPr>
        <w:t>Préoccupée</w:t>
      </w:r>
      <w:r w:rsidRPr="00876FE1">
        <w:rPr>
          <w:color w:val="000000"/>
        </w:rPr>
        <w:t xml:space="preserve"> par les impacts négatifs des pratiques de pêche destructrices qui affectent les espèces migratrices sur les monts sous-marins, ainsi que les pressions croissantes exercées sur ces écosystèmes, mettant en péril leurs fonctions écologiques et leurs interactions avec les espèces migratrices,</w:t>
      </w:r>
    </w:p>
    <w:p w14:paraId="780A9509" w14:textId="77777777" w:rsidR="00383DB7" w:rsidRPr="00876FE1" w:rsidRDefault="00383DB7">
      <w:pPr>
        <w:pBdr>
          <w:top w:val="nil"/>
          <w:left w:val="nil"/>
          <w:bottom w:val="nil"/>
          <w:right w:val="nil"/>
          <w:between w:val="nil"/>
        </w:pBdr>
        <w:spacing w:after="0" w:line="240" w:lineRule="auto"/>
        <w:jc w:val="both"/>
        <w:rPr>
          <w:color w:val="000000"/>
        </w:rPr>
      </w:pPr>
    </w:p>
    <w:p w14:paraId="4904833D" w14:textId="77777777" w:rsidR="00383DB7" w:rsidRPr="00876FE1" w:rsidRDefault="00000000">
      <w:pPr>
        <w:pBdr>
          <w:top w:val="nil"/>
          <w:left w:val="nil"/>
          <w:bottom w:val="nil"/>
          <w:right w:val="nil"/>
          <w:between w:val="nil"/>
        </w:pBdr>
        <w:spacing w:after="0" w:line="240" w:lineRule="auto"/>
        <w:jc w:val="both"/>
        <w:rPr>
          <w:color w:val="000000"/>
        </w:rPr>
      </w:pPr>
      <w:r w:rsidRPr="00876FE1">
        <w:rPr>
          <w:i/>
          <w:color w:val="000000"/>
        </w:rPr>
        <w:lastRenderedPageBreak/>
        <w:t xml:space="preserve">Soulignant </w:t>
      </w:r>
      <w:r w:rsidRPr="00876FE1">
        <w:rPr>
          <w:color w:val="000000"/>
        </w:rPr>
        <w:t>le besoin urgent d’efforts collaboratifs et coordonnés de la part des nations, des groupes régionaux, des institutions mondiales et d’autres parties prenantes pour la conservation et la gestion durable des écosystèmes marins vulnérables, notamment les monts sous-marins,</w:t>
      </w:r>
    </w:p>
    <w:p w14:paraId="4D2B967F" w14:textId="77777777" w:rsidR="00383DB7" w:rsidRPr="00876FE1" w:rsidRDefault="00383DB7">
      <w:pPr>
        <w:pBdr>
          <w:top w:val="nil"/>
          <w:left w:val="nil"/>
          <w:bottom w:val="nil"/>
          <w:right w:val="nil"/>
          <w:between w:val="nil"/>
        </w:pBdr>
        <w:spacing w:after="0" w:line="240" w:lineRule="auto"/>
        <w:jc w:val="both"/>
        <w:rPr>
          <w:color w:val="000000"/>
        </w:rPr>
      </w:pPr>
    </w:p>
    <w:p w14:paraId="1C397016" w14:textId="0E12B0E6" w:rsidR="00383DB7" w:rsidRPr="00876FE1" w:rsidRDefault="00000000">
      <w:pPr>
        <w:pBdr>
          <w:top w:val="nil"/>
          <w:left w:val="nil"/>
          <w:bottom w:val="nil"/>
          <w:right w:val="nil"/>
          <w:between w:val="nil"/>
        </w:pBdr>
        <w:spacing w:after="0" w:line="240" w:lineRule="auto"/>
        <w:jc w:val="both"/>
        <w:rPr>
          <w:color w:val="000000"/>
        </w:rPr>
      </w:pPr>
      <w:r w:rsidRPr="00876FE1">
        <w:rPr>
          <w:i/>
          <w:color w:val="000000"/>
        </w:rPr>
        <w:t xml:space="preserve">Affirmant </w:t>
      </w:r>
      <w:r w:rsidRPr="00876FE1">
        <w:rPr>
          <w:color w:val="000000"/>
        </w:rPr>
        <w:t>l’engagement des Parties à mettre en œuvre le Cadre mondial pour la diversité biologique, adopté dans le cadre de la</w:t>
      </w:r>
      <w:r w:rsidR="006F13D1" w:rsidRPr="00876FE1">
        <w:rPr>
          <w:color w:val="000000"/>
        </w:rPr>
        <w:t> </w:t>
      </w:r>
      <w:r w:rsidRPr="00876FE1">
        <w:rPr>
          <w:color w:val="000000"/>
        </w:rPr>
        <w:t>CDB e</w:t>
      </w:r>
      <w:r w:rsidR="003E60AE" w:rsidRPr="00876FE1">
        <w:rPr>
          <w:color w:val="000000"/>
        </w:rPr>
        <w:t>n 20</w:t>
      </w:r>
      <w:r w:rsidRPr="00876FE1">
        <w:rPr>
          <w:color w:val="000000"/>
        </w:rPr>
        <w:t>22 (CBD/COP/DEC/15/4), en particulier ses Cibles</w:t>
      </w:r>
      <w:r w:rsidR="001C42AE" w:rsidRPr="00876FE1">
        <w:rPr>
          <w:color w:val="000000"/>
        </w:rPr>
        <w:t> </w:t>
      </w:r>
      <w:r w:rsidRPr="00876FE1">
        <w:rPr>
          <w:color w:val="000000"/>
        </w:rPr>
        <w:t>3 et</w:t>
      </w:r>
      <w:r w:rsidR="006F13D1" w:rsidRPr="00876FE1">
        <w:rPr>
          <w:color w:val="000000"/>
        </w:rPr>
        <w:t> </w:t>
      </w:r>
      <w:r w:rsidRPr="00876FE1">
        <w:rPr>
          <w:color w:val="000000"/>
        </w:rPr>
        <w:t>4,</w:t>
      </w:r>
    </w:p>
    <w:p w14:paraId="628DCFAF" w14:textId="77777777" w:rsidR="00383DB7" w:rsidRPr="00876FE1" w:rsidRDefault="00383DB7">
      <w:pPr>
        <w:pBdr>
          <w:top w:val="nil"/>
          <w:left w:val="nil"/>
          <w:bottom w:val="nil"/>
          <w:right w:val="nil"/>
          <w:between w:val="nil"/>
        </w:pBdr>
        <w:spacing w:after="0" w:line="240" w:lineRule="auto"/>
        <w:jc w:val="both"/>
        <w:rPr>
          <w:color w:val="000000"/>
        </w:rPr>
      </w:pPr>
    </w:p>
    <w:p w14:paraId="756568A7" w14:textId="4FBA15A3" w:rsidR="00383DB7" w:rsidRPr="00876FE1" w:rsidRDefault="00000000">
      <w:pPr>
        <w:pBdr>
          <w:top w:val="nil"/>
          <w:left w:val="nil"/>
          <w:bottom w:val="nil"/>
          <w:right w:val="nil"/>
          <w:between w:val="nil"/>
        </w:pBdr>
        <w:spacing w:after="0" w:line="240" w:lineRule="auto"/>
        <w:jc w:val="both"/>
        <w:rPr>
          <w:color w:val="000000"/>
        </w:rPr>
      </w:pPr>
      <w:r w:rsidRPr="00876FE1">
        <w:rPr>
          <w:i/>
          <w:color w:val="000000"/>
        </w:rPr>
        <w:t>Constatant</w:t>
      </w:r>
      <w:r w:rsidRPr="00876FE1">
        <w:rPr>
          <w:color w:val="000000"/>
        </w:rPr>
        <w:t xml:space="preserve"> les interactions et les mandats partagés entre l</w:t>
      </w:r>
      <w:r w:rsidR="00194C35" w:rsidRPr="00876FE1">
        <w:rPr>
          <w:color w:val="000000"/>
        </w:rPr>
        <w:t>a CMS</w:t>
      </w:r>
      <w:r w:rsidRPr="00876FE1">
        <w:rPr>
          <w:color w:val="000000"/>
        </w:rPr>
        <w:t xml:space="preserve"> et les organismes régionaux de gestion des pêches, ainsi que les responsabilités communes visant à protéger les espèces migratrices et leurs habitats,</w:t>
      </w:r>
    </w:p>
    <w:p w14:paraId="4E6CC714" w14:textId="77777777" w:rsidR="00383DB7" w:rsidRPr="00876FE1" w:rsidRDefault="00383DB7">
      <w:pPr>
        <w:pBdr>
          <w:top w:val="nil"/>
          <w:left w:val="nil"/>
          <w:bottom w:val="nil"/>
          <w:right w:val="nil"/>
          <w:between w:val="nil"/>
        </w:pBdr>
        <w:spacing w:after="0" w:line="240" w:lineRule="auto"/>
        <w:jc w:val="both"/>
        <w:rPr>
          <w:color w:val="000000"/>
        </w:rPr>
      </w:pPr>
    </w:p>
    <w:p w14:paraId="3E1E2035" w14:textId="77777777" w:rsidR="00383DB7" w:rsidRPr="00876FE1" w:rsidRDefault="00000000">
      <w:pPr>
        <w:pBdr>
          <w:top w:val="nil"/>
          <w:left w:val="nil"/>
          <w:bottom w:val="nil"/>
          <w:right w:val="nil"/>
          <w:between w:val="nil"/>
        </w:pBdr>
        <w:spacing w:after="0" w:line="240" w:lineRule="auto"/>
        <w:jc w:val="both"/>
        <w:rPr>
          <w:color w:val="000000"/>
        </w:rPr>
      </w:pPr>
      <w:r w:rsidRPr="00876FE1">
        <w:rPr>
          <w:i/>
          <w:color w:val="000000"/>
        </w:rPr>
        <w:t>Reconnaissant</w:t>
      </w:r>
      <w:r w:rsidRPr="00876FE1">
        <w:rPr>
          <w:color w:val="000000"/>
        </w:rPr>
        <w:t xml:space="preserve"> que la protection des monts sous-marins dans les zones ne relevant pas de la juridiction nationale nécessite les efforts combinés des Parties, des autres États de l’aire de répartition, des organisations internationales et des organismes régionaux de gestion des pêches,</w:t>
      </w:r>
    </w:p>
    <w:p w14:paraId="24C67835" w14:textId="77777777" w:rsidR="00383DB7" w:rsidRPr="00876FE1" w:rsidRDefault="00383DB7">
      <w:pPr>
        <w:pBdr>
          <w:top w:val="nil"/>
          <w:left w:val="nil"/>
          <w:bottom w:val="nil"/>
          <w:right w:val="nil"/>
          <w:between w:val="nil"/>
        </w:pBdr>
        <w:spacing w:after="0" w:line="240" w:lineRule="auto"/>
        <w:jc w:val="both"/>
        <w:rPr>
          <w:color w:val="000000"/>
        </w:rPr>
      </w:pPr>
    </w:p>
    <w:p w14:paraId="6CFE52C2" w14:textId="77777777" w:rsidR="00383DB7" w:rsidRPr="00876FE1" w:rsidRDefault="00000000">
      <w:pPr>
        <w:pBdr>
          <w:top w:val="nil"/>
          <w:left w:val="nil"/>
          <w:bottom w:val="nil"/>
          <w:right w:val="nil"/>
          <w:between w:val="nil"/>
        </w:pBdr>
        <w:spacing w:after="0" w:line="240" w:lineRule="auto"/>
        <w:jc w:val="both"/>
        <w:rPr>
          <w:color w:val="000000"/>
        </w:rPr>
      </w:pPr>
      <w:r w:rsidRPr="00876FE1">
        <w:rPr>
          <w:i/>
          <w:color w:val="000000"/>
        </w:rPr>
        <w:t>Se félicitant</w:t>
      </w:r>
      <w:r w:rsidRPr="00876FE1">
        <w:rPr>
          <w:color w:val="000000"/>
        </w:rPr>
        <w:t xml:space="preserve"> de l’adoption et de la ratification croissante de l’Accord se rapportant à la Convention des Nations Unies sur le droit de la mer et portant sur la conservation et l’utilisation durable de la diversité biologique marine des zones ne relevant pas de la juridiction nationale,</w:t>
      </w:r>
    </w:p>
    <w:p w14:paraId="73B9BD95" w14:textId="77777777" w:rsidR="00383DB7" w:rsidRPr="00876FE1" w:rsidRDefault="00383DB7">
      <w:pPr>
        <w:pBdr>
          <w:top w:val="nil"/>
          <w:left w:val="nil"/>
          <w:bottom w:val="nil"/>
          <w:right w:val="nil"/>
          <w:between w:val="nil"/>
        </w:pBdr>
        <w:spacing w:after="0" w:line="240" w:lineRule="auto"/>
        <w:jc w:val="both"/>
        <w:rPr>
          <w:color w:val="000000"/>
        </w:rPr>
      </w:pPr>
    </w:p>
    <w:p w14:paraId="37AAE68E" w14:textId="77777777" w:rsidR="00383DB7" w:rsidRPr="00876FE1" w:rsidRDefault="00383DB7">
      <w:pPr>
        <w:pBdr>
          <w:top w:val="nil"/>
          <w:left w:val="nil"/>
          <w:bottom w:val="nil"/>
          <w:right w:val="nil"/>
          <w:between w:val="nil"/>
        </w:pBdr>
        <w:spacing w:after="0" w:line="240" w:lineRule="auto"/>
        <w:ind w:left="360" w:hanging="360"/>
        <w:jc w:val="both"/>
        <w:rPr>
          <w:color w:val="000000"/>
        </w:rPr>
      </w:pPr>
    </w:p>
    <w:p w14:paraId="325B9EF1" w14:textId="270C6C36" w:rsidR="00383DB7" w:rsidRPr="00876FE1" w:rsidRDefault="00000000">
      <w:pPr>
        <w:pBdr>
          <w:top w:val="nil"/>
          <w:left w:val="nil"/>
          <w:bottom w:val="nil"/>
          <w:right w:val="nil"/>
          <w:between w:val="nil"/>
        </w:pBdr>
        <w:spacing w:after="0" w:line="240" w:lineRule="auto"/>
        <w:jc w:val="center"/>
        <w:rPr>
          <w:i/>
          <w:iCs/>
          <w:color w:val="000000"/>
        </w:rPr>
      </w:pPr>
      <w:r w:rsidRPr="00876FE1">
        <w:rPr>
          <w:i/>
          <w:iCs/>
          <w:color w:val="000000"/>
        </w:rPr>
        <w:t>La Conférence des Parties à la</w:t>
      </w:r>
      <w:r w:rsidRPr="00876FE1">
        <w:rPr>
          <w:i/>
          <w:iCs/>
          <w:color w:val="000000"/>
        </w:rPr>
        <w:br/>
        <w:t xml:space="preserve"> Convention sur la conservation des espèces migratrices appartenant à la faune sauvage</w:t>
      </w:r>
      <w:r w:rsidR="00194C35" w:rsidRPr="00876FE1">
        <w:rPr>
          <w:i/>
          <w:iCs/>
          <w:color w:val="000000"/>
        </w:rPr>
        <w:t> :</w:t>
      </w:r>
    </w:p>
    <w:p w14:paraId="7FED56B8" w14:textId="77777777" w:rsidR="00383DB7" w:rsidRPr="00876FE1" w:rsidRDefault="00383DB7">
      <w:pPr>
        <w:pBdr>
          <w:top w:val="nil"/>
          <w:left w:val="nil"/>
          <w:bottom w:val="nil"/>
          <w:right w:val="nil"/>
          <w:between w:val="nil"/>
        </w:pBdr>
        <w:spacing w:after="0" w:line="240" w:lineRule="auto"/>
        <w:ind w:left="360" w:hanging="360"/>
        <w:jc w:val="both"/>
        <w:rPr>
          <w:color w:val="000000"/>
        </w:rPr>
      </w:pPr>
    </w:p>
    <w:p w14:paraId="4F24C282" w14:textId="77777777" w:rsidR="00383DB7" w:rsidRPr="00876FE1" w:rsidRDefault="00383DB7">
      <w:pPr>
        <w:pBdr>
          <w:top w:val="nil"/>
          <w:left w:val="nil"/>
          <w:bottom w:val="nil"/>
          <w:right w:val="nil"/>
          <w:between w:val="nil"/>
        </w:pBdr>
        <w:spacing w:after="0" w:line="240" w:lineRule="auto"/>
        <w:ind w:left="360" w:hanging="360"/>
        <w:jc w:val="both"/>
        <w:rPr>
          <w:color w:val="000000"/>
        </w:rPr>
      </w:pPr>
    </w:p>
    <w:p w14:paraId="5046E432" w14:textId="65182783" w:rsidR="00383DB7" w:rsidRPr="00876FE1" w:rsidRDefault="00000000">
      <w:pPr>
        <w:numPr>
          <w:ilvl w:val="3"/>
          <w:numId w:val="3"/>
        </w:numPr>
        <w:pBdr>
          <w:top w:val="nil"/>
          <w:left w:val="nil"/>
          <w:bottom w:val="nil"/>
          <w:right w:val="nil"/>
          <w:between w:val="nil"/>
        </w:pBdr>
        <w:spacing w:after="0" w:line="240" w:lineRule="auto"/>
        <w:ind w:left="567" w:hanging="567"/>
        <w:jc w:val="both"/>
        <w:rPr>
          <w:bCs/>
          <w:color w:val="000000"/>
        </w:rPr>
      </w:pPr>
      <w:r w:rsidRPr="00876FE1">
        <w:rPr>
          <w:bCs/>
          <w:i/>
          <w:color w:val="0E101A"/>
        </w:rPr>
        <w:t>Encourage</w:t>
      </w:r>
      <w:r w:rsidRPr="00876FE1">
        <w:rPr>
          <w:bCs/>
          <w:color w:val="000000"/>
        </w:rPr>
        <w:t xml:space="preserve"> les Parties à reconnaître l’importance des écosystèmes des monts sous-marins en tant qu’habitats essentiels et repères pour la navigation des espèces marines migratrices, notamment celles inscrites aux Annexes</w:t>
      </w:r>
      <w:r w:rsidR="006F13D1" w:rsidRPr="00876FE1">
        <w:rPr>
          <w:bCs/>
          <w:color w:val="000000"/>
        </w:rPr>
        <w:t> </w:t>
      </w:r>
      <w:r w:rsidRPr="00876FE1">
        <w:rPr>
          <w:bCs/>
          <w:color w:val="000000"/>
        </w:rPr>
        <w:t>I et</w:t>
      </w:r>
      <w:r w:rsidR="006F13D1" w:rsidRPr="00876FE1">
        <w:rPr>
          <w:bCs/>
          <w:color w:val="000000"/>
        </w:rPr>
        <w:t> </w:t>
      </w:r>
      <w:r w:rsidRPr="00876FE1">
        <w:rPr>
          <w:bCs/>
          <w:color w:val="000000"/>
        </w:rPr>
        <w:t>II de la Convention, telles que les baleines, les dauphins, les requins et les tortues, et à reconnaître leur valeur pour les peuples autochtones et les détenteurs de savoirs traditionnels</w:t>
      </w:r>
      <w:r w:rsidR="00194C35" w:rsidRPr="00876FE1">
        <w:rPr>
          <w:bCs/>
          <w:color w:val="000000"/>
        </w:rPr>
        <w:t> ;</w:t>
      </w:r>
    </w:p>
    <w:p w14:paraId="4AAD2C61" w14:textId="77777777" w:rsidR="00383DB7" w:rsidRPr="00876FE1" w:rsidRDefault="00383DB7">
      <w:pPr>
        <w:pBdr>
          <w:top w:val="nil"/>
          <w:left w:val="nil"/>
          <w:bottom w:val="nil"/>
          <w:right w:val="nil"/>
          <w:between w:val="nil"/>
        </w:pBdr>
        <w:spacing w:after="0" w:line="240" w:lineRule="auto"/>
        <w:ind w:left="567" w:hanging="567"/>
        <w:jc w:val="both"/>
        <w:rPr>
          <w:bCs/>
          <w:color w:val="000000"/>
        </w:rPr>
      </w:pPr>
    </w:p>
    <w:p w14:paraId="708C5363" w14:textId="7A5DC03B" w:rsidR="00383DB7" w:rsidRPr="00876FE1" w:rsidRDefault="00000000">
      <w:pPr>
        <w:numPr>
          <w:ilvl w:val="3"/>
          <w:numId w:val="3"/>
        </w:numPr>
        <w:pBdr>
          <w:top w:val="nil"/>
          <w:left w:val="nil"/>
          <w:bottom w:val="nil"/>
          <w:right w:val="nil"/>
          <w:between w:val="nil"/>
        </w:pBdr>
        <w:spacing w:after="0" w:line="240" w:lineRule="auto"/>
        <w:ind w:left="567" w:hanging="567"/>
        <w:jc w:val="both"/>
        <w:rPr>
          <w:bCs/>
          <w:color w:val="000000"/>
        </w:rPr>
      </w:pPr>
      <w:r w:rsidRPr="00876FE1">
        <w:rPr>
          <w:bCs/>
          <w:i/>
          <w:color w:val="0E101A"/>
        </w:rPr>
        <w:t>Prie instamment</w:t>
      </w:r>
      <w:r w:rsidRPr="00876FE1">
        <w:rPr>
          <w:bCs/>
          <w:color w:val="000000"/>
        </w:rPr>
        <w:t xml:space="preserve"> les Parties de </w:t>
      </w:r>
      <w:r w:rsidRPr="00876FE1">
        <w:rPr>
          <w:bCs/>
        </w:rPr>
        <w:t>donner la priorité</w:t>
      </w:r>
      <w:r w:rsidRPr="00876FE1">
        <w:rPr>
          <w:bCs/>
          <w:color w:val="000000"/>
        </w:rPr>
        <w:t xml:space="preserve"> à la protection des écosystèmes des monts sous-marins contre les pratiques de pêche destructrices, tant à l’intérieur qu’à l’extérieur de leur juridiction nationale, afin de renforcer l’état de conservation des espèces migratrices et de protéger l’intégrité écologique des écosystèmes des monts sous-marins, en </w:t>
      </w:r>
      <w:r w:rsidRPr="00876FE1">
        <w:rPr>
          <w:bCs/>
        </w:rPr>
        <w:t>reconnaissant</w:t>
      </w:r>
      <w:r w:rsidRPr="00876FE1">
        <w:rPr>
          <w:bCs/>
          <w:color w:val="000000"/>
        </w:rPr>
        <w:t xml:space="preserve"> leur connectivité environnementale</w:t>
      </w:r>
      <w:r w:rsidR="00194C35" w:rsidRPr="00876FE1">
        <w:rPr>
          <w:bCs/>
          <w:color w:val="000000"/>
        </w:rPr>
        <w:t> ;</w:t>
      </w:r>
    </w:p>
    <w:p w14:paraId="5267E81D" w14:textId="77777777" w:rsidR="00383DB7" w:rsidRPr="00876FE1" w:rsidRDefault="00383DB7">
      <w:pPr>
        <w:pBdr>
          <w:top w:val="nil"/>
          <w:left w:val="nil"/>
          <w:bottom w:val="nil"/>
          <w:right w:val="nil"/>
          <w:between w:val="nil"/>
        </w:pBdr>
        <w:spacing w:after="0" w:line="240" w:lineRule="auto"/>
        <w:ind w:left="567" w:hanging="567"/>
        <w:jc w:val="both"/>
        <w:rPr>
          <w:bCs/>
          <w:color w:val="000000"/>
        </w:rPr>
      </w:pPr>
    </w:p>
    <w:p w14:paraId="774070C8" w14:textId="39EFBED3" w:rsidR="00383DB7" w:rsidRPr="00876FE1" w:rsidRDefault="00000000">
      <w:pPr>
        <w:numPr>
          <w:ilvl w:val="3"/>
          <w:numId w:val="3"/>
        </w:numPr>
        <w:pBdr>
          <w:top w:val="nil"/>
          <w:left w:val="nil"/>
          <w:bottom w:val="nil"/>
          <w:right w:val="nil"/>
          <w:between w:val="nil"/>
        </w:pBdr>
        <w:spacing w:after="0" w:line="240" w:lineRule="auto"/>
        <w:ind w:left="567" w:hanging="567"/>
        <w:jc w:val="both"/>
        <w:rPr>
          <w:bCs/>
          <w:color w:val="000000"/>
        </w:rPr>
      </w:pPr>
      <w:r w:rsidRPr="00876FE1">
        <w:rPr>
          <w:bCs/>
          <w:i/>
          <w:color w:val="0E101A"/>
        </w:rPr>
        <w:t>Invite</w:t>
      </w:r>
      <w:r w:rsidRPr="00876FE1">
        <w:rPr>
          <w:bCs/>
          <w:color w:val="000000"/>
        </w:rPr>
        <w:t xml:space="preserve"> les Parties et les autres États de l’aire de répartition, ainsi que les organisations pertinentes et organismes régionaux, à donner la priorité aux monts sous-marins dans la mise en œuvre de l’Accord se rapportant à la Convention des Nations Unies sur le droit de la mer et portant sur la conservation et l’utilisation durable de la diversité biologique marine des zones ne relevant pas de la juridiction nationale, notamment en traitant les incohérences dans la protection des monts sous-marins dans les zones </w:t>
      </w:r>
      <w:r w:rsidRPr="00876FE1">
        <w:rPr>
          <w:bCs/>
          <w:color w:val="000000"/>
        </w:rPr>
        <w:t>ne relevant pas de la juridiction nationale</w:t>
      </w:r>
      <w:r w:rsidR="00194C35" w:rsidRPr="00876FE1">
        <w:rPr>
          <w:bCs/>
          <w:color w:val="000000"/>
        </w:rPr>
        <w:t> ;</w:t>
      </w:r>
    </w:p>
    <w:p w14:paraId="7E339719" w14:textId="77777777" w:rsidR="00383DB7" w:rsidRPr="00876FE1" w:rsidRDefault="00383DB7">
      <w:pPr>
        <w:pBdr>
          <w:top w:val="nil"/>
          <w:left w:val="nil"/>
          <w:bottom w:val="nil"/>
          <w:right w:val="nil"/>
          <w:between w:val="nil"/>
        </w:pBdr>
        <w:spacing w:after="0" w:line="240" w:lineRule="auto"/>
        <w:ind w:left="567" w:hanging="567"/>
        <w:jc w:val="both"/>
        <w:rPr>
          <w:bCs/>
          <w:color w:val="000000"/>
        </w:rPr>
      </w:pPr>
    </w:p>
    <w:p w14:paraId="1C389065" w14:textId="4EBCA5EF" w:rsidR="00383DB7" w:rsidRPr="00876FE1" w:rsidRDefault="00000000">
      <w:pPr>
        <w:numPr>
          <w:ilvl w:val="3"/>
          <w:numId w:val="3"/>
        </w:numPr>
        <w:pBdr>
          <w:top w:val="nil"/>
          <w:left w:val="nil"/>
          <w:bottom w:val="nil"/>
          <w:right w:val="nil"/>
          <w:between w:val="nil"/>
        </w:pBdr>
        <w:spacing w:after="0" w:line="240" w:lineRule="auto"/>
        <w:ind w:left="567" w:hanging="567"/>
        <w:jc w:val="both"/>
        <w:rPr>
          <w:bCs/>
          <w:color w:val="000000"/>
        </w:rPr>
      </w:pPr>
      <w:r w:rsidRPr="00876FE1">
        <w:rPr>
          <w:bCs/>
          <w:i/>
          <w:color w:val="0E101A"/>
        </w:rPr>
        <w:t>Encourage</w:t>
      </w:r>
      <w:r w:rsidRPr="00876FE1">
        <w:rPr>
          <w:bCs/>
          <w:color w:val="000000"/>
        </w:rPr>
        <w:t xml:space="preserve"> les Parties et les autres États de l’aire de répartition à mener des recherches collaboratives sur les monts sous-marins afin de mieux comprendre leur biodiversité, leur vulnérabilité et leurs fonctions écologiques, en lien avec les espèces migratrices. Ces connaissances doivent éclairer la prise de décision concernant la protection des monts sous-marins</w:t>
      </w:r>
      <w:r w:rsidR="00194C35" w:rsidRPr="00876FE1">
        <w:rPr>
          <w:bCs/>
          <w:color w:val="000000"/>
        </w:rPr>
        <w:t> ;</w:t>
      </w:r>
    </w:p>
    <w:p w14:paraId="41084556" w14:textId="77777777" w:rsidR="00383DB7" w:rsidRPr="00876FE1" w:rsidRDefault="00383DB7">
      <w:pPr>
        <w:pBdr>
          <w:top w:val="nil"/>
          <w:left w:val="nil"/>
          <w:bottom w:val="nil"/>
          <w:right w:val="nil"/>
          <w:between w:val="nil"/>
        </w:pBdr>
        <w:spacing w:after="0" w:line="240" w:lineRule="auto"/>
        <w:ind w:left="567" w:hanging="567"/>
        <w:jc w:val="both"/>
        <w:rPr>
          <w:bCs/>
          <w:color w:val="000000"/>
        </w:rPr>
      </w:pPr>
    </w:p>
    <w:p w14:paraId="47F400F0" w14:textId="77777777" w:rsidR="00194C35" w:rsidRPr="00876FE1" w:rsidRDefault="00194C35">
      <w:pPr>
        <w:rPr>
          <w:bCs/>
          <w:i/>
          <w:color w:val="0E101A"/>
        </w:rPr>
      </w:pPr>
      <w:r w:rsidRPr="00876FE1">
        <w:rPr>
          <w:bCs/>
          <w:i/>
          <w:color w:val="0E101A"/>
        </w:rPr>
        <w:br w:type="page"/>
      </w:r>
    </w:p>
    <w:p w14:paraId="7558DB7E" w14:textId="67A85E4F" w:rsidR="00383DB7" w:rsidRPr="00876FE1" w:rsidRDefault="00000000">
      <w:pPr>
        <w:numPr>
          <w:ilvl w:val="3"/>
          <w:numId w:val="3"/>
        </w:numPr>
        <w:pBdr>
          <w:top w:val="nil"/>
          <w:left w:val="nil"/>
          <w:bottom w:val="nil"/>
          <w:right w:val="nil"/>
          <w:between w:val="nil"/>
        </w:pBdr>
        <w:spacing w:after="0" w:line="240" w:lineRule="auto"/>
        <w:ind w:left="567" w:hanging="567"/>
        <w:jc w:val="both"/>
        <w:rPr>
          <w:bCs/>
          <w:color w:val="000000"/>
        </w:rPr>
      </w:pPr>
      <w:r w:rsidRPr="00876FE1">
        <w:rPr>
          <w:bCs/>
          <w:i/>
          <w:color w:val="0E101A"/>
        </w:rPr>
        <w:lastRenderedPageBreak/>
        <w:t>Invite les</w:t>
      </w:r>
      <w:r w:rsidRPr="00876FE1">
        <w:rPr>
          <w:bCs/>
          <w:color w:val="000000"/>
        </w:rPr>
        <w:t xml:space="preserve"> Parties à s’engager activement auprès des peuples autochtones, des détenteurs de savoirs traditionnels, des scientifiques, de la société civile et de l’industrie afin d’accroître la sensibilisation du public à l’importance des écosystèmes des monts sous-marins pour la santé des populations d’</w:t>
      </w:r>
      <w:r w:rsidRPr="00876FE1">
        <w:rPr>
          <w:bCs/>
        </w:rPr>
        <w:t>espèces migratrices</w:t>
      </w:r>
      <w:r w:rsidRPr="00876FE1">
        <w:rPr>
          <w:bCs/>
          <w:color w:val="000000"/>
        </w:rPr>
        <w:t xml:space="preserve"> et de renforcer la compréhension de celle-ci</w:t>
      </w:r>
      <w:r w:rsidR="00194C35" w:rsidRPr="00876FE1">
        <w:rPr>
          <w:bCs/>
          <w:color w:val="000000"/>
        </w:rPr>
        <w:t> ;</w:t>
      </w:r>
    </w:p>
    <w:p w14:paraId="6CE95626" w14:textId="77777777" w:rsidR="00383DB7" w:rsidRPr="00876FE1" w:rsidRDefault="00383DB7">
      <w:pPr>
        <w:pBdr>
          <w:top w:val="nil"/>
          <w:left w:val="nil"/>
          <w:bottom w:val="nil"/>
          <w:right w:val="nil"/>
          <w:between w:val="nil"/>
        </w:pBdr>
        <w:spacing w:after="0" w:line="240" w:lineRule="auto"/>
        <w:ind w:left="567" w:hanging="567"/>
        <w:jc w:val="both"/>
        <w:rPr>
          <w:bCs/>
        </w:rPr>
      </w:pPr>
    </w:p>
    <w:p w14:paraId="4E9AE6DD" w14:textId="4FA8C42A" w:rsidR="00383DB7" w:rsidRPr="00876FE1" w:rsidRDefault="00000000">
      <w:pPr>
        <w:numPr>
          <w:ilvl w:val="3"/>
          <w:numId w:val="3"/>
        </w:numPr>
        <w:pBdr>
          <w:top w:val="nil"/>
          <w:left w:val="nil"/>
          <w:bottom w:val="nil"/>
          <w:right w:val="nil"/>
          <w:between w:val="nil"/>
        </w:pBdr>
        <w:spacing w:after="0" w:line="240" w:lineRule="auto"/>
        <w:ind w:left="567" w:hanging="567"/>
        <w:jc w:val="both"/>
        <w:rPr>
          <w:bCs/>
        </w:rPr>
      </w:pPr>
      <w:r w:rsidRPr="00876FE1">
        <w:rPr>
          <w:bCs/>
          <w:i/>
          <w:color w:val="0E101A"/>
        </w:rPr>
        <w:t>Prie</w:t>
      </w:r>
      <w:r w:rsidRPr="00876FE1">
        <w:rPr>
          <w:bCs/>
          <w:color w:val="000000"/>
        </w:rPr>
        <w:t xml:space="preserve"> le Secrétariat de promouvoir la coopération et la coordination internationales pour la</w:t>
      </w:r>
      <w:r w:rsidRPr="00876FE1">
        <w:rPr>
          <w:bCs/>
        </w:rPr>
        <w:t xml:space="preserve"> c</w:t>
      </w:r>
      <w:r w:rsidRPr="00876FE1">
        <w:rPr>
          <w:bCs/>
          <w:color w:val="000000"/>
        </w:rPr>
        <w:t>onservation et la gestion durable des monts sous-marins qui abritent des espèces migratrices au moyen de mécanismes régionaux existants, tels que la Convention de Barcelone, et de la collaboration avec d’autres instruments et processus internationaux pertinents, tels que la Convention sur la diversité biologique, les organismes régionaux de gestion des pêches et l’Accord se rapportant à la Convention des Nations Unies s</w:t>
      </w:r>
      <w:r w:rsidRPr="00876FE1">
        <w:rPr>
          <w:bCs/>
          <w:color w:val="000000"/>
        </w:rPr>
        <w:t>ur le droit de la mer et portant sur la conservation et l’utilisation durable de la diversité biologique marine des zones ne relevant pas de la juridiction nationale.</w:t>
      </w:r>
    </w:p>
    <w:p w14:paraId="27979E41" w14:textId="77777777" w:rsidR="00383DB7" w:rsidRDefault="00383DB7">
      <w:pPr>
        <w:pBdr>
          <w:top w:val="nil"/>
          <w:left w:val="nil"/>
          <w:bottom w:val="nil"/>
          <w:right w:val="nil"/>
          <w:between w:val="nil"/>
        </w:pBdr>
        <w:spacing w:after="0" w:line="240" w:lineRule="auto"/>
        <w:ind w:left="360" w:hanging="360"/>
        <w:jc w:val="both"/>
        <w:rPr>
          <w:color w:val="000000"/>
        </w:rPr>
      </w:pPr>
    </w:p>
    <w:p w14:paraId="34076F2C" w14:textId="77777777" w:rsidR="00752823" w:rsidRDefault="00752823">
      <w:pPr>
        <w:pBdr>
          <w:top w:val="nil"/>
          <w:left w:val="nil"/>
          <w:bottom w:val="nil"/>
          <w:right w:val="nil"/>
          <w:between w:val="nil"/>
        </w:pBdr>
        <w:spacing w:after="0" w:line="240" w:lineRule="auto"/>
        <w:ind w:left="360" w:hanging="360"/>
        <w:jc w:val="both"/>
        <w:rPr>
          <w:color w:val="000000"/>
        </w:rPr>
        <w:sectPr w:rsidR="00752823">
          <w:headerReference w:type="even" r:id="rId22"/>
          <w:headerReference w:type="default" r:id="rId23"/>
          <w:headerReference w:type="first" r:id="rId24"/>
          <w:pgSz w:w="11906" w:h="16838"/>
          <w:pgMar w:top="1440" w:right="1440" w:bottom="1440" w:left="1440" w:header="720" w:footer="720" w:gutter="0"/>
          <w:cols w:space="720"/>
          <w:titlePg/>
          <w:docGrid w:linePitch="299"/>
        </w:sectPr>
      </w:pPr>
    </w:p>
    <w:p w14:paraId="3043ACCB" w14:textId="1D991FDF" w:rsidR="00383DB7" w:rsidRPr="00876FE1" w:rsidRDefault="00000000">
      <w:pPr>
        <w:spacing w:after="0" w:line="240" w:lineRule="auto"/>
        <w:jc w:val="right"/>
        <w:rPr>
          <w:b/>
          <w:smallCaps/>
        </w:rPr>
      </w:pPr>
      <w:r w:rsidRPr="00876FE1">
        <w:rPr>
          <w:b/>
          <w:smallCaps/>
        </w:rPr>
        <w:lastRenderedPageBreak/>
        <w:t>ANNEXE</w:t>
      </w:r>
      <w:r w:rsidR="001C42AE" w:rsidRPr="00876FE1">
        <w:rPr>
          <w:b/>
          <w:smallCaps/>
        </w:rPr>
        <w:t> </w:t>
      </w:r>
      <w:r w:rsidRPr="00876FE1">
        <w:rPr>
          <w:b/>
          <w:smallCaps/>
        </w:rPr>
        <w:t>2</w:t>
      </w:r>
    </w:p>
    <w:p w14:paraId="2F48BB98" w14:textId="77777777" w:rsidR="00383DB7" w:rsidRPr="00876FE1" w:rsidRDefault="00383DB7">
      <w:pPr>
        <w:spacing w:after="0" w:line="240" w:lineRule="auto"/>
        <w:jc w:val="center"/>
      </w:pPr>
    </w:p>
    <w:p w14:paraId="14517383" w14:textId="77777777" w:rsidR="00383DB7" w:rsidRPr="00876FE1" w:rsidRDefault="00383DB7">
      <w:pPr>
        <w:spacing w:after="0" w:line="240" w:lineRule="auto"/>
        <w:jc w:val="center"/>
      </w:pPr>
    </w:p>
    <w:p w14:paraId="13C93266" w14:textId="77777777" w:rsidR="00383DB7" w:rsidRPr="00876FE1" w:rsidRDefault="00000000">
      <w:pPr>
        <w:spacing w:after="0" w:line="240" w:lineRule="auto"/>
        <w:jc w:val="center"/>
      </w:pPr>
      <w:r w:rsidRPr="00876FE1">
        <w:t>PROJETS DE DÉCISION</w:t>
      </w:r>
    </w:p>
    <w:p w14:paraId="289F234F" w14:textId="77777777" w:rsidR="00383DB7" w:rsidRPr="00876FE1" w:rsidRDefault="00383DB7">
      <w:pPr>
        <w:spacing w:after="0" w:line="240" w:lineRule="auto"/>
        <w:jc w:val="center"/>
      </w:pPr>
    </w:p>
    <w:p w14:paraId="7C1A66A3" w14:textId="77777777" w:rsidR="00383DB7" w:rsidRPr="00876FE1" w:rsidRDefault="00000000">
      <w:pPr>
        <w:spacing w:after="0" w:line="240" w:lineRule="auto"/>
        <w:jc w:val="center"/>
      </w:pPr>
      <w:r w:rsidRPr="00876FE1">
        <w:rPr>
          <w:b/>
          <w:smallCaps/>
        </w:rPr>
        <w:t>CONSERVER LES ÉCOSYSTÈMES DES MONTS SOUS-MARINS</w:t>
      </w:r>
    </w:p>
    <w:p w14:paraId="1BE06C5C" w14:textId="77777777" w:rsidR="00383DB7" w:rsidRPr="00876FE1" w:rsidRDefault="00383DB7">
      <w:pPr>
        <w:spacing w:after="0" w:line="240" w:lineRule="auto"/>
        <w:jc w:val="both"/>
        <w:rPr>
          <w:i/>
          <w:color w:val="000000" w:themeColor="text1"/>
        </w:rPr>
      </w:pPr>
    </w:p>
    <w:p w14:paraId="0BA9C3B1" w14:textId="77777777" w:rsidR="00383DB7" w:rsidRPr="00876FE1" w:rsidRDefault="00383DB7">
      <w:pPr>
        <w:spacing w:after="0" w:line="240" w:lineRule="auto"/>
        <w:jc w:val="both"/>
        <w:rPr>
          <w:i/>
          <w:color w:val="000000" w:themeColor="text1"/>
        </w:rPr>
      </w:pPr>
    </w:p>
    <w:p w14:paraId="0AC50E9B" w14:textId="77777777" w:rsidR="00383DB7" w:rsidRPr="00876FE1" w:rsidRDefault="00000000">
      <w:pPr>
        <w:spacing w:after="0" w:line="240" w:lineRule="auto"/>
        <w:jc w:val="both"/>
        <w:rPr>
          <w:b/>
          <w:i/>
        </w:rPr>
      </w:pPr>
      <w:r w:rsidRPr="00876FE1">
        <w:rPr>
          <w:b/>
          <w:i/>
        </w:rPr>
        <w:t xml:space="preserve">À l’adresse des Parties </w:t>
      </w:r>
    </w:p>
    <w:p w14:paraId="44CE17B7" w14:textId="77777777" w:rsidR="00383DB7" w:rsidRPr="00876FE1" w:rsidRDefault="00383DB7">
      <w:pPr>
        <w:spacing w:after="0" w:line="240" w:lineRule="auto"/>
        <w:jc w:val="both"/>
      </w:pPr>
    </w:p>
    <w:p w14:paraId="3170A54B" w14:textId="7236DEA0" w:rsidR="00383DB7" w:rsidRPr="00876FE1" w:rsidRDefault="00000000">
      <w:pPr>
        <w:spacing w:after="0" w:line="240" w:lineRule="auto"/>
        <w:ind w:left="900" w:hanging="900"/>
        <w:jc w:val="both"/>
      </w:pPr>
      <w:r w:rsidRPr="00876FE1">
        <w:t xml:space="preserve">15.AA </w:t>
      </w:r>
      <w:r w:rsidRPr="00876FE1">
        <w:tab/>
        <w:t>Les Parties sont invitées à</w:t>
      </w:r>
      <w:r w:rsidR="00194C35" w:rsidRPr="00876FE1">
        <w:t> :</w:t>
      </w:r>
    </w:p>
    <w:p w14:paraId="4981F19B" w14:textId="77777777" w:rsidR="00383DB7" w:rsidRPr="00876FE1" w:rsidRDefault="00383DB7">
      <w:pPr>
        <w:spacing w:after="0" w:line="240" w:lineRule="auto"/>
        <w:ind w:left="720" w:hanging="720"/>
        <w:jc w:val="both"/>
      </w:pPr>
    </w:p>
    <w:p w14:paraId="191EAC77" w14:textId="7107AFD6" w:rsidR="00383DB7" w:rsidRPr="00876FE1" w:rsidRDefault="00000000">
      <w:pPr>
        <w:numPr>
          <w:ilvl w:val="0"/>
          <w:numId w:val="7"/>
        </w:numPr>
        <w:pBdr>
          <w:top w:val="nil"/>
          <w:left w:val="nil"/>
          <w:bottom w:val="nil"/>
          <w:right w:val="nil"/>
          <w:between w:val="nil"/>
        </w:pBdr>
        <w:spacing w:after="0" w:line="240" w:lineRule="auto"/>
        <w:ind w:left="1440" w:hanging="540"/>
        <w:jc w:val="both"/>
        <w:rPr>
          <w:color w:val="000000"/>
        </w:rPr>
      </w:pPr>
      <w:r w:rsidRPr="00876FE1">
        <w:t>accorder la priorité</w:t>
      </w:r>
      <w:r w:rsidRPr="00876FE1">
        <w:rPr>
          <w:color w:val="000000"/>
        </w:rPr>
        <w:t xml:space="preserve"> à la protection des écosystèmes des monts sous-marins contre les pratiques de pêche destructrices, tant à l’intérieur des juridictions nationales qu’au-delà de celles-ci, conformément au droit international</w:t>
      </w:r>
      <w:r w:rsidR="00194C35" w:rsidRPr="00876FE1">
        <w:rPr>
          <w:color w:val="000000"/>
        </w:rPr>
        <w:t> ;</w:t>
      </w:r>
    </w:p>
    <w:p w14:paraId="48CB0CF3" w14:textId="77777777" w:rsidR="00383DB7" w:rsidRPr="00876FE1" w:rsidRDefault="00383DB7">
      <w:pPr>
        <w:pBdr>
          <w:top w:val="nil"/>
          <w:left w:val="nil"/>
          <w:bottom w:val="nil"/>
          <w:right w:val="nil"/>
          <w:between w:val="nil"/>
        </w:pBdr>
        <w:spacing w:after="0" w:line="240" w:lineRule="auto"/>
        <w:ind w:left="1440" w:hanging="540"/>
        <w:jc w:val="both"/>
        <w:rPr>
          <w:color w:val="000000"/>
        </w:rPr>
      </w:pPr>
    </w:p>
    <w:p w14:paraId="30BC9733" w14:textId="23CB1245" w:rsidR="00383DB7" w:rsidRPr="00876FE1" w:rsidRDefault="00000000">
      <w:pPr>
        <w:numPr>
          <w:ilvl w:val="0"/>
          <w:numId w:val="7"/>
        </w:numPr>
        <w:pBdr>
          <w:top w:val="nil"/>
          <w:left w:val="nil"/>
          <w:bottom w:val="nil"/>
          <w:right w:val="nil"/>
          <w:between w:val="nil"/>
        </w:pBdr>
        <w:spacing w:after="0" w:line="240" w:lineRule="auto"/>
        <w:ind w:left="1440" w:hanging="540"/>
        <w:jc w:val="both"/>
        <w:rPr>
          <w:color w:val="000000"/>
        </w:rPr>
      </w:pPr>
      <w:r w:rsidRPr="00876FE1">
        <w:t xml:space="preserve">concentrer </w:t>
      </w:r>
      <w:r w:rsidRPr="00876FE1">
        <w:rPr>
          <w:color w:val="000000"/>
        </w:rPr>
        <w:t xml:space="preserve">les efforts de recherche sur le rôle des </w:t>
      </w:r>
      <w:r w:rsidRPr="00876FE1">
        <w:t>écosystèmes des monts sous-marins favorables aux espèces migratrices tout au long de leur cycle de vie et de leurs aires d’habitat</w:t>
      </w:r>
      <w:r w:rsidR="00194C35" w:rsidRPr="00876FE1">
        <w:t> ;</w:t>
      </w:r>
    </w:p>
    <w:p w14:paraId="4E015FF6" w14:textId="77777777" w:rsidR="00383DB7" w:rsidRPr="00876FE1" w:rsidRDefault="00383DB7">
      <w:pPr>
        <w:pBdr>
          <w:top w:val="nil"/>
          <w:left w:val="nil"/>
          <w:bottom w:val="nil"/>
          <w:right w:val="nil"/>
          <w:between w:val="nil"/>
        </w:pBdr>
        <w:spacing w:after="0" w:line="240" w:lineRule="auto"/>
        <w:ind w:left="1440" w:hanging="540"/>
        <w:jc w:val="both"/>
        <w:rPr>
          <w:color w:val="000000"/>
        </w:rPr>
      </w:pPr>
    </w:p>
    <w:p w14:paraId="25CB3171" w14:textId="5E71937B" w:rsidR="00383DB7" w:rsidRPr="00876FE1" w:rsidRDefault="00000000">
      <w:pPr>
        <w:numPr>
          <w:ilvl w:val="0"/>
          <w:numId w:val="7"/>
        </w:numPr>
        <w:pBdr>
          <w:top w:val="nil"/>
          <w:left w:val="nil"/>
          <w:bottom w:val="nil"/>
          <w:right w:val="nil"/>
          <w:between w:val="nil"/>
        </w:pBdr>
        <w:spacing w:after="0" w:line="240" w:lineRule="auto"/>
        <w:ind w:left="1440" w:hanging="540"/>
        <w:jc w:val="both"/>
        <w:rPr>
          <w:color w:val="000000"/>
        </w:rPr>
      </w:pPr>
      <w:r w:rsidRPr="00876FE1">
        <w:t>rendre compte</w:t>
      </w:r>
      <w:r w:rsidRPr="00876FE1">
        <w:rPr>
          <w:color w:val="000000"/>
        </w:rPr>
        <w:t xml:space="preserve"> des progrès accomplis, par des rapports nationaux, à la Conférence des Parties lors de sa 16</w:t>
      </w:r>
      <w:r w:rsidRPr="00876FE1">
        <w:rPr>
          <w:color w:val="000000"/>
          <w:vertAlign w:val="superscript"/>
        </w:rPr>
        <w:t>e</w:t>
      </w:r>
      <w:r w:rsidR="001C42AE" w:rsidRPr="00876FE1">
        <w:rPr>
          <w:color w:val="000000"/>
        </w:rPr>
        <w:t> </w:t>
      </w:r>
      <w:r w:rsidRPr="00876FE1">
        <w:rPr>
          <w:color w:val="000000"/>
        </w:rPr>
        <w:t>réunion</w:t>
      </w:r>
      <w:r w:rsidRPr="00876FE1">
        <w:t>.</w:t>
      </w:r>
    </w:p>
    <w:p w14:paraId="7F34840E" w14:textId="77777777" w:rsidR="00383DB7" w:rsidRPr="00876FE1" w:rsidRDefault="00383DB7">
      <w:pPr>
        <w:spacing w:after="0" w:line="240" w:lineRule="auto"/>
        <w:jc w:val="both"/>
      </w:pPr>
    </w:p>
    <w:p w14:paraId="1CBAFC48" w14:textId="77777777" w:rsidR="00383DB7" w:rsidRPr="00876FE1" w:rsidRDefault="00000000">
      <w:pPr>
        <w:spacing w:after="0" w:line="240" w:lineRule="auto"/>
        <w:jc w:val="both"/>
        <w:rPr>
          <w:b/>
          <w:i/>
        </w:rPr>
      </w:pPr>
      <w:r w:rsidRPr="00876FE1">
        <w:rPr>
          <w:b/>
          <w:i/>
        </w:rPr>
        <w:t>À l’adresse des Parties et des organisations intergouvernementales et non gouvernementales</w:t>
      </w:r>
    </w:p>
    <w:p w14:paraId="4C6D1EE9" w14:textId="77777777" w:rsidR="00383DB7" w:rsidRPr="00876FE1" w:rsidRDefault="00383DB7">
      <w:pPr>
        <w:spacing w:after="0" w:line="240" w:lineRule="auto"/>
        <w:jc w:val="both"/>
      </w:pPr>
    </w:p>
    <w:p w14:paraId="1147B8CC" w14:textId="77777777" w:rsidR="00383DB7" w:rsidRPr="00876FE1" w:rsidRDefault="00000000">
      <w:pPr>
        <w:spacing w:after="0" w:line="240" w:lineRule="auto"/>
        <w:ind w:left="900" w:hanging="900"/>
        <w:jc w:val="both"/>
      </w:pPr>
      <w:r w:rsidRPr="00876FE1">
        <w:t>15.BB</w:t>
      </w:r>
      <w:r w:rsidRPr="00876FE1">
        <w:tab/>
        <w:t>Les Parties, ainsi que les organisations intergouvernementales et non gouvernementales, sont invitées à coopérer pour assurer la protection des écosystèmes des monts sous-marins contre les pratiques de pêche destructrices.</w:t>
      </w:r>
    </w:p>
    <w:p w14:paraId="07893005" w14:textId="77777777" w:rsidR="00383DB7" w:rsidRPr="00876FE1" w:rsidRDefault="00383DB7">
      <w:pPr>
        <w:spacing w:after="0" w:line="240" w:lineRule="auto"/>
        <w:jc w:val="both"/>
      </w:pPr>
    </w:p>
    <w:p w14:paraId="3503F55A" w14:textId="77777777" w:rsidR="00383DB7" w:rsidRPr="00876FE1" w:rsidRDefault="00000000">
      <w:pPr>
        <w:spacing w:after="0" w:line="240" w:lineRule="auto"/>
        <w:jc w:val="both"/>
      </w:pPr>
      <w:r w:rsidRPr="00876FE1">
        <w:rPr>
          <w:b/>
          <w:i/>
        </w:rPr>
        <w:t xml:space="preserve">À l’adresse du Conseil scientifique </w:t>
      </w:r>
    </w:p>
    <w:p w14:paraId="73E846BF" w14:textId="77777777" w:rsidR="00383DB7" w:rsidRPr="00876FE1" w:rsidRDefault="00383DB7">
      <w:pPr>
        <w:spacing w:after="0" w:line="240" w:lineRule="auto"/>
        <w:jc w:val="both"/>
      </w:pPr>
    </w:p>
    <w:p w14:paraId="30EF1169" w14:textId="461742D5" w:rsidR="00383DB7" w:rsidRPr="00876FE1" w:rsidRDefault="00000000">
      <w:pPr>
        <w:spacing w:after="0" w:line="240" w:lineRule="auto"/>
        <w:ind w:left="900" w:hanging="900"/>
        <w:jc w:val="both"/>
      </w:pPr>
      <w:r w:rsidRPr="00876FE1">
        <w:t>15.CC</w:t>
      </w:r>
      <w:r w:rsidRPr="00876FE1">
        <w:tab/>
        <w:t>Le Conseil scientifique est invité à</w:t>
      </w:r>
      <w:r w:rsidR="00194C35" w:rsidRPr="00876FE1">
        <w:t> :</w:t>
      </w:r>
    </w:p>
    <w:p w14:paraId="5E7BC514" w14:textId="77777777" w:rsidR="00383DB7" w:rsidRPr="00876FE1" w:rsidRDefault="00383DB7">
      <w:pPr>
        <w:spacing w:after="0" w:line="240" w:lineRule="auto"/>
        <w:jc w:val="both"/>
      </w:pPr>
    </w:p>
    <w:p w14:paraId="4D448B99" w14:textId="57E48E8C" w:rsidR="00383DB7" w:rsidRPr="00876FE1" w:rsidRDefault="00000000">
      <w:pPr>
        <w:widowControl w:val="0"/>
        <w:numPr>
          <w:ilvl w:val="0"/>
          <w:numId w:val="4"/>
        </w:numPr>
        <w:spacing w:after="0" w:line="240" w:lineRule="auto"/>
        <w:ind w:left="1440" w:hanging="540"/>
        <w:jc w:val="both"/>
      </w:pPr>
      <w:r w:rsidRPr="00876FE1">
        <w:t>collaborer</w:t>
      </w:r>
      <w:r w:rsidRPr="00876FE1">
        <w:t xml:space="preserve"> avec des experts internationaux afin de recenser et de protéger les écosystèmes essentiels des monts sous-marins, en veillant à ce que les connexions écologiques entre ces écosystèmes et les espèces migratrices soient maintenues et protégées</w:t>
      </w:r>
      <w:r w:rsidR="00194C35" w:rsidRPr="00876FE1">
        <w:t> ;</w:t>
      </w:r>
    </w:p>
    <w:p w14:paraId="59AC45AC" w14:textId="77777777" w:rsidR="00383DB7" w:rsidRPr="00876FE1" w:rsidRDefault="00383DB7">
      <w:pPr>
        <w:widowControl w:val="0"/>
        <w:spacing w:after="0" w:line="240" w:lineRule="auto"/>
        <w:ind w:left="1440" w:hanging="540"/>
        <w:jc w:val="both"/>
      </w:pPr>
    </w:p>
    <w:p w14:paraId="40F9B033" w14:textId="4C0BE95F" w:rsidR="00383DB7" w:rsidRPr="00876FE1" w:rsidRDefault="00000000">
      <w:pPr>
        <w:widowControl w:val="0"/>
        <w:numPr>
          <w:ilvl w:val="0"/>
          <w:numId w:val="4"/>
        </w:numPr>
        <w:spacing w:after="0" w:line="240" w:lineRule="auto"/>
        <w:ind w:left="1440" w:hanging="540"/>
        <w:jc w:val="both"/>
      </w:pPr>
      <w:r w:rsidRPr="00876FE1">
        <w:t>faire rapport à la 9</w:t>
      </w:r>
      <w:r w:rsidRPr="00876FE1">
        <w:rPr>
          <w:vertAlign w:val="superscript"/>
        </w:rPr>
        <w:t>e</w:t>
      </w:r>
      <w:r w:rsidR="001C42AE" w:rsidRPr="00876FE1">
        <w:t> </w:t>
      </w:r>
      <w:r w:rsidRPr="00876FE1">
        <w:t>réunion du comité de session du Conseil scientifique sur les progrès réalisés dans la mise en œuvre de cette décision.</w:t>
      </w:r>
    </w:p>
    <w:p w14:paraId="45E970C4" w14:textId="77777777" w:rsidR="00383DB7" w:rsidRPr="00876FE1" w:rsidRDefault="00383DB7">
      <w:pPr>
        <w:spacing w:after="0" w:line="240" w:lineRule="auto"/>
        <w:jc w:val="both"/>
        <w:rPr>
          <w:b/>
          <w:i/>
        </w:rPr>
      </w:pPr>
    </w:p>
    <w:p w14:paraId="2797D9AF" w14:textId="77777777" w:rsidR="00383DB7" w:rsidRPr="00876FE1" w:rsidRDefault="00000000">
      <w:pPr>
        <w:spacing w:after="0" w:line="240" w:lineRule="auto"/>
        <w:jc w:val="both"/>
        <w:rPr>
          <w:b/>
          <w:i/>
        </w:rPr>
      </w:pPr>
      <w:r w:rsidRPr="00876FE1">
        <w:rPr>
          <w:b/>
          <w:i/>
        </w:rPr>
        <w:t>À l’adresse du Secrétariat</w:t>
      </w:r>
    </w:p>
    <w:p w14:paraId="0786D72F" w14:textId="77777777" w:rsidR="00383DB7" w:rsidRPr="00876FE1" w:rsidRDefault="00383DB7">
      <w:pPr>
        <w:spacing w:after="0" w:line="240" w:lineRule="auto"/>
        <w:jc w:val="both"/>
      </w:pPr>
    </w:p>
    <w:p w14:paraId="5AF9D9EC" w14:textId="0F9C8FA7" w:rsidR="00383DB7" w:rsidRPr="00876FE1" w:rsidRDefault="00000000">
      <w:pPr>
        <w:spacing w:after="0" w:line="240" w:lineRule="auto"/>
        <w:ind w:left="900" w:hanging="900"/>
        <w:jc w:val="both"/>
      </w:pPr>
      <w:r w:rsidRPr="00876FE1">
        <w:t>15.DD</w:t>
      </w:r>
      <w:r w:rsidRPr="00876FE1">
        <w:tab/>
        <w:t xml:space="preserve"> Le cas échéant, le Secrétariat, en collaboration avec les Parties et sous réserve de la disponibilité des ressources</w:t>
      </w:r>
      <w:r w:rsidR="00194C35" w:rsidRPr="00876FE1">
        <w:t> :</w:t>
      </w:r>
    </w:p>
    <w:p w14:paraId="3E2A2740" w14:textId="77777777" w:rsidR="00383DB7" w:rsidRPr="00876FE1" w:rsidRDefault="00383DB7">
      <w:pPr>
        <w:widowControl w:val="0"/>
        <w:spacing w:after="0" w:line="240" w:lineRule="auto"/>
        <w:jc w:val="both"/>
      </w:pPr>
    </w:p>
    <w:p w14:paraId="72308708" w14:textId="2FE227CB" w:rsidR="00383DB7" w:rsidRPr="00876FE1" w:rsidRDefault="00000000">
      <w:pPr>
        <w:widowControl w:val="0"/>
        <w:numPr>
          <w:ilvl w:val="0"/>
          <w:numId w:val="1"/>
        </w:numPr>
        <w:spacing w:after="0" w:line="240" w:lineRule="auto"/>
        <w:ind w:left="1418" w:hanging="518"/>
        <w:jc w:val="both"/>
      </w:pPr>
      <w:r w:rsidRPr="00876FE1">
        <w:t>élabore et diffuse des lignes directrices et des outils de gestion pour la conservation, la gestion durable et la recherche sur les écosystèmes des monts sous-marins, particulièrement importants pour les espèces marines migratrices, en mettant l’accent sur le maintien de la connectivité écologique et des voies migratoires</w:t>
      </w:r>
      <w:r w:rsidR="00194C35" w:rsidRPr="00876FE1">
        <w:t> ;</w:t>
      </w:r>
    </w:p>
    <w:p w14:paraId="4AB9345E" w14:textId="77777777" w:rsidR="00383DB7" w:rsidRPr="00876FE1" w:rsidRDefault="00383DB7">
      <w:pPr>
        <w:widowControl w:val="0"/>
        <w:spacing w:after="0" w:line="240" w:lineRule="auto"/>
        <w:ind w:left="1418" w:hanging="518"/>
        <w:jc w:val="both"/>
      </w:pPr>
    </w:p>
    <w:p w14:paraId="3E1ADABB" w14:textId="27461670" w:rsidR="00383DB7" w:rsidRPr="00876FE1" w:rsidRDefault="00000000">
      <w:pPr>
        <w:widowControl w:val="0"/>
        <w:numPr>
          <w:ilvl w:val="0"/>
          <w:numId w:val="1"/>
        </w:numPr>
        <w:spacing w:after="0" w:line="240" w:lineRule="auto"/>
        <w:ind w:left="1418" w:hanging="518"/>
        <w:jc w:val="both"/>
      </w:pPr>
      <w:r w:rsidRPr="00876FE1">
        <w:t>rend compte des progrès accomplis dans la mise en œuvre de cette décision lors de la 16</w:t>
      </w:r>
      <w:r w:rsidRPr="00876FE1">
        <w:rPr>
          <w:vertAlign w:val="superscript"/>
        </w:rPr>
        <w:t>e</w:t>
      </w:r>
      <w:r w:rsidR="001C42AE" w:rsidRPr="00876FE1">
        <w:t> </w:t>
      </w:r>
      <w:r w:rsidR="00D72C7C" w:rsidRPr="00876FE1">
        <w:t>s</w:t>
      </w:r>
      <w:r w:rsidRPr="00876FE1">
        <w:t>ession de la Conférence des Parties.</w:t>
      </w:r>
    </w:p>
    <w:sectPr w:rsidR="00383DB7" w:rsidRPr="00876FE1">
      <w:headerReference w:type="first" r:id="rId25"/>
      <w:pgSz w:w="11906" w:h="16838"/>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FD8D1" w14:textId="77777777" w:rsidR="006A5F0F" w:rsidRPr="00194C35" w:rsidRDefault="006A5F0F">
      <w:pPr>
        <w:spacing w:after="0" w:line="240" w:lineRule="auto"/>
      </w:pPr>
      <w:r w:rsidRPr="00194C35">
        <w:separator/>
      </w:r>
    </w:p>
  </w:endnote>
  <w:endnote w:type="continuationSeparator" w:id="0">
    <w:p w14:paraId="32DC4D2F" w14:textId="77777777" w:rsidR="006A5F0F" w:rsidRPr="00194C35" w:rsidRDefault="006A5F0F">
      <w:pPr>
        <w:spacing w:after="0" w:line="240" w:lineRule="auto"/>
      </w:pPr>
      <w:r w:rsidRPr="00194C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01D8588-CE94-43F1-BC76-ED1DD693DAFA}"/>
    <w:embedItalic r:id="rId2" w:fontKey="{AC5C988E-AEF8-4A3D-9655-67979ACD9C54}"/>
  </w:font>
  <w:font w:name="Calibri">
    <w:panose1 w:val="020F0502020204030204"/>
    <w:charset w:val="00"/>
    <w:family w:val="swiss"/>
    <w:pitch w:val="variable"/>
    <w:sig w:usb0="E4002EFF" w:usb1="C200247B" w:usb2="00000009" w:usb3="00000000" w:csb0="000001FF" w:csb1="00000000"/>
    <w:embedRegular r:id="rId3" w:fontKey="{2E53996E-F147-492D-B033-620C9FF34DF8}"/>
  </w:font>
  <w:font w:name="Cambria Math">
    <w:panose1 w:val="02040503050406030204"/>
    <w:charset w:val="00"/>
    <w:family w:val="roman"/>
    <w:pitch w:val="variable"/>
    <w:sig w:usb0="E00006FF" w:usb1="420024FF" w:usb2="02000000" w:usb3="00000000" w:csb0="0000019F" w:csb1="00000000"/>
    <w:embedRegular r:id="rId4" w:fontKey="{E3763D88-8927-4B13-A881-D995B8858978}"/>
  </w:font>
  <w:font w:name="Cambria">
    <w:panose1 w:val="02040503050406030204"/>
    <w:charset w:val="00"/>
    <w:family w:val="roman"/>
    <w:pitch w:val="variable"/>
    <w:sig w:usb0="E00006FF" w:usb1="420024FF" w:usb2="02000000" w:usb3="00000000" w:csb0="0000019F" w:csb1="00000000"/>
    <w:embedRegular r:id="rId5" w:fontKey="{3A5F8B7B-C0D0-4025-BCA2-83C7325887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1802760"/>
      <w:docPartObj>
        <w:docPartGallery w:val="Page Numbers (Bottom of Page)"/>
        <w:docPartUnique/>
      </w:docPartObj>
    </w:sdtPr>
    <w:sdtEndPr>
      <w:rPr>
        <w:sz w:val="18"/>
        <w:szCs w:val="18"/>
      </w:rPr>
    </w:sdtEndPr>
    <w:sdtContent>
      <w:p w14:paraId="3510F085" w14:textId="77777777" w:rsidR="00101B4A" w:rsidRPr="00194C35" w:rsidRDefault="00101B4A">
        <w:pPr>
          <w:pStyle w:val="Footer"/>
          <w:jc w:val="center"/>
          <w:rPr>
            <w:sz w:val="18"/>
            <w:szCs w:val="18"/>
          </w:rPr>
        </w:pPr>
        <w:r w:rsidRPr="00194C35">
          <w:rPr>
            <w:sz w:val="18"/>
            <w:szCs w:val="18"/>
          </w:rPr>
          <w:fldChar w:fldCharType="begin"/>
        </w:r>
        <w:r w:rsidRPr="00194C35">
          <w:rPr>
            <w:sz w:val="18"/>
            <w:szCs w:val="18"/>
          </w:rPr>
          <w:instrText xml:space="preserve"> PAGE   \* MERGEFORMAT </w:instrText>
        </w:r>
        <w:r w:rsidRPr="00194C35">
          <w:rPr>
            <w:sz w:val="18"/>
            <w:szCs w:val="18"/>
          </w:rPr>
          <w:fldChar w:fldCharType="separate"/>
        </w:r>
        <w:r w:rsidRPr="00194C35">
          <w:rPr>
            <w:sz w:val="18"/>
            <w:szCs w:val="18"/>
          </w:rPr>
          <w:t>2</w:t>
        </w:r>
        <w:r w:rsidRPr="00194C35">
          <w:rPr>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0006918"/>
      <w:docPartObj>
        <w:docPartGallery w:val="Page Numbers (Bottom of Page)"/>
        <w:docPartUnique/>
      </w:docPartObj>
    </w:sdtPr>
    <w:sdtEndPr>
      <w:rPr>
        <w:sz w:val="18"/>
        <w:szCs w:val="18"/>
      </w:rPr>
    </w:sdtEndPr>
    <w:sdtContent>
      <w:p w14:paraId="1BCFFD51" w14:textId="77777777" w:rsidR="00101B4A" w:rsidRPr="00194C35" w:rsidRDefault="00101B4A">
        <w:pPr>
          <w:pStyle w:val="Footer"/>
          <w:jc w:val="center"/>
          <w:rPr>
            <w:sz w:val="18"/>
            <w:szCs w:val="18"/>
          </w:rPr>
        </w:pPr>
        <w:r w:rsidRPr="00194C35">
          <w:rPr>
            <w:sz w:val="18"/>
            <w:szCs w:val="18"/>
          </w:rPr>
          <w:fldChar w:fldCharType="begin"/>
        </w:r>
        <w:r w:rsidRPr="00194C35">
          <w:rPr>
            <w:sz w:val="18"/>
            <w:szCs w:val="18"/>
          </w:rPr>
          <w:instrText xml:space="preserve"> PAGE   \* MERGEFORMAT </w:instrText>
        </w:r>
        <w:r w:rsidRPr="00194C35">
          <w:rPr>
            <w:sz w:val="18"/>
            <w:szCs w:val="18"/>
          </w:rPr>
          <w:fldChar w:fldCharType="separate"/>
        </w:r>
        <w:r w:rsidRPr="00194C35">
          <w:rPr>
            <w:sz w:val="18"/>
            <w:szCs w:val="18"/>
          </w:rPr>
          <w:t>2</w:t>
        </w:r>
        <w:r w:rsidRPr="00194C35">
          <w:rPr>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7973808"/>
      <w:docPartObj>
        <w:docPartGallery w:val="Page Numbers (Bottom of Page)"/>
        <w:docPartUnique/>
      </w:docPartObj>
    </w:sdtPr>
    <w:sdtEndPr>
      <w:rPr>
        <w:sz w:val="18"/>
        <w:szCs w:val="18"/>
      </w:rPr>
    </w:sdtEndPr>
    <w:sdtContent>
      <w:p w14:paraId="0EBED85E" w14:textId="77777777" w:rsidR="00101B4A" w:rsidRPr="00194C35" w:rsidRDefault="00101B4A">
        <w:pPr>
          <w:pStyle w:val="Footer"/>
          <w:jc w:val="center"/>
          <w:rPr>
            <w:sz w:val="18"/>
            <w:szCs w:val="18"/>
          </w:rPr>
        </w:pPr>
        <w:r w:rsidRPr="00194C35">
          <w:rPr>
            <w:sz w:val="18"/>
            <w:szCs w:val="18"/>
          </w:rPr>
          <w:fldChar w:fldCharType="begin"/>
        </w:r>
        <w:r w:rsidRPr="00194C35">
          <w:rPr>
            <w:sz w:val="18"/>
            <w:szCs w:val="18"/>
          </w:rPr>
          <w:instrText xml:space="preserve"> PAGE   \* MERGEFORMAT </w:instrText>
        </w:r>
        <w:r w:rsidRPr="00194C35">
          <w:rPr>
            <w:sz w:val="18"/>
            <w:szCs w:val="18"/>
          </w:rPr>
          <w:fldChar w:fldCharType="separate"/>
        </w:r>
        <w:r w:rsidRPr="00194C35">
          <w:rPr>
            <w:sz w:val="18"/>
            <w:szCs w:val="18"/>
          </w:rPr>
          <w:t>2</w:t>
        </w:r>
        <w:r w:rsidRPr="00194C35">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7133C" w14:textId="77777777" w:rsidR="006A5F0F" w:rsidRPr="00194C35" w:rsidRDefault="006A5F0F">
      <w:pPr>
        <w:spacing w:after="0" w:line="240" w:lineRule="auto"/>
      </w:pPr>
      <w:r w:rsidRPr="00194C35">
        <w:separator/>
      </w:r>
    </w:p>
  </w:footnote>
  <w:footnote w:type="continuationSeparator" w:id="0">
    <w:p w14:paraId="74FA24A4" w14:textId="77777777" w:rsidR="006A5F0F" w:rsidRPr="00194C35" w:rsidRDefault="006A5F0F">
      <w:pPr>
        <w:spacing w:after="0" w:line="240" w:lineRule="auto"/>
      </w:pPr>
      <w:r w:rsidRPr="00194C35">
        <w:continuationSeparator/>
      </w:r>
    </w:p>
  </w:footnote>
  <w:footnote w:id="1">
    <w:p w14:paraId="194B7DC6" w14:textId="76244A0C" w:rsidR="00383DB7" w:rsidRPr="00D51DF2" w:rsidRDefault="00000000" w:rsidP="00D51DF2">
      <w:pPr>
        <w:spacing w:after="0" w:line="240" w:lineRule="auto"/>
        <w:jc w:val="both"/>
        <w:rPr>
          <w:sz w:val="20"/>
          <w:szCs w:val="20"/>
        </w:rPr>
      </w:pPr>
      <w:r w:rsidRPr="00D51DF2">
        <w:rPr>
          <w:rStyle w:val="FootnoteReference"/>
        </w:rPr>
        <w:footnoteRef/>
      </w:r>
      <w:r w:rsidRPr="00D51DF2">
        <w:t xml:space="preserve"> </w:t>
      </w:r>
      <w:r w:rsidR="009935CB" w:rsidRPr="00D51DF2">
        <w:rPr>
          <w:sz w:val="20"/>
          <w:szCs w:val="20"/>
        </w:rPr>
        <w:t>Les appellations géographiques utilisées dans ce document n'impliquent d'aucune manière l'opinion de la part du Secrétariat de la CMS (ou du Programme des Nations Unies pour l'Environnement) concernant le statut juridique de tout pays, territoire ou zone ou concernant la délimitation de ses</w:t>
      </w:r>
      <w:r w:rsidR="009935CB" w:rsidRPr="00104FDB">
        <w:rPr>
          <w:sz w:val="20"/>
          <w:szCs w:val="20"/>
        </w:rPr>
        <w:t xml:space="preserve"> frontières ou limites. La responsabilité du contenu du document repose exclusivement sur son auteur.</w:t>
      </w:r>
    </w:p>
  </w:footnote>
  <w:footnote w:id="2">
    <w:p w14:paraId="0024C351" w14:textId="6BE65774" w:rsidR="00383DB7" w:rsidRPr="00E911D0" w:rsidRDefault="00000000">
      <w:pPr>
        <w:spacing w:after="0" w:line="240" w:lineRule="auto"/>
        <w:jc w:val="both"/>
        <w:rPr>
          <w:sz w:val="20"/>
          <w:szCs w:val="20"/>
          <w:lang w:val="en-GB"/>
        </w:rPr>
      </w:pPr>
      <w:r w:rsidRPr="00194C35">
        <w:rPr>
          <w:rStyle w:val="FootnoteReference"/>
        </w:rPr>
        <w:footnoteRef/>
      </w:r>
      <w:r w:rsidRPr="006E529B">
        <w:rPr>
          <w:sz w:val="16"/>
          <w:szCs w:val="16"/>
          <w:lang w:val="en-US"/>
        </w:rPr>
        <w:t xml:space="preserve"> National Oceanic and Atmospheric Administration US Department of Commerce, </w:t>
      </w:r>
      <w:r w:rsidR="001C42AE" w:rsidRPr="006E529B">
        <w:rPr>
          <w:sz w:val="16"/>
          <w:szCs w:val="16"/>
          <w:lang w:val="en-US"/>
        </w:rPr>
        <w:t>’</w:t>
      </w:r>
      <w:hyperlink r:id="rId1">
        <w:r w:rsidRPr="006E529B">
          <w:rPr>
            <w:color w:val="1155CC"/>
            <w:sz w:val="16"/>
            <w:szCs w:val="16"/>
            <w:u w:val="single"/>
            <w:lang w:val="en-US"/>
          </w:rPr>
          <w:t>What Is a Seamount?</w:t>
        </w:r>
      </w:hyperlink>
      <w:r w:rsidRPr="006E529B">
        <w:rPr>
          <w:sz w:val="16"/>
          <w:szCs w:val="16"/>
          <w:lang w:val="en-US"/>
        </w:rPr>
        <w:t xml:space="preserve"> </w:t>
      </w:r>
      <w:r w:rsidRPr="00E911D0">
        <w:rPr>
          <w:sz w:val="16"/>
          <w:szCs w:val="16"/>
          <w:lang w:val="en-GB"/>
        </w:rPr>
        <w:t>Ocean Exploration Facts: NOAA Office of Ocean Exploration and Research</w:t>
      </w:r>
    </w:p>
  </w:footnote>
  <w:footnote w:id="3">
    <w:p w14:paraId="1D659840" w14:textId="77777777" w:rsidR="00383DB7" w:rsidRPr="00E911D0" w:rsidRDefault="00000000">
      <w:pPr>
        <w:spacing w:after="0" w:line="240" w:lineRule="auto"/>
        <w:jc w:val="both"/>
        <w:rPr>
          <w:sz w:val="20"/>
          <w:szCs w:val="20"/>
          <w:lang w:val="en-GB"/>
        </w:rPr>
      </w:pPr>
      <w:r w:rsidRPr="00194C35">
        <w:rPr>
          <w:rStyle w:val="FootnoteReference"/>
        </w:rPr>
        <w:footnoteRef/>
      </w:r>
      <w:r w:rsidRPr="00E911D0">
        <w:rPr>
          <w:sz w:val="20"/>
          <w:szCs w:val="20"/>
          <w:lang w:val="en-GB"/>
        </w:rPr>
        <w:t xml:space="preserve"> </w:t>
      </w:r>
      <w:r w:rsidRPr="00E911D0">
        <w:rPr>
          <w:sz w:val="16"/>
          <w:szCs w:val="16"/>
          <w:lang w:val="en-GB"/>
        </w:rPr>
        <w:t xml:space="preserve">Gevorgian, J., Sandwell, D. T., Yu, Y., Kim, S. S., &amp; Wessel, P. (2023). Global distribution and morphology of small seamounts. </w:t>
      </w:r>
      <w:r w:rsidRPr="00E911D0">
        <w:rPr>
          <w:i/>
          <w:sz w:val="16"/>
          <w:szCs w:val="16"/>
          <w:lang w:val="en-GB"/>
        </w:rPr>
        <w:t>Earth and Space Science</w:t>
      </w:r>
      <w:r w:rsidRPr="00E911D0">
        <w:rPr>
          <w:sz w:val="16"/>
          <w:szCs w:val="16"/>
          <w:lang w:val="en-GB"/>
        </w:rPr>
        <w:t xml:space="preserve">, </w:t>
      </w:r>
      <w:r w:rsidRPr="00E911D0">
        <w:rPr>
          <w:i/>
          <w:sz w:val="16"/>
          <w:szCs w:val="16"/>
          <w:lang w:val="en-GB"/>
        </w:rPr>
        <w:t>10</w:t>
      </w:r>
      <w:r w:rsidRPr="00E911D0">
        <w:rPr>
          <w:sz w:val="16"/>
          <w:szCs w:val="16"/>
          <w:lang w:val="en-GB"/>
        </w:rPr>
        <w:t>(4), e2022EA002331.</w:t>
      </w:r>
    </w:p>
  </w:footnote>
  <w:footnote w:id="4">
    <w:p w14:paraId="5D8E8DF7" w14:textId="4C24C0AC" w:rsidR="00383DB7" w:rsidRPr="00E911D0" w:rsidRDefault="00000000">
      <w:pPr>
        <w:pBdr>
          <w:top w:val="nil"/>
          <w:left w:val="nil"/>
          <w:bottom w:val="nil"/>
          <w:right w:val="nil"/>
          <w:between w:val="nil"/>
        </w:pBdr>
        <w:spacing w:after="0" w:line="240" w:lineRule="auto"/>
        <w:jc w:val="both"/>
        <w:rPr>
          <w:color w:val="000000"/>
          <w:sz w:val="20"/>
          <w:szCs w:val="20"/>
          <w:lang w:val="en-GB"/>
        </w:rPr>
      </w:pPr>
      <w:r w:rsidRPr="00194C35">
        <w:rPr>
          <w:rStyle w:val="FootnoteReference"/>
        </w:rPr>
        <w:footnoteRef/>
      </w:r>
      <w:r w:rsidRPr="006E529B">
        <w:rPr>
          <w:color w:val="000000"/>
          <w:sz w:val="20"/>
          <w:szCs w:val="20"/>
          <w:lang w:val="en-US"/>
        </w:rPr>
        <w:t xml:space="preserve"> </w:t>
      </w:r>
      <w:proofErr w:type="spellStart"/>
      <w:r w:rsidRPr="006E529B">
        <w:rPr>
          <w:color w:val="000000"/>
          <w:sz w:val="16"/>
          <w:szCs w:val="16"/>
          <w:lang w:val="en-US"/>
        </w:rPr>
        <w:t>Yesson</w:t>
      </w:r>
      <w:proofErr w:type="spellEnd"/>
      <w:r w:rsidRPr="006E529B">
        <w:rPr>
          <w:color w:val="000000"/>
          <w:sz w:val="16"/>
          <w:szCs w:val="16"/>
          <w:lang w:val="en-US"/>
        </w:rPr>
        <w:t xml:space="preserve"> et al. (2021). Improved bathymetry leads to &gt;4000 new seamount predictions in the global ocean</w:t>
      </w:r>
      <w:r w:rsidR="001C42AE" w:rsidRPr="006E529B">
        <w:rPr>
          <w:color w:val="000000"/>
          <w:sz w:val="16"/>
          <w:szCs w:val="16"/>
          <w:lang w:val="en-US"/>
        </w:rPr>
        <w:t>—</w:t>
      </w:r>
      <w:r w:rsidRPr="006E529B">
        <w:rPr>
          <w:color w:val="000000"/>
          <w:sz w:val="16"/>
          <w:szCs w:val="16"/>
          <w:lang w:val="en-US"/>
        </w:rPr>
        <w:t xml:space="preserve">but beware of phantom seamounts! </w:t>
      </w:r>
      <w:r w:rsidRPr="00E911D0">
        <w:rPr>
          <w:color w:val="000000"/>
          <w:sz w:val="16"/>
          <w:szCs w:val="16"/>
          <w:lang w:val="en-GB"/>
        </w:rPr>
        <w:t>UCL Open Environment, 3, e030.</w:t>
      </w:r>
    </w:p>
  </w:footnote>
  <w:footnote w:id="5">
    <w:p w14:paraId="40E9263B" w14:textId="25801968" w:rsidR="00383DB7" w:rsidRPr="00E911D0" w:rsidRDefault="00000000">
      <w:pPr>
        <w:spacing w:after="0" w:line="240" w:lineRule="auto"/>
        <w:jc w:val="both"/>
        <w:rPr>
          <w:sz w:val="20"/>
          <w:szCs w:val="20"/>
          <w:lang w:val="en-GB"/>
        </w:rPr>
      </w:pPr>
      <w:r w:rsidRPr="00194C35">
        <w:rPr>
          <w:rStyle w:val="FootnoteReference"/>
        </w:rPr>
        <w:footnoteRef/>
      </w:r>
      <w:r w:rsidRPr="006E529B">
        <w:rPr>
          <w:sz w:val="20"/>
          <w:szCs w:val="20"/>
          <w:lang w:val="en-US"/>
        </w:rPr>
        <w:t xml:space="preserve"> </w:t>
      </w:r>
      <w:r w:rsidRPr="006E529B">
        <w:rPr>
          <w:sz w:val="16"/>
          <w:szCs w:val="16"/>
          <w:lang w:val="en-US"/>
        </w:rPr>
        <w:t xml:space="preserve">National Oceanic and Atmospheric Administration US Department of Commerce, </w:t>
      </w:r>
      <w:r w:rsidR="001C42AE" w:rsidRPr="006E529B">
        <w:rPr>
          <w:sz w:val="16"/>
          <w:szCs w:val="16"/>
          <w:lang w:val="en-US"/>
        </w:rPr>
        <w:t>’</w:t>
      </w:r>
      <w:hyperlink r:id="rId2">
        <w:r w:rsidRPr="006E529B">
          <w:rPr>
            <w:color w:val="1155CC"/>
            <w:sz w:val="16"/>
            <w:szCs w:val="16"/>
            <w:u w:val="single"/>
            <w:lang w:val="en-US"/>
          </w:rPr>
          <w:t>What Is a Seamount?</w:t>
        </w:r>
      </w:hyperlink>
      <w:r w:rsidRPr="006E529B">
        <w:rPr>
          <w:sz w:val="16"/>
          <w:szCs w:val="16"/>
          <w:lang w:val="en-US"/>
        </w:rPr>
        <w:t xml:space="preserve"> </w:t>
      </w:r>
      <w:r w:rsidRPr="00E911D0">
        <w:rPr>
          <w:sz w:val="16"/>
          <w:szCs w:val="16"/>
          <w:lang w:val="en-GB"/>
        </w:rPr>
        <w:t>Ocean Exploration Facts: NOAA Office of Ocean Exploration and Research</w:t>
      </w:r>
    </w:p>
  </w:footnote>
  <w:footnote w:id="6">
    <w:p w14:paraId="4B6C75AE" w14:textId="77777777" w:rsidR="00383DB7" w:rsidRPr="00E911D0" w:rsidRDefault="00000000">
      <w:pPr>
        <w:spacing w:after="0" w:line="240" w:lineRule="auto"/>
        <w:jc w:val="both"/>
        <w:rPr>
          <w:sz w:val="20"/>
          <w:szCs w:val="20"/>
          <w:lang w:val="en-GB"/>
        </w:rPr>
      </w:pPr>
      <w:r w:rsidRPr="00194C35">
        <w:rPr>
          <w:rStyle w:val="FootnoteReference"/>
        </w:rPr>
        <w:footnoteRef/>
      </w:r>
      <w:r w:rsidRPr="00E911D0">
        <w:rPr>
          <w:sz w:val="20"/>
          <w:szCs w:val="20"/>
          <w:lang w:val="en-GB"/>
        </w:rPr>
        <w:t xml:space="preserve"> </w:t>
      </w:r>
      <w:r w:rsidRPr="00E911D0">
        <w:rPr>
          <w:sz w:val="16"/>
          <w:szCs w:val="16"/>
          <w:lang w:val="en-GB"/>
        </w:rPr>
        <w:t>Morato et al. (2010). Seamounts are hotspots of pelagic biodiversity in the open ocean. Proceedings of the National Academy of Sciences of the United States of America, 107(21), 9707–9711. https://doi.org/10.1073/pnas.0910290107</w:t>
      </w:r>
    </w:p>
  </w:footnote>
  <w:footnote w:id="7">
    <w:p w14:paraId="1AEB82A8" w14:textId="26DF6D99" w:rsidR="00383DB7" w:rsidRPr="00E911D0" w:rsidRDefault="00000000">
      <w:pPr>
        <w:spacing w:after="0" w:line="240" w:lineRule="auto"/>
        <w:jc w:val="both"/>
        <w:rPr>
          <w:sz w:val="20"/>
          <w:szCs w:val="20"/>
          <w:lang w:val="en-GB"/>
        </w:rPr>
      </w:pPr>
      <w:r w:rsidRPr="00194C35">
        <w:rPr>
          <w:rStyle w:val="FootnoteReference"/>
        </w:rPr>
        <w:footnoteRef/>
      </w:r>
      <w:r w:rsidRPr="00E911D0">
        <w:rPr>
          <w:sz w:val="20"/>
          <w:szCs w:val="20"/>
          <w:lang w:val="en-GB"/>
        </w:rPr>
        <w:t xml:space="preserve"> </w:t>
      </w:r>
      <w:r w:rsidRPr="00E911D0">
        <w:rPr>
          <w:sz w:val="16"/>
          <w:szCs w:val="16"/>
          <w:lang w:val="en-GB"/>
        </w:rPr>
        <w:t>Florian Baletaud et al, ‘Comparing Seamounts and Coral Reefs with eDNA and BRUVS Reveals Oases and Refuges on Shallow Seamounts’ (2023) 12(11) Biology 1446, https://www.mdpi.com/2079-7737/12/11/1446</w:t>
      </w:r>
      <w:r w:rsidR="006D3417" w:rsidRPr="00E911D0">
        <w:rPr>
          <w:sz w:val="16"/>
          <w:szCs w:val="16"/>
          <w:lang w:val="en-GB"/>
        </w:rPr>
        <w:t>.</w:t>
      </w:r>
    </w:p>
  </w:footnote>
  <w:footnote w:id="8">
    <w:p w14:paraId="580036D4" w14:textId="77777777" w:rsidR="00383DB7" w:rsidRPr="00194C35" w:rsidRDefault="00000000">
      <w:pPr>
        <w:pBdr>
          <w:top w:val="nil"/>
          <w:left w:val="nil"/>
          <w:bottom w:val="nil"/>
          <w:right w:val="nil"/>
          <w:between w:val="nil"/>
        </w:pBdr>
        <w:spacing w:after="0" w:line="240" w:lineRule="auto"/>
        <w:jc w:val="both"/>
        <w:rPr>
          <w:color w:val="000000"/>
          <w:sz w:val="16"/>
          <w:szCs w:val="16"/>
        </w:rPr>
      </w:pPr>
      <w:r w:rsidRPr="00194C35">
        <w:rPr>
          <w:rStyle w:val="FootnoteReference"/>
        </w:rPr>
        <w:footnoteRef/>
      </w:r>
      <w:r w:rsidRPr="00E911D0">
        <w:rPr>
          <w:color w:val="000000"/>
          <w:sz w:val="16"/>
          <w:szCs w:val="16"/>
          <w:lang w:val="en-GB"/>
        </w:rPr>
        <w:t xml:space="preserve"> Weber et al. (2025). Shallow seamounts are “oases” and activity hubs for pelagic predators in a large-scale marine reserve. </w:t>
      </w:r>
      <w:proofErr w:type="spellStart"/>
      <w:r w:rsidRPr="00194C35">
        <w:rPr>
          <w:color w:val="000000"/>
          <w:sz w:val="16"/>
          <w:szCs w:val="16"/>
        </w:rPr>
        <w:t>PLoS</w:t>
      </w:r>
      <w:proofErr w:type="spellEnd"/>
      <w:r w:rsidRPr="00194C35">
        <w:rPr>
          <w:color w:val="000000"/>
          <w:sz w:val="16"/>
          <w:szCs w:val="16"/>
        </w:rPr>
        <w:t xml:space="preserve"> </w:t>
      </w:r>
      <w:proofErr w:type="spellStart"/>
      <w:r w:rsidRPr="00194C35">
        <w:rPr>
          <w:color w:val="000000"/>
          <w:sz w:val="16"/>
          <w:szCs w:val="16"/>
        </w:rPr>
        <w:t>Biology</w:t>
      </w:r>
      <w:proofErr w:type="spellEnd"/>
      <w:r w:rsidRPr="00194C35">
        <w:rPr>
          <w:color w:val="000000"/>
          <w:sz w:val="16"/>
          <w:szCs w:val="16"/>
        </w:rPr>
        <w:t xml:space="preserve">, 23(2 </w:t>
      </w:r>
      <w:proofErr w:type="spellStart"/>
      <w:r w:rsidRPr="00194C35">
        <w:rPr>
          <w:color w:val="000000"/>
          <w:sz w:val="16"/>
          <w:szCs w:val="16"/>
        </w:rPr>
        <w:t>February</w:t>
      </w:r>
      <w:proofErr w:type="spellEnd"/>
      <w:r w:rsidRPr="00194C35">
        <w:rPr>
          <w:color w:val="000000"/>
          <w:sz w:val="16"/>
          <w:szCs w:val="16"/>
        </w:rPr>
        <w:t>).</w:t>
      </w:r>
    </w:p>
  </w:footnote>
  <w:footnote w:id="9">
    <w:p w14:paraId="1B444E04" w14:textId="77777777" w:rsidR="00383DB7" w:rsidRPr="00E911D0" w:rsidRDefault="00000000">
      <w:pPr>
        <w:pBdr>
          <w:top w:val="nil"/>
          <w:left w:val="nil"/>
          <w:bottom w:val="nil"/>
          <w:right w:val="nil"/>
          <w:between w:val="nil"/>
        </w:pBdr>
        <w:spacing w:after="0" w:line="240" w:lineRule="auto"/>
        <w:jc w:val="both"/>
        <w:rPr>
          <w:color w:val="000000"/>
          <w:sz w:val="16"/>
          <w:szCs w:val="16"/>
          <w:lang w:val="es-ES"/>
        </w:rPr>
      </w:pPr>
      <w:r w:rsidRPr="00194C35">
        <w:rPr>
          <w:rStyle w:val="FootnoteReference"/>
        </w:rPr>
        <w:footnoteRef/>
      </w:r>
      <w:r w:rsidRPr="006E529B">
        <w:rPr>
          <w:color w:val="000000"/>
          <w:sz w:val="16"/>
          <w:szCs w:val="16"/>
          <w:lang w:val="en-US"/>
        </w:rPr>
        <w:t xml:space="preserve"> Matley et al. (2025). Where giants roam: The importance of remote islands and seamount corridors to adult tiger sharks in the South Pacific Ocean. </w:t>
      </w:r>
      <w:r w:rsidRPr="00E911D0">
        <w:rPr>
          <w:color w:val="000000"/>
          <w:sz w:val="16"/>
          <w:szCs w:val="16"/>
          <w:lang w:val="es-ES"/>
        </w:rPr>
        <w:t xml:space="preserve">Marine </w:t>
      </w:r>
      <w:proofErr w:type="spellStart"/>
      <w:r w:rsidRPr="00E911D0">
        <w:rPr>
          <w:color w:val="000000"/>
          <w:sz w:val="16"/>
          <w:szCs w:val="16"/>
          <w:lang w:val="es-ES"/>
        </w:rPr>
        <w:t>Environmental</w:t>
      </w:r>
      <w:proofErr w:type="spellEnd"/>
      <w:r w:rsidRPr="00E911D0">
        <w:rPr>
          <w:color w:val="000000"/>
          <w:sz w:val="16"/>
          <w:szCs w:val="16"/>
          <w:lang w:val="es-ES"/>
        </w:rPr>
        <w:t xml:space="preserve"> </w:t>
      </w:r>
      <w:proofErr w:type="spellStart"/>
      <w:r w:rsidRPr="00E911D0">
        <w:rPr>
          <w:color w:val="000000"/>
          <w:sz w:val="16"/>
          <w:szCs w:val="16"/>
          <w:lang w:val="es-ES"/>
        </w:rPr>
        <w:t>Research</w:t>
      </w:r>
      <w:proofErr w:type="spellEnd"/>
      <w:r w:rsidRPr="00E911D0">
        <w:rPr>
          <w:color w:val="000000"/>
          <w:sz w:val="16"/>
          <w:szCs w:val="16"/>
          <w:lang w:val="es-ES"/>
        </w:rPr>
        <w:t xml:space="preserve"> 206 (2025): 107026.</w:t>
      </w:r>
    </w:p>
  </w:footnote>
  <w:footnote w:id="10">
    <w:p w14:paraId="2671B19E" w14:textId="77777777" w:rsidR="00383DB7" w:rsidRPr="00E911D0" w:rsidRDefault="00000000">
      <w:pPr>
        <w:spacing w:after="0" w:line="240" w:lineRule="auto"/>
        <w:jc w:val="both"/>
        <w:rPr>
          <w:sz w:val="20"/>
          <w:szCs w:val="20"/>
          <w:lang w:val="es-ES"/>
        </w:rPr>
      </w:pPr>
      <w:r w:rsidRPr="00194C35">
        <w:rPr>
          <w:rStyle w:val="FootnoteReference"/>
        </w:rPr>
        <w:footnoteRef/>
      </w:r>
      <w:r w:rsidRPr="00E911D0">
        <w:rPr>
          <w:sz w:val="20"/>
          <w:szCs w:val="20"/>
          <w:lang w:val="es-ES"/>
        </w:rPr>
        <w:t xml:space="preserve"> </w:t>
      </w:r>
      <w:r w:rsidRPr="00E911D0">
        <w:rPr>
          <w:sz w:val="16"/>
          <w:szCs w:val="16"/>
          <w:lang w:val="es-ES"/>
        </w:rPr>
        <w:t>CONANP, Estudio Previo Justificativo Para La Declaratoria Del Parque Nacional Revillagigedo. (Comisión Nacional de Áreas Naturales Protegidas, Secretaría de Medio Ambiente y Recursos Naturales, 2017), https://www.conanp.gob.mx/anp/consulta/3%20EPJ%20PN%20REVILLA%20-%207sept2017%20final.pdf.</w:t>
      </w:r>
    </w:p>
  </w:footnote>
  <w:footnote w:id="11">
    <w:p w14:paraId="72B7BCC8" w14:textId="3AB36BF9" w:rsidR="00383DB7" w:rsidRPr="00E911D0" w:rsidRDefault="00000000">
      <w:pPr>
        <w:spacing w:after="0" w:line="240" w:lineRule="auto"/>
        <w:jc w:val="both"/>
        <w:rPr>
          <w:sz w:val="20"/>
          <w:szCs w:val="20"/>
          <w:lang w:val="es-ES"/>
        </w:rPr>
      </w:pPr>
      <w:r w:rsidRPr="00194C35">
        <w:rPr>
          <w:rStyle w:val="FootnoteReference"/>
        </w:rPr>
        <w:footnoteRef/>
      </w:r>
      <w:r w:rsidRPr="00E911D0">
        <w:rPr>
          <w:sz w:val="20"/>
          <w:szCs w:val="20"/>
          <w:lang w:val="es-ES"/>
        </w:rPr>
        <w:t xml:space="preserve"> </w:t>
      </w:r>
      <w:r w:rsidRPr="00E911D0">
        <w:rPr>
          <w:sz w:val="16"/>
          <w:szCs w:val="16"/>
          <w:lang w:val="es-ES"/>
        </w:rPr>
        <w:t>HM</w:t>
      </w:r>
      <w:r w:rsidR="001C42AE" w:rsidRPr="00E911D0">
        <w:rPr>
          <w:sz w:val="16"/>
          <w:szCs w:val="16"/>
          <w:lang w:val="es-ES"/>
        </w:rPr>
        <w:t> </w:t>
      </w:r>
      <w:proofErr w:type="spellStart"/>
      <w:r w:rsidRPr="00E911D0">
        <w:rPr>
          <w:sz w:val="16"/>
          <w:szCs w:val="16"/>
          <w:lang w:val="es-ES"/>
        </w:rPr>
        <w:t>Guzman</w:t>
      </w:r>
      <w:proofErr w:type="spellEnd"/>
      <w:r w:rsidRPr="00E911D0">
        <w:rPr>
          <w:sz w:val="16"/>
          <w:szCs w:val="16"/>
          <w:lang w:val="es-ES"/>
        </w:rPr>
        <w:t xml:space="preserve"> and ML</w:t>
      </w:r>
      <w:r w:rsidR="001C42AE" w:rsidRPr="00E911D0">
        <w:rPr>
          <w:sz w:val="16"/>
          <w:szCs w:val="16"/>
          <w:lang w:val="es-ES"/>
        </w:rPr>
        <w:t> </w:t>
      </w:r>
      <w:r w:rsidRPr="00E911D0">
        <w:rPr>
          <w:sz w:val="16"/>
          <w:szCs w:val="16"/>
          <w:lang w:val="es-ES"/>
        </w:rPr>
        <w:t xml:space="preserve">Díaz, </w:t>
      </w:r>
      <w:r w:rsidR="001C42AE" w:rsidRPr="00E911D0">
        <w:rPr>
          <w:sz w:val="16"/>
          <w:szCs w:val="16"/>
          <w:lang w:val="es-ES"/>
        </w:rPr>
        <w:t>’</w:t>
      </w:r>
      <w:r w:rsidRPr="00E911D0">
        <w:rPr>
          <w:sz w:val="16"/>
          <w:szCs w:val="16"/>
          <w:lang w:val="es-ES"/>
        </w:rPr>
        <w:t>Plan de Manejo Del</w:t>
      </w:r>
      <w:r w:rsidR="001C42AE" w:rsidRPr="00E911D0">
        <w:rPr>
          <w:sz w:val="16"/>
          <w:szCs w:val="16"/>
          <w:lang w:val="es-ES"/>
        </w:rPr>
        <w:t xml:space="preserve"> </w:t>
      </w:r>
      <w:proofErr w:type="spellStart"/>
      <w:r w:rsidRPr="00E911D0">
        <w:rPr>
          <w:sz w:val="16"/>
          <w:szCs w:val="16"/>
          <w:lang w:val="es-ES"/>
        </w:rPr>
        <w:t>Area</w:t>
      </w:r>
      <w:proofErr w:type="spellEnd"/>
      <w:r w:rsidRPr="00E911D0">
        <w:rPr>
          <w:sz w:val="16"/>
          <w:szCs w:val="16"/>
          <w:lang w:val="es-ES"/>
        </w:rPr>
        <w:t xml:space="preserve"> de Recursos Manejados</w:t>
      </w:r>
      <w:r w:rsidRPr="00E911D0">
        <w:rPr>
          <w:sz w:val="16"/>
          <w:szCs w:val="16"/>
          <w:lang w:val="es-ES"/>
        </w:rPr>
        <w:t xml:space="preserve"> Cordillera de Coiba, http://gacetas.procuraduria-admon.gob.pa/29498-B_57947.pdf.</w:t>
      </w:r>
    </w:p>
  </w:footnote>
  <w:footnote w:id="12">
    <w:p w14:paraId="0DD24250" w14:textId="77777777" w:rsidR="00383DB7" w:rsidRPr="00E911D0" w:rsidRDefault="00000000">
      <w:pPr>
        <w:spacing w:after="0" w:line="240" w:lineRule="auto"/>
        <w:jc w:val="both"/>
        <w:rPr>
          <w:sz w:val="20"/>
          <w:szCs w:val="20"/>
          <w:lang w:val="es-ES"/>
        </w:rPr>
      </w:pPr>
      <w:r w:rsidRPr="00194C35">
        <w:rPr>
          <w:rStyle w:val="FootnoteReference"/>
        </w:rPr>
        <w:footnoteRef/>
      </w:r>
      <w:r w:rsidRPr="00E911D0">
        <w:rPr>
          <w:sz w:val="20"/>
          <w:szCs w:val="20"/>
          <w:lang w:val="es-ES"/>
        </w:rPr>
        <w:t xml:space="preserve"> </w:t>
      </w:r>
      <w:r w:rsidRPr="00E911D0">
        <w:rPr>
          <w:sz w:val="16"/>
          <w:szCs w:val="16"/>
          <w:lang w:val="es-ES"/>
        </w:rPr>
        <w:t>Ibid.</w:t>
      </w:r>
    </w:p>
  </w:footnote>
  <w:footnote w:id="13">
    <w:p w14:paraId="5646C211" w14:textId="77777777" w:rsidR="00383DB7" w:rsidRPr="00E911D0" w:rsidRDefault="00000000">
      <w:pPr>
        <w:spacing w:after="0" w:line="240" w:lineRule="auto"/>
        <w:jc w:val="both"/>
        <w:rPr>
          <w:sz w:val="20"/>
          <w:szCs w:val="20"/>
          <w:lang w:val="es-ES"/>
        </w:rPr>
      </w:pPr>
      <w:r w:rsidRPr="00194C35">
        <w:rPr>
          <w:rStyle w:val="FootnoteReference"/>
        </w:rPr>
        <w:footnoteRef/>
      </w:r>
      <w:r w:rsidRPr="00E911D0">
        <w:rPr>
          <w:sz w:val="20"/>
          <w:szCs w:val="20"/>
          <w:lang w:val="es-ES"/>
        </w:rPr>
        <w:t xml:space="preserve"> </w:t>
      </w:r>
      <w:r w:rsidRPr="00E911D0">
        <w:rPr>
          <w:sz w:val="16"/>
          <w:szCs w:val="16"/>
          <w:lang w:val="es-ES"/>
        </w:rPr>
        <w:t>Ibid.</w:t>
      </w:r>
    </w:p>
  </w:footnote>
  <w:footnote w:id="14">
    <w:p w14:paraId="738FD932" w14:textId="77777777" w:rsidR="00383DB7" w:rsidRPr="00E911D0" w:rsidRDefault="00000000">
      <w:pPr>
        <w:spacing w:after="0" w:line="240" w:lineRule="auto"/>
        <w:jc w:val="both"/>
        <w:rPr>
          <w:sz w:val="20"/>
          <w:szCs w:val="20"/>
          <w:lang w:val="es-ES"/>
        </w:rPr>
      </w:pPr>
      <w:r w:rsidRPr="00194C35">
        <w:rPr>
          <w:rStyle w:val="FootnoteReference"/>
        </w:rPr>
        <w:footnoteRef/>
      </w:r>
      <w:r w:rsidRPr="00E911D0">
        <w:rPr>
          <w:sz w:val="20"/>
          <w:szCs w:val="20"/>
          <w:lang w:val="es-ES"/>
        </w:rPr>
        <w:t xml:space="preserve"> </w:t>
      </w:r>
      <w:r w:rsidRPr="00E911D0">
        <w:rPr>
          <w:sz w:val="16"/>
          <w:szCs w:val="16"/>
          <w:lang w:val="es-ES"/>
        </w:rPr>
        <w:t>Ibid.</w:t>
      </w:r>
    </w:p>
  </w:footnote>
  <w:footnote w:id="15">
    <w:p w14:paraId="708C36E4" w14:textId="2E3CC934" w:rsidR="00383DB7" w:rsidRPr="00E911D0" w:rsidRDefault="00000000">
      <w:pPr>
        <w:pBdr>
          <w:top w:val="nil"/>
          <w:left w:val="nil"/>
          <w:bottom w:val="nil"/>
          <w:right w:val="nil"/>
          <w:between w:val="nil"/>
        </w:pBdr>
        <w:spacing w:after="0" w:line="240" w:lineRule="auto"/>
        <w:jc w:val="both"/>
        <w:rPr>
          <w:color w:val="000000"/>
          <w:sz w:val="16"/>
          <w:szCs w:val="16"/>
          <w:lang w:val="en-GB"/>
        </w:rPr>
      </w:pPr>
      <w:r w:rsidRPr="00194C35">
        <w:rPr>
          <w:rStyle w:val="FootnoteReference"/>
        </w:rPr>
        <w:footnoteRef/>
      </w:r>
      <w:r w:rsidRPr="00E911D0">
        <w:rPr>
          <w:color w:val="000000"/>
          <w:sz w:val="16"/>
          <w:szCs w:val="16"/>
          <w:lang w:val="es-ES"/>
        </w:rPr>
        <w:t xml:space="preserve"> Delgado et al. </w:t>
      </w:r>
      <w:r w:rsidRPr="006E529B">
        <w:rPr>
          <w:color w:val="000000"/>
          <w:sz w:val="16"/>
          <w:szCs w:val="16"/>
          <w:lang w:val="en-US"/>
        </w:rPr>
        <w:t xml:space="preserve">(2024). A Forgotten Maritime Highway: Maritime Cultural Heritage of the Emperor Seamounts with Implications for High Seas Conservation. </w:t>
      </w:r>
      <w:r w:rsidRPr="00E911D0">
        <w:rPr>
          <w:color w:val="000000"/>
          <w:sz w:val="16"/>
          <w:szCs w:val="16"/>
          <w:lang w:val="en-GB"/>
        </w:rPr>
        <w:t>Journal of Maritime Archaeology, 19(1), 41</w:t>
      </w:r>
      <w:r w:rsidR="001C42AE" w:rsidRPr="00E911D0">
        <w:rPr>
          <w:color w:val="000000"/>
          <w:sz w:val="16"/>
          <w:szCs w:val="16"/>
          <w:lang w:val="en-GB"/>
        </w:rPr>
        <w:t>–</w:t>
      </w:r>
      <w:r w:rsidRPr="00E911D0">
        <w:rPr>
          <w:color w:val="000000"/>
          <w:sz w:val="16"/>
          <w:szCs w:val="16"/>
          <w:lang w:val="en-GB"/>
        </w:rPr>
        <w:t>80.</w:t>
      </w:r>
    </w:p>
  </w:footnote>
  <w:footnote w:id="16">
    <w:p w14:paraId="4E22C00A" w14:textId="27517011" w:rsidR="00383DB7" w:rsidRPr="00E911D0" w:rsidRDefault="00000000">
      <w:pPr>
        <w:pBdr>
          <w:top w:val="nil"/>
          <w:left w:val="nil"/>
          <w:bottom w:val="nil"/>
          <w:right w:val="nil"/>
          <w:between w:val="nil"/>
        </w:pBdr>
        <w:spacing w:after="0" w:line="240" w:lineRule="auto"/>
        <w:jc w:val="both"/>
        <w:rPr>
          <w:color w:val="000000"/>
          <w:sz w:val="16"/>
          <w:szCs w:val="16"/>
          <w:lang w:val="en-GB"/>
        </w:rPr>
      </w:pPr>
      <w:r w:rsidRPr="00194C35">
        <w:rPr>
          <w:rStyle w:val="FootnoteReference"/>
        </w:rPr>
        <w:footnoteRef/>
      </w:r>
      <w:r w:rsidRPr="00E911D0">
        <w:rPr>
          <w:color w:val="000000"/>
          <w:sz w:val="16"/>
          <w:szCs w:val="16"/>
          <w:lang w:val="en-GB"/>
        </w:rPr>
        <w:t xml:space="preserve"> Du Preez et al. (2024).</w:t>
      </w:r>
      <w:r w:rsidR="001C42AE" w:rsidRPr="00E911D0">
        <w:rPr>
          <w:color w:val="000000"/>
          <w:sz w:val="16"/>
          <w:szCs w:val="16"/>
          <w:lang w:val="en-GB"/>
        </w:rPr>
        <w:t xml:space="preserve"> </w:t>
      </w:r>
      <w:r w:rsidRPr="00E911D0">
        <w:rPr>
          <w:i/>
          <w:color w:val="000000"/>
          <w:sz w:val="16"/>
          <w:szCs w:val="16"/>
          <w:lang w:val="en-GB"/>
        </w:rPr>
        <w:t xml:space="preserve">A Monitoring Framework for </w:t>
      </w:r>
      <w:proofErr w:type="spellStart"/>
      <w:r w:rsidRPr="00E911D0">
        <w:rPr>
          <w:i/>
          <w:color w:val="000000"/>
          <w:sz w:val="16"/>
          <w:szCs w:val="16"/>
          <w:lang w:val="en-GB"/>
        </w:rPr>
        <w:t>SG̲áan</w:t>
      </w:r>
      <w:proofErr w:type="spellEnd"/>
      <w:r w:rsidRPr="00E911D0">
        <w:rPr>
          <w:i/>
          <w:color w:val="000000"/>
          <w:sz w:val="16"/>
          <w:szCs w:val="16"/>
          <w:lang w:val="en-GB"/>
        </w:rPr>
        <w:t xml:space="preserve"> </w:t>
      </w:r>
      <w:proofErr w:type="spellStart"/>
      <w:r w:rsidRPr="00E911D0">
        <w:rPr>
          <w:i/>
          <w:color w:val="000000"/>
          <w:sz w:val="16"/>
          <w:szCs w:val="16"/>
          <w:lang w:val="en-GB"/>
        </w:rPr>
        <w:t>K̲ínghlas-Bowie</w:t>
      </w:r>
      <w:proofErr w:type="spellEnd"/>
      <w:r w:rsidRPr="00E911D0">
        <w:rPr>
          <w:i/>
          <w:color w:val="000000"/>
          <w:sz w:val="16"/>
          <w:szCs w:val="16"/>
          <w:lang w:val="en-GB"/>
        </w:rPr>
        <w:t xml:space="preserve"> Seamount Marine Protected Area, British Columbia, Canada</w:t>
      </w:r>
      <w:r w:rsidRPr="00E911D0">
        <w:rPr>
          <w:color w:val="000000"/>
          <w:sz w:val="16"/>
          <w:szCs w:val="16"/>
          <w:lang w:val="en-GB"/>
        </w:rPr>
        <w:t>. Canadian Science Advisory Secretariat (CSAS).</w:t>
      </w:r>
    </w:p>
  </w:footnote>
  <w:footnote w:id="17">
    <w:p w14:paraId="262E192D" w14:textId="77777777" w:rsidR="00383DB7" w:rsidRPr="00194C35" w:rsidRDefault="00000000">
      <w:pPr>
        <w:pBdr>
          <w:top w:val="nil"/>
          <w:left w:val="nil"/>
          <w:bottom w:val="nil"/>
          <w:right w:val="nil"/>
          <w:between w:val="nil"/>
        </w:pBdr>
        <w:spacing w:after="0" w:line="240" w:lineRule="auto"/>
        <w:jc w:val="both"/>
        <w:rPr>
          <w:color w:val="000000"/>
          <w:sz w:val="16"/>
          <w:szCs w:val="16"/>
        </w:rPr>
      </w:pPr>
      <w:r w:rsidRPr="00194C35">
        <w:rPr>
          <w:rStyle w:val="FootnoteReference"/>
        </w:rPr>
        <w:footnoteRef/>
      </w:r>
      <w:r w:rsidRPr="006E529B">
        <w:rPr>
          <w:color w:val="000000"/>
          <w:sz w:val="16"/>
          <w:szCs w:val="16"/>
          <w:lang w:val="en-US"/>
        </w:rPr>
        <w:t xml:space="preserve"> McLean et al. (2023). Connecting conservation &amp; culture: The importance of Indigenous Knowledge in conservation decision-making and resource management of migratory marine species. </w:t>
      </w:r>
      <w:r w:rsidRPr="00194C35">
        <w:rPr>
          <w:color w:val="000000"/>
          <w:sz w:val="16"/>
          <w:szCs w:val="16"/>
        </w:rPr>
        <w:t xml:space="preserve">Marine Policy, 155. </w:t>
      </w:r>
    </w:p>
  </w:footnote>
  <w:footnote w:id="18">
    <w:p w14:paraId="51888925" w14:textId="46D79A9B" w:rsidR="00383DB7" w:rsidRPr="00E911D0" w:rsidRDefault="00000000">
      <w:pPr>
        <w:pBdr>
          <w:top w:val="nil"/>
          <w:left w:val="nil"/>
          <w:bottom w:val="nil"/>
          <w:right w:val="nil"/>
          <w:between w:val="nil"/>
        </w:pBdr>
        <w:spacing w:after="0" w:line="240" w:lineRule="auto"/>
        <w:jc w:val="both"/>
        <w:rPr>
          <w:color w:val="000000"/>
          <w:sz w:val="16"/>
          <w:szCs w:val="16"/>
          <w:lang w:val="en-GB"/>
        </w:rPr>
      </w:pPr>
      <w:r w:rsidRPr="00194C35">
        <w:rPr>
          <w:rStyle w:val="FootnoteReference"/>
        </w:rPr>
        <w:footnoteRef/>
      </w:r>
      <w:r w:rsidRPr="00194C35">
        <w:rPr>
          <w:color w:val="000000"/>
          <w:sz w:val="16"/>
          <w:szCs w:val="16"/>
        </w:rPr>
        <w:t xml:space="preserve"> </w:t>
      </w:r>
      <w:proofErr w:type="spellStart"/>
      <w:r w:rsidRPr="00194C35">
        <w:rPr>
          <w:color w:val="000000"/>
          <w:sz w:val="16"/>
          <w:szCs w:val="16"/>
        </w:rPr>
        <w:t>Nisthar</w:t>
      </w:r>
      <w:proofErr w:type="spellEnd"/>
      <w:r w:rsidRPr="00194C35">
        <w:rPr>
          <w:color w:val="000000"/>
          <w:sz w:val="16"/>
          <w:szCs w:val="16"/>
        </w:rPr>
        <w:t xml:space="preserve">, D., </w:t>
      </w:r>
      <w:proofErr w:type="spellStart"/>
      <w:r w:rsidRPr="00194C35">
        <w:rPr>
          <w:color w:val="000000"/>
          <w:sz w:val="16"/>
          <w:szCs w:val="16"/>
        </w:rPr>
        <w:t>Fujioka</w:t>
      </w:r>
      <w:proofErr w:type="spellEnd"/>
      <w:r w:rsidRPr="00194C35">
        <w:rPr>
          <w:color w:val="000000"/>
          <w:sz w:val="16"/>
          <w:szCs w:val="16"/>
        </w:rPr>
        <w:t xml:space="preserve">, E., Dunn, D.C., </w:t>
      </w:r>
      <w:proofErr w:type="spellStart"/>
      <w:r w:rsidRPr="00194C35">
        <w:rPr>
          <w:color w:val="000000"/>
          <w:sz w:val="16"/>
          <w:szCs w:val="16"/>
        </w:rPr>
        <w:t>Curtice</w:t>
      </w:r>
      <w:proofErr w:type="spellEnd"/>
      <w:r w:rsidRPr="00194C35">
        <w:rPr>
          <w:color w:val="000000"/>
          <w:sz w:val="16"/>
          <w:szCs w:val="16"/>
        </w:rPr>
        <w:t xml:space="preserve">, C., </w:t>
      </w:r>
      <w:proofErr w:type="spellStart"/>
      <w:r w:rsidRPr="00194C35">
        <w:rPr>
          <w:color w:val="000000"/>
          <w:sz w:val="16"/>
          <w:szCs w:val="16"/>
        </w:rPr>
        <w:t>DeLand</w:t>
      </w:r>
      <w:proofErr w:type="spellEnd"/>
      <w:r w:rsidRPr="00194C35">
        <w:rPr>
          <w:color w:val="000000"/>
          <w:sz w:val="16"/>
          <w:szCs w:val="16"/>
        </w:rPr>
        <w:t xml:space="preserve">, S.E., Donnelly, B., Harrison, A-L., Heywood, E.I., Kot, C.Y., </w:t>
      </w:r>
      <w:proofErr w:type="spellStart"/>
      <w:r w:rsidRPr="00194C35">
        <w:rPr>
          <w:color w:val="000000"/>
          <w:sz w:val="16"/>
          <w:szCs w:val="16"/>
        </w:rPr>
        <w:t>Ortuño</w:t>
      </w:r>
      <w:proofErr w:type="spellEnd"/>
      <w:r w:rsidRPr="00194C35">
        <w:rPr>
          <w:color w:val="000000"/>
          <w:sz w:val="16"/>
          <w:szCs w:val="16"/>
        </w:rPr>
        <w:t xml:space="preserve"> </w:t>
      </w:r>
      <w:proofErr w:type="spellStart"/>
      <w:r w:rsidRPr="00194C35">
        <w:rPr>
          <w:color w:val="000000"/>
          <w:sz w:val="16"/>
          <w:szCs w:val="16"/>
        </w:rPr>
        <w:t>Crespo</w:t>
      </w:r>
      <w:proofErr w:type="spellEnd"/>
      <w:r w:rsidRPr="00194C35">
        <w:rPr>
          <w:color w:val="000000"/>
          <w:sz w:val="16"/>
          <w:szCs w:val="16"/>
        </w:rPr>
        <w:t xml:space="preserve">, G., Poulin, S., </w:t>
      </w:r>
      <w:proofErr w:type="spellStart"/>
      <w:r w:rsidRPr="00194C35">
        <w:rPr>
          <w:color w:val="000000"/>
          <w:sz w:val="16"/>
          <w:szCs w:val="16"/>
        </w:rPr>
        <w:t>Halpin</w:t>
      </w:r>
      <w:proofErr w:type="spellEnd"/>
      <w:r w:rsidRPr="00194C35">
        <w:rPr>
          <w:color w:val="000000"/>
          <w:sz w:val="16"/>
          <w:szCs w:val="16"/>
        </w:rPr>
        <w:t xml:space="preserve">, P.N. and Bentley, L.K., 2025. </w:t>
      </w:r>
      <w:r w:rsidRPr="006E529B">
        <w:rPr>
          <w:color w:val="000000"/>
          <w:sz w:val="16"/>
          <w:szCs w:val="16"/>
          <w:lang w:val="en-US"/>
        </w:rPr>
        <w:t xml:space="preserve">Migratory connectivity in the Lord Howe Rise and Tasman Sea: Insights from the </w:t>
      </w:r>
      <w:proofErr w:type="spellStart"/>
      <w:r w:rsidRPr="006E529B">
        <w:rPr>
          <w:color w:val="000000"/>
          <w:sz w:val="16"/>
          <w:szCs w:val="16"/>
          <w:lang w:val="en-US"/>
        </w:rPr>
        <w:t>MiCO</w:t>
      </w:r>
      <w:proofErr w:type="spellEnd"/>
      <w:r w:rsidRPr="006E529B">
        <w:rPr>
          <w:color w:val="000000"/>
          <w:sz w:val="16"/>
          <w:szCs w:val="16"/>
          <w:lang w:val="en-US"/>
        </w:rPr>
        <w:t xml:space="preserve"> system. In: A volcanic lost world: Proceedings of the Lord Howe Rise and South Tasman Sea Research Symposium (pp.</w:t>
      </w:r>
      <w:r w:rsidR="00D72C7C" w:rsidRPr="006E529B">
        <w:rPr>
          <w:color w:val="000000"/>
          <w:sz w:val="16"/>
          <w:szCs w:val="16"/>
          <w:lang w:val="en-US"/>
        </w:rPr>
        <w:t xml:space="preserve"> </w:t>
      </w:r>
      <w:r w:rsidRPr="006E529B">
        <w:rPr>
          <w:color w:val="000000"/>
          <w:sz w:val="16"/>
          <w:szCs w:val="16"/>
          <w:lang w:val="en-US"/>
        </w:rPr>
        <w:t xml:space="preserve">32–33). </w:t>
      </w:r>
      <w:r w:rsidRPr="00194C35">
        <w:rPr>
          <w:color w:val="000000"/>
          <w:sz w:val="16"/>
          <w:szCs w:val="16"/>
        </w:rPr>
        <w:t xml:space="preserve">Sydney, Australia.; </w:t>
      </w:r>
      <w:r w:rsidRPr="00194C35">
        <w:rPr>
          <w:b/>
          <w:color w:val="000000"/>
          <w:sz w:val="16"/>
          <w:szCs w:val="16"/>
        </w:rPr>
        <w:t>AND</w:t>
      </w:r>
      <w:r w:rsidRPr="00194C35">
        <w:rPr>
          <w:color w:val="000000"/>
          <w:sz w:val="16"/>
          <w:szCs w:val="16"/>
        </w:rPr>
        <w:t xml:space="preserve"> Derville, S., Allain, V., Bonneville, C., Garland, E. C., </w:t>
      </w:r>
      <w:proofErr w:type="spellStart"/>
      <w:r w:rsidRPr="00194C35">
        <w:rPr>
          <w:color w:val="000000"/>
          <w:sz w:val="16"/>
          <w:szCs w:val="16"/>
        </w:rPr>
        <w:t>Laran</w:t>
      </w:r>
      <w:proofErr w:type="spellEnd"/>
      <w:r w:rsidRPr="00194C35">
        <w:rPr>
          <w:color w:val="000000"/>
          <w:sz w:val="16"/>
          <w:szCs w:val="16"/>
        </w:rPr>
        <w:t xml:space="preserve">, S., Le Gendre, R., </w:t>
      </w:r>
      <w:proofErr w:type="spellStart"/>
      <w:r w:rsidRPr="00194C35">
        <w:rPr>
          <w:color w:val="000000"/>
          <w:sz w:val="16"/>
          <w:szCs w:val="16"/>
        </w:rPr>
        <w:t>Menkes</w:t>
      </w:r>
      <w:proofErr w:type="spellEnd"/>
      <w:r w:rsidRPr="00194C35">
        <w:rPr>
          <w:color w:val="000000"/>
          <w:sz w:val="16"/>
          <w:szCs w:val="16"/>
        </w:rPr>
        <w:t xml:space="preserve">, C., Oremus, M., Portal, A., Receveur, A., Torres, L. G., Vourey, E., </w:t>
      </w:r>
      <w:proofErr w:type="spellStart"/>
      <w:r w:rsidRPr="00194C35">
        <w:rPr>
          <w:color w:val="000000"/>
          <w:sz w:val="16"/>
          <w:szCs w:val="16"/>
        </w:rPr>
        <w:t>Zerbini</w:t>
      </w:r>
      <w:proofErr w:type="spellEnd"/>
      <w:r w:rsidRPr="00194C35">
        <w:rPr>
          <w:color w:val="000000"/>
          <w:sz w:val="16"/>
          <w:szCs w:val="16"/>
        </w:rPr>
        <w:t xml:space="preserve">, A., &amp; Garrigue, C. (2025). </w:t>
      </w:r>
      <w:r w:rsidRPr="006E529B">
        <w:rPr>
          <w:color w:val="000000"/>
          <w:sz w:val="16"/>
          <w:szCs w:val="16"/>
          <w:lang w:val="en-US"/>
        </w:rPr>
        <w:t>Two decades of research on cetacean seamount habitats in the Southwest Pacific. In: A volcanic lost world: Proceedings of the Lord Howe Rise and South Tasman Sea Research Symposium (pp. 34</w:t>
      </w:r>
      <w:r w:rsidR="001C42AE" w:rsidRPr="006E529B">
        <w:rPr>
          <w:color w:val="000000"/>
          <w:sz w:val="16"/>
          <w:szCs w:val="16"/>
          <w:lang w:val="en-US"/>
        </w:rPr>
        <w:t>–</w:t>
      </w:r>
      <w:r w:rsidRPr="006E529B">
        <w:rPr>
          <w:color w:val="000000"/>
          <w:sz w:val="16"/>
          <w:szCs w:val="16"/>
          <w:lang w:val="en-US"/>
        </w:rPr>
        <w:t xml:space="preserve">36). </w:t>
      </w:r>
      <w:r w:rsidRPr="00E911D0">
        <w:rPr>
          <w:color w:val="000000"/>
          <w:sz w:val="16"/>
          <w:szCs w:val="16"/>
          <w:lang w:val="en-GB"/>
        </w:rPr>
        <w:t>Sydney, Australia.</w:t>
      </w:r>
    </w:p>
  </w:footnote>
  <w:footnote w:id="19">
    <w:p w14:paraId="7E023A50" w14:textId="77777777" w:rsidR="00383DB7" w:rsidRPr="00E911D0" w:rsidRDefault="00000000">
      <w:pPr>
        <w:pBdr>
          <w:top w:val="nil"/>
          <w:left w:val="nil"/>
          <w:bottom w:val="nil"/>
          <w:right w:val="nil"/>
          <w:between w:val="nil"/>
        </w:pBdr>
        <w:spacing w:after="0" w:line="240" w:lineRule="auto"/>
        <w:jc w:val="both"/>
        <w:rPr>
          <w:color w:val="000000"/>
          <w:sz w:val="16"/>
          <w:szCs w:val="16"/>
          <w:lang w:val="en-GB"/>
        </w:rPr>
      </w:pPr>
      <w:r w:rsidRPr="00194C35">
        <w:rPr>
          <w:rStyle w:val="FootnoteReference"/>
        </w:rPr>
        <w:footnoteRef/>
      </w:r>
      <w:r w:rsidRPr="00E911D0">
        <w:rPr>
          <w:color w:val="000000"/>
          <w:sz w:val="16"/>
          <w:szCs w:val="16"/>
          <w:lang w:val="en-GB"/>
        </w:rPr>
        <w:t xml:space="preserve"> Weber et al. (2025). Shallow seamounts are “oases” and activity hubs for pelagic predators in a large-scale marine reserve. </w:t>
      </w:r>
      <w:proofErr w:type="spellStart"/>
      <w:r w:rsidRPr="00E911D0">
        <w:rPr>
          <w:color w:val="000000"/>
          <w:sz w:val="16"/>
          <w:szCs w:val="16"/>
          <w:lang w:val="en-GB"/>
        </w:rPr>
        <w:t>PLoS</w:t>
      </w:r>
      <w:proofErr w:type="spellEnd"/>
      <w:r w:rsidRPr="00E911D0">
        <w:rPr>
          <w:color w:val="000000"/>
          <w:sz w:val="16"/>
          <w:szCs w:val="16"/>
          <w:lang w:val="en-GB"/>
        </w:rPr>
        <w:t xml:space="preserve"> Biology, 23(2 February).</w:t>
      </w:r>
    </w:p>
  </w:footnote>
  <w:footnote w:id="20">
    <w:p w14:paraId="36840227" w14:textId="77777777" w:rsidR="00383DB7" w:rsidRPr="00E911D0" w:rsidRDefault="00000000">
      <w:pPr>
        <w:pBdr>
          <w:top w:val="nil"/>
          <w:left w:val="nil"/>
          <w:bottom w:val="nil"/>
          <w:right w:val="nil"/>
          <w:between w:val="nil"/>
        </w:pBdr>
        <w:spacing w:after="0" w:line="240" w:lineRule="auto"/>
        <w:jc w:val="both"/>
        <w:rPr>
          <w:color w:val="000000"/>
          <w:sz w:val="16"/>
          <w:szCs w:val="16"/>
          <w:lang w:val="en-GB"/>
        </w:rPr>
      </w:pPr>
      <w:r w:rsidRPr="00194C35">
        <w:rPr>
          <w:rStyle w:val="FootnoteReference"/>
        </w:rPr>
        <w:footnoteRef/>
      </w:r>
      <w:r w:rsidRPr="00E911D0">
        <w:rPr>
          <w:color w:val="000000"/>
          <w:sz w:val="16"/>
          <w:szCs w:val="16"/>
          <w:lang w:val="en-GB"/>
        </w:rPr>
        <w:t xml:space="preserve"> Morato</w:t>
      </w:r>
      <w:r w:rsidRPr="00E911D0">
        <w:rPr>
          <w:color w:val="000000"/>
          <w:sz w:val="16"/>
          <w:szCs w:val="16"/>
          <w:lang w:val="en-GB"/>
        </w:rPr>
        <w:t xml:space="preserve"> et al. (2012). Seamount physiography and biology in North-East Atlantic and Mediterranean Sea. </w:t>
      </w:r>
      <w:proofErr w:type="spellStart"/>
      <w:r w:rsidRPr="00E911D0">
        <w:rPr>
          <w:color w:val="000000"/>
          <w:sz w:val="16"/>
          <w:szCs w:val="16"/>
          <w:lang w:val="en-GB"/>
        </w:rPr>
        <w:t>Biogeosciences</w:t>
      </w:r>
      <w:proofErr w:type="spellEnd"/>
      <w:r w:rsidRPr="00E911D0">
        <w:rPr>
          <w:color w:val="000000"/>
          <w:sz w:val="16"/>
          <w:szCs w:val="16"/>
          <w:lang w:val="en-GB"/>
        </w:rPr>
        <w:t xml:space="preserve"> Discussions, 9(12).</w:t>
      </w:r>
    </w:p>
  </w:footnote>
  <w:footnote w:id="21">
    <w:p w14:paraId="01536C03" w14:textId="722FD75F" w:rsidR="00383DB7" w:rsidRPr="00E911D0" w:rsidRDefault="00000000">
      <w:pPr>
        <w:spacing w:after="0"/>
        <w:jc w:val="both"/>
        <w:rPr>
          <w:sz w:val="16"/>
          <w:szCs w:val="16"/>
          <w:lang w:val="en-GB"/>
        </w:rPr>
      </w:pPr>
      <w:r w:rsidRPr="00194C35">
        <w:rPr>
          <w:rStyle w:val="FootnoteReference"/>
        </w:rPr>
        <w:footnoteRef/>
      </w:r>
      <w:r w:rsidRPr="006E529B">
        <w:rPr>
          <w:lang w:val="en-US"/>
        </w:rPr>
        <w:t xml:space="preserve"> </w:t>
      </w:r>
      <w:r w:rsidRPr="006E529B">
        <w:rPr>
          <w:sz w:val="16"/>
          <w:szCs w:val="16"/>
          <w:lang w:val="en-US"/>
        </w:rPr>
        <w:t>Jones et al. (2014)</w:t>
      </w:r>
      <w:proofErr w:type="gramStart"/>
      <w:r w:rsidRPr="006E529B">
        <w:rPr>
          <w:sz w:val="16"/>
          <w:szCs w:val="16"/>
          <w:lang w:val="en-US"/>
        </w:rPr>
        <w:t>.</w:t>
      </w:r>
      <w:r w:rsidR="001C42AE" w:rsidRPr="006E529B">
        <w:rPr>
          <w:sz w:val="16"/>
          <w:szCs w:val="16"/>
          <w:lang w:val="en-US"/>
        </w:rPr>
        <w:t>”</w:t>
      </w:r>
      <w:r w:rsidRPr="006E529B">
        <w:rPr>
          <w:sz w:val="16"/>
          <w:szCs w:val="16"/>
          <w:lang w:val="en-US"/>
        </w:rPr>
        <w:t>Global</w:t>
      </w:r>
      <w:proofErr w:type="gramEnd"/>
      <w:r w:rsidRPr="006E529B">
        <w:rPr>
          <w:sz w:val="16"/>
          <w:szCs w:val="16"/>
          <w:lang w:val="en-US"/>
        </w:rPr>
        <w:t xml:space="preserve"> reductions in seafloor biomass in response to climate change.</w:t>
      </w:r>
      <w:r w:rsidR="001C42AE" w:rsidRPr="006E529B">
        <w:rPr>
          <w:sz w:val="16"/>
          <w:szCs w:val="16"/>
          <w:lang w:val="en-US"/>
        </w:rPr>
        <w:t>”</w:t>
      </w:r>
      <w:r w:rsidRPr="006E529B">
        <w:rPr>
          <w:sz w:val="16"/>
          <w:szCs w:val="16"/>
          <w:lang w:val="en-US"/>
        </w:rPr>
        <w:t xml:space="preserve"> </w:t>
      </w:r>
      <w:r w:rsidRPr="00E911D0">
        <w:rPr>
          <w:sz w:val="16"/>
          <w:szCs w:val="16"/>
          <w:lang w:val="en-GB"/>
        </w:rPr>
        <w:t>Global change biology 20.6:1861</w:t>
      </w:r>
      <w:r w:rsidR="001C42AE" w:rsidRPr="00E911D0">
        <w:rPr>
          <w:sz w:val="16"/>
          <w:szCs w:val="16"/>
          <w:lang w:val="en-GB"/>
        </w:rPr>
        <w:t>–</w:t>
      </w:r>
      <w:r w:rsidRPr="00E911D0">
        <w:rPr>
          <w:sz w:val="16"/>
          <w:szCs w:val="16"/>
          <w:lang w:val="en-GB"/>
        </w:rPr>
        <w:t>1872.; AND Ross et al. (2020). Rapid deep ocean deoxygenation and acidification threaten life on Northeast Pacific seamounts. Global change biology, 26(11), 6424</w:t>
      </w:r>
      <w:r w:rsidR="001C42AE" w:rsidRPr="00E911D0">
        <w:rPr>
          <w:sz w:val="16"/>
          <w:szCs w:val="16"/>
          <w:lang w:val="en-GB"/>
        </w:rPr>
        <w:t>–</w:t>
      </w:r>
      <w:r w:rsidRPr="00E911D0">
        <w:rPr>
          <w:sz w:val="16"/>
          <w:szCs w:val="16"/>
          <w:lang w:val="en-GB"/>
        </w:rPr>
        <w:t>6444.</w:t>
      </w:r>
    </w:p>
  </w:footnote>
  <w:footnote w:id="22">
    <w:p w14:paraId="78635A65" w14:textId="77777777" w:rsidR="00383DB7" w:rsidRPr="00E911D0" w:rsidRDefault="00000000">
      <w:pPr>
        <w:spacing w:after="0" w:line="240" w:lineRule="auto"/>
        <w:jc w:val="both"/>
        <w:rPr>
          <w:sz w:val="20"/>
          <w:szCs w:val="20"/>
          <w:lang w:val="en-GB"/>
        </w:rPr>
      </w:pPr>
      <w:r w:rsidRPr="00194C35">
        <w:rPr>
          <w:rStyle w:val="FootnoteReference"/>
        </w:rPr>
        <w:footnoteRef/>
      </w:r>
      <w:r w:rsidRPr="006E529B">
        <w:rPr>
          <w:sz w:val="20"/>
          <w:szCs w:val="20"/>
          <w:lang w:val="en-US"/>
        </w:rPr>
        <w:t xml:space="preserve"> </w:t>
      </w:r>
      <w:r w:rsidRPr="006E529B">
        <w:rPr>
          <w:sz w:val="16"/>
          <w:szCs w:val="16"/>
          <w:lang w:val="en-US"/>
        </w:rPr>
        <w:t xml:space="preserve">Pereira et al. (2025). Sinking microplastics at a deep-sea seamount in the North Atlantic: a year-long flux study. </w:t>
      </w:r>
      <w:r w:rsidRPr="00E911D0">
        <w:rPr>
          <w:sz w:val="16"/>
          <w:szCs w:val="16"/>
          <w:lang w:val="en-GB"/>
        </w:rPr>
        <w:t xml:space="preserve">Microplastics and </w:t>
      </w:r>
      <w:proofErr w:type="spellStart"/>
      <w:r w:rsidRPr="00E911D0">
        <w:rPr>
          <w:sz w:val="16"/>
          <w:szCs w:val="16"/>
          <w:lang w:val="en-GB"/>
        </w:rPr>
        <w:t>Nanoplastics</w:t>
      </w:r>
      <w:proofErr w:type="spellEnd"/>
      <w:r w:rsidRPr="00E911D0">
        <w:rPr>
          <w:sz w:val="16"/>
          <w:szCs w:val="16"/>
          <w:lang w:val="en-GB"/>
        </w:rPr>
        <w:t>, 5(1), 37.</w:t>
      </w:r>
    </w:p>
  </w:footnote>
  <w:footnote w:id="23">
    <w:p w14:paraId="168FD473" w14:textId="677491C7" w:rsidR="00383DB7" w:rsidRPr="00E911D0" w:rsidRDefault="00000000">
      <w:pPr>
        <w:pBdr>
          <w:top w:val="nil"/>
          <w:left w:val="nil"/>
          <w:bottom w:val="nil"/>
          <w:right w:val="nil"/>
          <w:between w:val="nil"/>
        </w:pBdr>
        <w:spacing w:after="0" w:line="240" w:lineRule="auto"/>
        <w:jc w:val="both"/>
        <w:rPr>
          <w:color w:val="000000"/>
          <w:sz w:val="16"/>
          <w:szCs w:val="16"/>
          <w:lang w:val="en-GB"/>
        </w:rPr>
      </w:pPr>
      <w:r w:rsidRPr="00194C35">
        <w:rPr>
          <w:rStyle w:val="FootnoteReference"/>
        </w:rPr>
        <w:footnoteRef/>
      </w:r>
      <w:r w:rsidRPr="006E529B">
        <w:rPr>
          <w:sz w:val="16"/>
          <w:szCs w:val="16"/>
          <w:lang w:val="en-US"/>
        </w:rPr>
        <w:t xml:space="preserve"> </w:t>
      </w:r>
      <w:r w:rsidRPr="006E529B">
        <w:rPr>
          <w:color w:val="000000"/>
          <w:sz w:val="16"/>
          <w:szCs w:val="16"/>
          <w:lang w:val="en-US"/>
        </w:rPr>
        <w:t>Clark, M.R. and Koslow, J.A., 2007. Impacts of fisheries on seamounts. Seamounts: Ecology, fisheries &amp; conservation, pp.</w:t>
      </w:r>
      <w:r w:rsidR="00D72C7C" w:rsidRPr="006E529B">
        <w:rPr>
          <w:color w:val="000000"/>
          <w:sz w:val="16"/>
          <w:szCs w:val="16"/>
          <w:lang w:val="en-US"/>
        </w:rPr>
        <w:t xml:space="preserve"> </w:t>
      </w:r>
      <w:r w:rsidRPr="006E529B">
        <w:rPr>
          <w:color w:val="000000"/>
          <w:sz w:val="16"/>
          <w:szCs w:val="16"/>
          <w:lang w:val="en-US"/>
        </w:rPr>
        <w:t>413</w:t>
      </w:r>
      <w:r w:rsidR="00D72C7C" w:rsidRPr="006E529B">
        <w:rPr>
          <w:color w:val="000000"/>
          <w:sz w:val="16"/>
          <w:szCs w:val="16"/>
          <w:lang w:val="en-US"/>
        </w:rPr>
        <w:t>–</w:t>
      </w:r>
      <w:r w:rsidRPr="006E529B">
        <w:rPr>
          <w:color w:val="000000"/>
          <w:sz w:val="16"/>
          <w:szCs w:val="16"/>
          <w:lang w:val="en-US"/>
        </w:rPr>
        <w:t>441; AND Koslow, J.A., 2001. Fish stocks and benthos of seamounts. Managing Risks to Biodiversity and the Environment on the High Sea, Including Tools Such as Marine Protected Areas-Scientific Requirements and Legal Aspects, p.</w:t>
      </w:r>
      <w:r w:rsidR="00D72C7C" w:rsidRPr="006E529B">
        <w:rPr>
          <w:color w:val="000000"/>
          <w:sz w:val="16"/>
          <w:szCs w:val="16"/>
          <w:lang w:val="en-US"/>
        </w:rPr>
        <w:t xml:space="preserve"> </w:t>
      </w:r>
      <w:r w:rsidRPr="006E529B">
        <w:rPr>
          <w:color w:val="000000"/>
          <w:sz w:val="16"/>
          <w:szCs w:val="16"/>
          <w:lang w:val="en-US"/>
        </w:rPr>
        <w:t xml:space="preserve">43.; AND Victorero, L., Watling, L., Deng Palomares, M.L. and </w:t>
      </w:r>
      <w:proofErr w:type="spellStart"/>
      <w:r w:rsidRPr="006E529B">
        <w:rPr>
          <w:color w:val="000000"/>
          <w:sz w:val="16"/>
          <w:szCs w:val="16"/>
          <w:lang w:val="en-US"/>
        </w:rPr>
        <w:t>Nouvian</w:t>
      </w:r>
      <w:proofErr w:type="spellEnd"/>
      <w:r w:rsidRPr="006E529B">
        <w:rPr>
          <w:color w:val="000000"/>
          <w:sz w:val="16"/>
          <w:szCs w:val="16"/>
          <w:lang w:val="en-US"/>
        </w:rPr>
        <w:t>, C., 2018. Out of sight, but within reach: A global history of bottom-trawled deep-sea fi</w:t>
      </w:r>
      <w:r w:rsidRPr="006E529B">
        <w:rPr>
          <w:color w:val="000000"/>
          <w:sz w:val="16"/>
          <w:szCs w:val="16"/>
          <w:lang w:val="en-US"/>
        </w:rPr>
        <w:t>sheries from&gt; 400</w:t>
      </w:r>
      <w:r w:rsidR="001C42AE" w:rsidRPr="006E529B">
        <w:rPr>
          <w:color w:val="000000"/>
          <w:sz w:val="16"/>
          <w:szCs w:val="16"/>
          <w:lang w:val="en-US"/>
        </w:rPr>
        <w:t> </w:t>
      </w:r>
      <w:r w:rsidRPr="006E529B">
        <w:rPr>
          <w:color w:val="000000"/>
          <w:sz w:val="16"/>
          <w:szCs w:val="16"/>
          <w:lang w:val="en-US"/>
        </w:rPr>
        <w:t xml:space="preserve">m depth. </w:t>
      </w:r>
      <w:r w:rsidRPr="00E911D0">
        <w:rPr>
          <w:color w:val="000000"/>
          <w:sz w:val="16"/>
          <w:szCs w:val="16"/>
          <w:lang w:val="en-GB"/>
        </w:rPr>
        <w:t>Frontiers in Marine Science, 5</w:t>
      </w:r>
      <w:r w:rsidR="006F13D1" w:rsidRPr="00E911D0">
        <w:rPr>
          <w:color w:val="000000"/>
          <w:sz w:val="16"/>
          <w:szCs w:val="16"/>
          <w:lang w:val="en-GB"/>
        </w:rPr>
        <w:t>.</w:t>
      </w:r>
    </w:p>
  </w:footnote>
  <w:footnote w:id="24">
    <w:p w14:paraId="26D5F341" w14:textId="77777777" w:rsidR="00383DB7" w:rsidRPr="00E911D0" w:rsidRDefault="00000000">
      <w:pPr>
        <w:pBdr>
          <w:top w:val="nil"/>
          <w:left w:val="nil"/>
          <w:bottom w:val="nil"/>
          <w:right w:val="nil"/>
          <w:between w:val="nil"/>
        </w:pBdr>
        <w:spacing w:after="0" w:line="240" w:lineRule="auto"/>
        <w:jc w:val="both"/>
        <w:rPr>
          <w:color w:val="000000"/>
          <w:sz w:val="20"/>
          <w:szCs w:val="20"/>
          <w:lang w:val="en-GB"/>
        </w:rPr>
      </w:pPr>
      <w:r w:rsidRPr="00194C35">
        <w:rPr>
          <w:rStyle w:val="FootnoteReference"/>
        </w:rPr>
        <w:footnoteRef/>
      </w:r>
      <w:r w:rsidRPr="00E911D0">
        <w:rPr>
          <w:color w:val="000000"/>
          <w:sz w:val="16"/>
          <w:szCs w:val="16"/>
          <w:lang w:val="en-GB"/>
        </w:rPr>
        <w:t xml:space="preserve"> Goode, S.L., Rowden, A.A., Bowden, D.A. and Clark, M.R., 2020. Resilience of seamount benthic communities to trawling disturbance. Marine Environmental Research, 161, p.105086.ence</w:t>
      </w:r>
    </w:p>
  </w:footnote>
  <w:footnote w:id="25">
    <w:p w14:paraId="78E1D648" w14:textId="4C851638" w:rsidR="00383DB7" w:rsidRPr="00E911D0" w:rsidRDefault="00000000">
      <w:pPr>
        <w:pBdr>
          <w:top w:val="nil"/>
          <w:left w:val="nil"/>
          <w:bottom w:val="nil"/>
          <w:right w:val="nil"/>
          <w:between w:val="nil"/>
        </w:pBdr>
        <w:spacing w:after="0" w:line="240" w:lineRule="auto"/>
        <w:jc w:val="both"/>
        <w:rPr>
          <w:color w:val="000000"/>
          <w:sz w:val="16"/>
          <w:szCs w:val="16"/>
          <w:lang w:val="en-GB"/>
        </w:rPr>
      </w:pPr>
      <w:r w:rsidRPr="00194C35">
        <w:rPr>
          <w:rStyle w:val="FootnoteReference"/>
        </w:rPr>
        <w:footnoteRef/>
      </w:r>
      <w:r w:rsidRPr="006E529B">
        <w:rPr>
          <w:color w:val="000000"/>
          <w:sz w:val="20"/>
          <w:szCs w:val="20"/>
          <w:lang w:val="en-US"/>
        </w:rPr>
        <w:t xml:space="preserve"> </w:t>
      </w:r>
      <w:r w:rsidRPr="006E529B">
        <w:rPr>
          <w:color w:val="000000"/>
          <w:sz w:val="16"/>
          <w:szCs w:val="16"/>
          <w:lang w:val="en-US"/>
        </w:rPr>
        <w:t xml:space="preserve">Clark, M.R., Althaus, F., </w:t>
      </w:r>
      <w:proofErr w:type="spellStart"/>
      <w:r w:rsidRPr="006E529B">
        <w:rPr>
          <w:color w:val="000000"/>
          <w:sz w:val="16"/>
          <w:szCs w:val="16"/>
          <w:lang w:val="en-US"/>
        </w:rPr>
        <w:t>Schlacher</w:t>
      </w:r>
      <w:proofErr w:type="spellEnd"/>
      <w:r w:rsidRPr="006E529B">
        <w:rPr>
          <w:color w:val="000000"/>
          <w:sz w:val="16"/>
          <w:szCs w:val="16"/>
          <w:lang w:val="en-US"/>
        </w:rPr>
        <w:t xml:space="preserve">, T.A., Williams, A., Bowden, D.A. and Rowden, A.A., 2016. The impacts of deep-sea fisheries on benthic communities: a review. </w:t>
      </w:r>
      <w:r w:rsidRPr="00E911D0">
        <w:rPr>
          <w:color w:val="000000"/>
          <w:sz w:val="16"/>
          <w:szCs w:val="16"/>
          <w:lang w:val="en-GB"/>
        </w:rPr>
        <w:t>ICES Journal of Marine Science, 73(suppl_1), pp.</w:t>
      </w:r>
      <w:r w:rsidR="00D72C7C" w:rsidRPr="00E911D0">
        <w:rPr>
          <w:color w:val="000000"/>
          <w:sz w:val="16"/>
          <w:szCs w:val="16"/>
          <w:lang w:val="en-GB"/>
        </w:rPr>
        <w:t xml:space="preserve"> </w:t>
      </w:r>
      <w:r w:rsidRPr="00E911D0">
        <w:rPr>
          <w:color w:val="000000"/>
          <w:sz w:val="16"/>
          <w:szCs w:val="16"/>
          <w:lang w:val="en-GB"/>
        </w:rPr>
        <w:t>i51-i69.  </w:t>
      </w:r>
    </w:p>
    <w:p w14:paraId="0AE687EA" w14:textId="77777777" w:rsidR="00383DB7" w:rsidRPr="006E529B" w:rsidRDefault="00000000">
      <w:pPr>
        <w:pBdr>
          <w:top w:val="nil"/>
          <w:left w:val="nil"/>
          <w:bottom w:val="nil"/>
          <w:right w:val="nil"/>
          <w:between w:val="nil"/>
        </w:pBdr>
        <w:spacing w:after="0" w:line="240" w:lineRule="auto"/>
        <w:jc w:val="both"/>
        <w:rPr>
          <w:color w:val="000000"/>
          <w:sz w:val="20"/>
          <w:szCs w:val="20"/>
          <w:lang w:val="en-US"/>
        </w:rPr>
      </w:pPr>
      <w:r w:rsidRPr="006E529B">
        <w:rPr>
          <w:color w:val="000000"/>
          <w:sz w:val="16"/>
          <w:szCs w:val="16"/>
          <w:lang w:val="en-US"/>
        </w:rPr>
        <w:t>and Rogers, A., 2012. An ecosystem approach to management of seamounts in the Southern Indian Ocean: volume 1: overview of seamount ecosystems and biodiversity.</w:t>
      </w:r>
    </w:p>
  </w:footnote>
  <w:footnote w:id="26">
    <w:p w14:paraId="48F8C3F2" w14:textId="15F0C50A" w:rsidR="00383DB7" w:rsidRPr="006E529B" w:rsidRDefault="00000000">
      <w:pPr>
        <w:pBdr>
          <w:top w:val="nil"/>
          <w:left w:val="nil"/>
          <w:bottom w:val="nil"/>
          <w:right w:val="nil"/>
          <w:between w:val="nil"/>
        </w:pBdr>
        <w:spacing w:after="0" w:line="240" w:lineRule="auto"/>
        <w:jc w:val="both"/>
        <w:rPr>
          <w:color w:val="000000"/>
          <w:sz w:val="20"/>
          <w:szCs w:val="20"/>
          <w:lang w:val="en-US"/>
        </w:rPr>
      </w:pPr>
      <w:r w:rsidRPr="00194C35">
        <w:rPr>
          <w:rStyle w:val="FootnoteReference"/>
        </w:rPr>
        <w:footnoteRef/>
      </w:r>
      <w:r w:rsidRPr="006E529B">
        <w:rPr>
          <w:color w:val="000000"/>
          <w:sz w:val="20"/>
          <w:szCs w:val="20"/>
          <w:lang w:val="en-US"/>
        </w:rPr>
        <w:t xml:space="preserve"> </w:t>
      </w:r>
      <w:r w:rsidRPr="006E529B">
        <w:rPr>
          <w:color w:val="000000"/>
          <w:sz w:val="16"/>
          <w:szCs w:val="16"/>
          <w:lang w:val="en-US"/>
        </w:rPr>
        <w:t>Clarke, M., 2007. Seamounts and cephalopods. Seamounts: Ecology, Fisheries &amp; Conservation, pp.</w:t>
      </w:r>
      <w:r w:rsidR="00D72C7C" w:rsidRPr="006E529B">
        <w:rPr>
          <w:color w:val="000000"/>
          <w:sz w:val="16"/>
          <w:szCs w:val="16"/>
          <w:lang w:val="en-US"/>
        </w:rPr>
        <w:t xml:space="preserve"> </w:t>
      </w:r>
      <w:r w:rsidRPr="006E529B">
        <w:rPr>
          <w:color w:val="000000"/>
          <w:sz w:val="16"/>
          <w:szCs w:val="16"/>
          <w:lang w:val="en-US"/>
        </w:rPr>
        <w:t>207</w:t>
      </w:r>
      <w:r w:rsidR="00D72C7C" w:rsidRPr="006E529B">
        <w:rPr>
          <w:color w:val="000000"/>
          <w:sz w:val="16"/>
          <w:szCs w:val="16"/>
          <w:lang w:val="en-US"/>
        </w:rPr>
        <w:t>–</w:t>
      </w:r>
      <w:r w:rsidRPr="006E529B">
        <w:rPr>
          <w:color w:val="000000"/>
          <w:sz w:val="16"/>
          <w:szCs w:val="16"/>
          <w:lang w:val="en-US"/>
        </w:rPr>
        <w:t>229.</w:t>
      </w:r>
    </w:p>
  </w:footnote>
  <w:footnote w:id="27">
    <w:p w14:paraId="0A81EDA3" w14:textId="0304C3CD" w:rsidR="00383DB7" w:rsidRPr="00E911D0" w:rsidRDefault="00000000">
      <w:pPr>
        <w:pBdr>
          <w:top w:val="nil"/>
          <w:left w:val="nil"/>
          <w:bottom w:val="nil"/>
          <w:right w:val="nil"/>
          <w:between w:val="nil"/>
        </w:pBdr>
        <w:spacing w:after="0" w:line="240" w:lineRule="auto"/>
        <w:jc w:val="both"/>
        <w:rPr>
          <w:color w:val="000000"/>
          <w:sz w:val="20"/>
          <w:szCs w:val="20"/>
          <w:lang w:val="en-GB"/>
        </w:rPr>
      </w:pPr>
      <w:r w:rsidRPr="00194C35">
        <w:rPr>
          <w:rStyle w:val="FootnoteReference"/>
        </w:rPr>
        <w:footnoteRef/>
      </w:r>
      <w:r w:rsidRPr="00E911D0">
        <w:rPr>
          <w:color w:val="000000"/>
          <w:sz w:val="20"/>
          <w:szCs w:val="20"/>
          <w:lang w:val="en-US"/>
        </w:rPr>
        <w:t xml:space="preserve"> </w:t>
      </w:r>
      <w:r w:rsidRPr="00E911D0">
        <w:rPr>
          <w:color w:val="000000"/>
          <w:sz w:val="16"/>
          <w:szCs w:val="16"/>
          <w:lang w:val="en-US"/>
        </w:rPr>
        <w:t xml:space="preserve">Lewison, R.L., Crowder, L.B., Wallace, B.P., Moore, J.E., Cox, T., </w:t>
      </w:r>
      <w:proofErr w:type="spellStart"/>
      <w:r w:rsidRPr="00E911D0">
        <w:rPr>
          <w:color w:val="000000"/>
          <w:sz w:val="16"/>
          <w:szCs w:val="16"/>
          <w:lang w:val="en-US"/>
        </w:rPr>
        <w:t>Zydelis</w:t>
      </w:r>
      <w:proofErr w:type="spellEnd"/>
      <w:r w:rsidRPr="00E911D0">
        <w:rPr>
          <w:color w:val="000000"/>
          <w:sz w:val="16"/>
          <w:szCs w:val="16"/>
          <w:lang w:val="en-US"/>
        </w:rPr>
        <w:t xml:space="preserve">, R., McDonald, S., DiMatteo, A., Dunn, D.C., Kot, C.Y. and Bjorkland, R., 2014. </w:t>
      </w:r>
      <w:r w:rsidRPr="00E911D0">
        <w:rPr>
          <w:color w:val="000000"/>
          <w:sz w:val="16"/>
          <w:szCs w:val="16"/>
          <w:lang w:val="en-GB"/>
        </w:rPr>
        <w:t>Global patterns of marine mammal, seabird, and sea turtle bycatch reveal taxa-specific and cumulative megafauna hotspots. Proceedings of the National Academy of Sciences, 111(14), pp.</w:t>
      </w:r>
      <w:r w:rsidR="00D72C7C" w:rsidRPr="00E911D0">
        <w:rPr>
          <w:color w:val="000000"/>
          <w:sz w:val="16"/>
          <w:szCs w:val="16"/>
          <w:lang w:val="en-GB"/>
        </w:rPr>
        <w:t xml:space="preserve"> </w:t>
      </w:r>
      <w:r w:rsidRPr="00E911D0">
        <w:rPr>
          <w:color w:val="000000"/>
          <w:sz w:val="16"/>
          <w:szCs w:val="16"/>
          <w:lang w:val="en-GB"/>
        </w:rPr>
        <w:t>5271</w:t>
      </w:r>
      <w:r w:rsidR="00D72C7C" w:rsidRPr="00E911D0">
        <w:rPr>
          <w:color w:val="000000"/>
          <w:sz w:val="16"/>
          <w:szCs w:val="16"/>
          <w:lang w:val="en-GB"/>
        </w:rPr>
        <w:t>–</w:t>
      </w:r>
      <w:r w:rsidRPr="00E911D0">
        <w:rPr>
          <w:color w:val="000000"/>
          <w:sz w:val="16"/>
          <w:szCs w:val="16"/>
          <w:lang w:val="en-GB"/>
        </w:rPr>
        <w:t>5276</w:t>
      </w:r>
      <w:r w:rsidRPr="00E911D0">
        <w:rPr>
          <w:color w:val="000000"/>
          <w:sz w:val="20"/>
          <w:szCs w:val="20"/>
          <w:lang w:val="en-GB"/>
        </w:rPr>
        <w:t>.</w:t>
      </w:r>
    </w:p>
  </w:footnote>
  <w:footnote w:id="28">
    <w:p w14:paraId="35864E12" w14:textId="47E3F770" w:rsidR="00383DB7" w:rsidRPr="00E911D0" w:rsidRDefault="00000000">
      <w:pPr>
        <w:spacing w:after="0"/>
        <w:jc w:val="both"/>
        <w:rPr>
          <w:sz w:val="16"/>
          <w:szCs w:val="16"/>
          <w:lang w:val="en-GB"/>
        </w:rPr>
      </w:pPr>
      <w:r w:rsidRPr="00194C35">
        <w:rPr>
          <w:rStyle w:val="FootnoteReference"/>
        </w:rPr>
        <w:footnoteRef/>
      </w:r>
      <w:r w:rsidRPr="00E911D0">
        <w:rPr>
          <w:lang w:val="en-GB"/>
        </w:rPr>
        <w:t xml:space="preserve"> </w:t>
      </w:r>
      <w:r w:rsidRPr="00E911D0">
        <w:rPr>
          <w:sz w:val="16"/>
          <w:szCs w:val="16"/>
          <w:lang w:val="en-GB"/>
        </w:rPr>
        <w:t>Lewison et al. (2004). Understanding impacts of fisheries bycatch on marine megafauna. Trends in ecology &amp; evolution, 19(11), 598</w:t>
      </w:r>
      <w:r w:rsidR="001C42AE" w:rsidRPr="00E911D0">
        <w:rPr>
          <w:sz w:val="16"/>
          <w:szCs w:val="16"/>
          <w:lang w:val="en-GB"/>
        </w:rPr>
        <w:t>–</w:t>
      </w:r>
      <w:r w:rsidRPr="00E911D0">
        <w:rPr>
          <w:sz w:val="16"/>
          <w:szCs w:val="16"/>
          <w:lang w:val="en-GB"/>
        </w:rPr>
        <w:t>604.</w:t>
      </w:r>
    </w:p>
  </w:footnote>
  <w:footnote w:id="29">
    <w:p w14:paraId="7C6DE9CB" w14:textId="77777777" w:rsidR="00383DB7" w:rsidRPr="00E911D0" w:rsidRDefault="00000000">
      <w:pPr>
        <w:spacing w:after="0"/>
        <w:jc w:val="both"/>
        <w:rPr>
          <w:sz w:val="16"/>
          <w:szCs w:val="16"/>
          <w:lang w:val="en-GB"/>
        </w:rPr>
      </w:pPr>
      <w:r w:rsidRPr="00194C35">
        <w:rPr>
          <w:rStyle w:val="FootnoteReference"/>
        </w:rPr>
        <w:footnoteRef/>
      </w:r>
      <w:r w:rsidRPr="00E911D0">
        <w:rPr>
          <w:lang w:val="en-GB"/>
        </w:rPr>
        <w:t xml:space="preserve"> </w:t>
      </w:r>
      <w:r w:rsidRPr="00E911D0">
        <w:rPr>
          <w:sz w:val="16"/>
          <w:szCs w:val="16"/>
          <w:lang w:val="en-GB"/>
        </w:rPr>
        <w:t>Munneke (2024). The impact of bottom trawling fisheries on marine mammals-A review.</w:t>
      </w:r>
    </w:p>
  </w:footnote>
  <w:footnote w:id="30">
    <w:p w14:paraId="1FAF081C" w14:textId="77777777" w:rsidR="00383DB7" w:rsidRPr="00194C35" w:rsidRDefault="00000000">
      <w:pPr>
        <w:spacing w:after="0" w:line="240" w:lineRule="auto"/>
        <w:jc w:val="both"/>
        <w:rPr>
          <w:sz w:val="20"/>
          <w:szCs w:val="20"/>
        </w:rPr>
      </w:pPr>
      <w:r w:rsidRPr="00194C35">
        <w:rPr>
          <w:rStyle w:val="FootnoteReference"/>
        </w:rPr>
        <w:footnoteRef/>
      </w:r>
      <w:r w:rsidRPr="00194C35">
        <w:rPr>
          <w:sz w:val="16"/>
          <w:szCs w:val="16"/>
        </w:rPr>
        <w:t>Ibid.</w:t>
      </w:r>
    </w:p>
  </w:footnote>
  <w:footnote w:id="31">
    <w:p w14:paraId="18D6DB4A" w14:textId="77777777" w:rsidR="00383DB7" w:rsidRPr="00194C35" w:rsidRDefault="00000000">
      <w:pPr>
        <w:spacing w:after="0" w:line="240" w:lineRule="auto"/>
        <w:jc w:val="both"/>
        <w:rPr>
          <w:sz w:val="16"/>
          <w:szCs w:val="16"/>
        </w:rPr>
      </w:pPr>
      <w:r w:rsidRPr="00194C35">
        <w:rPr>
          <w:rStyle w:val="FootnoteReference"/>
        </w:rPr>
        <w:footnoteRef/>
      </w:r>
      <w:r w:rsidRPr="00194C35">
        <w:rPr>
          <w:sz w:val="16"/>
          <w:szCs w:val="16"/>
        </w:rPr>
        <w:t xml:space="preserve"> Ibid.</w:t>
      </w:r>
    </w:p>
  </w:footnote>
  <w:footnote w:id="32">
    <w:p w14:paraId="05A75371" w14:textId="77777777" w:rsidR="00383DB7" w:rsidRPr="00E911D0" w:rsidRDefault="00000000">
      <w:pPr>
        <w:spacing w:after="0" w:line="240" w:lineRule="auto"/>
        <w:jc w:val="both"/>
        <w:rPr>
          <w:sz w:val="16"/>
          <w:szCs w:val="16"/>
          <w:lang w:val="en-GB"/>
        </w:rPr>
      </w:pPr>
      <w:r w:rsidRPr="00194C35">
        <w:rPr>
          <w:rStyle w:val="FootnoteReference"/>
        </w:rPr>
        <w:footnoteRef/>
      </w:r>
      <w:r w:rsidRPr="00194C35">
        <w:rPr>
          <w:vertAlign w:val="superscript"/>
        </w:rPr>
        <w:t xml:space="preserve"> </w:t>
      </w:r>
      <w:proofErr w:type="spellStart"/>
      <w:r w:rsidRPr="00194C35">
        <w:rPr>
          <w:sz w:val="16"/>
          <w:szCs w:val="16"/>
        </w:rPr>
        <w:t>Letessier</w:t>
      </w:r>
      <w:proofErr w:type="spellEnd"/>
      <w:r w:rsidRPr="00194C35">
        <w:rPr>
          <w:sz w:val="16"/>
          <w:szCs w:val="16"/>
        </w:rPr>
        <w:t xml:space="preserve"> et al. </w:t>
      </w:r>
      <w:r w:rsidRPr="00E911D0">
        <w:rPr>
          <w:sz w:val="16"/>
          <w:szCs w:val="16"/>
          <w:lang w:val="en-GB"/>
        </w:rPr>
        <w:t xml:space="preserve">(2019). Remote reefs and seamounts are the last refuges for marine predators across the Indo-Pacific. </w:t>
      </w:r>
      <w:proofErr w:type="spellStart"/>
      <w:r w:rsidRPr="00E911D0">
        <w:rPr>
          <w:sz w:val="16"/>
          <w:szCs w:val="16"/>
          <w:lang w:val="en-GB"/>
        </w:rPr>
        <w:t>PLoS</w:t>
      </w:r>
      <w:proofErr w:type="spellEnd"/>
      <w:r w:rsidRPr="00E911D0">
        <w:rPr>
          <w:sz w:val="16"/>
          <w:szCs w:val="16"/>
          <w:lang w:val="en-GB"/>
        </w:rPr>
        <w:t xml:space="preserve"> Biology</w:t>
      </w:r>
      <w:r w:rsidRPr="00E911D0">
        <w:rPr>
          <w:sz w:val="16"/>
          <w:szCs w:val="16"/>
          <w:lang w:val="en-GB"/>
        </w:rPr>
        <w:t>, 17(8), e3000366.</w:t>
      </w:r>
    </w:p>
  </w:footnote>
  <w:footnote w:id="33">
    <w:p w14:paraId="7F38DA4F" w14:textId="77777777" w:rsidR="00383DB7" w:rsidRPr="00E911D0" w:rsidRDefault="00000000">
      <w:pPr>
        <w:pBdr>
          <w:top w:val="nil"/>
          <w:left w:val="nil"/>
          <w:bottom w:val="nil"/>
          <w:right w:val="nil"/>
          <w:between w:val="nil"/>
        </w:pBdr>
        <w:spacing w:after="0" w:line="240" w:lineRule="auto"/>
        <w:jc w:val="both"/>
        <w:rPr>
          <w:color w:val="000000"/>
          <w:sz w:val="16"/>
          <w:szCs w:val="16"/>
          <w:lang w:val="en-GB"/>
        </w:rPr>
      </w:pPr>
      <w:r w:rsidRPr="00194C35">
        <w:rPr>
          <w:rStyle w:val="FootnoteReference"/>
        </w:rPr>
        <w:footnoteRef/>
      </w:r>
      <w:r w:rsidRPr="00E911D0">
        <w:rPr>
          <w:color w:val="000000"/>
          <w:sz w:val="16"/>
          <w:szCs w:val="16"/>
          <w:lang w:val="en-GB"/>
        </w:rPr>
        <w:t xml:space="preserve"> Thompson et al. (2024). Remote seamounts are key conservation priorities for pelagic wildlife. Conservation Letters, 17(1). </w:t>
      </w:r>
    </w:p>
  </w:footnote>
  <w:footnote w:id="34">
    <w:p w14:paraId="431BF4BF" w14:textId="77777777" w:rsidR="00383DB7" w:rsidRPr="00E911D0" w:rsidRDefault="00000000">
      <w:pPr>
        <w:pBdr>
          <w:top w:val="nil"/>
          <w:left w:val="nil"/>
          <w:bottom w:val="nil"/>
          <w:right w:val="nil"/>
          <w:between w:val="nil"/>
        </w:pBdr>
        <w:spacing w:after="0" w:line="240" w:lineRule="auto"/>
        <w:jc w:val="both"/>
        <w:rPr>
          <w:color w:val="000000"/>
          <w:sz w:val="16"/>
          <w:szCs w:val="16"/>
          <w:lang w:val="en-GB"/>
        </w:rPr>
      </w:pPr>
      <w:r w:rsidRPr="00194C35">
        <w:rPr>
          <w:rStyle w:val="FootnoteReference"/>
        </w:rPr>
        <w:footnoteRef/>
      </w:r>
      <w:r w:rsidRPr="00E911D0">
        <w:rPr>
          <w:color w:val="000000"/>
          <w:sz w:val="16"/>
          <w:szCs w:val="16"/>
          <w:lang w:val="en-GB"/>
        </w:rPr>
        <w:t xml:space="preserve"> Ibid. </w:t>
      </w:r>
    </w:p>
  </w:footnote>
  <w:footnote w:id="35">
    <w:p w14:paraId="22891A88" w14:textId="3B87ACCA" w:rsidR="00383DB7" w:rsidRPr="00E911D0" w:rsidRDefault="00000000">
      <w:pPr>
        <w:pBdr>
          <w:top w:val="nil"/>
          <w:left w:val="nil"/>
          <w:bottom w:val="nil"/>
          <w:right w:val="nil"/>
          <w:between w:val="nil"/>
        </w:pBdr>
        <w:spacing w:after="0" w:line="240" w:lineRule="auto"/>
        <w:jc w:val="both"/>
        <w:rPr>
          <w:i/>
          <w:color w:val="000000" w:themeColor="text1"/>
          <w:sz w:val="16"/>
          <w:szCs w:val="16"/>
          <w:lang w:val="en-GB"/>
        </w:rPr>
      </w:pPr>
      <w:r w:rsidRPr="00194C35">
        <w:rPr>
          <w:rStyle w:val="FootnoteReference"/>
        </w:rPr>
        <w:footnoteRef/>
      </w:r>
      <w:r w:rsidRPr="006E529B">
        <w:rPr>
          <w:color w:val="000000"/>
          <w:sz w:val="16"/>
          <w:szCs w:val="16"/>
          <w:lang w:val="en-US"/>
        </w:rPr>
        <w:t xml:space="preserve"> </w:t>
      </w:r>
      <w:r w:rsidRPr="006E529B">
        <w:rPr>
          <w:sz w:val="16"/>
          <w:szCs w:val="16"/>
          <w:lang w:val="en-US"/>
        </w:rPr>
        <w:t>Bell et al. (2019). Scientific Approaches for the Assessment and Management of Deep-Sea Fisheries and Ecosystems in RFMOs and RFB</w:t>
      </w:r>
      <w:r w:rsidR="00194C35" w:rsidRPr="006E529B">
        <w:rPr>
          <w:sz w:val="16"/>
          <w:szCs w:val="16"/>
          <w:lang w:val="en-US"/>
        </w:rPr>
        <w:t>:</w:t>
      </w:r>
      <w:r w:rsidRPr="006E529B">
        <w:rPr>
          <w:sz w:val="16"/>
          <w:szCs w:val="16"/>
          <w:lang w:val="en-US"/>
        </w:rPr>
        <w:t xml:space="preserve"> Final Report (Publications Office of the European Union). Available at: </w:t>
      </w:r>
      <w:hyperlink r:id="rId3">
        <w:r w:rsidR="00383DB7" w:rsidRPr="006E529B">
          <w:rPr>
            <w:color w:val="1155CC"/>
            <w:sz w:val="16"/>
            <w:szCs w:val="16"/>
            <w:u w:val="single"/>
            <w:lang w:val="en-US"/>
          </w:rPr>
          <w:t>http://op.europa.eu/en/publication-detail/-/publication/0f2b559b-4610-11e9-a8ed-01aa75ed71a1</w:t>
        </w:r>
      </w:hyperlink>
      <w:r w:rsidRPr="006E529B">
        <w:rPr>
          <w:sz w:val="16"/>
          <w:szCs w:val="16"/>
          <w:lang w:val="en-US"/>
        </w:rPr>
        <w:t xml:space="preserve"> (Accessed June 28, 2025) </w:t>
      </w:r>
      <w:r w:rsidRPr="006E529B">
        <w:rPr>
          <w:b/>
          <w:sz w:val="16"/>
          <w:szCs w:val="16"/>
          <w:lang w:val="en-US"/>
        </w:rPr>
        <w:t>OR</w:t>
      </w:r>
      <w:r w:rsidR="001C42AE" w:rsidRPr="006E529B">
        <w:rPr>
          <w:sz w:val="16"/>
          <w:szCs w:val="16"/>
          <w:lang w:val="en-US"/>
        </w:rPr>
        <w:t> </w:t>
      </w:r>
      <w:r w:rsidRPr="006E529B">
        <w:rPr>
          <w:sz w:val="16"/>
          <w:szCs w:val="16"/>
          <w:lang w:val="en-US"/>
        </w:rPr>
        <w:t xml:space="preserve">Thompson, A.B. and Reid, K. 2024. </w:t>
      </w:r>
      <w:r w:rsidRPr="00E911D0">
        <w:rPr>
          <w:sz w:val="16"/>
          <w:szCs w:val="16"/>
          <w:lang w:val="en-GB"/>
        </w:rPr>
        <w:t>Review of the implementation</w:t>
      </w:r>
      <w:r w:rsidRPr="00E911D0">
        <w:rPr>
          <w:sz w:val="16"/>
          <w:szCs w:val="16"/>
          <w:lang w:val="en-GB"/>
        </w:rPr>
        <w:t xml:space="preserve"> of the International Guidelines for the Management of Deep-sea Fisheries in the High Seas. FAO Fisheries and Aquaculture Technical Paper, No. 703. Rome, FAO. </w:t>
      </w:r>
      <w:hyperlink r:id="rId4">
        <w:r w:rsidR="00383DB7" w:rsidRPr="00E911D0">
          <w:rPr>
            <w:color w:val="1155CC"/>
            <w:sz w:val="16"/>
            <w:szCs w:val="16"/>
            <w:u w:val="single"/>
            <w:lang w:val="en-GB"/>
          </w:rPr>
          <w:t>https://doi.org/10.4060/cd0243en</w:t>
        </w:r>
      </w:hyperlink>
      <w:r w:rsidR="006F13D1" w:rsidRPr="00E911D0">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7C1BB" w14:textId="77777777" w:rsidR="00DE61D3" w:rsidRPr="00194C35" w:rsidRDefault="00A9038F">
    <w:pPr>
      <w:pBdr>
        <w:top w:val="nil"/>
        <w:left w:val="nil"/>
        <w:bottom w:val="single" w:sz="4" w:space="1" w:color="000000"/>
        <w:right w:val="nil"/>
        <w:between w:val="nil"/>
      </w:pBdr>
      <w:tabs>
        <w:tab w:val="center" w:pos="4680"/>
        <w:tab w:val="right" w:pos="9360"/>
      </w:tabs>
      <w:spacing w:after="0" w:line="240" w:lineRule="auto"/>
      <w:rPr>
        <w:i/>
        <w:color w:val="000000"/>
        <w:sz w:val="18"/>
        <w:szCs w:val="18"/>
      </w:rPr>
    </w:pPr>
    <w:r w:rsidRPr="00194C35">
      <w:rPr>
        <w:i/>
        <w:color w:val="000000"/>
        <w:sz w:val="18"/>
        <w:szCs w:val="18"/>
      </w:rPr>
      <w:t>UNEP/CMS/COP13/</w:t>
    </w:r>
    <w:proofErr w:type="spellStart"/>
    <w:r w:rsidRPr="00194C35">
      <w:rPr>
        <w:i/>
        <w:color w:val="000000"/>
        <w:sz w:val="18"/>
        <w:szCs w:val="18"/>
      </w:rPr>
      <w:t>Doc.</w:t>
    </w:r>
    <w:r w:rsidRPr="00194C35">
      <w:rPr>
        <w:i/>
        <w:vanish/>
        <w:color w:val="000000"/>
        <w:sz w:val="18"/>
        <w:szCs w:val="18"/>
        <w:highlight w:val="yellow"/>
      </w:rPr>
      <w:t>XX</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E55D9" w14:textId="7C0B7E9A" w:rsidR="00752823" w:rsidRPr="00194C35" w:rsidRDefault="00752823">
    <w:pPr>
      <w:pBdr>
        <w:top w:val="nil"/>
        <w:left w:val="nil"/>
        <w:bottom w:val="single" w:sz="4" w:space="1" w:color="000000"/>
        <w:right w:val="nil"/>
        <w:between w:val="nil"/>
      </w:pBdr>
      <w:tabs>
        <w:tab w:val="center" w:pos="4680"/>
        <w:tab w:val="right" w:pos="9360"/>
      </w:tabs>
      <w:spacing w:after="0" w:line="240" w:lineRule="auto"/>
      <w:rPr>
        <w:i/>
        <w:color w:val="000000"/>
        <w:sz w:val="18"/>
        <w:szCs w:val="18"/>
      </w:rPr>
    </w:pPr>
    <w:r w:rsidRPr="00194C35">
      <w:rPr>
        <w:i/>
        <w:color w:val="000000"/>
        <w:sz w:val="18"/>
        <w:szCs w:val="18"/>
      </w:rPr>
      <w:t xml:space="preserve">UNEP/CMS/COP15/Doc.25.3.3/Annexe </w:t>
    </w:r>
    <w:r>
      <w:rPr>
        <w:i/>
        <w:color w:val="000000"/>
        <w:sz w:val="18"/>
        <w:szCs w:val="18"/>
      </w:rPr>
      <w:t>2</w:t>
    </w:r>
  </w:p>
  <w:p w14:paraId="703023DF" w14:textId="77777777" w:rsidR="00752823" w:rsidRPr="00194C35" w:rsidRDefault="00752823">
    <w:pPr>
      <w:tabs>
        <w:tab w:val="center" w:pos="4680"/>
        <w:tab w:val="right" w:pos="9360"/>
      </w:tabs>
      <w:spacing w:after="0" w:line="240" w:lineRule="auto"/>
      <w:ind w:right="-547"/>
      <w:rPr>
        <w:rFonts w:ascii="Calibri" w:eastAsia="Calibri" w:hAnsi="Calibri"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5D096" w14:textId="77777777" w:rsidR="00DE61D3" w:rsidRPr="00194C35" w:rsidRDefault="00A9038F">
    <w:pPr>
      <w:pBdr>
        <w:top w:val="nil"/>
        <w:left w:val="nil"/>
        <w:bottom w:val="single" w:sz="4" w:space="1" w:color="000000"/>
        <w:right w:val="nil"/>
        <w:between w:val="nil"/>
      </w:pBdr>
      <w:tabs>
        <w:tab w:val="center" w:pos="4680"/>
        <w:tab w:val="right" w:pos="9360"/>
      </w:tabs>
      <w:spacing w:after="0" w:line="240" w:lineRule="auto"/>
      <w:rPr>
        <w:i/>
        <w:color w:val="000000"/>
        <w:sz w:val="18"/>
        <w:szCs w:val="18"/>
      </w:rPr>
    </w:pPr>
    <w:r w:rsidRPr="00194C35">
      <w:rPr>
        <w:i/>
        <w:color w:val="000000"/>
        <w:sz w:val="18"/>
        <w:szCs w:val="18"/>
      </w:rPr>
      <w:t>UNEP/CMS/COP14/</w:t>
    </w:r>
    <w:proofErr w:type="spellStart"/>
    <w:r w:rsidRPr="00194C35">
      <w:rPr>
        <w:i/>
        <w:color w:val="000000"/>
        <w:sz w:val="18"/>
        <w:szCs w:val="18"/>
      </w:rPr>
      <w:t>Doc.</w:t>
    </w:r>
    <w:r w:rsidRPr="00194C35">
      <w:rPr>
        <w:i/>
        <w:vanish/>
        <w:color w:val="000000"/>
        <w:sz w:val="18"/>
        <w:szCs w:val="18"/>
        <w:highlight w:val="yellow"/>
      </w:rPr>
      <w:t>XX</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FF1AD" w14:textId="77777777" w:rsidR="00E911D0" w:rsidRPr="00FF59D5" w:rsidRDefault="00E911D0" w:rsidP="00E911D0">
    <w:pPr>
      <w:widowControl w:val="0"/>
      <w:tabs>
        <w:tab w:val="center" w:pos="4153"/>
        <w:tab w:val="right" w:pos="8306"/>
      </w:tabs>
      <w:suppressAutoHyphens/>
      <w:autoSpaceDE w:val="0"/>
      <w:autoSpaceDN w:val="0"/>
      <w:spacing w:after="0" w:line="240" w:lineRule="auto"/>
      <w:ind w:right="-547"/>
      <w:jc w:val="right"/>
      <w:textAlignment w:val="baseline"/>
      <w:rPr>
        <w:rFonts w:eastAsia="Times New Roman" w:cs="Times New Roman"/>
        <w:sz w:val="18"/>
        <w:szCs w:val="20"/>
        <w:lang w:val="en-GB"/>
      </w:rPr>
    </w:pPr>
    <w:bookmarkStart w:id="2" w:name="_Hlk208560916"/>
    <w:bookmarkStart w:id="3" w:name="_Hlk208560917"/>
    <w:r>
      <w:rPr>
        <w:noProof/>
      </w:rPr>
      <w:drawing>
        <wp:anchor distT="0" distB="0" distL="114300" distR="114300" simplePos="0" relativeHeight="251661312" behindDoc="0" locked="0" layoutInCell="1" allowOverlap="1" wp14:anchorId="29D7758E" wp14:editId="49C59E27">
          <wp:simplePos x="0" y="0"/>
          <wp:positionH relativeFrom="column">
            <wp:posOffset>38100</wp:posOffset>
          </wp:positionH>
          <wp:positionV relativeFrom="paragraph">
            <wp:posOffset>-85725</wp:posOffset>
          </wp:positionV>
          <wp:extent cx="714375" cy="714375"/>
          <wp:effectExtent l="0" t="0" r="9525" b="9525"/>
          <wp:wrapSquare wrapText="bothSides"/>
          <wp:docPr id="79"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Logo&#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4375" cy="714375"/>
                  </a:xfrm>
                  <a:prstGeom prst="rect">
                    <a:avLst/>
                  </a:prstGeom>
                  <a:noFill/>
                  <a:ln>
                    <a:noFill/>
                  </a:ln>
                </pic:spPr>
              </pic:pic>
            </a:graphicData>
          </a:graphic>
        </wp:anchor>
      </w:drawing>
    </w:r>
    <w:r w:rsidRPr="00EC2A58">
      <w:rPr>
        <w:rFonts w:eastAsia="Times New Roman" w:cs="Times New Roman"/>
        <w:noProof/>
        <w:sz w:val="18"/>
        <w:szCs w:val="20"/>
      </w:rPr>
      <w:drawing>
        <wp:anchor distT="0" distB="0" distL="114300" distR="114300" simplePos="0" relativeHeight="251659264" behindDoc="0" locked="0" layoutInCell="1" allowOverlap="1" wp14:anchorId="3D5128A4" wp14:editId="3AB7E1C0">
          <wp:simplePos x="0" y="0"/>
          <wp:positionH relativeFrom="column">
            <wp:posOffset>875666</wp:posOffset>
          </wp:positionH>
          <wp:positionV relativeFrom="paragraph">
            <wp:posOffset>1901</wp:posOffset>
          </wp:positionV>
          <wp:extent cx="431167" cy="440685"/>
          <wp:effectExtent l="0" t="0" r="6983" b="0"/>
          <wp:wrapTight wrapText="bothSides">
            <wp:wrapPolygon edited="0">
              <wp:start x="0" y="0"/>
              <wp:lineTo x="0" y="20542"/>
              <wp:lineTo x="20995" y="20542"/>
              <wp:lineTo x="20995" y="0"/>
              <wp:lineTo x="0" y="0"/>
            </wp:wrapPolygon>
          </wp:wrapTight>
          <wp:docPr id="80" name="Picture 2"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80" name="Picture 2" descr="A black and white logo&#10;&#10;AI-generated content may be incorrect."/>
                  <pic:cNvPicPr/>
                </pic:nvPicPr>
                <pic:blipFill>
                  <a:blip r:embed="rId2"/>
                  <a:srcRect l="2780" t="-1236" r="60236" b="48836"/>
                  <a:stretch>
                    <a:fillRect/>
                  </a:stretch>
                </pic:blipFill>
                <pic:spPr>
                  <a:xfrm>
                    <a:off x="0" y="0"/>
                    <a:ext cx="431167" cy="440685"/>
                  </a:xfrm>
                  <a:prstGeom prst="rect">
                    <a:avLst/>
                  </a:prstGeom>
                  <a:noFill/>
                  <a:ln>
                    <a:noFill/>
                    <a:prstDash/>
                  </a:ln>
                </pic:spPr>
              </pic:pic>
            </a:graphicData>
          </a:graphic>
        </wp:anchor>
      </w:drawing>
    </w:r>
    <w:r w:rsidRPr="00EC2A58">
      <w:rPr>
        <w:rFonts w:eastAsia="Times New Roman" w:cs="Times New Roman"/>
        <w:noProof/>
        <w:sz w:val="4"/>
        <w:szCs w:val="4"/>
        <w:lang w:val="en-GB"/>
      </w:rPr>
      <w:drawing>
        <wp:anchor distT="0" distB="0" distL="114300" distR="114300" simplePos="0" relativeHeight="251660288" behindDoc="0" locked="0" layoutInCell="1" allowOverlap="1" wp14:anchorId="6DC7B42B" wp14:editId="2157D0BB">
          <wp:simplePos x="0" y="0"/>
          <wp:positionH relativeFrom="column">
            <wp:posOffset>5571494</wp:posOffset>
          </wp:positionH>
          <wp:positionV relativeFrom="paragraph">
            <wp:posOffset>161291</wp:posOffset>
          </wp:positionV>
          <wp:extent cx="590546" cy="278133"/>
          <wp:effectExtent l="0" t="0" r="4" b="7617"/>
          <wp:wrapTight wrapText="bothSides">
            <wp:wrapPolygon edited="0">
              <wp:start x="0" y="0"/>
              <wp:lineTo x="0" y="20712"/>
              <wp:lineTo x="20903" y="20712"/>
              <wp:lineTo x="20903" y="0"/>
              <wp:lineTo x="0" y="0"/>
            </wp:wrapPolygon>
          </wp:wrapTight>
          <wp:docPr id="8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590546" cy="278133"/>
                  </a:xfrm>
                  <a:prstGeom prst="rect">
                    <a:avLst/>
                  </a:prstGeom>
                  <a:noFill/>
                  <a:ln>
                    <a:noFill/>
                    <a:prstDash/>
                  </a:ln>
                </pic:spPr>
              </pic:pic>
            </a:graphicData>
          </a:graphic>
        </wp:anchor>
      </w:drawing>
    </w:r>
    <w:bookmarkEnd w:id="2"/>
    <w:bookmarkEnd w:id="3"/>
  </w:p>
  <w:p w14:paraId="41F289CD" w14:textId="77777777" w:rsidR="00383DB7" w:rsidRPr="00194C35" w:rsidRDefault="00383DB7">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006E9" w14:textId="77777777" w:rsidR="00383DB7" w:rsidRPr="00194C35" w:rsidRDefault="00000000">
    <w:pPr>
      <w:pBdr>
        <w:top w:val="nil"/>
        <w:left w:val="nil"/>
        <w:bottom w:val="single" w:sz="4" w:space="1" w:color="000000"/>
        <w:right w:val="nil"/>
        <w:between w:val="nil"/>
      </w:pBdr>
      <w:tabs>
        <w:tab w:val="center" w:pos="4680"/>
        <w:tab w:val="right" w:pos="9360"/>
      </w:tabs>
      <w:spacing w:after="0" w:line="240" w:lineRule="auto"/>
      <w:rPr>
        <w:i/>
        <w:color w:val="000000"/>
        <w:sz w:val="18"/>
        <w:szCs w:val="18"/>
      </w:rPr>
    </w:pPr>
    <w:r w:rsidRPr="00194C35">
      <w:rPr>
        <w:i/>
        <w:color w:val="000000"/>
        <w:sz w:val="18"/>
        <w:szCs w:val="18"/>
      </w:rPr>
      <w:t>UNEP/CMS/COP15/Doc.25.3.3</w:t>
    </w:r>
  </w:p>
  <w:p w14:paraId="6005F3FB" w14:textId="77777777" w:rsidR="00383DB7" w:rsidRPr="00194C35" w:rsidRDefault="00383DB7">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9C20D" w14:textId="77777777" w:rsidR="000B1A75" w:rsidRPr="00194C35" w:rsidRDefault="000B1A75" w:rsidP="000B1A75">
    <w:pPr>
      <w:pBdr>
        <w:top w:val="nil"/>
        <w:left w:val="nil"/>
        <w:bottom w:val="single" w:sz="4" w:space="1" w:color="000000"/>
        <w:right w:val="nil"/>
        <w:between w:val="nil"/>
      </w:pBdr>
      <w:tabs>
        <w:tab w:val="center" w:pos="4680"/>
        <w:tab w:val="right" w:pos="9360"/>
      </w:tabs>
      <w:spacing w:after="0" w:line="240" w:lineRule="auto"/>
      <w:jc w:val="right"/>
      <w:rPr>
        <w:i/>
        <w:color w:val="000000"/>
        <w:sz w:val="18"/>
        <w:szCs w:val="18"/>
      </w:rPr>
    </w:pPr>
    <w:r w:rsidRPr="00194C35">
      <w:rPr>
        <w:i/>
        <w:color w:val="000000"/>
        <w:sz w:val="18"/>
        <w:szCs w:val="18"/>
      </w:rPr>
      <w:t>UNEP/CMS/COP15/Doc.25.3.3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77972" w14:textId="77777777" w:rsidR="00DE61D3" w:rsidRPr="00194C35" w:rsidRDefault="00A9038F">
    <w:pPr>
      <w:pBdr>
        <w:top w:val="nil"/>
        <w:left w:val="nil"/>
        <w:bottom w:val="single" w:sz="4" w:space="1" w:color="000000"/>
        <w:right w:val="nil"/>
        <w:between w:val="nil"/>
      </w:pBdr>
      <w:tabs>
        <w:tab w:val="center" w:pos="4680"/>
        <w:tab w:val="right" w:pos="9360"/>
      </w:tabs>
      <w:spacing w:after="0" w:line="240" w:lineRule="auto"/>
      <w:rPr>
        <w:i/>
        <w:color w:val="000000"/>
        <w:sz w:val="18"/>
        <w:szCs w:val="18"/>
      </w:rPr>
    </w:pPr>
    <w:r w:rsidRPr="00194C35">
      <w:rPr>
        <w:i/>
        <w:color w:val="000000"/>
        <w:sz w:val="18"/>
        <w:szCs w:val="18"/>
      </w:rPr>
      <w:t>UNEP/CMS/COP15</w:t>
    </w:r>
    <w:r w:rsidR="00A120D2" w:rsidRPr="00194C35">
      <w:rPr>
        <w:i/>
        <w:color w:val="000000"/>
        <w:sz w:val="18"/>
        <w:szCs w:val="18"/>
      </w:rPr>
      <w:t>/Doc</w:t>
    </w:r>
    <w:r w:rsidR="004F0C7C" w:rsidRPr="00194C35">
      <w:rPr>
        <w:i/>
        <w:color w:val="000000"/>
        <w:sz w:val="18"/>
        <w:szCs w:val="18"/>
      </w:rPr>
      <w:t>.25.3.3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267D2" w14:textId="0C9D1948" w:rsidR="00383DB7" w:rsidRPr="00194C35" w:rsidRDefault="00000000">
    <w:pPr>
      <w:pBdr>
        <w:top w:val="nil"/>
        <w:left w:val="nil"/>
        <w:bottom w:val="single" w:sz="4" w:space="1" w:color="000000"/>
        <w:right w:val="nil"/>
        <w:between w:val="nil"/>
      </w:pBdr>
      <w:tabs>
        <w:tab w:val="center" w:pos="4680"/>
        <w:tab w:val="right" w:pos="9360"/>
      </w:tabs>
      <w:spacing w:after="0" w:line="240" w:lineRule="auto"/>
      <w:rPr>
        <w:i/>
        <w:color w:val="000000"/>
        <w:sz w:val="18"/>
        <w:szCs w:val="18"/>
      </w:rPr>
    </w:pPr>
    <w:r w:rsidRPr="00194C35">
      <w:rPr>
        <w:i/>
        <w:color w:val="000000"/>
        <w:sz w:val="18"/>
        <w:szCs w:val="18"/>
      </w:rPr>
      <w:t xml:space="preserve">UNEP/CMS/COP15/Doc.25.3.3/Annexe </w:t>
    </w:r>
    <w:r w:rsidR="00752823">
      <w:rPr>
        <w:i/>
        <w:color w:val="000000"/>
        <w:sz w:val="18"/>
        <w:szCs w:val="18"/>
      </w:rPr>
      <w:t>1</w:t>
    </w:r>
  </w:p>
  <w:p w14:paraId="35B5AD9E" w14:textId="77777777" w:rsidR="00383DB7" w:rsidRPr="00194C35" w:rsidRDefault="00383DB7">
    <w:pPr>
      <w:pBdr>
        <w:top w:val="nil"/>
        <w:left w:val="nil"/>
        <w:bottom w:val="nil"/>
        <w:right w:val="nil"/>
        <w:between w:val="nil"/>
      </w:pBdr>
      <w:tabs>
        <w:tab w:val="center" w:pos="4680"/>
        <w:tab w:val="right" w:pos="9360"/>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6C96B" w14:textId="3F36F5A6" w:rsidR="00383DB7" w:rsidRPr="00194C35" w:rsidRDefault="00000000">
    <w:pPr>
      <w:pBdr>
        <w:top w:val="nil"/>
        <w:left w:val="nil"/>
        <w:bottom w:val="single" w:sz="4" w:space="1" w:color="000000"/>
        <w:right w:val="nil"/>
        <w:between w:val="nil"/>
      </w:pBdr>
      <w:tabs>
        <w:tab w:val="center" w:pos="4680"/>
        <w:tab w:val="right" w:pos="9360"/>
      </w:tabs>
      <w:spacing w:after="0" w:line="240" w:lineRule="auto"/>
      <w:jc w:val="right"/>
      <w:rPr>
        <w:i/>
        <w:color w:val="000000"/>
        <w:sz w:val="18"/>
        <w:szCs w:val="18"/>
      </w:rPr>
    </w:pPr>
    <w:r w:rsidRPr="00194C35">
      <w:rPr>
        <w:i/>
        <w:color w:val="000000"/>
        <w:sz w:val="18"/>
        <w:szCs w:val="18"/>
      </w:rPr>
      <w:t>UNEP/CMS/COP15/Doc.25.3.3/Annexe</w:t>
    </w:r>
    <w:r w:rsidR="001C42AE">
      <w:rPr>
        <w:i/>
        <w:color w:val="000000"/>
        <w:sz w:val="18"/>
        <w:szCs w:val="18"/>
      </w:rPr>
      <w:t> </w:t>
    </w:r>
    <w:r w:rsidRPr="00194C35">
      <w:rPr>
        <w:i/>
        <w:color w:val="000000"/>
        <w:sz w:val="18"/>
        <w:szCs w:val="18"/>
      </w:rPr>
      <w:t>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DD843" w14:textId="77777777" w:rsidR="00383DB7" w:rsidRPr="00194C35" w:rsidRDefault="00000000">
    <w:pPr>
      <w:pBdr>
        <w:top w:val="nil"/>
        <w:left w:val="nil"/>
        <w:bottom w:val="single" w:sz="4" w:space="1" w:color="000000"/>
        <w:right w:val="nil"/>
        <w:between w:val="nil"/>
      </w:pBdr>
      <w:tabs>
        <w:tab w:val="center" w:pos="4680"/>
        <w:tab w:val="right" w:pos="9360"/>
      </w:tabs>
      <w:spacing w:after="0" w:line="240" w:lineRule="auto"/>
      <w:rPr>
        <w:i/>
        <w:color w:val="000000"/>
        <w:sz w:val="18"/>
        <w:szCs w:val="18"/>
      </w:rPr>
    </w:pPr>
    <w:r w:rsidRPr="00194C35">
      <w:rPr>
        <w:i/>
        <w:color w:val="000000"/>
        <w:sz w:val="18"/>
        <w:szCs w:val="18"/>
      </w:rPr>
      <w:t>UNEP/CMS/COP15/Doc.25.3.3/Annexe 1</w:t>
    </w:r>
  </w:p>
  <w:p w14:paraId="703E2EEB" w14:textId="77777777" w:rsidR="00383DB7" w:rsidRPr="00194C35" w:rsidRDefault="00383DB7">
    <w:pPr>
      <w:tabs>
        <w:tab w:val="center" w:pos="4680"/>
        <w:tab w:val="right" w:pos="9360"/>
      </w:tabs>
      <w:spacing w:after="0" w:line="240" w:lineRule="auto"/>
      <w:ind w:right="-547"/>
      <w:rPr>
        <w:rFonts w:ascii="Calibri" w:eastAsia="Calibri" w:hAnsi="Calibri"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05ADE"/>
    <w:multiLevelType w:val="multilevel"/>
    <w:tmpl w:val="976A59FE"/>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15:restartNumberingAfterBreak="0">
    <w:nsid w:val="07806973"/>
    <w:multiLevelType w:val="multilevel"/>
    <w:tmpl w:val="7E1206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4D146C7"/>
    <w:multiLevelType w:val="multilevel"/>
    <w:tmpl w:val="E4D438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927"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849521B"/>
    <w:multiLevelType w:val="multilevel"/>
    <w:tmpl w:val="212CF7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DC717EB"/>
    <w:multiLevelType w:val="multilevel"/>
    <w:tmpl w:val="8340B886"/>
    <w:lvl w:ilvl="0">
      <w:start w:val="1"/>
      <w:numFmt w:val="lowerLetter"/>
      <w:lvlText w:val="%1)"/>
      <w:lvlJc w:val="left"/>
      <w:pPr>
        <w:ind w:left="1154" w:hanging="360"/>
      </w:pPr>
    </w:lvl>
    <w:lvl w:ilvl="1">
      <w:start w:val="1"/>
      <w:numFmt w:val="lowerLetter"/>
      <w:lvlText w:val="%2."/>
      <w:lvlJc w:val="left"/>
      <w:pPr>
        <w:ind w:left="1874" w:hanging="360"/>
      </w:pPr>
    </w:lvl>
    <w:lvl w:ilvl="2">
      <w:start w:val="1"/>
      <w:numFmt w:val="lowerRoman"/>
      <w:lvlText w:val="%3."/>
      <w:lvlJc w:val="right"/>
      <w:pPr>
        <w:ind w:left="2594" w:hanging="180"/>
      </w:pPr>
    </w:lvl>
    <w:lvl w:ilvl="3">
      <w:start w:val="1"/>
      <w:numFmt w:val="decimal"/>
      <w:lvlText w:val="%4."/>
      <w:lvlJc w:val="left"/>
      <w:pPr>
        <w:ind w:left="3314" w:hanging="360"/>
      </w:pPr>
    </w:lvl>
    <w:lvl w:ilvl="4">
      <w:start w:val="1"/>
      <w:numFmt w:val="lowerLetter"/>
      <w:lvlText w:val="%5."/>
      <w:lvlJc w:val="left"/>
      <w:pPr>
        <w:ind w:left="4034" w:hanging="360"/>
      </w:pPr>
    </w:lvl>
    <w:lvl w:ilvl="5">
      <w:start w:val="1"/>
      <w:numFmt w:val="lowerRoman"/>
      <w:lvlText w:val="%6."/>
      <w:lvlJc w:val="right"/>
      <w:pPr>
        <w:ind w:left="4754" w:hanging="180"/>
      </w:pPr>
    </w:lvl>
    <w:lvl w:ilvl="6">
      <w:start w:val="1"/>
      <w:numFmt w:val="decimal"/>
      <w:lvlText w:val="%7."/>
      <w:lvlJc w:val="left"/>
      <w:pPr>
        <w:ind w:left="5474" w:hanging="360"/>
      </w:pPr>
    </w:lvl>
    <w:lvl w:ilvl="7">
      <w:start w:val="1"/>
      <w:numFmt w:val="lowerLetter"/>
      <w:lvlText w:val="%8."/>
      <w:lvlJc w:val="left"/>
      <w:pPr>
        <w:ind w:left="6194" w:hanging="360"/>
      </w:pPr>
    </w:lvl>
    <w:lvl w:ilvl="8">
      <w:start w:val="1"/>
      <w:numFmt w:val="lowerRoman"/>
      <w:lvlText w:val="%9."/>
      <w:lvlJc w:val="right"/>
      <w:pPr>
        <w:ind w:left="6914" w:hanging="180"/>
      </w:pPr>
    </w:lvl>
  </w:abstractNum>
  <w:abstractNum w:abstractNumId="5" w15:restartNumberingAfterBreak="0">
    <w:nsid w:val="67E91F92"/>
    <w:multiLevelType w:val="multilevel"/>
    <w:tmpl w:val="D5A013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D687E0E"/>
    <w:multiLevelType w:val="multilevel"/>
    <w:tmpl w:val="98C413AE"/>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 w15:restartNumberingAfterBreak="0">
    <w:nsid w:val="6E8B24A8"/>
    <w:multiLevelType w:val="multilevel"/>
    <w:tmpl w:val="0DD87456"/>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143694685">
    <w:abstractNumId w:val="6"/>
  </w:num>
  <w:num w:numId="2" w16cid:durableId="608390149">
    <w:abstractNumId w:val="4"/>
  </w:num>
  <w:num w:numId="3" w16cid:durableId="1132750252">
    <w:abstractNumId w:val="2"/>
  </w:num>
  <w:num w:numId="4" w16cid:durableId="1327826929">
    <w:abstractNumId w:val="0"/>
  </w:num>
  <w:num w:numId="5" w16cid:durableId="879365010">
    <w:abstractNumId w:val="5"/>
  </w:num>
  <w:num w:numId="6" w16cid:durableId="601033249">
    <w:abstractNumId w:val="1"/>
  </w:num>
  <w:num w:numId="7" w16cid:durableId="1136919054">
    <w:abstractNumId w:val="7"/>
  </w:num>
  <w:num w:numId="8" w16cid:durableId="8748049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1D3"/>
    <w:rsid w:val="00031DB0"/>
    <w:rsid w:val="00051F6A"/>
    <w:rsid w:val="000804B1"/>
    <w:rsid w:val="000B1A75"/>
    <w:rsid w:val="00101B4A"/>
    <w:rsid w:val="00126EB3"/>
    <w:rsid w:val="001525B0"/>
    <w:rsid w:val="00194C35"/>
    <w:rsid w:val="001C42AE"/>
    <w:rsid w:val="001E1DAD"/>
    <w:rsid w:val="0024443C"/>
    <w:rsid w:val="002526D0"/>
    <w:rsid w:val="00274015"/>
    <w:rsid w:val="002F38DC"/>
    <w:rsid w:val="002F5947"/>
    <w:rsid w:val="003175E5"/>
    <w:rsid w:val="00353580"/>
    <w:rsid w:val="003740A1"/>
    <w:rsid w:val="0038251C"/>
    <w:rsid w:val="00383DB7"/>
    <w:rsid w:val="003A72F6"/>
    <w:rsid w:val="003C59D4"/>
    <w:rsid w:val="003E3470"/>
    <w:rsid w:val="003E60AE"/>
    <w:rsid w:val="00401264"/>
    <w:rsid w:val="004127AD"/>
    <w:rsid w:val="00423B7C"/>
    <w:rsid w:val="00454143"/>
    <w:rsid w:val="004568A4"/>
    <w:rsid w:val="00472CFD"/>
    <w:rsid w:val="00483EEE"/>
    <w:rsid w:val="00497EFD"/>
    <w:rsid w:val="004F0C7C"/>
    <w:rsid w:val="005008A0"/>
    <w:rsid w:val="00561F07"/>
    <w:rsid w:val="00622893"/>
    <w:rsid w:val="006A5F0F"/>
    <w:rsid w:val="006D3417"/>
    <w:rsid w:val="006E529B"/>
    <w:rsid w:val="006E7A01"/>
    <w:rsid w:val="006F13D1"/>
    <w:rsid w:val="00736DAE"/>
    <w:rsid w:val="00752823"/>
    <w:rsid w:val="0076156E"/>
    <w:rsid w:val="00764180"/>
    <w:rsid w:val="007977BC"/>
    <w:rsid w:val="007D1E95"/>
    <w:rsid w:val="00803EA3"/>
    <w:rsid w:val="00821498"/>
    <w:rsid w:val="00837FFD"/>
    <w:rsid w:val="00876FE1"/>
    <w:rsid w:val="00896AF4"/>
    <w:rsid w:val="008B755A"/>
    <w:rsid w:val="00914F9D"/>
    <w:rsid w:val="009345FB"/>
    <w:rsid w:val="00962FD8"/>
    <w:rsid w:val="0096690F"/>
    <w:rsid w:val="009672B5"/>
    <w:rsid w:val="00973CCD"/>
    <w:rsid w:val="009844B7"/>
    <w:rsid w:val="009935CB"/>
    <w:rsid w:val="009B351D"/>
    <w:rsid w:val="009B733B"/>
    <w:rsid w:val="00A120D2"/>
    <w:rsid w:val="00A63F7C"/>
    <w:rsid w:val="00A9038F"/>
    <w:rsid w:val="00AF7CFF"/>
    <w:rsid w:val="00B61D7F"/>
    <w:rsid w:val="00B951F4"/>
    <w:rsid w:val="00C51095"/>
    <w:rsid w:val="00C81AB8"/>
    <w:rsid w:val="00CC3FC3"/>
    <w:rsid w:val="00CF35AA"/>
    <w:rsid w:val="00D208D6"/>
    <w:rsid w:val="00D51DF2"/>
    <w:rsid w:val="00D72C7C"/>
    <w:rsid w:val="00DB4C67"/>
    <w:rsid w:val="00DE61D3"/>
    <w:rsid w:val="00E01B8B"/>
    <w:rsid w:val="00E43627"/>
    <w:rsid w:val="00E61B6A"/>
    <w:rsid w:val="00E911D0"/>
    <w:rsid w:val="00EE58E9"/>
    <w:rsid w:val="00F20461"/>
    <w:rsid w:val="00FA398C"/>
    <w:rsid w:val="00FB0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90DE1"/>
  <w15:docId w15:val="{A41D2D79-E542-48B0-83BD-A510E9586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a">
    <w:basedOn w:val="TableNormal2"/>
    <w:tblPr>
      <w:tblStyleRowBandSize w:val="1"/>
      <w:tblStyleColBandSize w:val="1"/>
      <w:tblCellMar>
        <w:left w:w="10" w:type="dxa"/>
        <w:right w:w="10" w:type="dxa"/>
      </w:tblCellMar>
    </w:tblPr>
  </w:style>
  <w:style w:type="table" w:customStyle="1" w:styleId="a0">
    <w:basedOn w:val="TableNormal2"/>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3C3C36"/>
    <w:pPr>
      <w:ind w:left="720"/>
      <w:contextualSpacing/>
    </w:pPr>
  </w:style>
  <w:style w:type="paragraph" w:styleId="CommentSubject">
    <w:name w:val="annotation subject"/>
    <w:basedOn w:val="CommentText"/>
    <w:next w:val="CommentText"/>
    <w:link w:val="CommentSubjectChar"/>
    <w:uiPriority w:val="99"/>
    <w:semiHidden/>
    <w:unhideWhenUsed/>
    <w:rsid w:val="005A17DE"/>
    <w:rPr>
      <w:b/>
      <w:bCs/>
    </w:rPr>
  </w:style>
  <w:style w:type="character" w:customStyle="1" w:styleId="CommentSubjectChar">
    <w:name w:val="Comment Subject Char"/>
    <w:basedOn w:val="CommentTextChar"/>
    <w:link w:val="CommentSubject"/>
    <w:uiPriority w:val="99"/>
    <w:semiHidden/>
    <w:rsid w:val="005A17DE"/>
    <w:rPr>
      <w:b/>
      <w:bCs/>
      <w:sz w:val="20"/>
      <w:szCs w:val="20"/>
    </w:rPr>
  </w:style>
  <w:style w:type="paragraph" w:styleId="Revision">
    <w:name w:val="Revision"/>
    <w:hidden/>
    <w:uiPriority w:val="99"/>
    <w:semiHidden/>
    <w:rsid w:val="00193C2E"/>
    <w:pPr>
      <w:spacing w:after="0" w:line="240" w:lineRule="auto"/>
    </w:pPr>
  </w:style>
  <w:style w:type="paragraph" w:styleId="FootnoteText">
    <w:name w:val="footnote text"/>
    <w:basedOn w:val="Normal"/>
    <w:link w:val="FootnoteTextChar"/>
    <w:uiPriority w:val="99"/>
    <w:unhideWhenUsed/>
    <w:rsid w:val="008D1543"/>
    <w:pPr>
      <w:spacing w:after="0" w:line="240" w:lineRule="auto"/>
    </w:pPr>
    <w:rPr>
      <w:sz w:val="20"/>
      <w:szCs w:val="20"/>
    </w:rPr>
  </w:style>
  <w:style w:type="character" w:customStyle="1" w:styleId="FootnoteTextChar">
    <w:name w:val="Footnote Text Char"/>
    <w:basedOn w:val="DefaultParagraphFont"/>
    <w:link w:val="FootnoteText"/>
    <w:uiPriority w:val="99"/>
    <w:rsid w:val="008D1543"/>
    <w:rPr>
      <w:sz w:val="20"/>
      <w:szCs w:val="20"/>
    </w:rPr>
  </w:style>
  <w:style w:type="character" w:styleId="FootnoteReference">
    <w:name w:val="footnote reference"/>
    <w:basedOn w:val="DefaultParagraphFont"/>
    <w:uiPriority w:val="99"/>
    <w:semiHidden/>
    <w:unhideWhenUsed/>
    <w:rsid w:val="008D1543"/>
    <w:rPr>
      <w:vertAlign w:val="superscript"/>
    </w:rPr>
  </w:style>
  <w:style w:type="character" w:styleId="Hyperlink">
    <w:name w:val="Hyperlink"/>
    <w:basedOn w:val="DefaultParagraphFont"/>
    <w:uiPriority w:val="99"/>
    <w:unhideWhenUsed/>
    <w:rsid w:val="0058700C"/>
    <w:rPr>
      <w:color w:val="0000FF" w:themeColor="hyperlink"/>
      <w:u w:val="single"/>
    </w:rPr>
  </w:style>
  <w:style w:type="character" w:styleId="UnresolvedMention">
    <w:name w:val="Unresolved Mention"/>
    <w:basedOn w:val="DefaultParagraphFont"/>
    <w:uiPriority w:val="99"/>
    <w:semiHidden/>
    <w:unhideWhenUsed/>
    <w:rsid w:val="0058700C"/>
    <w:rPr>
      <w:color w:val="605E5C"/>
      <w:shd w:val="clear" w:color="auto" w:fill="E1DFDD"/>
    </w:rPr>
  </w:style>
  <w:style w:type="character" w:styleId="Strong">
    <w:name w:val="Strong"/>
    <w:basedOn w:val="DefaultParagraphFont"/>
    <w:uiPriority w:val="22"/>
    <w:qFormat/>
    <w:rsid w:val="00210DC0"/>
    <w:rPr>
      <w:b/>
      <w:bCs/>
    </w:rPr>
  </w:style>
  <w:style w:type="character" w:styleId="Emphasis">
    <w:name w:val="Emphasis"/>
    <w:basedOn w:val="DefaultParagraphFont"/>
    <w:uiPriority w:val="20"/>
    <w:qFormat/>
    <w:rsid w:val="00E00273"/>
    <w:rPr>
      <w:i/>
      <w:iCs/>
    </w:rPr>
  </w:style>
  <w:style w:type="table" w:customStyle="1" w:styleId="a1">
    <w:basedOn w:val="TableNormal"/>
    <w:tblPr>
      <w:tblStyleRowBandSize w:val="1"/>
      <w:tblStyleColBandSize w:val="1"/>
      <w:tblCellMar>
        <w:left w:w="10" w:type="dxa"/>
        <w:right w:w="10" w:type="dxa"/>
      </w:tblCellMar>
    </w:tblPr>
  </w:style>
  <w:style w:type="paragraph" w:styleId="Footer">
    <w:name w:val="footer"/>
    <w:basedOn w:val="Normal"/>
    <w:link w:val="FooterChar"/>
    <w:uiPriority w:val="99"/>
    <w:unhideWhenUsed/>
    <w:rsid w:val="00CC42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424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tblPr>
      <w:tblStyleRowBandSize w:val="1"/>
      <w:tblStyleColBandSize w:val="1"/>
      <w:tblCellMar>
        <w:left w:w="10" w:type="dxa"/>
        <w:right w:w="10" w:type="dxa"/>
      </w:tblCellMar>
    </w:tblPr>
  </w:style>
  <w:style w:type="paragraph" w:styleId="Header">
    <w:name w:val="header"/>
    <w:basedOn w:val="Normal"/>
    <w:link w:val="HeaderChar"/>
    <w:uiPriority w:val="99"/>
    <w:unhideWhenUsed/>
    <w:rsid w:val="007615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15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header" Target="header4.xml"/><Relationship Id="rId25"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op.europa.eu/en/publication-detail/-/publication/0f2b559b-4610-11e9-a8ed-01aa75ed71a1" TargetMode="External"/><Relationship Id="rId2" Type="http://schemas.openxmlformats.org/officeDocument/2006/relationships/hyperlink" Target="https://oceanexplorer.noaa.gov/ocean-fact/seamounts/" TargetMode="External"/><Relationship Id="rId1" Type="http://schemas.openxmlformats.org/officeDocument/2006/relationships/hyperlink" Target="https://oceanexplorer.noaa.gov/ocean-fact/seamounts/" TargetMode="External"/><Relationship Id="rId4" Type="http://schemas.openxmlformats.org/officeDocument/2006/relationships/hyperlink" Target="https://doi.org/10.4060/cd0243en"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Pre_x002d_selection xmlns="a7b50396-0b06-45c1-b28e-46f86d566a10">true</Pre_x002d_selection>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Ll3hfgi5rB9GfWUvi0StryU9/g==">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</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85716d5646e87ca180631963361f54a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a7e87b642db64b79673ce1bd121f155"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F36E8E-42B1-4574-A646-B45D6EECE404}">
  <ds:schemaRefs>
    <ds:schemaRef ds:uri="http://schemas.microsoft.com/sharepoint/v3/contenttype/forms"/>
  </ds:schemaRefs>
</ds:datastoreItem>
</file>

<file path=customXml/itemProps2.xml><?xml version="1.0" encoding="utf-8"?>
<ds:datastoreItem xmlns:ds="http://schemas.openxmlformats.org/officeDocument/2006/customXml" ds:itemID="{6D6F8D82-0133-45DC-9B9B-73FEEAE5FA27}">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3.xml><?xml version="1.0" encoding="utf-8"?>
<ds:datastoreItem xmlns:ds="http://schemas.openxmlformats.org/officeDocument/2006/customXml" ds:itemID="{A6E44638-4DB7-4F87-915B-873635554902}">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20AB5980-9671-4578-A891-2FEEB233E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12</TotalTime>
  <Pages>13</Pages>
  <Words>4812</Words>
  <Characters>27434</Characters>
  <Application>Microsoft Office Word</Application>
  <DocSecurity>0</DocSecurity>
  <Lines>228</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Sandrine</dc:creator>
  <cp:lastModifiedBy>Catherine Brueckner</cp:lastModifiedBy>
  <cp:revision>10</cp:revision>
  <dcterms:created xsi:type="dcterms:W3CDTF">2025-10-31T09:11:00Z</dcterms:created>
  <dcterms:modified xsi:type="dcterms:W3CDTF">2025-11-07T13:07:00Z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05bc49294cfdd6bcb19e861dd6bbfaf8b0152488cac6a0cfe63811c813a85bae</vt:lpwstr>
  </property>
  <property fmtid="{D5CDD505-2E9C-101B-9397-08002B2CF9AE}" pid="3" name="ContentTypeId">
    <vt:lpwstr>0x0101009929416AA0540C42B015682282C961AD</vt:lpwstr>
  </property>
  <property fmtid="{D5CDD505-2E9C-101B-9397-08002B2CF9AE}" pid="4" name="Order">
    <vt:lpwstr>100.0</vt:lpwstr>
  </property>
  <property fmtid="{D5CDD505-2E9C-101B-9397-08002B2CF9AE}" pid="5" name="MediaServiceImageTags">
    <vt:lpwstr>MediaServiceImageTags</vt:lpwstr>
  </property>
  <property fmtid="{D5CDD505-2E9C-101B-9397-08002B2CF9AE}" pid="6" name="ZOTERO_PREF_1">
    <vt:lpwstr>&lt;data data-version="3" zotero-version="6.0.37"&gt;&lt;session id="qkT6v5MU"/&gt;&lt;style id="http://www.zotero.org/styles/australian-guide-to-legal-citation" hasBibliography="1" bibliographyStyleHasBeenSet="0"/&gt;&lt;prefs&gt;&lt;pref name="fieldType" value="Field"/&gt;&lt;pref name</vt:lpwstr>
  </property>
  <property fmtid="{D5CDD505-2E9C-101B-9397-08002B2CF9AE}" pid="7" name="ZOTERO_PREF_2">
    <vt:lpwstr>="noteType" value="1"/&gt;&lt;/prefs&gt;&lt;/data&gt;</vt:lpwstr>
  </property>
  <property fmtid="{D5CDD505-2E9C-101B-9397-08002B2CF9AE}" pid="8" name="TaxKeyword">
    <vt:lpwstr/>
  </property>
</Properties>
</file>