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16B7AC2" w:rsidR="00002A97" w:rsidRPr="00675168"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675168">
              <w:rPr>
                <w:rFonts w:eastAsia="Times New Roman" w:cs="Arial"/>
                <w:szCs w:val="24"/>
                <w:lang w:val="es-ES" w:eastAsia="es-ES"/>
              </w:rPr>
              <w:t>UNEP/CMS/COP1</w:t>
            </w:r>
            <w:r w:rsidR="00C22155" w:rsidRPr="00675168">
              <w:rPr>
                <w:rFonts w:eastAsia="Times New Roman" w:cs="Arial"/>
                <w:szCs w:val="24"/>
                <w:lang w:val="es-ES" w:eastAsia="es-ES"/>
              </w:rPr>
              <w:t>5</w:t>
            </w:r>
            <w:r w:rsidRPr="00675168">
              <w:rPr>
                <w:rFonts w:eastAsia="Times New Roman" w:cs="Arial"/>
                <w:szCs w:val="24"/>
                <w:lang w:val="es-ES" w:eastAsia="es-ES"/>
              </w:rPr>
              <w:t>/</w:t>
            </w:r>
            <w:r w:rsidR="00800CB3" w:rsidRPr="00675168">
              <w:rPr>
                <w:rFonts w:eastAsia="Times New Roman" w:cs="Arial"/>
                <w:szCs w:val="24"/>
                <w:lang w:val="es-ES" w:eastAsia="es-ES"/>
              </w:rPr>
              <w:t>Doc</w:t>
            </w:r>
            <w:r w:rsidRPr="00675168">
              <w:rPr>
                <w:rFonts w:eastAsia="Times New Roman" w:cs="Arial"/>
                <w:szCs w:val="24"/>
                <w:lang w:val="es-ES" w:eastAsia="es-ES"/>
              </w:rPr>
              <w:t>.</w:t>
            </w:r>
            <w:r w:rsidR="00172102" w:rsidRPr="00675168">
              <w:rPr>
                <w:rFonts w:eastAsia="Times New Roman" w:cs="Arial"/>
                <w:szCs w:val="24"/>
                <w:lang w:val="es-ES" w:eastAsia="es-ES"/>
              </w:rPr>
              <w:t>25.3.2</w:t>
            </w:r>
          </w:p>
          <w:p w14:paraId="5F9B9DE6" w14:textId="5667D648" w:rsidR="00002A97" w:rsidRPr="00675168" w:rsidRDefault="00A22CB4"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675168">
              <w:rPr>
                <w:rFonts w:eastAsia="Times New Roman" w:cs="Arial"/>
                <w:szCs w:val="24"/>
                <w:lang w:val="es-ES" w:eastAsia="es-ES"/>
              </w:rPr>
              <w:t>10 de septiembre</w:t>
            </w:r>
            <w:r w:rsidR="00EF1D13" w:rsidRPr="00675168">
              <w:rPr>
                <w:rFonts w:eastAsia="Times New Roman" w:cs="Arial"/>
                <w:szCs w:val="24"/>
                <w:lang w:val="es-ES" w:eastAsia="es-ES"/>
              </w:rPr>
              <w:t xml:space="preserve"> </w:t>
            </w:r>
            <w:r w:rsidR="00002A97" w:rsidRPr="00675168">
              <w:rPr>
                <w:rFonts w:eastAsia="Times New Roman" w:cs="Arial"/>
                <w:szCs w:val="24"/>
                <w:lang w:val="es-ES" w:eastAsia="es-ES"/>
              </w:rPr>
              <w:t>20</w:t>
            </w:r>
            <w:r w:rsidR="000F4BDA" w:rsidRPr="00675168">
              <w:rPr>
                <w:rFonts w:eastAsia="Times New Roman" w:cs="Arial"/>
                <w:szCs w:val="24"/>
                <w:lang w:val="es-ES" w:eastAsia="es-ES"/>
              </w:rPr>
              <w:t>2</w:t>
            </w:r>
            <w:r w:rsidR="00BE6C85" w:rsidRPr="00675168">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65E4A34"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22CB4">
        <w:rPr>
          <w:rFonts w:eastAsia="Times New Roman" w:cs="Arial"/>
          <w:szCs w:val="24"/>
          <w:lang w:val="es-ES" w:eastAsia="es-ES"/>
        </w:rPr>
        <w:t xml:space="preserve">25.3.2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2FB8982F" w:rsidR="00002A97" w:rsidRPr="00790422" w:rsidRDefault="00675168"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3C5292">
        <w:rPr>
          <w:rFonts w:eastAsia="Times New Roman" w:cs="Arial"/>
          <w:b/>
          <w:bCs/>
          <w:lang w:val="es-ES"/>
        </w:rPr>
        <w:t>COLISIONES CON EMBARCACIONES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5800AA1">
                <wp:simplePos x="0" y="0"/>
                <wp:positionH relativeFrom="column">
                  <wp:posOffset>974090</wp:posOffset>
                </wp:positionH>
                <wp:positionV relativeFrom="paragraph">
                  <wp:posOffset>147955</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78EFDF6D" w14:textId="1DCE26E8" w:rsidR="002D5F2A" w:rsidRPr="00D83332" w:rsidRDefault="002D5F2A" w:rsidP="002D5F2A">
                            <w:pPr>
                              <w:spacing w:after="0"/>
                              <w:rPr>
                                <w:lang w:val="es-ES"/>
                              </w:rPr>
                            </w:pPr>
                            <w:r w:rsidRPr="00D83332">
                              <w:rPr>
                                <w:rFonts w:eastAsia="Arial" w:cs="Arial"/>
                                <w:lang w:val="es-ES"/>
                              </w:rPr>
                              <w:t>Resumen:</w:t>
                            </w:r>
                          </w:p>
                          <w:p w14:paraId="255B4E63" w14:textId="77777777" w:rsidR="002D5F2A" w:rsidRPr="00D83332" w:rsidRDefault="002D5F2A" w:rsidP="002D5F2A">
                            <w:pPr>
                              <w:spacing w:after="0"/>
                              <w:rPr>
                                <w:rFonts w:cs="Arial"/>
                                <w:lang w:val="es-ES"/>
                              </w:rPr>
                            </w:pPr>
                          </w:p>
                          <w:p w14:paraId="3D0BA37F" w14:textId="77777777" w:rsidR="00B227A3" w:rsidRPr="003C5292" w:rsidRDefault="00B227A3" w:rsidP="00B227A3">
                            <w:pPr>
                              <w:spacing w:after="0" w:line="240" w:lineRule="auto"/>
                              <w:jc w:val="both"/>
                              <w:rPr>
                                <w:rFonts w:cs="Arial"/>
                                <w:lang w:val="es-ES"/>
                              </w:rPr>
                            </w:pPr>
                            <w:r w:rsidRPr="003C5292">
                              <w:rPr>
                                <w:rFonts w:cs="Arial"/>
                                <w:lang w:val="es-ES"/>
                              </w:rPr>
                              <w:t>En el presente documento se informa sobre los progresos en la aplicación de las Decisiones 14.48</w:t>
                            </w:r>
                            <w:r w:rsidRPr="003C5292">
                              <w:rPr>
                                <w:rFonts w:cs="Arial"/>
                                <w:iCs/>
                                <w:lang w:val="es-ES"/>
                              </w:rPr>
                              <w:t>-</w:t>
                            </w:r>
                            <w:r w:rsidRPr="003C5292">
                              <w:rPr>
                                <w:rFonts w:cs="Arial"/>
                                <w:lang w:val="es-ES"/>
                              </w:rPr>
                              <w:t xml:space="preserve">14.50 </w:t>
                            </w:r>
                            <w:r w:rsidRPr="003C5292">
                              <w:rPr>
                                <w:rFonts w:cs="Arial"/>
                                <w:i/>
                                <w:iCs/>
                                <w:lang w:val="es-ES"/>
                              </w:rPr>
                              <w:t xml:space="preserve">Reducir el riesgo de colisión de las embarcaciones con la megafauna marina, </w:t>
                            </w:r>
                            <w:r w:rsidRPr="003C5292">
                              <w:rPr>
                                <w:rFonts w:cs="Arial"/>
                                <w:lang w:val="es-ES"/>
                              </w:rPr>
                              <w:t>y se propone la adopción de nuevos proyectos de Decisión.</w:t>
                            </w:r>
                          </w:p>
                          <w:p w14:paraId="028C10BD" w14:textId="77777777" w:rsidR="00B227A3" w:rsidRPr="003C5292" w:rsidRDefault="00B227A3" w:rsidP="00B227A3">
                            <w:pPr>
                              <w:spacing w:after="0" w:line="240" w:lineRule="auto"/>
                              <w:jc w:val="both"/>
                              <w:rPr>
                                <w:rFonts w:cs="Arial"/>
                                <w:lang w:val="es-ES"/>
                              </w:rPr>
                            </w:pPr>
                          </w:p>
                          <w:p w14:paraId="6B4123E9" w14:textId="526ACEB8" w:rsidR="00B227A3" w:rsidRPr="00B227A3" w:rsidRDefault="00B227A3" w:rsidP="00B227A3">
                            <w:pPr>
                              <w:spacing w:after="0" w:line="240" w:lineRule="auto"/>
                              <w:jc w:val="both"/>
                              <w:rPr>
                                <w:rFonts w:cs="Arial"/>
                                <w:lang w:val="es-ES"/>
                              </w:rPr>
                            </w:pPr>
                            <w:r w:rsidRPr="003C5292">
                              <w:rPr>
                                <w:rFonts w:cs="Arial"/>
                                <w:iCs/>
                                <w:lang w:val="es-ES"/>
                              </w:rPr>
                              <w:t xml:space="preserve">Los proyectos de Decisión que se adjuntan contribuirán a la consecución de las </w:t>
                            </w:r>
                            <w:r w:rsidRPr="003C5292">
                              <w:rPr>
                                <w:rFonts w:cs="Arial"/>
                                <w:lang w:val="es-ES"/>
                              </w:rPr>
                              <w:t xml:space="preserve">Metas 2.1, 2.2, </w:t>
                            </w:r>
                            <w:r w:rsidRPr="003C5292">
                              <w:rPr>
                                <w:rFonts w:cs="Arial"/>
                                <w:iCs/>
                                <w:lang w:val="es-ES"/>
                              </w:rPr>
                              <w:t>3.2 y</w:t>
                            </w:r>
                            <w:r w:rsidRPr="003C5292">
                              <w:rPr>
                                <w:rFonts w:cs="Arial"/>
                                <w:lang w:val="es-ES"/>
                              </w:rPr>
                              <w:t xml:space="preserve"> 6.4</w:t>
                            </w:r>
                            <w:r w:rsidRPr="003C5292">
                              <w:rPr>
                                <w:rFonts w:cs="Arial"/>
                                <w:iCs/>
                                <w:lang w:val="es-ES"/>
                              </w:rPr>
                              <w:t xml:space="preserve"> del Plan Estratégico de Samarcanda para las Especies Migratorias 2024-2032</w:t>
                            </w:r>
                          </w:p>
                        </w:txbxContent>
                      </wps:txbx>
                      <wps:bodyPr vert="horz" wrap="square" lIns="91440" tIns="45720" rIns="91440" bIns="45720" anchor="t" anchorCtr="0" compatLnSpc="0">
                        <a:noAutofit/>
                      </wps:bodyPr>
                    </wps:wsp>
                  </a:graphicData>
                </a:graphic>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pt;margin-top:11.65pt;width:338.95pt;height:15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MO6pTN4AAAAKAQAADwAAAGRycy9kb3ducmV2LnhtbEyPwU6EMBCG&#10;7ya+QzMm3twCFSVI2RiNCQcvrB48dmkFlE5J211wn97x5N7mz3z555tqu9qJHY0Po0MJ6SYBZrBz&#10;esRewvvby00BLESFWk0OjYQfE2BbX15UqtRuwdYcd7FnVIKhVBKGGOeS89ANxqqwcbNB2n06b1Wk&#10;6HuuvVqo3E48S5I7btWIdGFQs3kaTPe9O1gJX6eIGbav+bz4j/smb5+btDlJeX21Pj4Ai2aN/zD8&#10;6ZM61OS0dwfUgU2Uc3FLqIRMCGAEFCKlYS9BiKQAXlf8/IX6FwAA//8DAFBLAQItABQABgAIAAAA&#10;IQC2gziS/gAAAOEBAAATAAAAAAAAAAAAAAAAAAAAAABbQ29udGVudF9UeXBlc10ueG1sUEsBAi0A&#10;FAAGAAgAAAAhADj9If/WAAAAlAEAAAsAAAAAAAAAAAAAAAAALwEAAF9yZWxzLy5yZWxzUEsBAi0A&#10;FAAGAAgAAAAhABJMaxrlAQAA1AMAAA4AAAAAAAAAAAAAAAAALgIAAGRycy9lMm9Eb2MueG1sUEsB&#10;Ai0AFAAGAAgAAAAhADDuqUzeAAAACgEAAA8AAAAAAAAAAAAAAAAAPwQAAGRycy9kb3ducmV2Lnht&#10;bFBLBQYAAAAABAAEAPMAAABKBQAAAAA=&#10;" strokeweight=".08811mm">
                <v:textbox>
                  <w:txbxContent>
                    <w:p w14:paraId="78EFDF6D" w14:textId="1DCE26E8" w:rsidR="002D5F2A" w:rsidRPr="00D83332" w:rsidRDefault="002D5F2A" w:rsidP="002D5F2A">
                      <w:pPr>
                        <w:spacing w:after="0"/>
                        <w:rPr>
                          <w:lang w:val="es-ES"/>
                        </w:rPr>
                      </w:pPr>
                      <w:r w:rsidRPr="00D83332">
                        <w:rPr>
                          <w:rFonts w:eastAsia="Arial" w:cs="Arial"/>
                          <w:lang w:val="es-ES"/>
                        </w:rPr>
                        <w:t>Resumen:</w:t>
                      </w:r>
                    </w:p>
                    <w:p w14:paraId="255B4E63" w14:textId="77777777" w:rsidR="002D5F2A" w:rsidRPr="00D83332" w:rsidRDefault="002D5F2A" w:rsidP="002D5F2A">
                      <w:pPr>
                        <w:spacing w:after="0"/>
                        <w:rPr>
                          <w:rFonts w:cs="Arial"/>
                          <w:lang w:val="es-ES"/>
                        </w:rPr>
                      </w:pPr>
                    </w:p>
                    <w:p w14:paraId="3D0BA37F" w14:textId="77777777" w:rsidR="00B227A3" w:rsidRPr="003C5292" w:rsidRDefault="00B227A3" w:rsidP="00B227A3">
                      <w:pPr>
                        <w:spacing w:after="0" w:line="240" w:lineRule="auto"/>
                        <w:jc w:val="both"/>
                        <w:rPr>
                          <w:rFonts w:cs="Arial"/>
                          <w:lang w:val="es-ES"/>
                        </w:rPr>
                      </w:pPr>
                      <w:r w:rsidRPr="003C5292">
                        <w:rPr>
                          <w:rFonts w:cs="Arial"/>
                          <w:lang w:val="es-ES"/>
                        </w:rPr>
                        <w:t>En el presente documento se informa sobre los progresos en la aplicación de las Decisiones 14.48</w:t>
                      </w:r>
                      <w:r w:rsidRPr="003C5292">
                        <w:rPr>
                          <w:rFonts w:cs="Arial"/>
                          <w:iCs/>
                          <w:lang w:val="es-ES"/>
                        </w:rPr>
                        <w:t>-</w:t>
                      </w:r>
                      <w:r w:rsidRPr="003C5292">
                        <w:rPr>
                          <w:rFonts w:cs="Arial"/>
                          <w:lang w:val="es-ES"/>
                        </w:rPr>
                        <w:t xml:space="preserve">14.50 </w:t>
                      </w:r>
                      <w:r w:rsidRPr="003C5292">
                        <w:rPr>
                          <w:rFonts w:cs="Arial"/>
                          <w:i/>
                          <w:iCs/>
                          <w:lang w:val="es-ES"/>
                        </w:rPr>
                        <w:t xml:space="preserve">Reducir el riesgo de colisión de las embarcaciones con la megafauna marina, </w:t>
                      </w:r>
                      <w:r w:rsidRPr="003C5292">
                        <w:rPr>
                          <w:rFonts w:cs="Arial"/>
                          <w:lang w:val="es-ES"/>
                        </w:rPr>
                        <w:t>y se propone la adopción de nuevos proyectos de Decisión.</w:t>
                      </w:r>
                    </w:p>
                    <w:p w14:paraId="028C10BD" w14:textId="77777777" w:rsidR="00B227A3" w:rsidRPr="003C5292" w:rsidRDefault="00B227A3" w:rsidP="00B227A3">
                      <w:pPr>
                        <w:spacing w:after="0" w:line="240" w:lineRule="auto"/>
                        <w:jc w:val="both"/>
                        <w:rPr>
                          <w:rFonts w:cs="Arial"/>
                          <w:lang w:val="es-ES"/>
                        </w:rPr>
                      </w:pPr>
                    </w:p>
                    <w:p w14:paraId="6B4123E9" w14:textId="526ACEB8" w:rsidR="00B227A3" w:rsidRPr="00B227A3" w:rsidRDefault="00B227A3" w:rsidP="00B227A3">
                      <w:pPr>
                        <w:spacing w:after="0" w:line="240" w:lineRule="auto"/>
                        <w:jc w:val="both"/>
                        <w:rPr>
                          <w:rFonts w:cs="Arial"/>
                          <w:lang w:val="es-ES"/>
                        </w:rPr>
                      </w:pPr>
                      <w:r w:rsidRPr="003C5292">
                        <w:rPr>
                          <w:rFonts w:cs="Arial"/>
                          <w:iCs/>
                          <w:lang w:val="es-ES"/>
                        </w:rPr>
                        <w:t xml:space="preserve">Los proyectos de Decisión que se adjuntan contribuirán a la consecución de las </w:t>
                      </w:r>
                      <w:r w:rsidRPr="003C5292">
                        <w:rPr>
                          <w:rFonts w:cs="Arial"/>
                          <w:lang w:val="es-ES"/>
                        </w:rPr>
                        <w:t xml:space="preserve">Metas 2.1, 2.2, </w:t>
                      </w:r>
                      <w:r w:rsidRPr="003C5292">
                        <w:rPr>
                          <w:rFonts w:cs="Arial"/>
                          <w:iCs/>
                          <w:lang w:val="es-ES"/>
                        </w:rPr>
                        <w:t>3.2 y</w:t>
                      </w:r>
                      <w:r w:rsidRPr="003C5292">
                        <w:rPr>
                          <w:rFonts w:cs="Arial"/>
                          <w:lang w:val="es-ES"/>
                        </w:rPr>
                        <w:t xml:space="preserve"> 6.4</w:t>
                      </w:r>
                      <w:r w:rsidRPr="003C5292">
                        <w:rPr>
                          <w:rFonts w:cs="Arial"/>
                          <w:iCs/>
                          <w:lang w:val="es-ES"/>
                        </w:rPr>
                        <w:t xml:space="preserve"> del Plan Estratégico de Samarcanda para las Especies Migratorias 2024-2032</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9A5EFA8" w14:textId="77777777" w:rsidR="000907CE" w:rsidRPr="003C5292" w:rsidRDefault="000907CE" w:rsidP="000907C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9"/>
        <w:jc w:val="center"/>
        <w:textAlignment w:val="baseline"/>
        <w:outlineLvl w:val="1"/>
        <w:rPr>
          <w:rFonts w:eastAsia="Times New Roman" w:cs="Arial"/>
          <w:b/>
          <w:bCs/>
          <w:lang w:val="es-ES"/>
        </w:rPr>
      </w:pPr>
      <w:r w:rsidRPr="003C5292">
        <w:rPr>
          <w:rFonts w:eastAsia="Times New Roman" w:cs="Arial"/>
          <w:b/>
          <w:bCs/>
          <w:lang w:val="es-ES"/>
        </w:rPr>
        <w:lastRenderedPageBreak/>
        <w:t>COLISIONES CON EMBARCACIONES</w:t>
      </w:r>
    </w:p>
    <w:p w14:paraId="4DE7E9FB" w14:textId="77777777" w:rsidR="000907CE" w:rsidRDefault="000907CE" w:rsidP="000907CE">
      <w:pPr>
        <w:suppressAutoHyphens/>
        <w:autoSpaceDN w:val="0"/>
        <w:spacing w:after="0" w:line="240" w:lineRule="auto"/>
        <w:textAlignment w:val="baseline"/>
        <w:rPr>
          <w:rFonts w:eastAsia="Calibri" w:cs="Arial"/>
          <w:lang w:val="es-ES"/>
        </w:rPr>
      </w:pPr>
    </w:p>
    <w:p w14:paraId="6D0EC121" w14:textId="77777777" w:rsidR="000907CE" w:rsidRPr="003C5292" w:rsidRDefault="000907CE" w:rsidP="000907CE">
      <w:pPr>
        <w:suppressAutoHyphens/>
        <w:autoSpaceDN w:val="0"/>
        <w:spacing w:after="0" w:line="240" w:lineRule="auto"/>
        <w:textAlignment w:val="baseline"/>
        <w:rPr>
          <w:rFonts w:eastAsia="Calibri" w:cs="Arial"/>
          <w:lang w:val="es-ES"/>
        </w:rPr>
      </w:pPr>
    </w:p>
    <w:p w14:paraId="55082157" w14:textId="77777777" w:rsidR="000907CE" w:rsidRPr="003C5292" w:rsidRDefault="000907CE" w:rsidP="000907CE">
      <w:pPr>
        <w:spacing w:after="0" w:line="240" w:lineRule="auto"/>
        <w:jc w:val="both"/>
        <w:rPr>
          <w:rFonts w:cs="Arial"/>
          <w:u w:val="single"/>
          <w:lang w:val="es-ES"/>
        </w:rPr>
      </w:pPr>
      <w:r w:rsidRPr="003C5292">
        <w:rPr>
          <w:rFonts w:cs="Arial"/>
          <w:u w:val="single"/>
          <w:lang w:val="es-ES"/>
        </w:rPr>
        <w:t>Antecedentes</w:t>
      </w:r>
    </w:p>
    <w:p w14:paraId="33F3FAAC" w14:textId="77777777" w:rsidR="000907CE" w:rsidRPr="003C5292" w:rsidRDefault="000907CE" w:rsidP="000907CE">
      <w:pPr>
        <w:widowControl w:val="0"/>
        <w:autoSpaceDE w:val="0"/>
        <w:autoSpaceDN w:val="0"/>
        <w:adjustRightInd w:val="0"/>
        <w:spacing w:after="0" w:line="240" w:lineRule="auto"/>
        <w:contextualSpacing/>
        <w:jc w:val="both"/>
        <w:rPr>
          <w:rFonts w:cs="Arial"/>
          <w:lang w:val="es-ES"/>
        </w:rPr>
      </w:pPr>
    </w:p>
    <w:p w14:paraId="31E459D3" w14:textId="77777777" w:rsidR="000907CE" w:rsidRPr="003C5292" w:rsidRDefault="000907CE" w:rsidP="000907CE">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3C5292">
        <w:rPr>
          <w:rFonts w:cs="Arial"/>
          <w:lang w:val="es-ES"/>
        </w:rPr>
        <w:t xml:space="preserve">Las colisiones entre embarcaciones y la megafauna marina migratoria (colisiones con embarcaciones, también denominadas «colisiones con buques») constituyen una preocupación mundial en materia de conservación. Al reconocer esta amenaza, la COP14 adoptó la Resolución 14.5 </w:t>
      </w:r>
      <w:r w:rsidRPr="003C5292">
        <w:rPr>
          <w:rFonts w:cs="Arial"/>
          <w:i/>
          <w:iCs/>
          <w:lang w:val="es-ES"/>
        </w:rPr>
        <w:t xml:space="preserve">Reducir el riesgo de colisión de las embarcaciones con la megafauna marina, </w:t>
      </w:r>
      <w:r w:rsidRPr="003C5292">
        <w:rPr>
          <w:rFonts w:cs="Arial"/>
          <w:lang w:val="es-ES"/>
        </w:rPr>
        <w:t xml:space="preserve">en la que se insta a las Partes a adoptar medidas para reducir dicho riesgo. La Resolución también insta a las Partes a proponer zonas de agregación centrales y corredores migratorios conocidos de megafauna marina vulnerable donde exista un riesgo significativo de colisiones con embarcaciones, a fin de aplicar medidas de mitigación de la Organización Marítima Internacional (OMI). Además, la COP14 adoptó la </w:t>
      </w:r>
      <w:r w:rsidRPr="003C5292">
        <w:rPr>
          <w:rFonts w:cs="Arial"/>
          <w:i/>
          <w:iCs/>
          <w:lang w:val="es-ES"/>
        </w:rPr>
        <w:t>Guía sobre la reducción del riesgo de colisiones con embarcaciones para el tiburón ballena (</w:t>
      </w:r>
      <w:proofErr w:type="spellStart"/>
      <w:r w:rsidRPr="003C5292">
        <w:rPr>
          <w:rFonts w:cs="Arial"/>
          <w:i/>
          <w:iCs/>
          <w:lang w:val="es-ES"/>
        </w:rPr>
        <w:t>Rhincodon</w:t>
      </w:r>
      <w:proofErr w:type="spellEnd"/>
      <w:r w:rsidRPr="003C5292">
        <w:rPr>
          <w:rFonts w:cs="Arial"/>
          <w:i/>
          <w:iCs/>
          <w:lang w:val="es-ES"/>
        </w:rPr>
        <w:t xml:space="preserve"> </w:t>
      </w:r>
      <w:proofErr w:type="spellStart"/>
      <w:r w:rsidRPr="003C5292">
        <w:rPr>
          <w:rFonts w:cs="Arial"/>
          <w:i/>
          <w:iCs/>
          <w:lang w:val="es-ES"/>
        </w:rPr>
        <w:t>typus</w:t>
      </w:r>
      <w:proofErr w:type="spellEnd"/>
      <w:r w:rsidRPr="003C5292">
        <w:rPr>
          <w:rFonts w:cs="Arial"/>
          <w:i/>
          <w:iCs/>
          <w:lang w:val="es-ES"/>
        </w:rPr>
        <w:t>)</w:t>
      </w:r>
      <w:r w:rsidRPr="003C5292">
        <w:rPr>
          <w:rFonts w:cs="Arial"/>
          <w:lang w:val="es-ES"/>
        </w:rPr>
        <w:t>, que figura como anexo de la Resolución.</w:t>
      </w:r>
    </w:p>
    <w:p w14:paraId="2056B61E" w14:textId="77777777" w:rsidR="000907CE" w:rsidRPr="003C5292" w:rsidRDefault="000907CE" w:rsidP="000907CE">
      <w:pPr>
        <w:widowControl w:val="0"/>
        <w:autoSpaceDE w:val="0"/>
        <w:autoSpaceDN w:val="0"/>
        <w:adjustRightInd w:val="0"/>
        <w:spacing w:after="0" w:line="240" w:lineRule="auto"/>
        <w:ind w:left="567"/>
        <w:contextualSpacing/>
        <w:jc w:val="both"/>
        <w:rPr>
          <w:rFonts w:cs="Arial"/>
          <w:lang w:val="es-ES"/>
        </w:rPr>
      </w:pPr>
    </w:p>
    <w:p w14:paraId="35B4D1E7" w14:textId="399554CC" w:rsidR="00642523" w:rsidRPr="000907CE" w:rsidRDefault="000907CE" w:rsidP="000907CE">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3C5292">
        <w:rPr>
          <w:rFonts w:cs="Arial"/>
          <w:lang w:val="es-ES"/>
        </w:rPr>
        <w:t>Con respecto a esta cuestión, la COP14 adoptó las siguientes Decisiones</w:t>
      </w:r>
      <w:r w:rsidR="00642523" w:rsidRPr="000907CE">
        <w:rPr>
          <w:rFonts w:cs="Arial"/>
          <w:lang w:val="es-ES"/>
        </w:rPr>
        <w:t>:</w:t>
      </w:r>
    </w:p>
    <w:p w14:paraId="74E5522C" w14:textId="77777777" w:rsidR="00642523" w:rsidRPr="000907CE" w:rsidRDefault="00642523" w:rsidP="00642523">
      <w:pPr>
        <w:pStyle w:val="ListParagraph"/>
        <w:spacing w:after="0"/>
        <w:rPr>
          <w:rFonts w:cs="Arial"/>
          <w:lang w:val="es-ES"/>
        </w:rPr>
      </w:pPr>
    </w:p>
    <w:p w14:paraId="1C8E5839" w14:textId="0F99322C" w:rsidR="00642523" w:rsidRPr="00EB0DAA" w:rsidRDefault="00642523" w:rsidP="004F7302">
      <w:pPr>
        <w:widowControl w:val="0"/>
        <w:autoSpaceDE w:val="0"/>
        <w:autoSpaceDN w:val="0"/>
        <w:adjustRightInd w:val="0"/>
        <w:spacing w:after="0" w:line="240" w:lineRule="auto"/>
        <w:ind w:left="720"/>
        <w:contextualSpacing/>
        <w:jc w:val="both"/>
        <w:rPr>
          <w:rFonts w:cs="Arial"/>
          <w:b/>
          <w:bCs/>
          <w:i/>
          <w:iCs/>
          <w:sz w:val="20"/>
          <w:szCs w:val="20"/>
          <w:lang w:val="es-ES"/>
        </w:rPr>
      </w:pPr>
      <w:r w:rsidRPr="00EB0DAA">
        <w:rPr>
          <w:rFonts w:cs="Arial"/>
          <w:b/>
          <w:bCs/>
          <w:i/>
          <w:iCs/>
          <w:sz w:val="20"/>
          <w:szCs w:val="20"/>
          <w:lang w:val="es-ES"/>
        </w:rPr>
        <w:t xml:space="preserve">14.48 </w:t>
      </w:r>
      <w:r w:rsidR="00EB0DAA">
        <w:rPr>
          <w:rFonts w:cs="Arial"/>
          <w:b/>
          <w:bCs/>
          <w:i/>
          <w:iCs/>
          <w:sz w:val="20"/>
          <w:szCs w:val="20"/>
          <w:lang w:val="es-ES"/>
        </w:rPr>
        <w:t>d</w:t>
      </w:r>
      <w:r w:rsidR="00EB0DAA" w:rsidRPr="00EB0DAA">
        <w:rPr>
          <w:rFonts w:cs="Arial"/>
          <w:b/>
          <w:bCs/>
          <w:i/>
          <w:iCs/>
          <w:sz w:val="20"/>
          <w:szCs w:val="20"/>
          <w:lang w:val="es-ES"/>
        </w:rPr>
        <w:t>irigid</w:t>
      </w:r>
      <w:r w:rsidR="00EB0DAA">
        <w:rPr>
          <w:rFonts w:cs="Arial"/>
          <w:b/>
          <w:bCs/>
          <w:i/>
          <w:iCs/>
          <w:sz w:val="20"/>
          <w:szCs w:val="20"/>
          <w:lang w:val="es-ES"/>
        </w:rPr>
        <w:t>a</w:t>
      </w:r>
      <w:r w:rsidR="00EB0DAA" w:rsidRPr="00EB0DAA">
        <w:rPr>
          <w:rFonts w:cs="Arial"/>
          <w:b/>
          <w:bCs/>
          <w:i/>
          <w:iCs/>
          <w:sz w:val="20"/>
          <w:szCs w:val="20"/>
          <w:lang w:val="es-ES"/>
        </w:rPr>
        <w:t xml:space="preserve"> a las Partes que son Estados del área de distribución de las especies de megafauna marina incluidas en la CMS que son objeto de colisiones con embarcaciones</w:t>
      </w:r>
    </w:p>
    <w:p w14:paraId="1BDB4E76" w14:textId="77777777" w:rsidR="00642523" w:rsidRPr="00EB0DAA" w:rsidRDefault="00642523" w:rsidP="004F7302">
      <w:pPr>
        <w:widowControl w:val="0"/>
        <w:autoSpaceDE w:val="0"/>
        <w:autoSpaceDN w:val="0"/>
        <w:adjustRightInd w:val="0"/>
        <w:spacing w:after="0" w:line="240" w:lineRule="auto"/>
        <w:ind w:left="720"/>
        <w:contextualSpacing/>
        <w:jc w:val="both"/>
        <w:rPr>
          <w:rFonts w:cs="Arial"/>
          <w:i/>
          <w:iCs/>
          <w:sz w:val="20"/>
          <w:szCs w:val="20"/>
          <w:lang w:val="es-ES"/>
        </w:rPr>
      </w:pPr>
    </w:p>
    <w:p w14:paraId="524BACE0" w14:textId="77777777" w:rsidR="002D2DC3" w:rsidRPr="002D2DC3" w:rsidRDefault="002D2DC3" w:rsidP="004F7302">
      <w:pPr>
        <w:pStyle w:val="ListParagraph"/>
        <w:widowControl w:val="0"/>
        <w:autoSpaceDE w:val="0"/>
        <w:adjustRightInd w:val="0"/>
        <w:spacing w:after="80" w:line="240" w:lineRule="auto"/>
        <w:rPr>
          <w:rFonts w:cs="Arial"/>
          <w:b/>
          <w:bCs/>
          <w:i/>
          <w:iCs/>
          <w:sz w:val="20"/>
          <w:szCs w:val="20"/>
          <w:lang w:val="es-ES"/>
        </w:rPr>
      </w:pPr>
      <w:r w:rsidRPr="002D2DC3">
        <w:rPr>
          <w:rFonts w:cs="Arial"/>
          <w:i/>
          <w:iCs/>
          <w:sz w:val="20"/>
          <w:szCs w:val="20"/>
          <w:lang w:val="es-ES"/>
        </w:rPr>
        <w:t>Se pide a las Partes que son Estado del área de distribución que:</w:t>
      </w:r>
    </w:p>
    <w:p w14:paraId="3C33DDEC" w14:textId="77777777" w:rsidR="002D2DC3" w:rsidRPr="002D2DC3" w:rsidRDefault="002D2DC3" w:rsidP="004F7302">
      <w:pPr>
        <w:pStyle w:val="ListParagraph"/>
        <w:widowControl w:val="0"/>
        <w:autoSpaceDE w:val="0"/>
        <w:adjustRightInd w:val="0"/>
        <w:spacing w:after="80" w:line="240" w:lineRule="auto"/>
        <w:rPr>
          <w:rFonts w:cs="Arial"/>
          <w:b/>
          <w:bCs/>
          <w:i/>
          <w:iCs/>
          <w:sz w:val="20"/>
          <w:szCs w:val="20"/>
          <w:lang w:val="es-ES"/>
        </w:rPr>
      </w:pPr>
    </w:p>
    <w:p w14:paraId="2D1C8437" w14:textId="2CD58AB1" w:rsidR="00642523" w:rsidRPr="002D2DC3" w:rsidRDefault="002D2DC3" w:rsidP="004E1372">
      <w:pPr>
        <w:pStyle w:val="ListParagraph"/>
        <w:widowControl w:val="0"/>
        <w:numPr>
          <w:ilvl w:val="0"/>
          <w:numId w:val="16"/>
        </w:numPr>
        <w:autoSpaceDE w:val="0"/>
        <w:autoSpaceDN w:val="0"/>
        <w:adjustRightInd w:val="0"/>
        <w:spacing w:after="80" w:line="240" w:lineRule="auto"/>
        <w:ind w:left="1080"/>
        <w:contextualSpacing w:val="0"/>
        <w:jc w:val="both"/>
        <w:rPr>
          <w:rFonts w:cs="Arial"/>
          <w:i/>
          <w:iCs/>
          <w:sz w:val="20"/>
          <w:szCs w:val="20"/>
          <w:lang w:val="es-ES"/>
        </w:rPr>
      </w:pPr>
      <w:r w:rsidRPr="002D2DC3">
        <w:rPr>
          <w:rFonts w:cs="Arial"/>
          <w:i/>
          <w:iCs/>
          <w:sz w:val="20"/>
          <w:szCs w:val="20"/>
          <w:lang w:val="es-ES"/>
        </w:rPr>
        <w:t>Establezcan un contacto con las partes interesadas de las actividades comerciales, recreativas, o de otro tipo, para fomentar la notificación sistemática de todos los incidentes de colisión con embarcaciones que afecten a las ballenas, a los delfines o a las marsopas a la base de datos sobre colisiones de barcos de la Comisión Ballenera Internacional</w:t>
      </w:r>
      <w:r w:rsidR="00642523" w:rsidRPr="002D2DC3">
        <w:rPr>
          <w:rFonts w:cs="Arial"/>
          <w:i/>
          <w:iCs/>
          <w:sz w:val="20"/>
          <w:szCs w:val="20"/>
          <w:lang w:val="es-ES"/>
        </w:rPr>
        <w:t xml:space="preserve">; </w:t>
      </w:r>
    </w:p>
    <w:p w14:paraId="2D127120" w14:textId="77777777" w:rsidR="005E7689" w:rsidRPr="005E7689" w:rsidRDefault="005E7689" w:rsidP="004E1372">
      <w:pPr>
        <w:pStyle w:val="ListParagraph"/>
        <w:widowControl w:val="0"/>
        <w:numPr>
          <w:ilvl w:val="0"/>
          <w:numId w:val="16"/>
        </w:numPr>
        <w:autoSpaceDE w:val="0"/>
        <w:autoSpaceDN w:val="0"/>
        <w:adjustRightInd w:val="0"/>
        <w:spacing w:after="80" w:line="240" w:lineRule="auto"/>
        <w:ind w:left="1080"/>
        <w:jc w:val="both"/>
        <w:rPr>
          <w:rFonts w:cs="Arial"/>
          <w:i/>
          <w:iCs/>
          <w:sz w:val="20"/>
          <w:szCs w:val="20"/>
          <w:lang w:val="es-ES"/>
        </w:rPr>
      </w:pPr>
      <w:r w:rsidRPr="005E7689">
        <w:rPr>
          <w:rFonts w:cs="Arial"/>
          <w:i/>
          <w:iCs/>
          <w:sz w:val="20"/>
          <w:szCs w:val="20"/>
          <w:lang w:val="es-ES"/>
        </w:rPr>
        <w:t>Revisen y apliquen, según proceda, las conclusiones y recomendaciones formuladas en el informe de la CMS Limitar el impacto global de las embarcaciones sobre los tiburones ballena: comprender una amenaza creciente para el pez más grande del mundo;</w:t>
      </w:r>
    </w:p>
    <w:p w14:paraId="5A66E505" w14:textId="77777777" w:rsidR="005E7689" w:rsidRPr="005E7689" w:rsidRDefault="005E7689" w:rsidP="004E1372">
      <w:pPr>
        <w:pStyle w:val="ListParagraph"/>
        <w:widowControl w:val="0"/>
        <w:numPr>
          <w:ilvl w:val="0"/>
          <w:numId w:val="16"/>
        </w:numPr>
        <w:autoSpaceDE w:val="0"/>
        <w:autoSpaceDN w:val="0"/>
        <w:adjustRightInd w:val="0"/>
        <w:spacing w:after="80" w:line="240" w:lineRule="auto"/>
        <w:ind w:left="1080"/>
        <w:jc w:val="both"/>
        <w:rPr>
          <w:rFonts w:cs="Arial"/>
          <w:i/>
          <w:iCs/>
          <w:sz w:val="20"/>
          <w:szCs w:val="20"/>
          <w:lang w:val="es-ES"/>
        </w:rPr>
      </w:pPr>
      <w:r w:rsidRPr="005E7689">
        <w:rPr>
          <w:rFonts w:cs="Arial"/>
          <w:i/>
          <w:iCs/>
          <w:sz w:val="20"/>
          <w:szCs w:val="20"/>
          <w:lang w:val="es-ES"/>
        </w:rPr>
        <w:t>Colaboren con otros Estados del área de distribución en la aplicación de las Directrices sobre la reducción del riesgo de colisión de embarcaciones con los tiburones ballena, adjuntas a la Resolución 14.5 Reducir el riesgo de colisión de las embarcaciones con la megafauna marina; y</w:t>
      </w:r>
    </w:p>
    <w:p w14:paraId="60EFB4E1" w14:textId="12F61E8D" w:rsidR="00642523" w:rsidRPr="005E7689" w:rsidRDefault="005E7689" w:rsidP="004F7302">
      <w:pPr>
        <w:pStyle w:val="ListParagraph"/>
        <w:widowControl w:val="0"/>
        <w:numPr>
          <w:ilvl w:val="0"/>
          <w:numId w:val="16"/>
        </w:numPr>
        <w:autoSpaceDE w:val="0"/>
        <w:autoSpaceDN w:val="0"/>
        <w:adjustRightInd w:val="0"/>
        <w:spacing w:after="0" w:line="240" w:lineRule="auto"/>
        <w:ind w:left="1080"/>
        <w:jc w:val="both"/>
        <w:rPr>
          <w:rFonts w:cs="Arial"/>
          <w:i/>
          <w:iCs/>
          <w:sz w:val="20"/>
          <w:szCs w:val="20"/>
          <w:lang w:val="es-ES"/>
        </w:rPr>
      </w:pPr>
      <w:r w:rsidRPr="005E7689">
        <w:rPr>
          <w:rFonts w:cs="Arial"/>
          <w:i/>
          <w:iCs/>
          <w:sz w:val="20"/>
          <w:szCs w:val="20"/>
          <w:lang w:val="es-ES"/>
        </w:rPr>
        <w:t>Informen a la Conferencia de las Partes en su 15.ª reunión sobre los progresos en la aplicación de la decisión a través de sus Informes Nacionales</w:t>
      </w:r>
      <w:r w:rsidR="004F7302">
        <w:rPr>
          <w:rFonts w:cs="Arial"/>
          <w:i/>
          <w:iCs/>
          <w:sz w:val="20"/>
          <w:szCs w:val="20"/>
          <w:lang w:val="es-ES"/>
        </w:rPr>
        <w:t>.</w:t>
      </w:r>
    </w:p>
    <w:p w14:paraId="66FAFB58" w14:textId="77777777" w:rsidR="00642523" w:rsidRPr="005E7689" w:rsidRDefault="00642523" w:rsidP="004E1372">
      <w:pPr>
        <w:widowControl w:val="0"/>
        <w:autoSpaceDE w:val="0"/>
        <w:autoSpaceDN w:val="0"/>
        <w:adjustRightInd w:val="0"/>
        <w:spacing w:after="0" w:line="240" w:lineRule="auto"/>
        <w:ind w:left="1276" w:hanging="562"/>
        <w:jc w:val="both"/>
        <w:rPr>
          <w:rFonts w:cs="Arial"/>
          <w:i/>
          <w:iCs/>
          <w:sz w:val="20"/>
          <w:szCs w:val="20"/>
          <w:lang w:val="es-ES"/>
        </w:rPr>
      </w:pPr>
    </w:p>
    <w:p w14:paraId="4589567B" w14:textId="00D7578F" w:rsidR="00642523" w:rsidRPr="00675168" w:rsidRDefault="00642523" w:rsidP="004E1372">
      <w:pPr>
        <w:widowControl w:val="0"/>
        <w:autoSpaceDE w:val="0"/>
        <w:autoSpaceDN w:val="0"/>
        <w:adjustRightInd w:val="0"/>
        <w:spacing w:after="0" w:line="240" w:lineRule="auto"/>
        <w:ind w:left="720"/>
        <w:jc w:val="both"/>
        <w:rPr>
          <w:rFonts w:cs="Arial"/>
          <w:b/>
          <w:bCs/>
          <w:i/>
          <w:iCs/>
          <w:sz w:val="20"/>
          <w:szCs w:val="20"/>
          <w:lang w:val="es-ES"/>
        </w:rPr>
      </w:pPr>
      <w:r w:rsidRPr="00675168">
        <w:rPr>
          <w:rFonts w:cs="Arial"/>
          <w:b/>
          <w:bCs/>
          <w:i/>
          <w:iCs/>
          <w:sz w:val="20"/>
          <w:szCs w:val="20"/>
          <w:lang w:val="es-ES"/>
        </w:rPr>
        <w:t xml:space="preserve">14.49 </w:t>
      </w:r>
      <w:r w:rsidR="00410321" w:rsidRPr="00675168">
        <w:rPr>
          <w:rFonts w:cs="Arial"/>
          <w:b/>
          <w:bCs/>
          <w:i/>
          <w:iCs/>
          <w:sz w:val="20"/>
          <w:szCs w:val="20"/>
          <w:lang w:val="es-ES"/>
        </w:rPr>
        <w:t>dirigida al Consejo Científico</w:t>
      </w:r>
    </w:p>
    <w:p w14:paraId="40C77BA9" w14:textId="77777777" w:rsidR="00642523" w:rsidRPr="00675168" w:rsidRDefault="00642523" w:rsidP="004E1372">
      <w:pPr>
        <w:widowControl w:val="0"/>
        <w:autoSpaceDE w:val="0"/>
        <w:autoSpaceDN w:val="0"/>
        <w:adjustRightInd w:val="0"/>
        <w:spacing w:after="0" w:line="240" w:lineRule="auto"/>
        <w:ind w:left="851" w:hanging="562"/>
        <w:jc w:val="both"/>
        <w:rPr>
          <w:rFonts w:cs="Arial"/>
          <w:i/>
          <w:iCs/>
          <w:sz w:val="20"/>
          <w:szCs w:val="20"/>
          <w:lang w:val="es-ES"/>
        </w:rPr>
      </w:pPr>
    </w:p>
    <w:p w14:paraId="1FC00CB5" w14:textId="77777777" w:rsidR="00CD0409" w:rsidRPr="00CD0409" w:rsidRDefault="00CD0409" w:rsidP="004E1372">
      <w:pPr>
        <w:pStyle w:val="ListParagraph"/>
        <w:widowControl w:val="0"/>
        <w:autoSpaceDE w:val="0"/>
        <w:autoSpaceDN w:val="0"/>
        <w:adjustRightInd w:val="0"/>
        <w:spacing w:after="80" w:line="240" w:lineRule="auto"/>
        <w:contextualSpacing w:val="0"/>
        <w:jc w:val="both"/>
        <w:rPr>
          <w:rFonts w:cs="Arial"/>
          <w:i/>
          <w:iCs/>
          <w:sz w:val="20"/>
          <w:szCs w:val="20"/>
          <w:lang w:val="es-ES"/>
        </w:rPr>
      </w:pPr>
      <w:r w:rsidRPr="00CD0409">
        <w:rPr>
          <w:rFonts w:cs="Arial"/>
          <w:i/>
          <w:iCs/>
          <w:sz w:val="20"/>
          <w:szCs w:val="20"/>
          <w:lang w:val="es-ES"/>
        </w:rPr>
        <w:t>Se solicita al Consejo Científico, en función de la disponibilidad de recursos externos:</w:t>
      </w:r>
    </w:p>
    <w:p w14:paraId="25B42E2F" w14:textId="77777777" w:rsidR="00CD0409" w:rsidRPr="00CD0409" w:rsidRDefault="00CD0409" w:rsidP="00CD0409">
      <w:pPr>
        <w:pStyle w:val="ListParagraph"/>
        <w:widowControl w:val="0"/>
        <w:autoSpaceDE w:val="0"/>
        <w:autoSpaceDN w:val="0"/>
        <w:adjustRightInd w:val="0"/>
        <w:spacing w:after="80" w:line="240" w:lineRule="auto"/>
        <w:ind w:left="927"/>
        <w:jc w:val="both"/>
        <w:rPr>
          <w:rFonts w:cs="Arial"/>
          <w:i/>
          <w:iCs/>
          <w:sz w:val="20"/>
          <w:szCs w:val="20"/>
          <w:lang w:val="es-ES"/>
        </w:rPr>
      </w:pPr>
    </w:p>
    <w:p w14:paraId="0C5C7DEB" w14:textId="77777777" w:rsidR="00CD0409" w:rsidRPr="00CD0409" w:rsidRDefault="00CD0409" w:rsidP="004E1372">
      <w:pPr>
        <w:pStyle w:val="ListParagraph"/>
        <w:widowControl w:val="0"/>
        <w:numPr>
          <w:ilvl w:val="0"/>
          <w:numId w:val="17"/>
        </w:numPr>
        <w:autoSpaceDE w:val="0"/>
        <w:autoSpaceDN w:val="0"/>
        <w:adjustRightInd w:val="0"/>
        <w:spacing w:after="80" w:line="240" w:lineRule="auto"/>
        <w:ind w:left="1080"/>
        <w:contextualSpacing w:val="0"/>
        <w:jc w:val="both"/>
        <w:rPr>
          <w:rFonts w:cs="Arial"/>
          <w:i/>
          <w:iCs/>
          <w:sz w:val="20"/>
          <w:szCs w:val="20"/>
          <w:lang w:val="es-ES"/>
        </w:rPr>
      </w:pPr>
      <w:r w:rsidRPr="00CD0409">
        <w:rPr>
          <w:rFonts w:cs="Arial"/>
          <w:i/>
          <w:iCs/>
          <w:sz w:val="20"/>
          <w:szCs w:val="20"/>
          <w:lang w:val="es-ES"/>
        </w:rPr>
        <w:t>revisar los informes presentados por las Partes a través de sus Informes Nacionales sobre la aplicación de la Decisión 14.48 (a) - (c) y hacer recomendaciones a las Partes;</w:t>
      </w:r>
    </w:p>
    <w:p w14:paraId="2F846735" w14:textId="77777777" w:rsidR="0044748F" w:rsidRDefault="00CD0409" w:rsidP="004E1372">
      <w:pPr>
        <w:pStyle w:val="ListParagraph"/>
        <w:widowControl w:val="0"/>
        <w:numPr>
          <w:ilvl w:val="0"/>
          <w:numId w:val="17"/>
        </w:numPr>
        <w:autoSpaceDE w:val="0"/>
        <w:autoSpaceDN w:val="0"/>
        <w:adjustRightInd w:val="0"/>
        <w:spacing w:after="80" w:line="240" w:lineRule="auto"/>
        <w:ind w:left="1080"/>
        <w:contextualSpacing w:val="0"/>
        <w:jc w:val="both"/>
        <w:rPr>
          <w:rFonts w:cs="Arial"/>
          <w:i/>
          <w:iCs/>
          <w:sz w:val="20"/>
          <w:szCs w:val="20"/>
          <w:lang w:val="es-ES"/>
        </w:rPr>
      </w:pPr>
      <w:r w:rsidRPr="00CD0409">
        <w:rPr>
          <w:rFonts w:cs="Arial"/>
          <w:i/>
          <w:iCs/>
          <w:sz w:val="20"/>
          <w:szCs w:val="20"/>
          <w:lang w:val="es-ES"/>
        </w:rPr>
        <w:t>colaborar con la CBI y la Organización Marítima Internacional (OMI) para identificar las áreas en las que los cetáceos incluidos en la CMS tienen un alto riesgo de colisión con embarcaciones, incluyendo el trazado de las rutas marítimas en relación con las Áreas Importantes para los Mamíferos Marinos (IMMA); proporcionar asesoramiento sobre la localización apropiada de medidas de cambio de rumbo, incluyendo la evitación de áreas y/o el establecimiento de restricciones a la velocidad de las embarcaciones en los hábitats clave para los cetáceos, y hacer recomendaciones a las Partes</w:t>
      </w:r>
      <w:r w:rsidR="00642523" w:rsidRPr="00CD0409">
        <w:rPr>
          <w:rFonts w:cs="Arial"/>
          <w:i/>
          <w:iCs/>
          <w:sz w:val="20"/>
          <w:szCs w:val="20"/>
          <w:lang w:val="es-ES"/>
        </w:rPr>
        <w:t>;</w:t>
      </w:r>
    </w:p>
    <w:p w14:paraId="48DB61FC" w14:textId="77777777" w:rsidR="00AE590F" w:rsidRPr="00AE590F" w:rsidRDefault="00AE590F" w:rsidP="004E1372">
      <w:pPr>
        <w:pStyle w:val="ListParagraph"/>
        <w:widowControl w:val="0"/>
        <w:numPr>
          <w:ilvl w:val="0"/>
          <w:numId w:val="17"/>
        </w:numPr>
        <w:autoSpaceDE w:val="0"/>
        <w:autoSpaceDN w:val="0"/>
        <w:adjustRightInd w:val="0"/>
        <w:spacing w:after="80" w:line="240" w:lineRule="auto"/>
        <w:ind w:left="1080"/>
        <w:contextualSpacing w:val="0"/>
        <w:jc w:val="both"/>
        <w:rPr>
          <w:rFonts w:cs="Arial"/>
          <w:i/>
          <w:iCs/>
          <w:sz w:val="20"/>
          <w:szCs w:val="20"/>
          <w:lang w:val="es-ES"/>
        </w:rPr>
      </w:pPr>
      <w:r w:rsidRPr="00AE590F">
        <w:rPr>
          <w:rFonts w:cs="Arial"/>
          <w:i/>
          <w:iCs/>
          <w:sz w:val="20"/>
          <w:szCs w:val="20"/>
          <w:lang w:val="es-ES"/>
        </w:rPr>
        <w:t>evaluar el riesgo de colisión para otros taxones de la megafauna marina incluidos en la CMS que puedan sufrir colisiones con las embarcaciones, e identificar las áreas en las que sean más necesarias las medidas de conservación, considerando también la información existente sobre las Áreas Importantes para Tiburones y Rayas (ISRA) identificadas y la información futura sobre las Áreas Importantes para Tortugas Marinas (IMTA) identificadas; y</w:t>
      </w:r>
    </w:p>
    <w:p w14:paraId="117934F0" w14:textId="03151075" w:rsidR="00642523" w:rsidRPr="00AE590F" w:rsidRDefault="00AE590F" w:rsidP="004E1372">
      <w:pPr>
        <w:pStyle w:val="ListParagraph"/>
        <w:widowControl w:val="0"/>
        <w:numPr>
          <w:ilvl w:val="0"/>
          <w:numId w:val="17"/>
        </w:numPr>
        <w:autoSpaceDE w:val="0"/>
        <w:autoSpaceDN w:val="0"/>
        <w:adjustRightInd w:val="0"/>
        <w:spacing w:after="0" w:line="240" w:lineRule="auto"/>
        <w:ind w:left="1080"/>
        <w:jc w:val="both"/>
        <w:rPr>
          <w:rFonts w:cs="Arial"/>
          <w:i/>
          <w:iCs/>
          <w:sz w:val="20"/>
          <w:szCs w:val="20"/>
          <w:lang w:val="es-ES"/>
        </w:rPr>
      </w:pPr>
      <w:r w:rsidRPr="00AE590F">
        <w:rPr>
          <w:rFonts w:cs="Arial"/>
          <w:i/>
          <w:iCs/>
          <w:sz w:val="20"/>
          <w:szCs w:val="20"/>
          <w:lang w:val="es-ES"/>
        </w:rPr>
        <w:lastRenderedPageBreak/>
        <w:t>informar a la Conferencia de las Partes en su 15.a reunión sobre los progresos realizados en aplicación de la presente decisión.</w:t>
      </w:r>
    </w:p>
    <w:p w14:paraId="36FF4603" w14:textId="77777777" w:rsidR="00642523" w:rsidRPr="00AE590F" w:rsidRDefault="00642523" w:rsidP="00642523">
      <w:pPr>
        <w:widowControl w:val="0"/>
        <w:autoSpaceDE w:val="0"/>
        <w:autoSpaceDN w:val="0"/>
        <w:adjustRightInd w:val="0"/>
        <w:spacing w:after="0" w:line="240" w:lineRule="auto"/>
        <w:ind w:left="851"/>
        <w:jc w:val="both"/>
        <w:rPr>
          <w:rFonts w:cs="Arial"/>
          <w:b/>
          <w:bCs/>
          <w:i/>
          <w:iCs/>
          <w:sz w:val="20"/>
          <w:szCs w:val="20"/>
          <w:lang w:val="es-ES"/>
        </w:rPr>
      </w:pPr>
    </w:p>
    <w:p w14:paraId="7A2DC351" w14:textId="4B54BED8" w:rsidR="00642523" w:rsidRPr="00675168" w:rsidRDefault="00642523" w:rsidP="004E1372">
      <w:pPr>
        <w:widowControl w:val="0"/>
        <w:autoSpaceDE w:val="0"/>
        <w:autoSpaceDN w:val="0"/>
        <w:adjustRightInd w:val="0"/>
        <w:spacing w:after="0" w:line="240" w:lineRule="auto"/>
        <w:ind w:left="720"/>
        <w:jc w:val="both"/>
        <w:rPr>
          <w:rFonts w:cs="Arial"/>
          <w:b/>
          <w:bCs/>
          <w:i/>
          <w:iCs/>
          <w:sz w:val="20"/>
          <w:szCs w:val="20"/>
          <w:lang w:val="es-ES"/>
        </w:rPr>
      </w:pPr>
      <w:r w:rsidRPr="00675168">
        <w:rPr>
          <w:rFonts w:cs="Arial"/>
          <w:b/>
          <w:bCs/>
          <w:i/>
          <w:iCs/>
          <w:sz w:val="20"/>
          <w:szCs w:val="20"/>
          <w:lang w:val="es-ES"/>
        </w:rPr>
        <w:t xml:space="preserve">14.50 </w:t>
      </w:r>
      <w:r w:rsidR="00AB3653" w:rsidRPr="00675168">
        <w:rPr>
          <w:rFonts w:cs="Arial"/>
          <w:b/>
          <w:bCs/>
          <w:i/>
          <w:iCs/>
          <w:sz w:val="20"/>
          <w:szCs w:val="20"/>
          <w:lang w:val="es-ES"/>
        </w:rPr>
        <w:t>dirigida a la Secretaría</w:t>
      </w:r>
    </w:p>
    <w:p w14:paraId="48AAFFA6" w14:textId="77777777" w:rsidR="00642523" w:rsidRPr="00675168" w:rsidRDefault="00642523" w:rsidP="004E1372">
      <w:pPr>
        <w:widowControl w:val="0"/>
        <w:autoSpaceDE w:val="0"/>
        <w:autoSpaceDN w:val="0"/>
        <w:adjustRightInd w:val="0"/>
        <w:spacing w:after="0" w:line="240" w:lineRule="auto"/>
        <w:ind w:left="720"/>
        <w:jc w:val="both"/>
        <w:rPr>
          <w:rFonts w:cs="Arial"/>
          <w:i/>
          <w:iCs/>
          <w:sz w:val="20"/>
          <w:szCs w:val="20"/>
          <w:lang w:val="es-ES"/>
        </w:rPr>
      </w:pPr>
    </w:p>
    <w:p w14:paraId="52D77D70" w14:textId="77777777" w:rsidR="00AF04E8" w:rsidRPr="00AF04E8" w:rsidRDefault="00AF04E8" w:rsidP="004E1372">
      <w:pPr>
        <w:pStyle w:val="ListParagraph"/>
        <w:widowControl w:val="0"/>
        <w:autoSpaceDE w:val="0"/>
        <w:autoSpaceDN w:val="0"/>
        <w:adjustRightInd w:val="0"/>
        <w:spacing w:after="80" w:line="240" w:lineRule="auto"/>
        <w:ind w:left="1080" w:hanging="360"/>
        <w:jc w:val="both"/>
        <w:rPr>
          <w:rFonts w:cs="Arial"/>
          <w:i/>
          <w:iCs/>
          <w:sz w:val="20"/>
          <w:szCs w:val="20"/>
          <w:lang w:val="es-ES"/>
        </w:rPr>
      </w:pPr>
      <w:r w:rsidRPr="00AF04E8">
        <w:rPr>
          <w:rFonts w:cs="Arial"/>
          <w:i/>
          <w:iCs/>
          <w:sz w:val="20"/>
          <w:szCs w:val="20"/>
          <w:lang w:val="es-ES"/>
        </w:rPr>
        <w:t>La Secretaría, sujeta a la disponibilidad de recursos externos, deberá:</w:t>
      </w:r>
    </w:p>
    <w:p w14:paraId="2FF41591" w14:textId="77777777" w:rsidR="00AF04E8" w:rsidRPr="00AF04E8" w:rsidRDefault="00AF04E8" w:rsidP="004E1372">
      <w:pPr>
        <w:pStyle w:val="ListParagraph"/>
        <w:widowControl w:val="0"/>
        <w:autoSpaceDE w:val="0"/>
        <w:autoSpaceDN w:val="0"/>
        <w:adjustRightInd w:val="0"/>
        <w:spacing w:after="80" w:line="240" w:lineRule="auto"/>
        <w:ind w:left="1080" w:hanging="360"/>
        <w:jc w:val="both"/>
        <w:rPr>
          <w:rFonts w:cs="Arial"/>
          <w:i/>
          <w:iCs/>
          <w:sz w:val="20"/>
          <w:szCs w:val="20"/>
          <w:lang w:val="es-ES"/>
        </w:rPr>
      </w:pPr>
    </w:p>
    <w:p w14:paraId="41EC3A63" w14:textId="77777777" w:rsidR="00AF04E8" w:rsidRPr="00AF04E8" w:rsidRDefault="00AF04E8" w:rsidP="004E1372">
      <w:pPr>
        <w:pStyle w:val="ListParagraph"/>
        <w:widowControl w:val="0"/>
        <w:numPr>
          <w:ilvl w:val="0"/>
          <w:numId w:val="18"/>
        </w:numPr>
        <w:autoSpaceDE w:val="0"/>
        <w:autoSpaceDN w:val="0"/>
        <w:adjustRightInd w:val="0"/>
        <w:spacing w:after="80" w:line="240" w:lineRule="auto"/>
        <w:ind w:left="1080"/>
        <w:contextualSpacing w:val="0"/>
        <w:jc w:val="both"/>
        <w:rPr>
          <w:rFonts w:cs="Arial"/>
          <w:i/>
          <w:iCs/>
          <w:sz w:val="20"/>
          <w:szCs w:val="20"/>
          <w:lang w:val="es-ES"/>
        </w:rPr>
      </w:pPr>
      <w:r w:rsidRPr="00AF04E8">
        <w:rPr>
          <w:rFonts w:cs="Arial"/>
          <w:i/>
          <w:iCs/>
          <w:sz w:val="20"/>
          <w:szCs w:val="20"/>
          <w:lang w:val="es-ES"/>
        </w:rPr>
        <w:t>Asistir al Consejo Científico en la aplicación de la Decisión 14.49 (a) - (c);</w:t>
      </w:r>
    </w:p>
    <w:p w14:paraId="7D29E867" w14:textId="77777777" w:rsidR="00AF04E8" w:rsidRPr="00AF04E8" w:rsidRDefault="00AF04E8" w:rsidP="004E1372">
      <w:pPr>
        <w:pStyle w:val="ListParagraph"/>
        <w:widowControl w:val="0"/>
        <w:numPr>
          <w:ilvl w:val="0"/>
          <w:numId w:val="18"/>
        </w:numPr>
        <w:autoSpaceDE w:val="0"/>
        <w:autoSpaceDN w:val="0"/>
        <w:adjustRightInd w:val="0"/>
        <w:spacing w:after="80" w:line="240" w:lineRule="auto"/>
        <w:ind w:left="1080"/>
        <w:contextualSpacing w:val="0"/>
        <w:jc w:val="both"/>
        <w:rPr>
          <w:rFonts w:cs="Arial"/>
          <w:i/>
          <w:iCs/>
          <w:sz w:val="20"/>
          <w:szCs w:val="20"/>
          <w:lang w:val="es-ES"/>
        </w:rPr>
      </w:pPr>
      <w:r w:rsidRPr="00AF04E8">
        <w:rPr>
          <w:rFonts w:cs="Arial"/>
          <w:i/>
          <w:iCs/>
          <w:sz w:val="20"/>
          <w:szCs w:val="20"/>
          <w:lang w:val="es-ES"/>
        </w:rPr>
        <w:t>Alentar la colaboración con la OMI en el establecimiento de medidas para reducir las colisiones de embarcaciones con las especies marinas de la CMS; y</w:t>
      </w:r>
    </w:p>
    <w:p w14:paraId="6E276986" w14:textId="07071AC5" w:rsidR="00642523" w:rsidRPr="00AF04E8" w:rsidRDefault="00AF04E8" w:rsidP="004E1372">
      <w:pPr>
        <w:pStyle w:val="ListParagraph"/>
        <w:widowControl w:val="0"/>
        <w:numPr>
          <w:ilvl w:val="0"/>
          <w:numId w:val="18"/>
        </w:numPr>
        <w:autoSpaceDE w:val="0"/>
        <w:autoSpaceDN w:val="0"/>
        <w:adjustRightInd w:val="0"/>
        <w:spacing w:after="80" w:line="240" w:lineRule="auto"/>
        <w:ind w:left="1080"/>
        <w:contextualSpacing w:val="0"/>
        <w:jc w:val="both"/>
        <w:rPr>
          <w:rFonts w:cs="Arial"/>
          <w:i/>
          <w:iCs/>
          <w:sz w:val="20"/>
          <w:szCs w:val="20"/>
          <w:lang w:val="es-ES"/>
        </w:rPr>
      </w:pPr>
      <w:r w:rsidRPr="00AF04E8">
        <w:rPr>
          <w:rFonts w:cs="Arial"/>
          <w:i/>
          <w:iCs/>
          <w:sz w:val="20"/>
          <w:szCs w:val="20"/>
          <w:lang w:val="es-ES"/>
        </w:rPr>
        <w:t>Poner en conocimiento de la OMI los siguientes informes:</w:t>
      </w:r>
      <w:r w:rsidR="00642523" w:rsidRPr="00AF04E8">
        <w:rPr>
          <w:rFonts w:cs="Arial"/>
          <w:i/>
          <w:iCs/>
          <w:sz w:val="20"/>
          <w:szCs w:val="20"/>
          <w:lang w:val="es-ES"/>
        </w:rPr>
        <w:t xml:space="preserve"> </w:t>
      </w:r>
    </w:p>
    <w:p w14:paraId="79082220" w14:textId="4D684BF7" w:rsidR="00642523" w:rsidRPr="00AE2013" w:rsidRDefault="00AE2013" w:rsidP="004E1372">
      <w:pPr>
        <w:pStyle w:val="ListParagraph"/>
        <w:widowControl w:val="0"/>
        <w:numPr>
          <w:ilvl w:val="0"/>
          <w:numId w:val="19"/>
        </w:numPr>
        <w:autoSpaceDE w:val="0"/>
        <w:autoSpaceDN w:val="0"/>
        <w:adjustRightInd w:val="0"/>
        <w:spacing w:after="80" w:line="240" w:lineRule="auto"/>
        <w:ind w:left="1620" w:hanging="450"/>
        <w:contextualSpacing w:val="0"/>
        <w:jc w:val="both"/>
        <w:rPr>
          <w:rFonts w:cs="Arial"/>
          <w:i/>
          <w:iCs/>
          <w:sz w:val="20"/>
          <w:szCs w:val="20"/>
          <w:lang w:val="es-ES"/>
        </w:rPr>
      </w:pPr>
      <w:r w:rsidRPr="00AE2013">
        <w:rPr>
          <w:rFonts w:cs="Arial"/>
          <w:i/>
          <w:iCs/>
          <w:sz w:val="20"/>
          <w:szCs w:val="20"/>
          <w:lang w:val="es-ES"/>
        </w:rPr>
        <w:t>el informe que elaborará el Consejo Científico sobre las zonas de alto riesgo de colisión de las embarcaciones con los cetáceos y las recomendaciones sobre las medidas de mitigación adecuadas</w:t>
      </w:r>
      <w:r w:rsidR="00642523" w:rsidRPr="00AE2013">
        <w:rPr>
          <w:rFonts w:cs="Arial"/>
          <w:i/>
          <w:iCs/>
          <w:sz w:val="20"/>
          <w:szCs w:val="20"/>
          <w:lang w:val="es-ES"/>
        </w:rPr>
        <w:t xml:space="preserve">; </w:t>
      </w:r>
    </w:p>
    <w:p w14:paraId="48122DEB" w14:textId="3567221A" w:rsidR="00642523" w:rsidRPr="00D35442" w:rsidRDefault="00D35442" w:rsidP="004E1372">
      <w:pPr>
        <w:pStyle w:val="ListParagraph"/>
        <w:widowControl w:val="0"/>
        <w:numPr>
          <w:ilvl w:val="0"/>
          <w:numId w:val="19"/>
        </w:numPr>
        <w:autoSpaceDE w:val="0"/>
        <w:autoSpaceDN w:val="0"/>
        <w:adjustRightInd w:val="0"/>
        <w:spacing w:after="0" w:line="240" w:lineRule="auto"/>
        <w:ind w:left="1620" w:hanging="450"/>
        <w:jc w:val="both"/>
        <w:rPr>
          <w:rFonts w:cs="Arial"/>
          <w:i/>
          <w:iCs/>
          <w:sz w:val="20"/>
          <w:szCs w:val="20"/>
          <w:lang w:val="es-ES"/>
        </w:rPr>
      </w:pPr>
      <w:r w:rsidRPr="00D35442">
        <w:rPr>
          <w:rFonts w:cs="Arial"/>
          <w:i/>
          <w:iCs/>
          <w:sz w:val="20"/>
          <w:szCs w:val="20"/>
          <w:lang w:val="es-ES"/>
        </w:rPr>
        <w:t>el reporte Limitar el impacto global de las embarcaciones sobre los tiburones ballena: comprender una amenaza creciente para el pez más grande del mundo, que se encuentra en UNEP/CMS/COP14/Inf.27.2.3, y las Directrices sobre la reducción del riesgo de colisión de las embarcaciones con los tiburones ballena los cuales están incluidas en la Resolución 14.5 Reducir el riesgo de colisión de las embarcaciones con la megafauna marina</w:t>
      </w:r>
      <w:r w:rsidR="00642523" w:rsidRPr="00D35442">
        <w:rPr>
          <w:rFonts w:cs="Arial"/>
          <w:i/>
          <w:iCs/>
          <w:sz w:val="20"/>
          <w:szCs w:val="20"/>
          <w:lang w:val="es-ES"/>
        </w:rPr>
        <w:t>.</w:t>
      </w:r>
    </w:p>
    <w:p w14:paraId="7C7879CB" w14:textId="77777777" w:rsidR="00642523" w:rsidRPr="00D35442" w:rsidRDefault="00642523" w:rsidP="00642523">
      <w:pPr>
        <w:widowControl w:val="0"/>
        <w:autoSpaceDE w:val="0"/>
        <w:autoSpaceDN w:val="0"/>
        <w:adjustRightInd w:val="0"/>
        <w:spacing w:after="0" w:line="240" w:lineRule="auto"/>
        <w:jc w:val="both"/>
        <w:rPr>
          <w:rFonts w:cs="Arial"/>
          <w:i/>
          <w:iCs/>
          <w:sz w:val="20"/>
          <w:szCs w:val="20"/>
          <w:lang w:val="es-ES"/>
        </w:rPr>
      </w:pPr>
    </w:p>
    <w:p w14:paraId="192A76B4" w14:textId="77777777" w:rsidR="002E0C58" w:rsidRPr="003C5292" w:rsidRDefault="002E0C58" w:rsidP="002E0C58">
      <w:pPr>
        <w:spacing w:after="0" w:line="240" w:lineRule="auto"/>
        <w:rPr>
          <w:rFonts w:cs="Arial"/>
          <w:u w:val="single"/>
          <w:lang w:val="es-ES"/>
        </w:rPr>
      </w:pPr>
      <w:r w:rsidRPr="003C5292">
        <w:rPr>
          <w:rFonts w:cs="Arial"/>
          <w:u w:val="single"/>
          <w:lang w:val="es-ES"/>
        </w:rPr>
        <w:t>Identificación de áreas en las que los cetáceos incluidos en la CMS corren un alto riesgo de colisiones con embarcaciones</w:t>
      </w:r>
    </w:p>
    <w:p w14:paraId="0D1883E7" w14:textId="77777777" w:rsidR="002E0C58" w:rsidRPr="003C5292" w:rsidRDefault="002E0C58" w:rsidP="002E0C58">
      <w:pPr>
        <w:spacing w:after="0" w:line="240" w:lineRule="auto"/>
        <w:rPr>
          <w:rFonts w:cs="Arial"/>
          <w:u w:val="single"/>
          <w:lang w:val="es-ES"/>
        </w:rPr>
      </w:pPr>
    </w:p>
    <w:p w14:paraId="0088E45A"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3C5292">
        <w:rPr>
          <w:rFonts w:cs="Arial"/>
          <w:lang w:val="es-ES"/>
        </w:rPr>
        <w:t>En la 7.</w:t>
      </w:r>
      <w:r w:rsidRPr="003C5292">
        <w:rPr>
          <w:rFonts w:cs="Arial"/>
          <w:vertAlign w:val="superscript"/>
          <w:lang w:val="es-ES"/>
        </w:rPr>
        <w:t>ª</w:t>
      </w:r>
      <w:r w:rsidRPr="003C5292">
        <w:rPr>
          <w:rFonts w:cs="Arial"/>
          <w:lang w:val="es-ES"/>
        </w:rPr>
        <w:t xml:space="preserve"> reunión del Comité del Período de Sesiones del Consejo Científico de la CMS (septiembre de 2024) se constató que la Comisión Ballenera Internacional (CBI) ya había avanzado considerablemente en la aplicación de la Decisión 14.49 (b), y que ello podría aprovecharse para identificar las zonas en las que algunos cetáceos incluidos en la CMS corren un alto riesgo de colisiones con embarcaciones.</w:t>
      </w:r>
    </w:p>
    <w:p w14:paraId="1EAD0359" w14:textId="77777777" w:rsidR="002E0C58" w:rsidRPr="003C5292" w:rsidRDefault="002E0C58" w:rsidP="002E0C58">
      <w:pPr>
        <w:widowControl w:val="0"/>
        <w:autoSpaceDE w:val="0"/>
        <w:autoSpaceDN w:val="0"/>
        <w:adjustRightInd w:val="0"/>
        <w:spacing w:after="0" w:line="240" w:lineRule="auto"/>
        <w:contextualSpacing/>
        <w:jc w:val="both"/>
        <w:rPr>
          <w:rFonts w:cs="Arial"/>
          <w:lang w:val="es-ES"/>
        </w:rPr>
      </w:pPr>
    </w:p>
    <w:p w14:paraId="6E663F14"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La CBI ha venido trabajando para abordar el problema de las colisiones con embarcaciones en los cetáceos a través de sus Comités Científico y de Conservación. Con el fin de elaborar medidas de mitigación adecuadas, la CBI ha centrado hasta ahora sus esfuerzos en la obtención de datos. Ello permitiría una evaluación cuantitativa de los factores que intervienen en las colisiones con embarcaciones, lo que podría ayudar a orientar las medidas de mitigación de manera más eficaz.</w:t>
      </w:r>
    </w:p>
    <w:p w14:paraId="638ECE20" w14:textId="77777777" w:rsidR="002E0C58" w:rsidRPr="003C5292" w:rsidRDefault="002E0C58" w:rsidP="002E0C58">
      <w:pPr>
        <w:widowControl w:val="0"/>
        <w:autoSpaceDE w:val="0"/>
        <w:autoSpaceDN w:val="0"/>
        <w:adjustRightInd w:val="0"/>
        <w:spacing w:after="0" w:line="240" w:lineRule="auto"/>
        <w:jc w:val="both"/>
        <w:rPr>
          <w:rFonts w:cs="Arial"/>
          <w:lang w:val="es-ES"/>
        </w:rPr>
      </w:pPr>
    </w:p>
    <w:p w14:paraId="78867A69"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 xml:space="preserve">En su </w:t>
      </w:r>
      <w:r w:rsidRPr="003C5292">
        <w:rPr>
          <w:rFonts w:cs="Arial"/>
          <w:i/>
          <w:iCs/>
          <w:lang w:val="es-ES"/>
        </w:rPr>
        <w:t>Plan estratégico para mitigar los efectos de las colisiones con embarcaciones en las poblaciones de cetáceos: 2022-2032,</w:t>
      </w:r>
      <w:r w:rsidRPr="003C5292">
        <w:rPr>
          <w:rFonts w:cs="Arial"/>
          <w:i/>
          <w:iCs/>
          <w:vertAlign w:val="superscript"/>
          <w:lang w:val="es-ES"/>
        </w:rPr>
        <w:footnoteReference w:id="1"/>
      </w:r>
      <w:r w:rsidRPr="003C5292">
        <w:rPr>
          <w:rFonts w:cs="Arial"/>
          <w:i/>
          <w:iCs/>
          <w:lang w:val="es-ES"/>
        </w:rPr>
        <w:t xml:space="preserve"> </w:t>
      </w:r>
      <w:r w:rsidRPr="003C5292">
        <w:rPr>
          <w:rFonts w:cs="Arial"/>
          <w:lang w:val="es-ES"/>
        </w:rPr>
        <w:t>la CBI identifica «zonas de alto riesgo» para los cetáceos, donde las colisiones con embarcaciones constituyen una de las principales causas de mortalidad y pueden amenazar la situación local de conservación. La CBI define las zonas de alto riesgo como «la convergencia de áreas con un elevado volumen de tráfico marítimo y ballenas, o un elevado número de ballenas y tráfico marítimo». Las zonas de alto volumen de tráfico marítimo incluyen rutas marítimas históricas, canales de navegación designados y accesos a puertos. Las zonas con gran número de ballenas incluyen áreas de agregación, lugares a los que las ballenas regresan periódicamente en número, o hábitats clave para las poblaciones de ballenas.</w:t>
      </w:r>
    </w:p>
    <w:p w14:paraId="5A1317B6" w14:textId="77777777" w:rsidR="002E0C58" w:rsidRPr="003C5292" w:rsidRDefault="002E0C58" w:rsidP="002E0C58">
      <w:pPr>
        <w:widowControl w:val="0"/>
        <w:autoSpaceDE w:val="0"/>
        <w:autoSpaceDN w:val="0"/>
        <w:adjustRightInd w:val="0"/>
        <w:spacing w:after="0" w:line="240" w:lineRule="auto"/>
        <w:ind w:left="567"/>
        <w:jc w:val="both"/>
        <w:rPr>
          <w:rFonts w:cs="Arial"/>
          <w:lang w:val="es-ES"/>
        </w:rPr>
      </w:pPr>
    </w:p>
    <w:p w14:paraId="29818DD7"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 xml:space="preserve">El Plan estratégico de la CBI también define las poblaciones en riesgo. Se trata de poblaciones de cetáceos cuya «viabilidad poblacional» está en peligro debido a colisiones con embarcaciones. Diversos factores, únicos o combinados, pueden influir </w:t>
      </w:r>
      <w:r w:rsidRPr="003C5292">
        <w:rPr>
          <w:rFonts w:cs="Arial"/>
          <w:lang w:val="es-ES"/>
        </w:rPr>
        <w:lastRenderedPageBreak/>
        <w:t>en la viabilidad de una población, incluidos la proporción de la población presente en zonas de alto riesgo, el número de hembras reproductivamente maduras de la población y la susceptibilidad de una especie concreta a las colisiones con embarcaciones; por ejemplo, las especies que nadan lentamente o permanecen en la superficie durante largos períodos corren un mayor riesgo.</w:t>
      </w:r>
    </w:p>
    <w:p w14:paraId="6A2B3A15" w14:textId="77777777" w:rsidR="002E0C58" w:rsidRPr="003C5292" w:rsidRDefault="002E0C58" w:rsidP="002E0C58">
      <w:pPr>
        <w:pStyle w:val="ListParagraph"/>
        <w:spacing w:after="0"/>
        <w:rPr>
          <w:rFonts w:cs="Arial"/>
          <w:lang w:val="es-ES"/>
        </w:rPr>
      </w:pPr>
    </w:p>
    <w:p w14:paraId="176034B0"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 xml:space="preserve">La Tabla 1 se adapta del </w:t>
      </w:r>
      <w:r w:rsidRPr="003C5292">
        <w:rPr>
          <w:rFonts w:cs="Arial"/>
          <w:i/>
          <w:iCs/>
          <w:lang w:val="es-ES"/>
        </w:rPr>
        <w:t xml:space="preserve">Plan estratégico de la CBI para mitigar los efectos de las colisiones con embarcaciones en las poblaciones de cetáceos: 2022-2032. </w:t>
      </w:r>
      <w:r w:rsidRPr="003C5292">
        <w:rPr>
          <w:rFonts w:cs="Arial"/>
          <w:lang w:val="es-ES"/>
        </w:rPr>
        <w:t xml:space="preserve">Esta muestra dónde se han identificado especies de cetáceos incluidas en la CMS como de alto riesgo, así como las Partes relevantes de la CMS para estas áreas. </w:t>
      </w:r>
    </w:p>
    <w:p w14:paraId="3315413F" w14:textId="77777777" w:rsidR="002E0C58" w:rsidRPr="003C5292" w:rsidRDefault="002E0C58" w:rsidP="002E0C58">
      <w:pPr>
        <w:pStyle w:val="ListParagraph"/>
        <w:spacing w:after="0" w:line="240" w:lineRule="auto"/>
        <w:rPr>
          <w:rFonts w:cs="Arial"/>
          <w:lang w:val="es-ES"/>
        </w:rPr>
      </w:pPr>
    </w:p>
    <w:p w14:paraId="5174D6F1" w14:textId="77777777" w:rsidR="002E0C58" w:rsidRPr="003C5292" w:rsidRDefault="002E0C58" w:rsidP="002E0C58">
      <w:pPr>
        <w:spacing w:after="0" w:line="240" w:lineRule="auto"/>
        <w:rPr>
          <w:rFonts w:cs="Arial"/>
          <w:sz w:val="20"/>
          <w:szCs w:val="20"/>
          <w:lang w:val="es-ES"/>
        </w:rPr>
      </w:pPr>
      <w:r w:rsidRPr="003C5292">
        <w:rPr>
          <w:rFonts w:cs="Arial"/>
          <w:sz w:val="20"/>
          <w:szCs w:val="20"/>
          <w:lang w:val="es-ES"/>
        </w:rPr>
        <w:t>Tabla 1. Ubicaciones de poblaciones de ballenas incluidas en los Apéndices de la CMS en situación de riesgo.</w:t>
      </w:r>
    </w:p>
    <w:tbl>
      <w:tblPr>
        <w:tblStyle w:val="TableGrid"/>
        <w:tblW w:w="5241" w:type="pct"/>
        <w:tblInd w:w="-185" w:type="dxa"/>
        <w:tblLook w:val="04A0" w:firstRow="1" w:lastRow="0" w:firstColumn="1" w:lastColumn="0" w:noHBand="0" w:noVBand="1"/>
      </w:tblPr>
      <w:tblGrid>
        <w:gridCol w:w="1636"/>
        <w:gridCol w:w="1117"/>
        <w:gridCol w:w="1151"/>
        <w:gridCol w:w="1361"/>
        <w:gridCol w:w="1128"/>
        <w:gridCol w:w="3058"/>
      </w:tblGrid>
      <w:tr w:rsidR="006D3098" w:rsidRPr="00D97AE0" w14:paraId="155246E5" w14:textId="77777777" w:rsidTr="00FC123A">
        <w:trPr>
          <w:trHeight w:val="288"/>
          <w:tblHeader/>
        </w:trPr>
        <w:tc>
          <w:tcPr>
            <w:tcW w:w="865" w:type="pct"/>
            <w:shd w:val="clear" w:color="auto" w:fill="DEEAF6" w:themeFill="accent5" w:themeFillTint="33"/>
            <w:hideMark/>
          </w:tcPr>
          <w:p w14:paraId="0A66B937" w14:textId="77777777" w:rsidR="002E0C58" w:rsidRPr="003C5292" w:rsidRDefault="002E0C58" w:rsidP="00484164">
            <w:pPr>
              <w:widowControl w:val="0"/>
              <w:autoSpaceDE w:val="0"/>
              <w:autoSpaceDN w:val="0"/>
              <w:adjustRightInd w:val="0"/>
              <w:rPr>
                <w:rFonts w:cs="Arial"/>
                <w:b/>
                <w:bCs/>
                <w:sz w:val="20"/>
                <w:szCs w:val="20"/>
                <w:lang w:val="es-ES"/>
              </w:rPr>
            </w:pPr>
            <w:r w:rsidRPr="003C5292">
              <w:rPr>
                <w:rFonts w:cs="Arial"/>
                <w:b/>
                <w:bCs/>
                <w:sz w:val="20"/>
                <w:szCs w:val="20"/>
                <w:lang w:val="es-ES"/>
              </w:rPr>
              <w:t>Ubicación</w:t>
            </w:r>
          </w:p>
        </w:tc>
        <w:tc>
          <w:tcPr>
            <w:tcW w:w="591" w:type="pct"/>
            <w:shd w:val="clear" w:color="auto" w:fill="DEEAF6" w:themeFill="accent5" w:themeFillTint="33"/>
            <w:hideMark/>
          </w:tcPr>
          <w:p w14:paraId="21DC2868" w14:textId="77777777" w:rsidR="002E0C58" w:rsidRPr="003C5292" w:rsidRDefault="002E0C58" w:rsidP="00484164">
            <w:pPr>
              <w:widowControl w:val="0"/>
              <w:autoSpaceDE w:val="0"/>
              <w:autoSpaceDN w:val="0"/>
              <w:adjustRightInd w:val="0"/>
              <w:rPr>
                <w:rFonts w:cs="Arial"/>
                <w:b/>
                <w:bCs/>
                <w:sz w:val="20"/>
                <w:szCs w:val="20"/>
                <w:lang w:val="es-ES"/>
              </w:rPr>
            </w:pPr>
            <w:r w:rsidRPr="003C5292">
              <w:rPr>
                <w:rFonts w:cs="Arial"/>
                <w:b/>
                <w:bCs/>
                <w:sz w:val="20"/>
                <w:szCs w:val="20"/>
                <w:lang w:val="es-ES"/>
              </w:rPr>
              <w:t>Especie</w:t>
            </w:r>
          </w:p>
        </w:tc>
        <w:tc>
          <w:tcPr>
            <w:tcW w:w="609" w:type="pct"/>
            <w:shd w:val="clear" w:color="auto" w:fill="DEEAF6" w:themeFill="accent5" w:themeFillTint="33"/>
            <w:hideMark/>
          </w:tcPr>
          <w:p w14:paraId="1606E4D1" w14:textId="77777777" w:rsidR="002E0C58" w:rsidRPr="003C5292" w:rsidRDefault="002E0C58" w:rsidP="00484164">
            <w:pPr>
              <w:widowControl w:val="0"/>
              <w:autoSpaceDE w:val="0"/>
              <w:autoSpaceDN w:val="0"/>
              <w:adjustRightInd w:val="0"/>
              <w:rPr>
                <w:rFonts w:cs="Arial"/>
                <w:b/>
                <w:bCs/>
                <w:sz w:val="20"/>
                <w:szCs w:val="20"/>
                <w:lang w:val="es-ES"/>
              </w:rPr>
            </w:pPr>
            <w:r w:rsidRPr="003C5292">
              <w:rPr>
                <w:rFonts w:cs="Arial"/>
                <w:b/>
                <w:bCs/>
                <w:sz w:val="20"/>
                <w:szCs w:val="20"/>
                <w:lang w:val="es-ES"/>
              </w:rPr>
              <w:t>Inclusión en la CMS</w:t>
            </w:r>
          </w:p>
        </w:tc>
        <w:tc>
          <w:tcPr>
            <w:tcW w:w="720" w:type="pct"/>
            <w:shd w:val="clear" w:color="auto" w:fill="DEEAF6" w:themeFill="accent5" w:themeFillTint="33"/>
            <w:hideMark/>
          </w:tcPr>
          <w:p w14:paraId="2184E0E6" w14:textId="77777777" w:rsidR="002E0C58" w:rsidRPr="003C5292" w:rsidRDefault="002E0C58" w:rsidP="00484164">
            <w:pPr>
              <w:widowControl w:val="0"/>
              <w:autoSpaceDE w:val="0"/>
              <w:autoSpaceDN w:val="0"/>
              <w:adjustRightInd w:val="0"/>
              <w:rPr>
                <w:rFonts w:cs="Arial"/>
                <w:b/>
                <w:bCs/>
                <w:sz w:val="20"/>
                <w:szCs w:val="20"/>
                <w:lang w:val="es-ES"/>
              </w:rPr>
            </w:pPr>
            <w:r w:rsidRPr="003C5292">
              <w:rPr>
                <w:rFonts w:cs="Arial"/>
                <w:b/>
                <w:bCs/>
                <w:sz w:val="20"/>
                <w:szCs w:val="20"/>
                <w:lang w:val="es-ES"/>
              </w:rPr>
              <w:t>Estado(s) del Área de distribución de la CMS relevante(s)</w:t>
            </w:r>
          </w:p>
        </w:tc>
        <w:tc>
          <w:tcPr>
            <w:tcW w:w="597" w:type="pct"/>
            <w:shd w:val="clear" w:color="auto" w:fill="DEEAF6" w:themeFill="accent5" w:themeFillTint="33"/>
            <w:hideMark/>
          </w:tcPr>
          <w:p w14:paraId="01B48929" w14:textId="77777777" w:rsidR="002E0C58" w:rsidRPr="003C5292" w:rsidRDefault="002E0C58" w:rsidP="00484164">
            <w:pPr>
              <w:widowControl w:val="0"/>
              <w:autoSpaceDE w:val="0"/>
              <w:autoSpaceDN w:val="0"/>
              <w:adjustRightInd w:val="0"/>
              <w:rPr>
                <w:rFonts w:cs="Arial"/>
                <w:b/>
                <w:bCs/>
                <w:sz w:val="20"/>
                <w:szCs w:val="20"/>
                <w:lang w:val="es-ES"/>
              </w:rPr>
            </w:pPr>
            <w:r w:rsidRPr="003C5292">
              <w:rPr>
                <w:rFonts w:cs="Arial"/>
                <w:b/>
                <w:bCs/>
                <w:sz w:val="20"/>
                <w:szCs w:val="20"/>
                <w:lang w:val="es-ES"/>
              </w:rPr>
              <w:t>Etapa de acción de la CBI</w:t>
            </w:r>
          </w:p>
        </w:tc>
        <w:tc>
          <w:tcPr>
            <w:tcW w:w="1618" w:type="pct"/>
            <w:shd w:val="clear" w:color="auto" w:fill="DEEAF6" w:themeFill="accent5" w:themeFillTint="33"/>
            <w:hideMark/>
          </w:tcPr>
          <w:p w14:paraId="05FEA6D1" w14:textId="77777777" w:rsidR="002E0C58" w:rsidRPr="003C5292" w:rsidRDefault="002E0C58" w:rsidP="00484164">
            <w:pPr>
              <w:widowControl w:val="0"/>
              <w:autoSpaceDE w:val="0"/>
              <w:autoSpaceDN w:val="0"/>
              <w:adjustRightInd w:val="0"/>
              <w:rPr>
                <w:rFonts w:cs="Arial"/>
                <w:b/>
                <w:bCs/>
                <w:sz w:val="20"/>
                <w:szCs w:val="20"/>
                <w:lang w:val="es-ES"/>
              </w:rPr>
            </w:pPr>
            <w:r w:rsidRPr="003C5292">
              <w:rPr>
                <w:rFonts w:cs="Arial"/>
                <w:b/>
                <w:bCs/>
                <w:sz w:val="20"/>
                <w:szCs w:val="20"/>
                <w:lang w:val="es-ES"/>
              </w:rPr>
              <w:t>Acciones emprendidas / acciones adicionales necesarias</w:t>
            </w:r>
          </w:p>
        </w:tc>
      </w:tr>
      <w:tr w:rsidR="006D3098" w:rsidRPr="00D97AE0" w14:paraId="30420F65" w14:textId="77777777" w:rsidTr="00FC123A">
        <w:trPr>
          <w:trHeight w:val="593"/>
        </w:trPr>
        <w:tc>
          <w:tcPr>
            <w:tcW w:w="865" w:type="pct"/>
            <w:hideMark/>
          </w:tcPr>
          <w:p w14:paraId="107674AF"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Sudáfrica, Puerto de Ciudad del Cabo</w:t>
            </w:r>
          </w:p>
        </w:tc>
        <w:tc>
          <w:tcPr>
            <w:tcW w:w="591" w:type="pct"/>
            <w:hideMark/>
          </w:tcPr>
          <w:p w14:paraId="2B671C54"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Ballena franca</w:t>
            </w:r>
          </w:p>
        </w:tc>
        <w:tc>
          <w:tcPr>
            <w:tcW w:w="609" w:type="pct"/>
            <w:hideMark/>
          </w:tcPr>
          <w:p w14:paraId="2DB68DEF"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 I</w:t>
            </w:r>
          </w:p>
        </w:tc>
        <w:tc>
          <w:tcPr>
            <w:tcW w:w="720" w:type="pct"/>
            <w:hideMark/>
          </w:tcPr>
          <w:p w14:paraId="4F6FC9A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Sudáfrica</w:t>
            </w:r>
          </w:p>
        </w:tc>
        <w:tc>
          <w:tcPr>
            <w:tcW w:w="597" w:type="pct"/>
            <w:hideMark/>
          </w:tcPr>
          <w:p w14:paraId="0E96DF6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1</w:t>
            </w:r>
          </w:p>
        </w:tc>
        <w:tc>
          <w:tcPr>
            <w:tcW w:w="1618" w:type="pct"/>
            <w:hideMark/>
          </w:tcPr>
          <w:p w14:paraId="4D041262"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Debe realizarse un análisis del riesgo de colisiones con embarcaciones.</w:t>
            </w:r>
          </w:p>
        </w:tc>
      </w:tr>
      <w:tr w:rsidR="006D3098" w:rsidRPr="00D97AE0" w14:paraId="39801224" w14:textId="77777777" w:rsidTr="00FC123A">
        <w:trPr>
          <w:trHeight w:val="663"/>
        </w:trPr>
        <w:tc>
          <w:tcPr>
            <w:tcW w:w="865" w:type="pct"/>
            <w:hideMark/>
          </w:tcPr>
          <w:p w14:paraId="71556EB4"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Sudáfrica, Puerto de Ciudad del Cabo</w:t>
            </w:r>
          </w:p>
        </w:tc>
        <w:tc>
          <w:tcPr>
            <w:tcW w:w="591" w:type="pct"/>
            <w:hideMark/>
          </w:tcPr>
          <w:p w14:paraId="7584E77F"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Ballena jorobada</w:t>
            </w:r>
          </w:p>
        </w:tc>
        <w:tc>
          <w:tcPr>
            <w:tcW w:w="609" w:type="pct"/>
            <w:hideMark/>
          </w:tcPr>
          <w:p w14:paraId="06B1F9F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 I</w:t>
            </w:r>
          </w:p>
        </w:tc>
        <w:tc>
          <w:tcPr>
            <w:tcW w:w="720" w:type="pct"/>
            <w:hideMark/>
          </w:tcPr>
          <w:p w14:paraId="74CE16F8"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Sudáfrica</w:t>
            </w:r>
          </w:p>
        </w:tc>
        <w:tc>
          <w:tcPr>
            <w:tcW w:w="597" w:type="pct"/>
            <w:hideMark/>
          </w:tcPr>
          <w:p w14:paraId="21541D6F"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1</w:t>
            </w:r>
          </w:p>
        </w:tc>
        <w:tc>
          <w:tcPr>
            <w:tcW w:w="1618" w:type="pct"/>
            <w:hideMark/>
          </w:tcPr>
          <w:p w14:paraId="32F9F02F"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Debe realizarse un análisis del riesgo de colisiones con embarcaciones.</w:t>
            </w:r>
          </w:p>
        </w:tc>
      </w:tr>
      <w:tr w:rsidR="006D3098" w:rsidRPr="00D97AE0" w14:paraId="263E0B79" w14:textId="77777777" w:rsidTr="00FC123A">
        <w:trPr>
          <w:trHeight w:val="371"/>
        </w:trPr>
        <w:tc>
          <w:tcPr>
            <w:tcW w:w="865" w:type="pct"/>
            <w:hideMark/>
          </w:tcPr>
          <w:p w14:paraId="0144CB78"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España, islas Canarias</w:t>
            </w:r>
          </w:p>
        </w:tc>
        <w:tc>
          <w:tcPr>
            <w:tcW w:w="591" w:type="pct"/>
            <w:hideMark/>
          </w:tcPr>
          <w:p w14:paraId="473E6CA5"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Cachalote</w:t>
            </w:r>
          </w:p>
        </w:tc>
        <w:tc>
          <w:tcPr>
            <w:tcW w:w="609" w:type="pct"/>
            <w:hideMark/>
          </w:tcPr>
          <w:p w14:paraId="40DADCAB"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2750728D"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España</w:t>
            </w:r>
          </w:p>
        </w:tc>
        <w:tc>
          <w:tcPr>
            <w:tcW w:w="597" w:type="pct"/>
            <w:hideMark/>
          </w:tcPr>
          <w:p w14:paraId="54474A5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3</w:t>
            </w:r>
          </w:p>
        </w:tc>
        <w:tc>
          <w:tcPr>
            <w:tcW w:w="1618" w:type="pct"/>
            <w:hideMark/>
          </w:tcPr>
          <w:p w14:paraId="4DFAB6A7"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Se encuentran en marcha pruebas de sistemas de detección de ballenas en ferris de alta velocidad. Si tienen éxito, deben ampliarse a todos los operadores de ferris rápidos y elaborarse protocolos para ayudar a los buques a responder eficazmente a las detecciones de ballenas.</w:t>
            </w:r>
          </w:p>
        </w:tc>
      </w:tr>
      <w:tr w:rsidR="006D3098" w:rsidRPr="00D97AE0" w14:paraId="6B2807C4" w14:textId="77777777" w:rsidTr="00FC123A">
        <w:trPr>
          <w:trHeight w:val="888"/>
        </w:trPr>
        <w:tc>
          <w:tcPr>
            <w:tcW w:w="865" w:type="pct"/>
            <w:hideMark/>
          </w:tcPr>
          <w:p w14:paraId="354ADC87"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 xml:space="preserve">Atlántico suroccidental. Isla subantártica en 54º15’S 36º45’O </w:t>
            </w:r>
          </w:p>
        </w:tc>
        <w:tc>
          <w:tcPr>
            <w:tcW w:w="591" w:type="pct"/>
            <w:hideMark/>
          </w:tcPr>
          <w:p w14:paraId="13FAEA08"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Ballena azul</w:t>
            </w:r>
          </w:p>
        </w:tc>
        <w:tc>
          <w:tcPr>
            <w:tcW w:w="609" w:type="pct"/>
            <w:hideMark/>
          </w:tcPr>
          <w:p w14:paraId="1BF0F738"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 I </w:t>
            </w:r>
          </w:p>
        </w:tc>
        <w:tc>
          <w:tcPr>
            <w:tcW w:w="720" w:type="pct"/>
            <w:hideMark/>
          </w:tcPr>
          <w:p w14:paraId="0648EFAC" w14:textId="40EA0211" w:rsidR="002E0C58" w:rsidRPr="00E52DDD" w:rsidRDefault="00A218A0" w:rsidP="00484164">
            <w:pPr>
              <w:widowControl w:val="0"/>
              <w:autoSpaceDE w:val="0"/>
              <w:autoSpaceDN w:val="0"/>
              <w:adjustRightInd w:val="0"/>
              <w:jc w:val="both"/>
              <w:rPr>
                <w:rFonts w:cs="Arial"/>
                <w:sz w:val="20"/>
                <w:szCs w:val="20"/>
                <w:lang w:val="es-ES"/>
              </w:rPr>
            </w:pPr>
            <w:hyperlink r:id="rId12" w:history="1">
              <w:r w:rsidRPr="00E52DDD">
                <w:rPr>
                  <w:rFonts w:cs="Arial"/>
                  <w:sz w:val="20"/>
                  <w:szCs w:val="20"/>
                  <w:lang w:val="es-ES"/>
                </w:rPr>
                <w:t>Reino</w:t>
              </w:r>
            </w:hyperlink>
            <w:r w:rsidRPr="00E52DDD">
              <w:rPr>
                <w:sz w:val="20"/>
                <w:szCs w:val="20"/>
              </w:rPr>
              <w:t xml:space="preserve"> </w:t>
            </w:r>
            <w:proofErr w:type="spellStart"/>
            <w:r w:rsidRPr="00E52DDD">
              <w:rPr>
                <w:sz w:val="20"/>
                <w:szCs w:val="20"/>
              </w:rPr>
              <w:t>Unido</w:t>
            </w:r>
            <w:proofErr w:type="spellEnd"/>
          </w:p>
        </w:tc>
        <w:tc>
          <w:tcPr>
            <w:tcW w:w="597" w:type="pct"/>
            <w:hideMark/>
          </w:tcPr>
          <w:p w14:paraId="371F422C"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3</w:t>
            </w:r>
          </w:p>
        </w:tc>
        <w:tc>
          <w:tcPr>
            <w:tcW w:w="1618" w:type="pct"/>
            <w:hideMark/>
          </w:tcPr>
          <w:p w14:paraId="453A5DA9" w14:textId="30FBF513"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Reducción voluntaria de velocidad a 10 nudos implementada por el Gobierno.</w:t>
            </w:r>
          </w:p>
        </w:tc>
      </w:tr>
      <w:tr w:rsidR="006D3098" w:rsidRPr="00D97AE0" w14:paraId="32B59F7C" w14:textId="77777777" w:rsidTr="00FC123A">
        <w:trPr>
          <w:trHeight w:val="888"/>
        </w:trPr>
        <w:tc>
          <w:tcPr>
            <w:tcW w:w="865" w:type="pct"/>
            <w:hideMark/>
          </w:tcPr>
          <w:p w14:paraId="79BECF34"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 xml:space="preserve">Atlántico suroccidental. Isla subantártica en 54º15’S 36º45’O </w:t>
            </w:r>
          </w:p>
        </w:tc>
        <w:tc>
          <w:tcPr>
            <w:tcW w:w="591" w:type="pct"/>
            <w:hideMark/>
          </w:tcPr>
          <w:p w14:paraId="281FF866"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Ballena jorobada</w:t>
            </w:r>
          </w:p>
        </w:tc>
        <w:tc>
          <w:tcPr>
            <w:tcW w:w="609" w:type="pct"/>
            <w:hideMark/>
          </w:tcPr>
          <w:p w14:paraId="6D893A4B"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 I</w:t>
            </w:r>
          </w:p>
        </w:tc>
        <w:tc>
          <w:tcPr>
            <w:tcW w:w="720" w:type="pct"/>
            <w:hideMark/>
          </w:tcPr>
          <w:p w14:paraId="448E35E6" w14:textId="57EC83D2" w:rsidR="002E0C58" w:rsidRPr="00E52DDD" w:rsidRDefault="00E52DDD" w:rsidP="00484164">
            <w:pPr>
              <w:widowControl w:val="0"/>
              <w:autoSpaceDE w:val="0"/>
              <w:autoSpaceDN w:val="0"/>
              <w:adjustRightInd w:val="0"/>
              <w:jc w:val="both"/>
              <w:rPr>
                <w:rFonts w:cs="Arial"/>
                <w:sz w:val="20"/>
                <w:szCs w:val="20"/>
                <w:lang w:val="es-ES"/>
              </w:rPr>
            </w:pPr>
            <w:hyperlink r:id="rId13" w:history="1">
              <w:r w:rsidRPr="00E52DDD">
                <w:rPr>
                  <w:rFonts w:cs="Arial"/>
                  <w:sz w:val="20"/>
                  <w:szCs w:val="20"/>
                  <w:lang w:val="es-ES"/>
                </w:rPr>
                <w:t>Reino</w:t>
              </w:r>
            </w:hyperlink>
            <w:r w:rsidRPr="00E52DDD">
              <w:rPr>
                <w:sz w:val="20"/>
                <w:szCs w:val="20"/>
              </w:rPr>
              <w:t xml:space="preserve"> </w:t>
            </w:r>
            <w:proofErr w:type="spellStart"/>
            <w:r w:rsidRPr="00E52DDD">
              <w:rPr>
                <w:sz w:val="20"/>
                <w:szCs w:val="20"/>
              </w:rPr>
              <w:t>Unido</w:t>
            </w:r>
            <w:proofErr w:type="spellEnd"/>
          </w:p>
        </w:tc>
        <w:tc>
          <w:tcPr>
            <w:tcW w:w="597" w:type="pct"/>
            <w:hideMark/>
          </w:tcPr>
          <w:p w14:paraId="1EB68CB4"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3</w:t>
            </w:r>
          </w:p>
        </w:tc>
        <w:tc>
          <w:tcPr>
            <w:tcW w:w="1618" w:type="pct"/>
            <w:hideMark/>
          </w:tcPr>
          <w:p w14:paraId="5C408831" w14:textId="4AB13ECC"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Reducción voluntaria de velocidad a 10 nudos implementada por el G</w:t>
            </w:r>
            <w:r w:rsidR="00E52DDD">
              <w:rPr>
                <w:rFonts w:cs="Arial"/>
                <w:sz w:val="20"/>
                <w:szCs w:val="20"/>
                <w:lang w:val="es-ES"/>
              </w:rPr>
              <w:t>obierno</w:t>
            </w:r>
            <w:r w:rsidRPr="003C5292">
              <w:rPr>
                <w:rFonts w:cs="Arial"/>
                <w:sz w:val="20"/>
                <w:szCs w:val="20"/>
                <w:lang w:val="es-ES"/>
              </w:rPr>
              <w:t>.</w:t>
            </w:r>
          </w:p>
        </w:tc>
      </w:tr>
      <w:tr w:rsidR="00FC123A" w:rsidRPr="003C5292" w14:paraId="08A7023D" w14:textId="77777777" w:rsidTr="00FC123A">
        <w:trPr>
          <w:trHeight w:val="587"/>
        </w:trPr>
        <w:tc>
          <w:tcPr>
            <w:tcW w:w="865" w:type="pct"/>
            <w:hideMark/>
          </w:tcPr>
          <w:p w14:paraId="7CB43029"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Sri Lanka</w:t>
            </w:r>
          </w:p>
        </w:tc>
        <w:tc>
          <w:tcPr>
            <w:tcW w:w="591" w:type="pct"/>
            <w:hideMark/>
          </w:tcPr>
          <w:p w14:paraId="27A8861D"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Ballena azul</w:t>
            </w:r>
          </w:p>
        </w:tc>
        <w:tc>
          <w:tcPr>
            <w:tcW w:w="609" w:type="pct"/>
            <w:hideMark/>
          </w:tcPr>
          <w:p w14:paraId="072DCBB3"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 I</w:t>
            </w:r>
          </w:p>
        </w:tc>
        <w:tc>
          <w:tcPr>
            <w:tcW w:w="720" w:type="pct"/>
            <w:hideMark/>
          </w:tcPr>
          <w:p w14:paraId="02EC383F"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Sri Lanka</w:t>
            </w:r>
          </w:p>
        </w:tc>
        <w:tc>
          <w:tcPr>
            <w:tcW w:w="597" w:type="pct"/>
            <w:hideMark/>
          </w:tcPr>
          <w:p w14:paraId="3B366E6D"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4</w:t>
            </w:r>
          </w:p>
        </w:tc>
        <w:tc>
          <w:tcPr>
            <w:tcW w:w="1618" w:type="pct"/>
            <w:hideMark/>
          </w:tcPr>
          <w:p w14:paraId="32372584"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 xml:space="preserve">Propuesta del sector para crear un nuevo dispositivo de separación del tráfico (DST) debatida en la OMI. Actualmente en consideración por el Gobierno de Sri Lanka. </w:t>
            </w:r>
          </w:p>
        </w:tc>
      </w:tr>
      <w:tr w:rsidR="006D3098" w:rsidRPr="00D97AE0" w14:paraId="3A6BF4EC" w14:textId="77777777" w:rsidTr="00FC123A">
        <w:trPr>
          <w:trHeight w:val="558"/>
        </w:trPr>
        <w:tc>
          <w:tcPr>
            <w:tcW w:w="865" w:type="pct"/>
            <w:hideMark/>
          </w:tcPr>
          <w:p w14:paraId="0A0D8401" w14:textId="77777777" w:rsidR="002E0C58" w:rsidRPr="003C5292" w:rsidRDefault="002E0C58" w:rsidP="00484164">
            <w:pPr>
              <w:widowControl w:val="0"/>
              <w:autoSpaceDE w:val="0"/>
              <w:autoSpaceDN w:val="0"/>
              <w:adjustRightInd w:val="0"/>
              <w:ind w:right="-57"/>
              <w:jc w:val="both"/>
              <w:rPr>
                <w:rFonts w:cs="Arial"/>
                <w:sz w:val="20"/>
                <w:szCs w:val="20"/>
                <w:lang w:val="es-ES"/>
              </w:rPr>
            </w:pPr>
            <w:r w:rsidRPr="003C5292">
              <w:rPr>
                <w:rFonts w:cs="Arial"/>
                <w:sz w:val="20"/>
                <w:szCs w:val="20"/>
                <w:lang w:val="es-ES"/>
              </w:rPr>
              <w:t xml:space="preserve">Grecia, Fosa Helénica, Mediterráneo </w:t>
            </w:r>
          </w:p>
        </w:tc>
        <w:tc>
          <w:tcPr>
            <w:tcW w:w="591" w:type="pct"/>
            <w:hideMark/>
          </w:tcPr>
          <w:p w14:paraId="438DC36D"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Cachalote</w:t>
            </w:r>
          </w:p>
        </w:tc>
        <w:tc>
          <w:tcPr>
            <w:tcW w:w="609" w:type="pct"/>
            <w:hideMark/>
          </w:tcPr>
          <w:p w14:paraId="308EF4C1"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775066E1"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Grecia</w:t>
            </w:r>
          </w:p>
        </w:tc>
        <w:tc>
          <w:tcPr>
            <w:tcW w:w="597" w:type="pct"/>
            <w:hideMark/>
          </w:tcPr>
          <w:p w14:paraId="6287AC9D"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4</w:t>
            </w:r>
          </w:p>
        </w:tc>
        <w:tc>
          <w:tcPr>
            <w:tcW w:w="1618" w:type="pct"/>
            <w:hideMark/>
          </w:tcPr>
          <w:p w14:paraId="09F5EC03"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 xml:space="preserve">Información proporcionada a través de Avisos a los Navegantes y derroteros sobre el área de mayor preocupación. Varias empresas navieras se </w:t>
            </w:r>
            <w:r w:rsidRPr="003C5292">
              <w:rPr>
                <w:rFonts w:cs="Arial"/>
                <w:sz w:val="20"/>
                <w:szCs w:val="20"/>
                <w:lang w:val="es-ES"/>
              </w:rPr>
              <w:lastRenderedPageBreak/>
              <w:t xml:space="preserve">han comprometido a evitar el área o reducir la velocidad. Una propuesta de enrutamiento a la OMI por parte de Grecia apoyaría las acciones voluntarias emprendidas por algunos intereses del sector naviero y garantizaría que todos los operadores adopten medidas adecuadas para reducir el riesgo. </w:t>
            </w:r>
          </w:p>
        </w:tc>
      </w:tr>
      <w:tr w:rsidR="006D3098" w:rsidRPr="00D97AE0" w14:paraId="47350076" w14:textId="77777777" w:rsidTr="00FC123A">
        <w:trPr>
          <w:trHeight w:val="576"/>
        </w:trPr>
        <w:tc>
          <w:tcPr>
            <w:tcW w:w="865" w:type="pct"/>
            <w:hideMark/>
          </w:tcPr>
          <w:p w14:paraId="5A9FE6A9"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lastRenderedPageBreak/>
              <w:t>Península antártica</w:t>
            </w:r>
          </w:p>
        </w:tc>
        <w:tc>
          <w:tcPr>
            <w:tcW w:w="591" w:type="pct"/>
            <w:hideMark/>
          </w:tcPr>
          <w:p w14:paraId="4360D4EF"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Ballena jorobada</w:t>
            </w:r>
          </w:p>
        </w:tc>
        <w:tc>
          <w:tcPr>
            <w:tcW w:w="609" w:type="pct"/>
            <w:hideMark/>
          </w:tcPr>
          <w:p w14:paraId="74D5B21B"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 I</w:t>
            </w:r>
          </w:p>
        </w:tc>
        <w:tc>
          <w:tcPr>
            <w:tcW w:w="720" w:type="pct"/>
            <w:hideMark/>
          </w:tcPr>
          <w:p w14:paraId="451EBB7B"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N/A</w:t>
            </w:r>
          </w:p>
        </w:tc>
        <w:tc>
          <w:tcPr>
            <w:tcW w:w="597" w:type="pct"/>
            <w:hideMark/>
          </w:tcPr>
          <w:p w14:paraId="470B3952"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5</w:t>
            </w:r>
          </w:p>
        </w:tc>
        <w:tc>
          <w:tcPr>
            <w:tcW w:w="1618" w:type="pct"/>
            <w:hideMark/>
          </w:tcPr>
          <w:p w14:paraId="14A2DE4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 xml:space="preserve">Áreas con restricción de velocidad de 10 nudos acordadas para todos los </w:t>
            </w:r>
            <w:r w:rsidRPr="003C5292">
              <w:rPr>
                <w:rStyle w:val="FootnoteReference"/>
                <w:rFonts w:cs="Arial"/>
                <w:sz w:val="20"/>
                <w:szCs w:val="20"/>
                <w:lang w:val="es-ES"/>
              </w:rPr>
              <w:footnoteReference w:id="2"/>
            </w:r>
            <w:r w:rsidRPr="003C5292">
              <w:rPr>
                <w:rFonts w:cs="Arial"/>
                <w:sz w:val="20"/>
                <w:szCs w:val="20"/>
                <w:lang w:val="es-ES"/>
              </w:rPr>
              <w:t xml:space="preserve">buques de la IAATO. </w:t>
            </w:r>
          </w:p>
        </w:tc>
      </w:tr>
      <w:tr w:rsidR="006D3098" w:rsidRPr="00D97AE0" w14:paraId="2FB39668" w14:textId="77777777" w:rsidTr="00FC123A">
        <w:trPr>
          <w:trHeight w:val="212"/>
        </w:trPr>
        <w:tc>
          <w:tcPr>
            <w:tcW w:w="865" w:type="pct"/>
            <w:hideMark/>
          </w:tcPr>
          <w:p w14:paraId="575F8615" w14:textId="77777777" w:rsidR="002E0C58" w:rsidRPr="003C5292" w:rsidRDefault="002E0C58" w:rsidP="00484164">
            <w:pPr>
              <w:widowControl w:val="0"/>
              <w:autoSpaceDE w:val="0"/>
              <w:autoSpaceDN w:val="0"/>
              <w:adjustRightInd w:val="0"/>
              <w:ind w:right="-57"/>
              <w:jc w:val="both"/>
              <w:rPr>
                <w:rFonts w:cs="Arial"/>
                <w:sz w:val="20"/>
                <w:szCs w:val="20"/>
                <w:lang w:val="es-ES"/>
              </w:rPr>
            </w:pPr>
            <w:r w:rsidRPr="003C5292">
              <w:rPr>
                <w:rFonts w:cs="Arial"/>
                <w:sz w:val="20"/>
                <w:szCs w:val="20"/>
                <w:lang w:val="es-ES"/>
              </w:rPr>
              <w:t xml:space="preserve">Francia, Mónaco, Italia, Santuario </w:t>
            </w:r>
            <w:proofErr w:type="spellStart"/>
            <w:r w:rsidRPr="003C5292">
              <w:rPr>
                <w:rFonts w:cs="Arial"/>
                <w:sz w:val="20"/>
                <w:szCs w:val="20"/>
                <w:lang w:val="es-ES"/>
              </w:rPr>
              <w:t>Pelagos</w:t>
            </w:r>
            <w:proofErr w:type="spellEnd"/>
            <w:r w:rsidRPr="003C5292">
              <w:rPr>
                <w:rFonts w:cs="Arial"/>
                <w:sz w:val="20"/>
                <w:szCs w:val="20"/>
                <w:lang w:val="es-ES"/>
              </w:rPr>
              <w:t xml:space="preserve">, Mediterráneo </w:t>
            </w:r>
          </w:p>
        </w:tc>
        <w:tc>
          <w:tcPr>
            <w:tcW w:w="591" w:type="pct"/>
            <w:hideMark/>
          </w:tcPr>
          <w:p w14:paraId="06A7BDF5"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Rorcual común</w:t>
            </w:r>
          </w:p>
        </w:tc>
        <w:tc>
          <w:tcPr>
            <w:tcW w:w="609" w:type="pct"/>
            <w:hideMark/>
          </w:tcPr>
          <w:p w14:paraId="6C2F09D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63985809"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Francia, Italia, Mónaco</w:t>
            </w:r>
          </w:p>
        </w:tc>
        <w:tc>
          <w:tcPr>
            <w:tcW w:w="597" w:type="pct"/>
            <w:hideMark/>
          </w:tcPr>
          <w:p w14:paraId="66764BA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5</w:t>
            </w:r>
          </w:p>
        </w:tc>
        <w:tc>
          <w:tcPr>
            <w:tcW w:w="1618" w:type="pct"/>
            <w:hideMark/>
          </w:tcPr>
          <w:p w14:paraId="63402AB7"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Establecida la ZMES</w:t>
            </w:r>
            <w:r w:rsidRPr="003C5292">
              <w:rPr>
                <w:rStyle w:val="FootnoteReference"/>
                <w:rFonts w:cs="Arial"/>
                <w:sz w:val="20"/>
                <w:szCs w:val="20"/>
                <w:lang w:val="es-ES"/>
              </w:rPr>
              <w:footnoteReference w:id="3"/>
            </w:r>
            <w:r w:rsidRPr="003C5292">
              <w:rPr>
                <w:rFonts w:cs="Arial"/>
                <w:sz w:val="20"/>
                <w:szCs w:val="20"/>
                <w:lang w:val="es-ES"/>
              </w:rPr>
              <w:t xml:space="preserve"> del Mediterráneo noroccidental, que incluye el Área del Acuerdo </w:t>
            </w:r>
            <w:proofErr w:type="spellStart"/>
            <w:r w:rsidRPr="003C5292">
              <w:rPr>
                <w:rFonts w:cs="Arial"/>
                <w:sz w:val="20"/>
                <w:szCs w:val="20"/>
                <w:lang w:val="es-ES"/>
              </w:rPr>
              <w:t>Pelagos</w:t>
            </w:r>
            <w:proofErr w:type="spellEnd"/>
            <w:r w:rsidRPr="003C5292">
              <w:rPr>
                <w:rFonts w:cs="Arial"/>
                <w:sz w:val="20"/>
                <w:szCs w:val="20"/>
                <w:lang w:val="es-ES"/>
              </w:rPr>
              <w:t xml:space="preserve"> (Santuario </w:t>
            </w:r>
            <w:proofErr w:type="spellStart"/>
            <w:r w:rsidRPr="003C5292">
              <w:rPr>
                <w:rFonts w:cs="Arial"/>
                <w:sz w:val="20"/>
                <w:szCs w:val="20"/>
                <w:lang w:val="es-ES"/>
              </w:rPr>
              <w:t>Pelagos</w:t>
            </w:r>
            <w:proofErr w:type="spellEnd"/>
            <w:r w:rsidRPr="003C5292">
              <w:rPr>
                <w:rFonts w:cs="Arial"/>
                <w:sz w:val="20"/>
                <w:szCs w:val="20"/>
                <w:lang w:val="es-ES"/>
              </w:rPr>
              <w:t xml:space="preserve">); colaboración con el Acuerdo </w:t>
            </w:r>
            <w:proofErr w:type="spellStart"/>
            <w:r w:rsidRPr="003C5292">
              <w:rPr>
                <w:rFonts w:cs="Arial"/>
                <w:sz w:val="20"/>
                <w:szCs w:val="20"/>
                <w:lang w:val="es-ES"/>
              </w:rPr>
              <w:t>Pelagos</w:t>
            </w:r>
            <w:proofErr w:type="spellEnd"/>
            <w:r w:rsidRPr="003C5292">
              <w:rPr>
                <w:rFonts w:cs="Arial"/>
                <w:sz w:val="20"/>
                <w:szCs w:val="20"/>
                <w:lang w:val="es-ES"/>
              </w:rPr>
              <w:t>. Se requiere trabajo adicional para implementar eficazmente las Medidas de Protección Asociadas para reducir los riesgos de colisiones con embarcaciones dentro de la ZMES.</w:t>
            </w:r>
          </w:p>
        </w:tc>
      </w:tr>
      <w:tr w:rsidR="006D3098" w:rsidRPr="00D97AE0" w14:paraId="153EA7AE" w14:textId="77777777" w:rsidTr="00FC123A">
        <w:trPr>
          <w:trHeight w:val="651"/>
        </w:trPr>
        <w:tc>
          <w:tcPr>
            <w:tcW w:w="865" w:type="pct"/>
            <w:hideMark/>
          </w:tcPr>
          <w:p w14:paraId="179DEB27" w14:textId="77777777" w:rsidR="002E0C58" w:rsidRPr="003C5292" w:rsidRDefault="002E0C58" w:rsidP="00484164">
            <w:pPr>
              <w:widowControl w:val="0"/>
              <w:autoSpaceDE w:val="0"/>
              <w:autoSpaceDN w:val="0"/>
              <w:adjustRightInd w:val="0"/>
              <w:ind w:right="-57"/>
              <w:jc w:val="both"/>
              <w:rPr>
                <w:rFonts w:cs="Arial"/>
                <w:sz w:val="20"/>
                <w:szCs w:val="20"/>
                <w:lang w:val="es-ES"/>
              </w:rPr>
            </w:pPr>
            <w:r w:rsidRPr="003C5292">
              <w:rPr>
                <w:rFonts w:cs="Arial"/>
                <w:sz w:val="20"/>
                <w:szCs w:val="20"/>
                <w:lang w:val="es-ES"/>
              </w:rPr>
              <w:t>España, islas Baleares, Mediterráneo y corredor de migración de cetáceos</w:t>
            </w:r>
          </w:p>
        </w:tc>
        <w:tc>
          <w:tcPr>
            <w:tcW w:w="591" w:type="pct"/>
            <w:hideMark/>
          </w:tcPr>
          <w:p w14:paraId="2052E2B4"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Rorcual común</w:t>
            </w:r>
          </w:p>
        </w:tc>
        <w:tc>
          <w:tcPr>
            <w:tcW w:w="609" w:type="pct"/>
            <w:hideMark/>
          </w:tcPr>
          <w:p w14:paraId="26CFDB53"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0F1DC105"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España</w:t>
            </w:r>
          </w:p>
        </w:tc>
        <w:tc>
          <w:tcPr>
            <w:tcW w:w="597" w:type="pct"/>
            <w:hideMark/>
          </w:tcPr>
          <w:p w14:paraId="03828355"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5</w:t>
            </w:r>
          </w:p>
        </w:tc>
        <w:tc>
          <w:tcPr>
            <w:tcW w:w="1618" w:type="pct"/>
            <w:hideMark/>
          </w:tcPr>
          <w:p w14:paraId="40F5154B"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 xml:space="preserve">Establecida la ZMES del Mediterráneo noroccidental, que incluye el Área del Acuerdo </w:t>
            </w:r>
            <w:proofErr w:type="spellStart"/>
            <w:r w:rsidRPr="003C5292">
              <w:rPr>
                <w:rFonts w:cs="Arial"/>
                <w:sz w:val="20"/>
                <w:szCs w:val="20"/>
                <w:lang w:val="es-ES"/>
              </w:rPr>
              <w:t>Pelagos</w:t>
            </w:r>
            <w:proofErr w:type="spellEnd"/>
            <w:r w:rsidRPr="003C5292">
              <w:rPr>
                <w:rFonts w:cs="Arial"/>
                <w:sz w:val="20"/>
                <w:szCs w:val="20"/>
                <w:lang w:val="es-ES"/>
              </w:rPr>
              <w:t xml:space="preserve"> (Santuario </w:t>
            </w:r>
            <w:proofErr w:type="spellStart"/>
            <w:r w:rsidRPr="003C5292">
              <w:rPr>
                <w:rFonts w:cs="Arial"/>
                <w:sz w:val="20"/>
                <w:szCs w:val="20"/>
                <w:lang w:val="es-ES"/>
              </w:rPr>
              <w:t>Pelagos</w:t>
            </w:r>
            <w:proofErr w:type="spellEnd"/>
            <w:r w:rsidRPr="003C5292">
              <w:rPr>
                <w:rFonts w:cs="Arial"/>
                <w:sz w:val="20"/>
                <w:szCs w:val="20"/>
                <w:lang w:val="es-ES"/>
              </w:rPr>
              <w:t xml:space="preserve">); colaboración con el Acuerdo </w:t>
            </w:r>
            <w:proofErr w:type="spellStart"/>
            <w:r w:rsidRPr="003C5292">
              <w:rPr>
                <w:rFonts w:cs="Arial"/>
                <w:sz w:val="20"/>
                <w:szCs w:val="20"/>
                <w:lang w:val="es-ES"/>
              </w:rPr>
              <w:t>Pelagos</w:t>
            </w:r>
            <w:proofErr w:type="spellEnd"/>
            <w:r w:rsidRPr="003C5292">
              <w:rPr>
                <w:rFonts w:cs="Arial"/>
                <w:sz w:val="20"/>
                <w:szCs w:val="20"/>
                <w:lang w:val="es-ES"/>
              </w:rPr>
              <w:t>. Se requiere trabajo adicional para implementar eficazmente las Medidas de Protección Asociadas para reducir los riesgos de colisiones con embarcaciones dentro de la ZMES.</w:t>
            </w:r>
          </w:p>
        </w:tc>
      </w:tr>
      <w:tr w:rsidR="006D3098" w:rsidRPr="00D97AE0" w14:paraId="4D7B230D" w14:textId="77777777" w:rsidTr="00FC123A">
        <w:trPr>
          <w:trHeight w:val="561"/>
        </w:trPr>
        <w:tc>
          <w:tcPr>
            <w:tcW w:w="865" w:type="pct"/>
            <w:hideMark/>
          </w:tcPr>
          <w:p w14:paraId="1FB371FD" w14:textId="77777777" w:rsidR="002E0C58" w:rsidRPr="003C5292" w:rsidRDefault="002E0C58" w:rsidP="00484164">
            <w:pPr>
              <w:widowControl w:val="0"/>
              <w:autoSpaceDE w:val="0"/>
              <w:autoSpaceDN w:val="0"/>
              <w:adjustRightInd w:val="0"/>
              <w:ind w:right="-57"/>
              <w:jc w:val="both"/>
              <w:rPr>
                <w:rFonts w:cs="Arial"/>
                <w:sz w:val="20"/>
                <w:szCs w:val="20"/>
                <w:lang w:val="es-ES"/>
              </w:rPr>
            </w:pPr>
            <w:r w:rsidRPr="003C5292">
              <w:rPr>
                <w:rFonts w:cs="Arial"/>
                <w:sz w:val="20"/>
                <w:szCs w:val="20"/>
                <w:lang w:val="es-ES"/>
              </w:rPr>
              <w:t>España, islas Baleares, Mediterráneo</w:t>
            </w:r>
          </w:p>
        </w:tc>
        <w:tc>
          <w:tcPr>
            <w:tcW w:w="591" w:type="pct"/>
            <w:hideMark/>
          </w:tcPr>
          <w:p w14:paraId="4228BE18"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Cachalote</w:t>
            </w:r>
          </w:p>
        </w:tc>
        <w:tc>
          <w:tcPr>
            <w:tcW w:w="609" w:type="pct"/>
            <w:hideMark/>
          </w:tcPr>
          <w:p w14:paraId="301167A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26C134DA"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España</w:t>
            </w:r>
          </w:p>
        </w:tc>
        <w:tc>
          <w:tcPr>
            <w:tcW w:w="597" w:type="pct"/>
            <w:hideMark/>
          </w:tcPr>
          <w:p w14:paraId="5D154CDC"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5</w:t>
            </w:r>
          </w:p>
        </w:tc>
        <w:tc>
          <w:tcPr>
            <w:tcW w:w="1618" w:type="pct"/>
            <w:hideMark/>
          </w:tcPr>
          <w:p w14:paraId="15328092"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 xml:space="preserve">Establecida la ZMES del Mediterráneo noroccidental, que incluye el Área del Acuerdo </w:t>
            </w:r>
            <w:proofErr w:type="spellStart"/>
            <w:r w:rsidRPr="003C5292">
              <w:rPr>
                <w:rFonts w:cs="Arial"/>
                <w:sz w:val="20"/>
                <w:szCs w:val="20"/>
                <w:lang w:val="es-ES"/>
              </w:rPr>
              <w:t>Pelagos</w:t>
            </w:r>
            <w:proofErr w:type="spellEnd"/>
            <w:r w:rsidRPr="003C5292">
              <w:rPr>
                <w:rFonts w:cs="Arial"/>
                <w:sz w:val="20"/>
                <w:szCs w:val="20"/>
                <w:lang w:val="es-ES"/>
              </w:rPr>
              <w:t xml:space="preserve"> (Santuario </w:t>
            </w:r>
            <w:proofErr w:type="spellStart"/>
            <w:r w:rsidRPr="003C5292">
              <w:rPr>
                <w:rFonts w:cs="Arial"/>
                <w:sz w:val="20"/>
                <w:szCs w:val="20"/>
                <w:lang w:val="es-ES"/>
              </w:rPr>
              <w:t>Pelagos</w:t>
            </w:r>
            <w:proofErr w:type="spellEnd"/>
            <w:r w:rsidRPr="003C5292">
              <w:rPr>
                <w:rFonts w:cs="Arial"/>
                <w:sz w:val="20"/>
                <w:szCs w:val="20"/>
                <w:lang w:val="es-ES"/>
              </w:rPr>
              <w:t xml:space="preserve">); colaboración con el Acuerdo </w:t>
            </w:r>
            <w:proofErr w:type="spellStart"/>
            <w:r w:rsidRPr="003C5292">
              <w:rPr>
                <w:rFonts w:cs="Arial"/>
                <w:sz w:val="20"/>
                <w:szCs w:val="20"/>
                <w:lang w:val="es-ES"/>
              </w:rPr>
              <w:t>Pelagos</w:t>
            </w:r>
            <w:proofErr w:type="spellEnd"/>
            <w:r w:rsidRPr="003C5292">
              <w:rPr>
                <w:rFonts w:cs="Arial"/>
                <w:sz w:val="20"/>
                <w:szCs w:val="20"/>
                <w:lang w:val="es-ES"/>
              </w:rPr>
              <w:t>. Se requiere trabajo adicional para implementar eficazmente las Medidas de Protección Asociadas para reducir los riesgos de colisiones con embarcaciones dentro de la ZMES.</w:t>
            </w:r>
          </w:p>
        </w:tc>
      </w:tr>
      <w:tr w:rsidR="006D3098" w:rsidRPr="00D97AE0" w14:paraId="7ED743B8" w14:textId="77777777" w:rsidTr="00FC123A">
        <w:trPr>
          <w:trHeight w:val="888"/>
        </w:trPr>
        <w:tc>
          <w:tcPr>
            <w:tcW w:w="865" w:type="pct"/>
            <w:hideMark/>
          </w:tcPr>
          <w:p w14:paraId="07FC848A" w14:textId="77777777" w:rsidR="002E0C58" w:rsidRPr="003C5292" w:rsidRDefault="002E0C58" w:rsidP="00484164">
            <w:pPr>
              <w:widowControl w:val="0"/>
              <w:autoSpaceDE w:val="0"/>
              <w:autoSpaceDN w:val="0"/>
              <w:adjustRightInd w:val="0"/>
              <w:ind w:right="-57"/>
              <w:jc w:val="both"/>
              <w:rPr>
                <w:rFonts w:cs="Arial"/>
                <w:sz w:val="20"/>
                <w:szCs w:val="20"/>
                <w:lang w:val="es-ES"/>
              </w:rPr>
            </w:pPr>
            <w:r w:rsidRPr="003C5292">
              <w:rPr>
                <w:rFonts w:cs="Arial"/>
                <w:sz w:val="20"/>
                <w:szCs w:val="20"/>
                <w:lang w:val="es-ES"/>
              </w:rPr>
              <w:lastRenderedPageBreak/>
              <w:t xml:space="preserve">España, Marruecos, mar de Alborán oriental, Mediterráneo </w:t>
            </w:r>
          </w:p>
        </w:tc>
        <w:tc>
          <w:tcPr>
            <w:tcW w:w="591" w:type="pct"/>
            <w:hideMark/>
          </w:tcPr>
          <w:p w14:paraId="7D755B4D"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Rorcual común</w:t>
            </w:r>
          </w:p>
        </w:tc>
        <w:tc>
          <w:tcPr>
            <w:tcW w:w="609" w:type="pct"/>
            <w:hideMark/>
          </w:tcPr>
          <w:p w14:paraId="1A3C8985"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1F746033"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España, Marruecos</w:t>
            </w:r>
          </w:p>
        </w:tc>
        <w:tc>
          <w:tcPr>
            <w:tcW w:w="597" w:type="pct"/>
            <w:hideMark/>
          </w:tcPr>
          <w:p w14:paraId="4E9B56CC"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5</w:t>
            </w:r>
          </w:p>
        </w:tc>
        <w:tc>
          <w:tcPr>
            <w:tcW w:w="1618" w:type="pct"/>
            <w:hideMark/>
          </w:tcPr>
          <w:p w14:paraId="385DBAE2"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Reubicado el DST de Cabo de Gata. Es necesario realizar un seguimiento para evaluar el cumplimiento del DST.</w:t>
            </w:r>
          </w:p>
        </w:tc>
      </w:tr>
      <w:tr w:rsidR="006D3098" w:rsidRPr="00D97AE0" w14:paraId="3BD46FDF" w14:textId="77777777" w:rsidTr="00FC123A">
        <w:trPr>
          <w:trHeight w:val="888"/>
        </w:trPr>
        <w:tc>
          <w:tcPr>
            <w:tcW w:w="865" w:type="pct"/>
            <w:hideMark/>
          </w:tcPr>
          <w:p w14:paraId="234DDEF5" w14:textId="77777777" w:rsidR="002E0C58" w:rsidRPr="003C5292" w:rsidRDefault="002E0C58" w:rsidP="00484164">
            <w:pPr>
              <w:widowControl w:val="0"/>
              <w:autoSpaceDE w:val="0"/>
              <w:autoSpaceDN w:val="0"/>
              <w:adjustRightInd w:val="0"/>
              <w:ind w:right="-57"/>
              <w:jc w:val="both"/>
              <w:rPr>
                <w:rFonts w:cs="Arial"/>
                <w:sz w:val="20"/>
                <w:szCs w:val="20"/>
                <w:lang w:val="es-ES"/>
              </w:rPr>
            </w:pPr>
            <w:r w:rsidRPr="003C5292">
              <w:rPr>
                <w:rFonts w:cs="Arial"/>
                <w:sz w:val="20"/>
                <w:szCs w:val="20"/>
                <w:lang w:val="es-ES"/>
              </w:rPr>
              <w:t xml:space="preserve">España, Marruecos, mar de Alborán oriental, Mediterráneo </w:t>
            </w:r>
          </w:p>
        </w:tc>
        <w:tc>
          <w:tcPr>
            <w:tcW w:w="591" w:type="pct"/>
            <w:hideMark/>
          </w:tcPr>
          <w:p w14:paraId="7D6F333E"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Cachalote</w:t>
            </w:r>
          </w:p>
        </w:tc>
        <w:tc>
          <w:tcPr>
            <w:tcW w:w="609" w:type="pct"/>
            <w:hideMark/>
          </w:tcPr>
          <w:p w14:paraId="2E0DD45A"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639839DD"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España, Marruecos</w:t>
            </w:r>
          </w:p>
        </w:tc>
        <w:tc>
          <w:tcPr>
            <w:tcW w:w="597" w:type="pct"/>
            <w:hideMark/>
          </w:tcPr>
          <w:p w14:paraId="61F0C3D3"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5</w:t>
            </w:r>
          </w:p>
        </w:tc>
        <w:tc>
          <w:tcPr>
            <w:tcW w:w="1618" w:type="pct"/>
            <w:hideMark/>
          </w:tcPr>
          <w:p w14:paraId="6C956F1C"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Reubicado el DST de Cabo de Gata. Es necesario realizar un seguimiento para evaluar el cumplimiento del DST.</w:t>
            </w:r>
          </w:p>
        </w:tc>
      </w:tr>
      <w:tr w:rsidR="006D3098" w:rsidRPr="00D97AE0" w14:paraId="4441318E" w14:textId="77777777" w:rsidTr="00FC123A">
        <w:trPr>
          <w:trHeight w:val="288"/>
        </w:trPr>
        <w:tc>
          <w:tcPr>
            <w:tcW w:w="865" w:type="pct"/>
            <w:hideMark/>
          </w:tcPr>
          <w:p w14:paraId="5FD48AA9"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Panamá</w:t>
            </w:r>
          </w:p>
        </w:tc>
        <w:tc>
          <w:tcPr>
            <w:tcW w:w="591" w:type="pct"/>
            <w:hideMark/>
          </w:tcPr>
          <w:p w14:paraId="77D86EA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Ballena jorobada</w:t>
            </w:r>
          </w:p>
        </w:tc>
        <w:tc>
          <w:tcPr>
            <w:tcW w:w="609" w:type="pct"/>
            <w:hideMark/>
          </w:tcPr>
          <w:p w14:paraId="4518EC48"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 I</w:t>
            </w:r>
          </w:p>
        </w:tc>
        <w:tc>
          <w:tcPr>
            <w:tcW w:w="720" w:type="pct"/>
            <w:hideMark/>
          </w:tcPr>
          <w:p w14:paraId="682D5F3E"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Panamá</w:t>
            </w:r>
          </w:p>
        </w:tc>
        <w:tc>
          <w:tcPr>
            <w:tcW w:w="597" w:type="pct"/>
            <w:hideMark/>
          </w:tcPr>
          <w:p w14:paraId="2FABCC9A"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6</w:t>
            </w:r>
          </w:p>
        </w:tc>
        <w:tc>
          <w:tcPr>
            <w:tcW w:w="1618" w:type="pct"/>
            <w:hideMark/>
          </w:tcPr>
          <w:p w14:paraId="6CD50C2E"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Medidas de enrutamiento y reducción de velocidad implementadas a través de la OMI. Es necesario realizar un seguimiento para evaluar el cumplimiento de las medidas de reducción de velocidad.</w:t>
            </w:r>
          </w:p>
        </w:tc>
      </w:tr>
      <w:tr w:rsidR="006D3098" w:rsidRPr="00D97AE0" w14:paraId="5FEEBDAC" w14:textId="77777777" w:rsidTr="00FC123A">
        <w:trPr>
          <w:trHeight w:val="974"/>
        </w:trPr>
        <w:tc>
          <w:tcPr>
            <w:tcW w:w="865" w:type="pct"/>
            <w:hideMark/>
          </w:tcPr>
          <w:p w14:paraId="1416DD58"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Argentina, Atlántico suroccidental, golfo Nuevo, península Valdés</w:t>
            </w:r>
          </w:p>
        </w:tc>
        <w:tc>
          <w:tcPr>
            <w:tcW w:w="591" w:type="pct"/>
            <w:hideMark/>
          </w:tcPr>
          <w:p w14:paraId="4C363AC1"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Ballena franca</w:t>
            </w:r>
          </w:p>
        </w:tc>
        <w:tc>
          <w:tcPr>
            <w:tcW w:w="609" w:type="pct"/>
            <w:hideMark/>
          </w:tcPr>
          <w:p w14:paraId="5778EA62"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 I</w:t>
            </w:r>
          </w:p>
        </w:tc>
        <w:tc>
          <w:tcPr>
            <w:tcW w:w="720" w:type="pct"/>
            <w:hideMark/>
          </w:tcPr>
          <w:p w14:paraId="54C49D7F"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Argentina</w:t>
            </w:r>
          </w:p>
        </w:tc>
        <w:tc>
          <w:tcPr>
            <w:tcW w:w="597" w:type="pct"/>
            <w:hideMark/>
          </w:tcPr>
          <w:p w14:paraId="15DB008F"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6</w:t>
            </w:r>
          </w:p>
        </w:tc>
        <w:tc>
          <w:tcPr>
            <w:tcW w:w="1618" w:type="pct"/>
            <w:hideMark/>
          </w:tcPr>
          <w:p w14:paraId="0DB1254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Corredor de tráfico marítimo con restricciones de velocidad implementado por la Guardia Costera Argentina desde 2008, cada año del 1 de junio al 30 de noviembre. Es necesario realizar un seguimiento para evaluar el cumplimiento de las medidas.</w:t>
            </w:r>
          </w:p>
        </w:tc>
      </w:tr>
      <w:tr w:rsidR="006D3098" w:rsidRPr="00D97AE0" w14:paraId="2CC635C0" w14:textId="77777777" w:rsidTr="00FC123A">
        <w:trPr>
          <w:trHeight w:val="493"/>
        </w:trPr>
        <w:tc>
          <w:tcPr>
            <w:tcW w:w="865" w:type="pct"/>
            <w:hideMark/>
          </w:tcPr>
          <w:p w14:paraId="64EF5CE1"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 xml:space="preserve">Nueva Zelanda, golfo de </w:t>
            </w:r>
            <w:proofErr w:type="spellStart"/>
            <w:r w:rsidRPr="003C5292">
              <w:rPr>
                <w:rFonts w:cs="Arial"/>
                <w:sz w:val="20"/>
                <w:szCs w:val="20"/>
                <w:lang w:val="es-ES"/>
              </w:rPr>
              <w:t>Hauraki</w:t>
            </w:r>
            <w:proofErr w:type="spellEnd"/>
          </w:p>
        </w:tc>
        <w:tc>
          <w:tcPr>
            <w:tcW w:w="591" w:type="pct"/>
            <w:hideMark/>
          </w:tcPr>
          <w:p w14:paraId="4DCB0512"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 xml:space="preserve">Ballena de </w:t>
            </w:r>
            <w:proofErr w:type="spellStart"/>
            <w:r w:rsidRPr="003C5292">
              <w:rPr>
                <w:rFonts w:cs="Arial"/>
                <w:sz w:val="20"/>
                <w:szCs w:val="20"/>
                <w:lang w:val="es-ES"/>
              </w:rPr>
              <w:t>Bryde</w:t>
            </w:r>
            <w:proofErr w:type="spellEnd"/>
          </w:p>
        </w:tc>
        <w:tc>
          <w:tcPr>
            <w:tcW w:w="609" w:type="pct"/>
            <w:hideMark/>
          </w:tcPr>
          <w:p w14:paraId="008E5B82"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 II</w:t>
            </w:r>
          </w:p>
        </w:tc>
        <w:tc>
          <w:tcPr>
            <w:tcW w:w="720" w:type="pct"/>
            <w:hideMark/>
          </w:tcPr>
          <w:p w14:paraId="70594724"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Nueva Zelanda</w:t>
            </w:r>
          </w:p>
        </w:tc>
        <w:tc>
          <w:tcPr>
            <w:tcW w:w="597" w:type="pct"/>
          </w:tcPr>
          <w:p w14:paraId="2C0B23C5"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7</w:t>
            </w:r>
          </w:p>
        </w:tc>
        <w:tc>
          <w:tcPr>
            <w:tcW w:w="1618" w:type="pct"/>
            <w:hideMark/>
          </w:tcPr>
          <w:p w14:paraId="42680CF7"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Restricciones voluntarias de velocidad implementadas por los Puertos de Auckland. El seguimiento muestra una buena adopción por parte del sector. Es necesario un seguimiento continuo para garantizar la adopción sostenida.</w:t>
            </w:r>
          </w:p>
        </w:tc>
      </w:tr>
      <w:tr w:rsidR="006D3098" w:rsidRPr="00D97AE0" w14:paraId="68D7814D" w14:textId="77777777" w:rsidTr="00FC123A">
        <w:trPr>
          <w:trHeight w:val="709"/>
        </w:trPr>
        <w:tc>
          <w:tcPr>
            <w:tcW w:w="865" w:type="pct"/>
            <w:hideMark/>
          </w:tcPr>
          <w:p w14:paraId="4B08CE4E" w14:textId="77777777" w:rsidR="002E0C58" w:rsidRPr="003C5292" w:rsidRDefault="002E0C58" w:rsidP="00484164">
            <w:pPr>
              <w:widowControl w:val="0"/>
              <w:autoSpaceDE w:val="0"/>
              <w:autoSpaceDN w:val="0"/>
              <w:adjustRightInd w:val="0"/>
              <w:ind w:right="-57"/>
              <w:jc w:val="both"/>
              <w:rPr>
                <w:rFonts w:cs="Arial"/>
                <w:sz w:val="20"/>
                <w:szCs w:val="20"/>
                <w:lang w:val="es-ES"/>
              </w:rPr>
            </w:pPr>
            <w:r w:rsidRPr="003C5292">
              <w:rPr>
                <w:rFonts w:cs="Arial"/>
                <w:sz w:val="20"/>
                <w:szCs w:val="20"/>
                <w:lang w:val="es-ES"/>
              </w:rPr>
              <w:t>España, Marruecos, estrecho de Gibraltar, Mediterráneo</w:t>
            </w:r>
          </w:p>
        </w:tc>
        <w:tc>
          <w:tcPr>
            <w:tcW w:w="591" w:type="pct"/>
            <w:hideMark/>
          </w:tcPr>
          <w:p w14:paraId="2BDF7216"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Rorcual común</w:t>
            </w:r>
          </w:p>
        </w:tc>
        <w:tc>
          <w:tcPr>
            <w:tcW w:w="609" w:type="pct"/>
            <w:hideMark/>
          </w:tcPr>
          <w:p w14:paraId="3628711D"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48882513"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España, Marruecos</w:t>
            </w:r>
          </w:p>
        </w:tc>
        <w:tc>
          <w:tcPr>
            <w:tcW w:w="597" w:type="pct"/>
            <w:hideMark/>
          </w:tcPr>
          <w:p w14:paraId="2A0324F1"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7</w:t>
            </w:r>
          </w:p>
        </w:tc>
        <w:tc>
          <w:tcPr>
            <w:tcW w:w="1618" w:type="pct"/>
            <w:hideMark/>
          </w:tcPr>
          <w:p w14:paraId="55ACFFA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Restricción estacional de velocidad recomendada a través de la OMI: el seguimiento ha demostrado casi nulo conocimiento o cumplimiento. Es necesario realizar un seguimiento para evaluar el cumplimiento de las medidas. Se requiere sensibilización del sector para mejorar la concienciación y el cumplimiento.</w:t>
            </w:r>
          </w:p>
        </w:tc>
      </w:tr>
      <w:tr w:rsidR="006D3098" w:rsidRPr="00D97AE0" w14:paraId="7246600E" w14:textId="77777777" w:rsidTr="00FC123A">
        <w:trPr>
          <w:trHeight w:val="844"/>
        </w:trPr>
        <w:tc>
          <w:tcPr>
            <w:tcW w:w="865" w:type="pct"/>
            <w:hideMark/>
          </w:tcPr>
          <w:p w14:paraId="2E88618F" w14:textId="77777777" w:rsidR="002E0C58" w:rsidRPr="003C5292" w:rsidRDefault="002E0C58" w:rsidP="00484164">
            <w:pPr>
              <w:widowControl w:val="0"/>
              <w:autoSpaceDE w:val="0"/>
              <w:autoSpaceDN w:val="0"/>
              <w:adjustRightInd w:val="0"/>
              <w:ind w:right="-57"/>
              <w:jc w:val="both"/>
              <w:rPr>
                <w:rFonts w:cs="Arial"/>
                <w:sz w:val="20"/>
                <w:szCs w:val="20"/>
                <w:lang w:val="es-ES"/>
              </w:rPr>
            </w:pPr>
            <w:r w:rsidRPr="003C5292">
              <w:rPr>
                <w:rFonts w:cs="Arial"/>
                <w:sz w:val="20"/>
                <w:szCs w:val="20"/>
                <w:lang w:val="es-ES"/>
              </w:rPr>
              <w:t>España, Marruecos, estrecho de Gibraltar, Mediterráneo</w:t>
            </w:r>
          </w:p>
        </w:tc>
        <w:tc>
          <w:tcPr>
            <w:tcW w:w="591" w:type="pct"/>
            <w:hideMark/>
          </w:tcPr>
          <w:p w14:paraId="411364B8"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Cachalote</w:t>
            </w:r>
          </w:p>
        </w:tc>
        <w:tc>
          <w:tcPr>
            <w:tcW w:w="609" w:type="pct"/>
            <w:hideMark/>
          </w:tcPr>
          <w:p w14:paraId="200BC269"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7E2DE845"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España, Marruecos</w:t>
            </w:r>
          </w:p>
        </w:tc>
        <w:tc>
          <w:tcPr>
            <w:tcW w:w="597" w:type="pct"/>
            <w:hideMark/>
          </w:tcPr>
          <w:p w14:paraId="42348CC3"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7</w:t>
            </w:r>
          </w:p>
        </w:tc>
        <w:tc>
          <w:tcPr>
            <w:tcW w:w="1618" w:type="pct"/>
            <w:hideMark/>
          </w:tcPr>
          <w:p w14:paraId="7508EBAE"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Restricción estacional de velocidad recomendada a través de la OMI: el seguimiento ha demostrado casi nulo conocimiento o cumplimiento. Se requiere sensibilización del sector para mejorar la concienciación y el cumplimiento.</w:t>
            </w:r>
          </w:p>
        </w:tc>
      </w:tr>
    </w:tbl>
    <w:p w14:paraId="77550CB3"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lastRenderedPageBreak/>
        <w:t xml:space="preserve">El </w:t>
      </w:r>
      <w:r w:rsidRPr="003C5292">
        <w:rPr>
          <w:rFonts w:cs="Arial"/>
          <w:i/>
          <w:iCs/>
          <w:lang w:val="es-ES"/>
        </w:rPr>
        <w:t xml:space="preserve">Plan estratégico de la CBI para mitigar los impactos de las colisiones de las embarcaciones en las poblaciones de cetáceos: 2022-2032 </w:t>
      </w:r>
      <w:r w:rsidRPr="003C5292">
        <w:rPr>
          <w:rFonts w:cs="Arial"/>
          <w:lang w:val="es-ES"/>
        </w:rPr>
        <w:t xml:space="preserve">identifica diversas «etapas de acción» para cada población de cetáceos en riesgo. Estas van desde la identificación de áreas/poblaciones de interés (etapa 1) hasta la aplicación y seguimiento de medidas de mitigación mediante normativas nacionales o de la Organización Marítima Internacional (OMI) (etapas 6 y 7). Las etapas intermedias incluyen la realización de análisis de riesgos, la evaluación de posibles medidas de mitigación, las consultas con las partes interesadas y las medidas voluntarias. </w:t>
      </w:r>
      <w:bookmarkStart w:id="0" w:name="_Hlk208397754"/>
      <w:r w:rsidRPr="003C5292">
        <w:rPr>
          <w:rFonts w:cs="Arial"/>
          <w:lang w:val="es-ES"/>
        </w:rPr>
        <w:t xml:space="preserve">La Tabla 1 identifica la «etapa de acción» pertinente para cada población y ofrece información actualizada sobre las medidas más recientes adoptadas y los posibles próximos pasos. Las etapas de acción se han actualizado desde la última versión del Plan estratégico de la CBI para tener en cuenta los avances más recientes. </w:t>
      </w:r>
    </w:p>
    <w:bookmarkEnd w:id="0"/>
    <w:p w14:paraId="14D539A6" w14:textId="77777777" w:rsidR="002E0C58" w:rsidRPr="003C5292" w:rsidRDefault="002E0C58" w:rsidP="002E0C58">
      <w:pPr>
        <w:widowControl w:val="0"/>
        <w:autoSpaceDE w:val="0"/>
        <w:autoSpaceDN w:val="0"/>
        <w:adjustRightInd w:val="0"/>
        <w:spacing w:after="0" w:line="240" w:lineRule="auto"/>
        <w:ind w:left="567"/>
        <w:rPr>
          <w:rFonts w:cs="Arial"/>
          <w:lang w:val="es-ES"/>
        </w:rPr>
      </w:pPr>
    </w:p>
    <w:p w14:paraId="53114A47"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Aunque el objetivo principal de la OMI es la seguridad y protección marítimas, también tiene una función en la protección del medio marino frente a la navegación y en la conservación de especies marinas vulnerables. La OMI proporciona directrices para garantizar que las actividades de navegación se lleven a cabo de manera sostenible y responsable, minimizando los efectos en el medio marino. Es responsable de aprobar tanto el establecimiento de rutas marítimas internacionales como las propuestas de modificación de rutas existentes.</w:t>
      </w:r>
    </w:p>
    <w:p w14:paraId="595B6FBE" w14:textId="77777777" w:rsidR="002E0C58" w:rsidRPr="003C5292" w:rsidRDefault="002E0C58" w:rsidP="002E0C58">
      <w:pPr>
        <w:pStyle w:val="ListParagraph"/>
        <w:spacing w:after="0"/>
        <w:jc w:val="both"/>
        <w:rPr>
          <w:rFonts w:cs="Arial"/>
          <w:lang w:val="es-ES"/>
        </w:rPr>
      </w:pPr>
    </w:p>
    <w:p w14:paraId="23DA9FB8"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La OMI ha elaborado directrices que describen principios y medidas para minimizar el riesgo de colisiones con cetáceos.</w:t>
      </w:r>
      <w:r w:rsidRPr="003C5292">
        <w:rPr>
          <w:rStyle w:val="FootnoteReference"/>
          <w:rFonts w:cs="Arial"/>
          <w:lang w:val="es-ES"/>
        </w:rPr>
        <w:footnoteReference w:id="4"/>
      </w:r>
      <w:r w:rsidRPr="003C5292">
        <w:rPr>
          <w:rFonts w:cs="Arial"/>
          <w:lang w:val="es-ES"/>
        </w:rPr>
        <w:t xml:space="preserve"> Reconoce que cambios menores en las rutas de navegación en zonas de alto riesgo —desviando grandes volúmenes de tráfico fuera de hábitats clave de ballenas— podrían reducir sustancialmente las colisiones, y que tales medidas de desvío probablemente constituyan la mejor medida de mitigación.</w:t>
      </w:r>
      <w:r w:rsidRPr="003C5292">
        <w:rPr>
          <w:rStyle w:val="FootnoteReference"/>
          <w:rFonts w:cs="Arial"/>
          <w:lang w:val="es-ES"/>
        </w:rPr>
        <w:footnoteReference w:id="5"/>
      </w:r>
      <w:r w:rsidRPr="003C5292">
        <w:rPr>
          <w:rFonts w:cs="Arial"/>
          <w:lang w:val="es-ES"/>
        </w:rPr>
        <w:t xml:space="preserve"> Cuando el desvío no sea posible, debido a factores como la distribución y el comportamiento de las ballenas o a las opciones y limitaciones de las rutas de navegación, la reducción de la velocidad de las embarcaciones ofrece la solución más sencilla para disminuir el riesgo.</w:t>
      </w:r>
    </w:p>
    <w:p w14:paraId="152E2B91" w14:textId="77777777" w:rsidR="002E0C58" w:rsidRPr="003C5292" w:rsidRDefault="002E0C58" w:rsidP="002E0C58">
      <w:pPr>
        <w:widowControl w:val="0"/>
        <w:autoSpaceDE w:val="0"/>
        <w:autoSpaceDN w:val="0"/>
        <w:adjustRightInd w:val="0"/>
        <w:spacing w:after="0" w:line="240" w:lineRule="auto"/>
        <w:ind w:left="567"/>
        <w:jc w:val="both"/>
        <w:rPr>
          <w:rFonts w:cs="Arial"/>
          <w:lang w:val="es-ES"/>
        </w:rPr>
      </w:pPr>
    </w:p>
    <w:p w14:paraId="274A055C" w14:textId="147AE2F4"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iCs/>
          <w:lang w:val="es-ES"/>
        </w:rPr>
        <w:t xml:space="preserve">Se ha demostrado la eficacia de las medidas de conservación y gestión marinas basadas en áreas en distintos lugares. El proceso de identificación de Áreas Importantes para Mamíferos Marinos (IMMA, por sus siglas en inglés), Áreas Importantes para Tiburones y Rayas (ISRA, por sus siglas en inglés) y Áreas Importantes para Tortugas Marinas (IMTA, por sus siglas en inglés) ofrece la orientación necesaria para elaborar estas iniciativas de conservación de cetáceos, tiburones, rayas, pinnípedos, sirenios, nutrias, peces y osos polares incluidos en la CMS. En el documento </w:t>
      </w:r>
      <w:r w:rsidR="002B37AA" w:rsidRPr="002B37AA">
        <w:rPr>
          <w:rFonts w:cs="Arial"/>
          <w:iCs/>
          <w:lang w:val="es-ES"/>
        </w:rPr>
        <w:t xml:space="preserve"> </w:t>
      </w:r>
      <w:hyperlink r:id="rId14" w:history="1">
        <w:r w:rsidR="002B37AA" w:rsidRPr="002B37AA">
          <w:rPr>
            <w:rStyle w:val="Hyperlink"/>
            <w:rFonts w:cs="Arial"/>
            <w:lang w:val="es-ES"/>
          </w:rPr>
          <w:t>UNEP/CMS/</w:t>
        </w:r>
        <w:r w:rsidR="002B37AA" w:rsidRPr="002B37AA">
          <w:rPr>
            <w:rStyle w:val="Hyperlink"/>
            <w:rFonts w:cs="Arial"/>
            <w:iCs/>
            <w:lang w:val="es-ES"/>
          </w:rPr>
          <w:t>COP15/Doc.25.3.1</w:t>
        </w:r>
      </w:hyperlink>
      <w:r w:rsidRPr="003C5292">
        <w:rPr>
          <w:rFonts w:cs="Arial"/>
          <w:iCs/>
          <w:lang w:val="es-ES"/>
        </w:rPr>
        <w:t xml:space="preserve"> figuran los informes sobre las IMMA, ISRA e IMTA, así como las resoluciones propuestas relacionadas.</w:t>
      </w:r>
    </w:p>
    <w:p w14:paraId="5DBC704A" w14:textId="77777777" w:rsidR="002E0C58" w:rsidRPr="003C5292" w:rsidRDefault="002E0C58" w:rsidP="002E0C58">
      <w:pPr>
        <w:widowControl w:val="0"/>
        <w:autoSpaceDE w:val="0"/>
        <w:autoSpaceDN w:val="0"/>
        <w:adjustRightInd w:val="0"/>
        <w:spacing w:after="0" w:line="240" w:lineRule="auto"/>
        <w:jc w:val="both"/>
        <w:rPr>
          <w:rFonts w:cs="Arial"/>
          <w:u w:val="single"/>
          <w:lang w:val="es-ES"/>
        </w:rPr>
      </w:pPr>
    </w:p>
    <w:p w14:paraId="490A6046" w14:textId="77777777" w:rsidR="002E0C58" w:rsidRPr="003C5292" w:rsidRDefault="002E0C58" w:rsidP="002E0C58">
      <w:pPr>
        <w:widowControl w:val="0"/>
        <w:autoSpaceDE w:val="0"/>
        <w:autoSpaceDN w:val="0"/>
        <w:adjustRightInd w:val="0"/>
        <w:spacing w:after="0" w:line="240" w:lineRule="auto"/>
        <w:jc w:val="both"/>
        <w:rPr>
          <w:rFonts w:cs="Arial"/>
          <w:u w:val="single"/>
          <w:lang w:val="es-ES"/>
        </w:rPr>
      </w:pPr>
      <w:r w:rsidRPr="003C5292">
        <w:rPr>
          <w:rFonts w:cs="Arial"/>
          <w:u w:val="single"/>
          <w:lang w:val="es-ES"/>
        </w:rPr>
        <w:t>Colaboración con la OMI</w:t>
      </w:r>
    </w:p>
    <w:p w14:paraId="2E1C3E2A" w14:textId="77777777" w:rsidR="002E0C58" w:rsidRPr="003C5292" w:rsidRDefault="002E0C58" w:rsidP="002E0C58">
      <w:pPr>
        <w:spacing w:after="0" w:line="240" w:lineRule="auto"/>
        <w:jc w:val="both"/>
        <w:rPr>
          <w:rFonts w:cs="Arial"/>
          <w:lang w:val="es-ES"/>
        </w:rPr>
      </w:pPr>
    </w:p>
    <w:p w14:paraId="0C8997D8"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 xml:space="preserve">En cumplimiento de las Decisiones 14.50 (b) y (c), en octubre de 2024 la Secretaría y la OMI analizaron posibles sinergias entre la CMS y la OMI para reducir el riesgo de colisiones con embarcaciones en la megafauna marina. La Secretaría llamó la atención de la OMI sobre el informe </w:t>
      </w:r>
      <w:proofErr w:type="spellStart"/>
      <w:r w:rsidRPr="003C5292">
        <w:rPr>
          <w:rFonts w:cs="Arial"/>
          <w:i/>
          <w:iCs/>
          <w:lang w:val="es-ES"/>
        </w:rPr>
        <w:t>Limiting</w:t>
      </w:r>
      <w:proofErr w:type="spellEnd"/>
      <w:r w:rsidRPr="003C5292">
        <w:rPr>
          <w:rFonts w:cs="Arial"/>
          <w:i/>
          <w:iCs/>
          <w:lang w:val="es-ES"/>
        </w:rPr>
        <w:t xml:space="preserve"> Global </w:t>
      </w:r>
      <w:proofErr w:type="spellStart"/>
      <w:r w:rsidRPr="003C5292">
        <w:rPr>
          <w:rFonts w:cs="Arial"/>
          <w:i/>
          <w:iCs/>
          <w:lang w:val="es-ES"/>
        </w:rPr>
        <w:t>Ship</w:t>
      </w:r>
      <w:proofErr w:type="spellEnd"/>
      <w:r w:rsidRPr="003C5292">
        <w:rPr>
          <w:rFonts w:cs="Arial"/>
          <w:i/>
          <w:iCs/>
          <w:lang w:val="es-ES"/>
        </w:rPr>
        <w:t xml:space="preserve"> Strike </w:t>
      </w:r>
      <w:proofErr w:type="spellStart"/>
      <w:r w:rsidRPr="003C5292">
        <w:rPr>
          <w:rFonts w:cs="Arial"/>
          <w:i/>
          <w:iCs/>
          <w:lang w:val="es-ES"/>
        </w:rPr>
        <w:t>on</w:t>
      </w:r>
      <w:proofErr w:type="spellEnd"/>
      <w:r w:rsidRPr="003C5292">
        <w:rPr>
          <w:rFonts w:cs="Arial"/>
          <w:i/>
          <w:iCs/>
          <w:lang w:val="es-ES"/>
        </w:rPr>
        <w:t xml:space="preserve"> </w:t>
      </w:r>
      <w:proofErr w:type="spellStart"/>
      <w:r w:rsidRPr="003C5292">
        <w:rPr>
          <w:rFonts w:cs="Arial"/>
          <w:i/>
          <w:iCs/>
          <w:lang w:val="es-ES"/>
        </w:rPr>
        <w:t>Whale</w:t>
      </w:r>
      <w:proofErr w:type="spellEnd"/>
      <w:r w:rsidRPr="003C5292">
        <w:rPr>
          <w:rFonts w:cs="Arial"/>
          <w:i/>
          <w:iCs/>
          <w:lang w:val="es-ES"/>
        </w:rPr>
        <w:t xml:space="preserve"> </w:t>
      </w:r>
      <w:proofErr w:type="spellStart"/>
      <w:r w:rsidRPr="003C5292">
        <w:rPr>
          <w:rFonts w:cs="Arial"/>
          <w:i/>
          <w:iCs/>
          <w:lang w:val="es-ES"/>
        </w:rPr>
        <w:t>Sharks</w:t>
      </w:r>
      <w:proofErr w:type="spellEnd"/>
      <w:r w:rsidRPr="003C5292">
        <w:rPr>
          <w:rFonts w:cs="Arial"/>
          <w:i/>
          <w:iCs/>
          <w:lang w:val="es-ES"/>
        </w:rPr>
        <w:t xml:space="preserve"> – </w:t>
      </w:r>
      <w:proofErr w:type="spellStart"/>
      <w:r w:rsidRPr="003C5292">
        <w:rPr>
          <w:rFonts w:cs="Arial"/>
          <w:i/>
          <w:iCs/>
          <w:lang w:val="es-ES"/>
        </w:rPr>
        <w:t>Understanding</w:t>
      </w:r>
      <w:proofErr w:type="spellEnd"/>
      <w:r w:rsidRPr="003C5292">
        <w:rPr>
          <w:rFonts w:cs="Arial"/>
          <w:i/>
          <w:iCs/>
          <w:lang w:val="es-ES"/>
        </w:rPr>
        <w:t xml:space="preserve"> </w:t>
      </w:r>
      <w:proofErr w:type="spellStart"/>
      <w:r w:rsidRPr="003C5292">
        <w:rPr>
          <w:rFonts w:cs="Arial"/>
          <w:i/>
          <w:iCs/>
          <w:lang w:val="es-ES"/>
        </w:rPr>
        <w:t>an</w:t>
      </w:r>
      <w:proofErr w:type="spellEnd"/>
      <w:r w:rsidRPr="003C5292">
        <w:rPr>
          <w:rFonts w:cs="Arial"/>
          <w:i/>
          <w:iCs/>
          <w:lang w:val="es-ES"/>
        </w:rPr>
        <w:t xml:space="preserve"> </w:t>
      </w:r>
      <w:proofErr w:type="spellStart"/>
      <w:r w:rsidRPr="003C5292">
        <w:rPr>
          <w:rFonts w:cs="Arial"/>
          <w:i/>
          <w:iCs/>
          <w:lang w:val="es-ES"/>
        </w:rPr>
        <w:t>increasing</w:t>
      </w:r>
      <w:proofErr w:type="spellEnd"/>
      <w:r w:rsidRPr="003C5292">
        <w:rPr>
          <w:rFonts w:cs="Arial"/>
          <w:i/>
          <w:iCs/>
          <w:lang w:val="es-ES"/>
        </w:rPr>
        <w:t xml:space="preserve"> </w:t>
      </w:r>
      <w:proofErr w:type="spellStart"/>
      <w:r w:rsidRPr="003C5292">
        <w:rPr>
          <w:rFonts w:cs="Arial"/>
          <w:i/>
          <w:iCs/>
          <w:lang w:val="es-ES"/>
        </w:rPr>
        <w:t>threat</w:t>
      </w:r>
      <w:proofErr w:type="spellEnd"/>
      <w:r w:rsidRPr="003C5292">
        <w:rPr>
          <w:rFonts w:cs="Arial"/>
          <w:i/>
          <w:iCs/>
          <w:lang w:val="es-ES"/>
        </w:rPr>
        <w:t xml:space="preserve"> </w:t>
      </w:r>
      <w:proofErr w:type="spellStart"/>
      <w:r w:rsidRPr="003C5292">
        <w:rPr>
          <w:rFonts w:cs="Arial"/>
          <w:i/>
          <w:iCs/>
          <w:lang w:val="es-ES"/>
        </w:rPr>
        <w:t>to</w:t>
      </w:r>
      <w:proofErr w:type="spellEnd"/>
      <w:r w:rsidRPr="003C5292">
        <w:rPr>
          <w:rFonts w:cs="Arial"/>
          <w:i/>
          <w:iCs/>
          <w:lang w:val="es-ES"/>
        </w:rPr>
        <w:t xml:space="preserve"> the </w:t>
      </w:r>
      <w:proofErr w:type="spellStart"/>
      <w:r w:rsidRPr="003C5292">
        <w:rPr>
          <w:rFonts w:cs="Arial"/>
          <w:i/>
          <w:iCs/>
          <w:lang w:val="es-ES"/>
        </w:rPr>
        <w:t>world’s</w:t>
      </w:r>
      <w:proofErr w:type="spellEnd"/>
      <w:r w:rsidRPr="003C5292">
        <w:rPr>
          <w:rFonts w:cs="Arial"/>
          <w:i/>
          <w:iCs/>
          <w:lang w:val="es-ES"/>
        </w:rPr>
        <w:t xml:space="preserve"> </w:t>
      </w:r>
      <w:proofErr w:type="spellStart"/>
      <w:r w:rsidRPr="003C5292">
        <w:rPr>
          <w:rFonts w:cs="Arial"/>
          <w:i/>
          <w:iCs/>
          <w:lang w:val="es-ES"/>
        </w:rPr>
        <w:t>largest</w:t>
      </w:r>
      <w:proofErr w:type="spellEnd"/>
      <w:r w:rsidRPr="003C5292">
        <w:rPr>
          <w:rFonts w:cs="Arial"/>
          <w:i/>
          <w:iCs/>
          <w:lang w:val="es-ES"/>
        </w:rPr>
        <w:t xml:space="preserve"> </w:t>
      </w:r>
      <w:proofErr w:type="spellStart"/>
      <w:r w:rsidRPr="003C5292">
        <w:rPr>
          <w:rFonts w:cs="Arial"/>
          <w:i/>
          <w:iCs/>
          <w:lang w:val="es-ES"/>
        </w:rPr>
        <w:t>fish</w:t>
      </w:r>
      <w:proofErr w:type="spellEnd"/>
      <w:r w:rsidRPr="003C5292">
        <w:rPr>
          <w:rFonts w:cs="Arial"/>
          <w:lang w:val="es-ES"/>
        </w:rPr>
        <w:t xml:space="preserve"> (Reducir las colisiones de buques con el tiburón ballena: comprensión de una amenaza creciente para el pez más grande del mundo) (</w:t>
      </w:r>
      <w:hyperlink r:id="rId15" w:history="1">
        <w:r w:rsidRPr="003C5292">
          <w:rPr>
            <w:rStyle w:val="Hyperlink"/>
            <w:rFonts w:cs="Arial"/>
            <w:lang w:val="es-ES"/>
          </w:rPr>
          <w:t>UNEP/CMS/COP14/Inf.27.2.3</w:t>
        </w:r>
      </w:hyperlink>
      <w:r w:rsidRPr="003C5292">
        <w:rPr>
          <w:rFonts w:cs="Arial"/>
          <w:lang w:val="es-ES"/>
        </w:rPr>
        <w:t xml:space="preserve">) y la </w:t>
      </w:r>
      <w:r w:rsidRPr="003C5292">
        <w:rPr>
          <w:rFonts w:cs="Arial"/>
          <w:i/>
          <w:iCs/>
          <w:lang w:val="es-ES"/>
        </w:rPr>
        <w:t>Guía sobre la reducción del riesgo de colisiones con embarcaciones para el tiburón ballena</w:t>
      </w:r>
      <w:r w:rsidRPr="003C5292">
        <w:rPr>
          <w:rFonts w:cs="Arial"/>
          <w:lang w:val="es-ES"/>
        </w:rPr>
        <w:t xml:space="preserve"> (</w:t>
      </w:r>
      <w:hyperlink r:id="rId16" w:history="1">
        <w:r w:rsidRPr="003C5292">
          <w:rPr>
            <w:rStyle w:val="Hyperlink"/>
            <w:rFonts w:cs="Arial"/>
            <w:lang w:val="es-ES"/>
          </w:rPr>
          <w:t>anexa a la Resolución 14.5</w:t>
        </w:r>
      </w:hyperlink>
      <w:r w:rsidRPr="003C5292">
        <w:rPr>
          <w:rFonts w:cs="Arial"/>
          <w:lang w:val="es-ES"/>
        </w:rPr>
        <w:t xml:space="preserve">). </w:t>
      </w:r>
    </w:p>
    <w:p w14:paraId="1592F0FE" w14:textId="77777777" w:rsidR="002E0C58" w:rsidRPr="003C5292" w:rsidRDefault="002E0C58" w:rsidP="002E0C58">
      <w:pPr>
        <w:widowControl w:val="0"/>
        <w:autoSpaceDE w:val="0"/>
        <w:autoSpaceDN w:val="0"/>
        <w:adjustRightInd w:val="0"/>
        <w:spacing w:after="0" w:line="240" w:lineRule="auto"/>
        <w:jc w:val="both"/>
        <w:rPr>
          <w:rFonts w:cs="Arial"/>
          <w:lang w:val="es-ES"/>
        </w:rPr>
      </w:pPr>
    </w:p>
    <w:p w14:paraId="41340A9A" w14:textId="77777777" w:rsidR="002E0C58" w:rsidRPr="003C5292" w:rsidRDefault="002E0C58" w:rsidP="002E0C58">
      <w:pPr>
        <w:spacing w:after="0" w:line="240" w:lineRule="auto"/>
        <w:rPr>
          <w:rFonts w:cs="Arial"/>
          <w:u w:val="single"/>
          <w:lang w:val="es-ES"/>
        </w:rPr>
      </w:pPr>
      <w:r w:rsidRPr="003C5292">
        <w:rPr>
          <w:rFonts w:cs="Arial"/>
          <w:u w:val="single"/>
          <w:lang w:val="es-ES"/>
        </w:rPr>
        <w:t>Debate y análisis</w:t>
      </w:r>
    </w:p>
    <w:p w14:paraId="048796FB" w14:textId="77777777" w:rsidR="002E0C58" w:rsidRPr="003C5292" w:rsidRDefault="002E0C58" w:rsidP="002E0C58">
      <w:pPr>
        <w:spacing w:after="0" w:line="240" w:lineRule="auto"/>
        <w:rPr>
          <w:rFonts w:cs="Arial"/>
          <w:lang w:val="es-ES"/>
        </w:rPr>
      </w:pPr>
    </w:p>
    <w:p w14:paraId="60B7D746" w14:textId="7E6EFD13"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 xml:space="preserve">Los trabajos realizados por la CBI para identificar zonas de alto riesgo de colisiones con embarcaciones pueden servir para identificar poblaciones de cetáceos incluidas en la CMS en riesgo y las Partes del Área de distribución de la CMS pertinentes. Estas incluyen las siguientes especies de la Tabla 1 anterior: ballena azul, ballena de </w:t>
      </w:r>
      <w:proofErr w:type="spellStart"/>
      <w:r w:rsidRPr="003C5292">
        <w:rPr>
          <w:rFonts w:cs="Arial"/>
          <w:lang w:val="es-ES"/>
        </w:rPr>
        <w:t>Bryde</w:t>
      </w:r>
      <w:proofErr w:type="spellEnd"/>
      <w:r w:rsidRPr="003C5292">
        <w:rPr>
          <w:rFonts w:cs="Arial"/>
          <w:lang w:val="es-ES"/>
        </w:rPr>
        <w:t>, rorcual común, ballena jorobada, ballena franca del norte, ballena franca, cachalote; y los siguientes Estados del área de distribución Partes de la CMS: Argentina, Francia, Grecia, Italia, Marruecos, Mónaco, Nueva Zelanda, Panamá, Sudáfrica, España y Sri Lanka</w:t>
      </w:r>
      <w:r w:rsidR="00934965">
        <w:rPr>
          <w:rFonts w:cs="Arial"/>
          <w:lang w:val="es-ES"/>
        </w:rPr>
        <w:t xml:space="preserve"> y el Reino Unido</w:t>
      </w:r>
      <w:r w:rsidRPr="003C5292">
        <w:rPr>
          <w:rFonts w:cs="Arial"/>
          <w:lang w:val="es-ES"/>
        </w:rPr>
        <w:t>.</w:t>
      </w:r>
    </w:p>
    <w:p w14:paraId="07CA8C33" w14:textId="77777777" w:rsidR="002E0C58" w:rsidRPr="003C5292" w:rsidRDefault="002E0C58" w:rsidP="002E0C58">
      <w:pPr>
        <w:pStyle w:val="ListParagraph"/>
        <w:spacing w:after="0"/>
        <w:jc w:val="both"/>
        <w:rPr>
          <w:rFonts w:cs="Arial"/>
          <w:lang w:val="es-ES"/>
        </w:rPr>
      </w:pPr>
    </w:p>
    <w:p w14:paraId="007125FF"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Además, gracias a la labor realizada en el marco de la CBI para identificar etapas de acción en relación con el riesgo de colisiones con embarcaciones y las medidas ya adoptadas o propuestas, es posible determinar los próximos pasos para cada una de estas zonas y poblaciones, tal como se indica en la última columna de la Tabla 1 anterior.</w:t>
      </w:r>
    </w:p>
    <w:p w14:paraId="0FCB5439" w14:textId="77777777" w:rsidR="002E0C58" w:rsidRPr="003C5292" w:rsidRDefault="002E0C58" w:rsidP="002E0C58">
      <w:pPr>
        <w:pStyle w:val="ListParagraph"/>
        <w:spacing w:after="0"/>
        <w:jc w:val="both"/>
        <w:rPr>
          <w:rFonts w:cs="Arial"/>
          <w:lang w:val="es-ES"/>
        </w:rPr>
      </w:pPr>
    </w:p>
    <w:p w14:paraId="066AC51C"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Sería beneficioso adoptar nuevas medidas dirigidas a las poblaciones de cetáceos incluidas en la CMS identificadas como en alto riesgo de colisiones con embarcaciones. A este respecto, se propone una decisión dirigida a las Partes en el Anexo 1.</w:t>
      </w:r>
    </w:p>
    <w:p w14:paraId="49187D34" w14:textId="77777777" w:rsidR="002E0C58" w:rsidRPr="003C5292" w:rsidRDefault="002E0C58" w:rsidP="002E0C58">
      <w:pPr>
        <w:spacing w:after="0"/>
        <w:rPr>
          <w:rFonts w:cs="Arial"/>
          <w:caps/>
          <w:lang w:val="es-ES"/>
        </w:rPr>
      </w:pPr>
    </w:p>
    <w:p w14:paraId="4B8814A9" w14:textId="77777777" w:rsidR="002E0C58" w:rsidRPr="003C5292" w:rsidRDefault="002E0C58" w:rsidP="002E0C58">
      <w:pPr>
        <w:spacing w:after="0" w:line="240" w:lineRule="auto"/>
        <w:rPr>
          <w:rFonts w:cs="Arial"/>
          <w:lang w:val="es-ES"/>
        </w:rPr>
      </w:pPr>
      <w:r w:rsidRPr="003C5292">
        <w:rPr>
          <w:rFonts w:cs="Arial"/>
          <w:u w:val="single"/>
          <w:lang w:val="es-ES"/>
        </w:rPr>
        <w:t>Acciones recomendadas</w:t>
      </w:r>
    </w:p>
    <w:p w14:paraId="3E8D749B" w14:textId="77777777" w:rsidR="002E0C58" w:rsidRPr="003C5292" w:rsidRDefault="002E0C58" w:rsidP="002E0C58">
      <w:pPr>
        <w:spacing w:after="0" w:line="240" w:lineRule="auto"/>
        <w:rPr>
          <w:rFonts w:cs="Arial"/>
          <w:lang w:val="es-ES"/>
        </w:rPr>
      </w:pPr>
    </w:p>
    <w:p w14:paraId="53BF36A6"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eastAsia="es-ES"/>
        </w:rPr>
        <w:t>Se recomienda a la Conferencia de las Partes que:</w:t>
      </w:r>
    </w:p>
    <w:p w14:paraId="69A05E10" w14:textId="77777777" w:rsidR="002E0C58" w:rsidRPr="003C5292" w:rsidRDefault="002E0C58" w:rsidP="002E0C58">
      <w:pPr>
        <w:pStyle w:val="Secondnumbering"/>
        <w:numPr>
          <w:ilvl w:val="0"/>
          <w:numId w:val="0"/>
        </w:numPr>
        <w:jc w:val="both"/>
        <w:rPr>
          <w:lang w:val="es-ES"/>
        </w:rPr>
      </w:pPr>
    </w:p>
    <w:p w14:paraId="48456AE5" w14:textId="77777777" w:rsidR="002E0C58" w:rsidRPr="003C5292" w:rsidRDefault="002E0C58" w:rsidP="002A733B">
      <w:pPr>
        <w:pStyle w:val="Secondnumbering"/>
        <w:ind w:left="1080" w:hanging="540"/>
        <w:jc w:val="both"/>
        <w:rPr>
          <w:lang w:val="es-ES"/>
        </w:rPr>
      </w:pPr>
      <w:r w:rsidRPr="003C5292">
        <w:rPr>
          <w:lang w:val="es-ES"/>
        </w:rPr>
        <w:t>apruebe los proyectos de Decisión que figuran en el Anexo 1 del presente documento; y</w:t>
      </w:r>
    </w:p>
    <w:p w14:paraId="2A22C04A" w14:textId="77777777" w:rsidR="002E0C58" w:rsidRPr="003C5292" w:rsidRDefault="002E0C58" w:rsidP="002A733B">
      <w:pPr>
        <w:pStyle w:val="ListParagraph"/>
        <w:spacing w:after="0"/>
        <w:ind w:left="1080" w:hanging="540"/>
        <w:rPr>
          <w:lang w:val="es-ES"/>
        </w:rPr>
      </w:pPr>
    </w:p>
    <w:p w14:paraId="559E8564" w14:textId="12379C58" w:rsidR="002D5F2A" w:rsidRDefault="002E0C58" w:rsidP="002A733B">
      <w:pPr>
        <w:pStyle w:val="Secondnumbering"/>
        <w:ind w:left="1080" w:hanging="540"/>
        <w:jc w:val="both"/>
      </w:pPr>
      <w:r w:rsidRPr="003C5292">
        <w:rPr>
          <w:lang w:val="es-ES"/>
        </w:rPr>
        <w:t>derogue las Decisiones 14.48</w:t>
      </w:r>
      <w:r w:rsidRPr="003C5292">
        <w:rPr>
          <w:rFonts w:cs="Arial"/>
          <w:iCs/>
          <w:lang w:val="es-ES"/>
        </w:rPr>
        <w:t>-</w:t>
      </w:r>
      <w:r w:rsidRPr="003C5292">
        <w:rPr>
          <w:lang w:val="es-ES"/>
        </w:rPr>
        <w:t>14.50</w:t>
      </w:r>
      <w:r w:rsidR="00642523">
        <w:t>.</w:t>
      </w:r>
    </w:p>
    <w:p w14:paraId="58619223" w14:textId="77777777" w:rsidR="00642523" w:rsidRDefault="00642523" w:rsidP="00642523">
      <w:pPr>
        <w:pStyle w:val="ListParagraph"/>
      </w:pPr>
    </w:p>
    <w:p w14:paraId="32302182" w14:textId="77777777" w:rsidR="00642523" w:rsidRDefault="00642523" w:rsidP="00642523">
      <w:pPr>
        <w:pStyle w:val="Secondnumbering"/>
        <w:numPr>
          <w:ilvl w:val="0"/>
          <w:numId w:val="0"/>
        </w:numPr>
        <w:ind w:left="360" w:hanging="360"/>
        <w:jc w:val="both"/>
        <w:sectPr w:rsidR="00642523" w:rsidSect="0032340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46E43428" w14:textId="59849005" w:rsidR="009715FD" w:rsidRPr="003C5292" w:rsidRDefault="009715FD" w:rsidP="009715FD">
      <w:pPr>
        <w:spacing w:after="0" w:line="240" w:lineRule="auto"/>
        <w:jc w:val="right"/>
        <w:rPr>
          <w:rFonts w:cs="Arial"/>
          <w:b/>
          <w:bCs/>
          <w:caps/>
          <w:lang w:val="es-ES"/>
        </w:rPr>
      </w:pPr>
      <w:r w:rsidRPr="003C5292">
        <w:rPr>
          <w:rFonts w:cs="Arial"/>
          <w:b/>
          <w:caps/>
          <w:lang w:val="es-ES"/>
        </w:rPr>
        <w:lastRenderedPageBreak/>
        <w:t>ANEXO</w:t>
      </w:r>
    </w:p>
    <w:p w14:paraId="3BB1C2AA" w14:textId="77777777" w:rsidR="009715FD" w:rsidRPr="003C5292" w:rsidRDefault="009715FD" w:rsidP="009715FD">
      <w:pPr>
        <w:spacing w:after="0" w:line="240" w:lineRule="auto"/>
        <w:rPr>
          <w:rFonts w:cs="Arial"/>
          <w:lang w:val="es-ES"/>
        </w:rPr>
      </w:pPr>
    </w:p>
    <w:p w14:paraId="2D85CF52" w14:textId="77777777" w:rsidR="009715FD" w:rsidRPr="003C5292" w:rsidRDefault="009715FD" w:rsidP="009715FD">
      <w:pPr>
        <w:spacing w:after="0" w:line="240" w:lineRule="auto"/>
        <w:rPr>
          <w:rFonts w:cs="Arial"/>
          <w:lang w:val="es-ES"/>
        </w:rPr>
      </w:pPr>
    </w:p>
    <w:p w14:paraId="016F5549" w14:textId="77777777" w:rsidR="009715FD" w:rsidRPr="003C5292" w:rsidRDefault="009715FD" w:rsidP="009715FD">
      <w:pPr>
        <w:spacing w:after="0" w:line="240" w:lineRule="auto"/>
        <w:jc w:val="center"/>
        <w:rPr>
          <w:rFonts w:cs="Arial"/>
          <w:lang w:val="es-ES"/>
        </w:rPr>
      </w:pPr>
      <w:r w:rsidRPr="003C5292">
        <w:rPr>
          <w:rFonts w:cs="Arial"/>
          <w:lang w:val="es-ES"/>
        </w:rPr>
        <w:t>PROYECTO DE DECISIONES</w:t>
      </w:r>
    </w:p>
    <w:p w14:paraId="2F5FFC41" w14:textId="77777777" w:rsidR="009715FD" w:rsidRPr="003C5292" w:rsidRDefault="009715FD" w:rsidP="009715FD">
      <w:pPr>
        <w:spacing w:after="0" w:line="240" w:lineRule="auto"/>
        <w:jc w:val="center"/>
        <w:rPr>
          <w:rFonts w:cs="Arial"/>
          <w:lang w:val="es-ES"/>
        </w:rPr>
      </w:pPr>
    </w:p>
    <w:p w14:paraId="105D1C99" w14:textId="77777777" w:rsidR="009715FD" w:rsidRPr="003C5292" w:rsidRDefault="009715FD" w:rsidP="009715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3C5292">
        <w:rPr>
          <w:rFonts w:cs="Arial"/>
          <w:b/>
          <w:caps/>
          <w:lang w:val="es-ES"/>
        </w:rPr>
        <w:t>COLISIONES CON EMBARCACIONES</w:t>
      </w:r>
    </w:p>
    <w:p w14:paraId="5F1EE6A5" w14:textId="77777777" w:rsidR="009715FD" w:rsidRDefault="009715FD" w:rsidP="009715FD">
      <w:pPr>
        <w:spacing w:after="0" w:line="240" w:lineRule="auto"/>
        <w:jc w:val="both"/>
        <w:rPr>
          <w:rFonts w:cs="Arial"/>
          <w:b/>
          <w:i/>
          <w:lang w:val="es-ES"/>
        </w:rPr>
      </w:pPr>
    </w:p>
    <w:p w14:paraId="4F7890D2" w14:textId="77777777" w:rsidR="001D36D9" w:rsidRPr="003C5292" w:rsidRDefault="001D36D9" w:rsidP="009715FD">
      <w:pPr>
        <w:spacing w:after="0" w:line="240" w:lineRule="auto"/>
        <w:jc w:val="both"/>
        <w:rPr>
          <w:rFonts w:cs="Arial"/>
          <w:b/>
          <w:i/>
          <w:lang w:val="es-ES"/>
        </w:rPr>
      </w:pPr>
    </w:p>
    <w:p w14:paraId="3F832DF5" w14:textId="77777777" w:rsidR="009715FD" w:rsidRPr="003C5292" w:rsidRDefault="009715FD" w:rsidP="009715FD">
      <w:pPr>
        <w:spacing w:after="0" w:line="240" w:lineRule="auto"/>
        <w:jc w:val="both"/>
        <w:rPr>
          <w:rFonts w:cs="Arial"/>
          <w:b/>
          <w:i/>
          <w:lang w:val="es-ES"/>
        </w:rPr>
      </w:pPr>
      <w:r w:rsidRPr="003C5292">
        <w:rPr>
          <w:rFonts w:cs="Arial"/>
          <w:b/>
          <w:i/>
          <w:lang w:val="es-ES"/>
        </w:rPr>
        <w:t xml:space="preserve">Dirigido a las Partes </w:t>
      </w:r>
    </w:p>
    <w:p w14:paraId="2686E247" w14:textId="77777777" w:rsidR="009715FD" w:rsidRPr="003C5292" w:rsidRDefault="009715FD" w:rsidP="009715FD">
      <w:pPr>
        <w:spacing w:after="0" w:line="240" w:lineRule="auto"/>
        <w:jc w:val="both"/>
        <w:rPr>
          <w:rFonts w:cs="Arial"/>
          <w:lang w:val="es-ES"/>
        </w:rPr>
      </w:pPr>
    </w:p>
    <w:p w14:paraId="1FA38234" w14:textId="77777777" w:rsidR="009715FD" w:rsidRPr="003C5292" w:rsidRDefault="009715FD" w:rsidP="009715FD">
      <w:pPr>
        <w:spacing w:after="0" w:line="240" w:lineRule="auto"/>
        <w:ind w:left="900" w:hanging="900"/>
        <w:jc w:val="both"/>
        <w:rPr>
          <w:rFonts w:cs="Arial"/>
          <w:iCs/>
          <w:lang w:val="es-ES"/>
        </w:rPr>
      </w:pPr>
      <w:r w:rsidRPr="003C5292">
        <w:rPr>
          <w:rFonts w:cs="Arial"/>
          <w:lang w:val="es-ES"/>
        </w:rPr>
        <w:t>15.AA</w:t>
      </w:r>
      <w:r w:rsidRPr="003C5292">
        <w:rPr>
          <w:rFonts w:cs="Arial"/>
          <w:lang w:val="es-ES"/>
        </w:rPr>
        <w:tab/>
      </w:r>
      <w:r w:rsidRPr="003C5292">
        <w:rPr>
          <w:rFonts w:cs="Arial"/>
          <w:iCs/>
          <w:lang w:val="es-ES"/>
        </w:rPr>
        <w:t xml:space="preserve">Se solicita a las Partes identificadas en la Tabla 1 del documento UNEP/CMS/Doc.25.3.2 </w:t>
      </w:r>
      <w:r w:rsidRPr="003C5292">
        <w:rPr>
          <w:rFonts w:cs="Arial"/>
          <w:i/>
          <w:lang w:val="es-ES"/>
        </w:rPr>
        <w:t>Colisiones con embarcaciones</w:t>
      </w:r>
      <w:r w:rsidRPr="003C5292">
        <w:rPr>
          <w:rFonts w:cs="Arial"/>
          <w:iCs/>
          <w:lang w:val="es-ES"/>
        </w:rPr>
        <w:t xml:space="preserve"> que:</w:t>
      </w:r>
    </w:p>
    <w:p w14:paraId="5EC6D882" w14:textId="77777777" w:rsidR="009715FD" w:rsidRPr="003C5292" w:rsidRDefault="009715FD" w:rsidP="009715FD">
      <w:pPr>
        <w:spacing w:after="0" w:line="240" w:lineRule="auto"/>
        <w:ind w:left="720" w:hanging="720"/>
        <w:jc w:val="both"/>
        <w:rPr>
          <w:rFonts w:cs="Arial"/>
          <w:iCs/>
          <w:lang w:val="es-ES"/>
        </w:rPr>
      </w:pPr>
    </w:p>
    <w:p w14:paraId="0D6CE858" w14:textId="77777777" w:rsidR="009715FD" w:rsidRPr="003C5292" w:rsidRDefault="009715FD" w:rsidP="001D36D9">
      <w:pPr>
        <w:widowControl w:val="0"/>
        <w:numPr>
          <w:ilvl w:val="0"/>
          <w:numId w:val="20"/>
        </w:numPr>
        <w:autoSpaceDE w:val="0"/>
        <w:autoSpaceDN w:val="0"/>
        <w:adjustRightInd w:val="0"/>
        <w:spacing w:after="80" w:line="240" w:lineRule="auto"/>
        <w:ind w:left="1440" w:hanging="540"/>
        <w:jc w:val="both"/>
        <w:rPr>
          <w:rFonts w:cs="Arial"/>
          <w:iCs/>
          <w:lang w:val="es-ES"/>
        </w:rPr>
      </w:pPr>
      <w:r w:rsidRPr="003C5292">
        <w:rPr>
          <w:rFonts w:cs="Arial"/>
          <w:iCs/>
          <w:lang w:val="es-ES"/>
        </w:rPr>
        <w:t xml:space="preserve">apliquen medidas para reducir el riesgo de colisiones con embarcaciones en las poblaciones de cetáceos incluidas en la CMS en riesgo, identificadas por la Comisión Ballenera Internacional (CBI), entre ellas: </w:t>
      </w:r>
    </w:p>
    <w:p w14:paraId="261A27C6" w14:textId="77777777" w:rsidR="009715FD" w:rsidRPr="003C5292" w:rsidRDefault="009715FD" w:rsidP="00984FB6">
      <w:pPr>
        <w:widowControl w:val="0"/>
        <w:numPr>
          <w:ilvl w:val="1"/>
          <w:numId w:val="20"/>
        </w:numPr>
        <w:autoSpaceDE w:val="0"/>
        <w:autoSpaceDN w:val="0"/>
        <w:adjustRightInd w:val="0"/>
        <w:spacing w:after="80" w:line="240" w:lineRule="auto"/>
        <w:ind w:left="2160" w:hanging="540"/>
        <w:jc w:val="both"/>
        <w:rPr>
          <w:rFonts w:cs="Arial"/>
          <w:iCs/>
          <w:lang w:val="es-ES"/>
        </w:rPr>
      </w:pPr>
      <w:r w:rsidRPr="003C5292">
        <w:rPr>
          <w:rFonts w:cs="Arial"/>
          <w:iCs/>
          <w:lang w:val="es-ES"/>
        </w:rPr>
        <w:t xml:space="preserve">realizar análisis de riesgos y evaluaciones de posibles opciones de mitigación, cuando aún no se haya hecho; </w:t>
      </w:r>
    </w:p>
    <w:p w14:paraId="5474AC6C" w14:textId="77777777" w:rsidR="009715FD" w:rsidRPr="003C5292" w:rsidRDefault="009715FD" w:rsidP="00984FB6">
      <w:pPr>
        <w:widowControl w:val="0"/>
        <w:numPr>
          <w:ilvl w:val="1"/>
          <w:numId w:val="20"/>
        </w:numPr>
        <w:autoSpaceDE w:val="0"/>
        <w:autoSpaceDN w:val="0"/>
        <w:adjustRightInd w:val="0"/>
        <w:spacing w:after="80" w:line="240" w:lineRule="auto"/>
        <w:ind w:left="2160" w:hanging="540"/>
        <w:jc w:val="both"/>
        <w:rPr>
          <w:rFonts w:cs="Arial"/>
          <w:iCs/>
          <w:lang w:val="es-ES"/>
        </w:rPr>
      </w:pPr>
      <w:r w:rsidRPr="003C5292">
        <w:rPr>
          <w:rFonts w:cs="Arial"/>
          <w:iCs/>
          <w:lang w:val="es-ES"/>
        </w:rPr>
        <w:t>introducir medidas de mitigación mediante la normativa nacional o a través de la Organización Marítima Internacional (OMI); y</w:t>
      </w:r>
    </w:p>
    <w:p w14:paraId="1B078EBE" w14:textId="77777777" w:rsidR="009715FD" w:rsidRPr="003C5292" w:rsidRDefault="009715FD" w:rsidP="00984FB6">
      <w:pPr>
        <w:widowControl w:val="0"/>
        <w:numPr>
          <w:ilvl w:val="1"/>
          <w:numId w:val="20"/>
        </w:numPr>
        <w:autoSpaceDE w:val="0"/>
        <w:autoSpaceDN w:val="0"/>
        <w:adjustRightInd w:val="0"/>
        <w:spacing w:after="0" w:line="240" w:lineRule="auto"/>
        <w:ind w:left="2160" w:hanging="540"/>
        <w:jc w:val="both"/>
        <w:rPr>
          <w:rFonts w:cs="Arial"/>
          <w:iCs/>
          <w:lang w:val="es-ES"/>
        </w:rPr>
      </w:pPr>
      <w:r w:rsidRPr="003C5292">
        <w:rPr>
          <w:rFonts w:cs="Arial"/>
          <w:iCs/>
          <w:lang w:val="es-ES"/>
        </w:rPr>
        <w:t>aplicar medidas de seguimiento para evaluar su eficacia, incluida la sensibilización del sector y el cumplimiento de dichas medidas;</w:t>
      </w:r>
    </w:p>
    <w:p w14:paraId="0BFBCAE5" w14:textId="77777777" w:rsidR="009715FD" w:rsidRPr="003C5292" w:rsidRDefault="009715FD" w:rsidP="009715FD">
      <w:pPr>
        <w:spacing w:after="0" w:line="240" w:lineRule="auto"/>
        <w:ind w:left="1260" w:hanging="518"/>
        <w:jc w:val="both"/>
        <w:rPr>
          <w:rFonts w:cs="Arial"/>
          <w:iCs/>
          <w:lang w:val="es-ES"/>
        </w:rPr>
      </w:pPr>
    </w:p>
    <w:p w14:paraId="55A36BB0" w14:textId="77777777" w:rsidR="009715FD" w:rsidRPr="003C5292" w:rsidRDefault="009715FD" w:rsidP="00984FB6">
      <w:pPr>
        <w:widowControl w:val="0"/>
        <w:numPr>
          <w:ilvl w:val="0"/>
          <w:numId w:val="20"/>
        </w:numPr>
        <w:autoSpaceDE w:val="0"/>
        <w:autoSpaceDN w:val="0"/>
        <w:adjustRightInd w:val="0"/>
        <w:spacing w:after="0" w:line="240" w:lineRule="auto"/>
        <w:ind w:left="1440" w:hanging="540"/>
        <w:jc w:val="both"/>
        <w:rPr>
          <w:rFonts w:cs="Arial"/>
          <w:iCs/>
          <w:lang w:val="es-ES"/>
        </w:rPr>
      </w:pPr>
      <w:r w:rsidRPr="003C5292">
        <w:rPr>
          <w:rFonts w:cs="Arial"/>
          <w:iCs/>
          <w:lang w:val="es-ES"/>
        </w:rPr>
        <w:t>informen a la Conferencia de las Partes en su 16.</w:t>
      </w:r>
      <w:r w:rsidRPr="003C5292">
        <w:rPr>
          <w:rFonts w:cs="Arial"/>
          <w:iCs/>
          <w:vertAlign w:val="superscript"/>
          <w:lang w:val="es-ES"/>
        </w:rPr>
        <w:t>a</w:t>
      </w:r>
      <w:r w:rsidRPr="003C5292">
        <w:rPr>
          <w:rFonts w:cs="Arial"/>
          <w:iCs/>
          <w:lang w:val="es-ES"/>
        </w:rPr>
        <w:t xml:space="preserve"> reunión sobre los progresos en la aplicación de la presente Decisión. </w:t>
      </w:r>
    </w:p>
    <w:p w14:paraId="79671720" w14:textId="77777777" w:rsidR="009715FD" w:rsidRPr="003C5292" w:rsidRDefault="009715FD" w:rsidP="009715FD">
      <w:pPr>
        <w:spacing w:after="0" w:line="240" w:lineRule="auto"/>
        <w:jc w:val="both"/>
        <w:rPr>
          <w:rFonts w:cs="Arial"/>
          <w:lang w:val="es-ES"/>
        </w:rPr>
      </w:pPr>
    </w:p>
    <w:p w14:paraId="02EF1ED0" w14:textId="77777777" w:rsidR="009715FD" w:rsidRPr="003C5292" w:rsidRDefault="009715FD" w:rsidP="009715FD">
      <w:pPr>
        <w:spacing w:after="0" w:line="240" w:lineRule="auto"/>
        <w:jc w:val="both"/>
        <w:rPr>
          <w:rFonts w:cs="Arial"/>
          <w:lang w:val="es-ES"/>
        </w:rPr>
      </w:pPr>
      <w:r w:rsidRPr="003C5292">
        <w:rPr>
          <w:rFonts w:cs="Arial"/>
          <w:b/>
          <w:i/>
          <w:lang w:val="es-ES"/>
        </w:rPr>
        <w:t xml:space="preserve">Dirigido al Consejo Científico </w:t>
      </w:r>
    </w:p>
    <w:p w14:paraId="2A7DD287" w14:textId="77777777" w:rsidR="009715FD" w:rsidRPr="003C5292" w:rsidRDefault="009715FD" w:rsidP="009715FD">
      <w:pPr>
        <w:spacing w:after="0" w:line="240" w:lineRule="auto"/>
        <w:jc w:val="both"/>
        <w:rPr>
          <w:rFonts w:cs="Arial"/>
          <w:lang w:val="es-ES"/>
        </w:rPr>
      </w:pPr>
    </w:p>
    <w:p w14:paraId="38024B07" w14:textId="77777777" w:rsidR="009715FD" w:rsidRPr="003C5292" w:rsidRDefault="009715FD" w:rsidP="009715FD">
      <w:pPr>
        <w:spacing w:after="0" w:line="240" w:lineRule="auto"/>
        <w:ind w:left="900" w:hanging="900"/>
        <w:jc w:val="both"/>
        <w:rPr>
          <w:rFonts w:cs="Arial"/>
          <w:lang w:val="es-ES"/>
        </w:rPr>
      </w:pPr>
      <w:r w:rsidRPr="003C5292">
        <w:rPr>
          <w:rFonts w:cs="Arial"/>
          <w:lang w:val="es-ES"/>
        </w:rPr>
        <w:t>15.BB</w:t>
      </w:r>
      <w:r w:rsidRPr="003C5292">
        <w:rPr>
          <w:rFonts w:cs="Arial"/>
          <w:lang w:val="es-ES"/>
        </w:rPr>
        <w:tab/>
        <w:t>Se solicita al Consejo Científico, sujeto a la disponibilidad de recursos, que:</w:t>
      </w:r>
    </w:p>
    <w:p w14:paraId="4B052F0C" w14:textId="77777777" w:rsidR="009715FD" w:rsidRPr="003C5292" w:rsidRDefault="009715FD" w:rsidP="009715FD">
      <w:pPr>
        <w:spacing w:after="0" w:line="240" w:lineRule="auto"/>
        <w:ind w:left="720" w:hanging="720"/>
        <w:jc w:val="both"/>
        <w:rPr>
          <w:rFonts w:cs="Arial"/>
          <w:lang w:val="es-ES"/>
        </w:rPr>
      </w:pPr>
    </w:p>
    <w:p w14:paraId="20EAC198" w14:textId="77777777" w:rsidR="009715FD" w:rsidRPr="003C5292" w:rsidRDefault="009715FD" w:rsidP="009715FD">
      <w:pPr>
        <w:widowControl w:val="0"/>
        <w:numPr>
          <w:ilvl w:val="0"/>
          <w:numId w:val="21"/>
        </w:numPr>
        <w:autoSpaceDE w:val="0"/>
        <w:autoSpaceDN w:val="0"/>
        <w:adjustRightInd w:val="0"/>
        <w:spacing w:after="0" w:line="240" w:lineRule="auto"/>
        <w:ind w:left="1418" w:hanging="518"/>
        <w:jc w:val="both"/>
        <w:rPr>
          <w:rFonts w:cs="Arial"/>
          <w:lang w:val="es-ES"/>
        </w:rPr>
      </w:pPr>
      <w:r w:rsidRPr="003C5292">
        <w:rPr>
          <w:rFonts w:cs="Arial"/>
          <w:lang w:val="es-ES"/>
        </w:rPr>
        <w:t xml:space="preserve">identifique más poblaciones de especies incluidas en la CMS en riesgo de colisiones con embarcaciones mediante la cartografía de las rutas marítimas en relación con las Áreas Importantes para Mamíferos Marinos (IMMA), en colaboración con el Grupo Operativo de la UICN sobre Áreas Protegidas para Mamíferos Marinos; </w:t>
      </w:r>
    </w:p>
    <w:p w14:paraId="69119CB6" w14:textId="77777777" w:rsidR="009715FD" w:rsidRPr="003C5292" w:rsidRDefault="009715FD" w:rsidP="009715FD">
      <w:pPr>
        <w:widowControl w:val="0"/>
        <w:autoSpaceDE w:val="0"/>
        <w:autoSpaceDN w:val="0"/>
        <w:adjustRightInd w:val="0"/>
        <w:spacing w:after="0" w:line="240" w:lineRule="auto"/>
        <w:ind w:left="1418" w:hanging="518"/>
        <w:jc w:val="both"/>
        <w:rPr>
          <w:rFonts w:cs="Arial"/>
          <w:lang w:val="es-ES"/>
        </w:rPr>
      </w:pPr>
    </w:p>
    <w:p w14:paraId="63B5F0AB" w14:textId="77777777" w:rsidR="009715FD" w:rsidRPr="003C5292" w:rsidRDefault="009715FD" w:rsidP="009715FD">
      <w:pPr>
        <w:widowControl w:val="0"/>
        <w:numPr>
          <w:ilvl w:val="0"/>
          <w:numId w:val="21"/>
        </w:numPr>
        <w:autoSpaceDE w:val="0"/>
        <w:autoSpaceDN w:val="0"/>
        <w:adjustRightInd w:val="0"/>
        <w:spacing w:after="0" w:line="240" w:lineRule="auto"/>
        <w:ind w:left="1418" w:hanging="518"/>
        <w:jc w:val="both"/>
        <w:rPr>
          <w:rFonts w:cs="Arial"/>
          <w:lang w:val="es-ES"/>
        </w:rPr>
      </w:pPr>
      <w:r w:rsidRPr="003C5292">
        <w:rPr>
          <w:rFonts w:cs="Arial"/>
          <w:lang w:val="es-ES"/>
        </w:rPr>
        <w:t>identifique las áreas en las que los cetáceos incluidos en la CMS corren un alto riesgo de colisiones con embarcaciones, incluso mediante la cartografía de las rutas marítimas en relación con las IMMA, en colaboración con la CBI y la OMI; y</w:t>
      </w:r>
    </w:p>
    <w:p w14:paraId="55DEC84E" w14:textId="77777777" w:rsidR="009715FD" w:rsidRPr="003C5292" w:rsidRDefault="009715FD" w:rsidP="009715FD">
      <w:pPr>
        <w:widowControl w:val="0"/>
        <w:autoSpaceDE w:val="0"/>
        <w:autoSpaceDN w:val="0"/>
        <w:adjustRightInd w:val="0"/>
        <w:spacing w:after="0" w:line="240" w:lineRule="auto"/>
        <w:ind w:left="1418" w:hanging="518"/>
        <w:jc w:val="both"/>
        <w:rPr>
          <w:rFonts w:cs="Arial"/>
          <w:lang w:val="es-ES"/>
        </w:rPr>
      </w:pPr>
    </w:p>
    <w:p w14:paraId="5EB73FA9" w14:textId="77777777" w:rsidR="009715FD" w:rsidRPr="003C5292" w:rsidRDefault="009715FD" w:rsidP="009715FD">
      <w:pPr>
        <w:widowControl w:val="0"/>
        <w:numPr>
          <w:ilvl w:val="0"/>
          <w:numId w:val="21"/>
        </w:numPr>
        <w:autoSpaceDE w:val="0"/>
        <w:autoSpaceDN w:val="0"/>
        <w:adjustRightInd w:val="0"/>
        <w:spacing w:after="0" w:line="240" w:lineRule="auto"/>
        <w:ind w:left="1418" w:hanging="518"/>
        <w:jc w:val="both"/>
        <w:rPr>
          <w:rFonts w:cs="Arial"/>
          <w:lang w:val="es-ES"/>
        </w:rPr>
      </w:pPr>
      <w:r w:rsidRPr="003C5292">
        <w:rPr>
          <w:rFonts w:cs="Arial"/>
          <w:lang w:val="es-ES"/>
        </w:rPr>
        <w:t>elabore recomendaciones sobre la ubicación adecuada de las medidas de desvío, incluida la evitación de áreas y/o el establecimiento de restricciones de velocidad de embarcaciones en hábitats clave de cetáceos, y formule recomendaciones a las Partes.</w:t>
      </w:r>
    </w:p>
    <w:p w14:paraId="371222BE" w14:textId="77777777" w:rsidR="009715FD" w:rsidRPr="003C5292" w:rsidRDefault="009715FD" w:rsidP="009715FD">
      <w:pPr>
        <w:widowControl w:val="0"/>
        <w:autoSpaceDE w:val="0"/>
        <w:autoSpaceDN w:val="0"/>
        <w:adjustRightInd w:val="0"/>
        <w:spacing w:after="0" w:line="240" w:lineRule="auto"/>
        <w:jc w:val="both"/>
        <w:rPr>
          <w:rFonts w:cs="Arial"/>
          <w:lang w:val="es-ES"/>
        </w:rPr>
      </w:pPr>
    </w:p>
    <w:p w14:paraId="4DCB9F86" w14:textId="77777777" w:rsidR="009715FD" w:rsidRPr="003C5292" w:rsidRDefault="009715FD" w:rsidP="009715FD">
      <w:pPr>
        <w:spacing w:after="0" w:line="240" w:lineRule="auto"/>
        <w:jc w:val="both"/>
        <w:rPr>
          <w:rFonts w:cs="Arial"/>
          <w:b/>
          <w:i/>
          <w:lang w:val="es-ES"/>
        </w:rPr>
      </w:pPr>
      <w:r w:rsidRPr="003C5292">
        <w:rPr>
          <w:rFonts w:cs="Arial"/>
          <w:b/>
          <w:i/>
          <w:lang w:val="es-ES"/>
        </w:rPr>
        <w:t>Dirigido a la Secretaría</w:t>
      </w:r>
    </w:p>
    <w:p w14:paraId="17B3C2FB" w14:textId="77777777" w:rsidR="009715FD" w:rsidRPr="003C5292" w:rsidRDefault="009715FD" w:rsidP="009715FD">
      <w:pPr>
        <w:spacing w:after="0" w:line="240" w:lineRule="auto"/>
        <w:jc w:val="both"/>
        <w:rPr>
          <w:rFonts w:cs="Arial"/>
          <w:lang w:val="es-ES"/>
        </w:rPr>
      </w:pPr>
    </w:p>
    <w:p w14:paraId="664BCEDA" w14:textId="77777777" w:rsidR="009715FD" w:rsidRPr="003C5292" w:rsidRDefault="009715FD" w:rsidP="00984FB6">
      <w:pPr>
        <w:spacing w:after="0" w:line="240" w:lineRule="auto"/>
        <w:ind w:left="900" w:hanging="900"/>
        <w:jc w:val="both"/>
        <w:rPr>
          <w:rFonts w:cs="Arial"/>
          <w:lang w:val="es-ES"/>
        </w:rPr>
      </w:pPr>
      <w:r w:rsidRPr="003C5292">
        <w:rPr>
          <w:rFonts w:cs="Arial"/>
          <w:lang w:val="es-ES"/>
        </w:rPr>
        <w:t>15.CC</w:t>
      </w:r>
      <w:r w:rsidRPr="003C5292">
        <w:rPr>
          <w:rFonts w:cs="Arial"/>
          <w:lang w:val="es-ES"/>
        </w:rPr>
        <w:tab/>
        <w:t>La Secretaría, sujeta a la disponibilidad de recursos, apoyará al Consejo Científico en la aplicación de la Decisión 15.BB.</w:t>
      </w:r>
    </w:p>
    <w:p w14:paraId="054B7FD4" w14:textId="77777777" w:rsidR="009715FD" w:rsidRPr="003C5292" w:rsidRDefault="009715FD" w:rsidP="009715FD">
      <w:pPr>
        <w:spacing w:after="0" w:line="240" w:lineRule="auto"/>
        <w:ind w:left="851" w:hanging="851"/>
        <w:jc w:val="both"/>
        <w:rPr>
          <w:rFonts w:cs="Arial"/>
          <w:lang w:val="es-ES"/>
        </w:rPr>
      </w:pPr>
    </w:p>
    <w:p w14:paraId="3C739A71" w14:textId="77777777" w:rsidR="009715FD" w:rsidRPr="000D49FA" w:rsidRDefault="009715FD" w:rsidP="009715FD">
      <w:pPr>
        <w:pStyle w:val="Secondnumbering"/>
        <w:numPr>
          <w:ilvl w:val="0"/>
          <w:numId w:val="0"/>
        </w:numPr>
        <w:rPr>
          <w:lang w:val="es-ES"/>
        </w:rPr>
      </w:pPr>
    </w:p>
    <w:p w14:paraId="008A656C" w14:textId="77777777" w:rsidR="00642523" w:rsidRPr="009715FD" w:rsidRDefault="00642523" w:rsidP="009715FD">
      <w:pPr>
        <w:spacing w:after="0" w:line="240" w:lineRule="auto"/>
        <w:jc w:val="right"/>
        <w:rPr>
          <w:lang w:val="es-ES"/>
        </w:rPr>
      </w:pPr>
    </w:p>
    <w:sectPr w:rsidR="00642523" w:rsidRPr="009715FD" w:rsidSect="00692310">
      <w:headerReference w:type="even" r:id="rId23"/>
      <w:headerReference w:type="first" r:id="rId24"/>
      <w:foot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5941" w14:textId="77777777" w:rsidR="00EE1515" w:rsidRDefault="00EE1515" w:rsidP="00002A97">
      <w:pPr>
        <w:spacing w:after="0" w:line="240" w:lineRule="auto"/>
      </w:pPr>
      <w:r>
        <w:separator/>
      </w:r>
    </w:p>
  </w:endnote>
  <w:endnote w:type="continuationSeparator" w:id="0">
    <w:p w14:paraId="74F85016" w14:textId="77777777" w:rsidR="00EE1515" w:rsidRDefault="00EE1515"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aphik Regular">
    <w:altName w:val="Calibri"/>
    <w:panose1 w:val="00000000000000000000"/>
    <w:charset w:val="00"/>
    <w:family w:val="swiss"/>
    <w:notTrueType/>
    <w:pitch w:val="variable"/>
    <w:sig w:usb0="A000002F" w:usb1="400004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000000">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13096"/>
      <w:docPartObj>
        <w:docPartGallery w:val="Page Numbers (Bottom of Page)"/>
        <w:docPartUnique/>
      </w:docPartObj>
    </w:sdtPr>
    <w:sdtEndPr>
      <w:rPr>
        <w:noProof/>
        <w:sz w:val="18"/>
        <w:szCs w:val="18"/>
      </w:rPr>
    </w:sdtEndPr>
    <w:sdtContent>
      <w:p w14:paraId="1306D5CA" w14:textId="2F8DE4B7" w:rsidR="00325CAD" w:rsidRPr="00325CAD" w:rsidRDefault="00325CAD">
        <w:pPr>
          <w:pStyle w:val="Footer"/>
          <w:jc w:val="center"/>
          <w:rPr>
            <w:sz w:val="18"/>
            <w:szCs w:val="18"/>
          </w:rPr>
        </w:pPr>
        <w:r w:rsidRPr="00325CAD">
          <w:rPr>
            <w:sz w:val="18"/>
            <w:szCs w:val="18"/>
          </w:rPr>
          <w:fldChar w:fldCharType="begin"/>
        </w:r>
        <w:r w:rsidRPr="00325CAD">
          <w:rPr>
            <w:sz w:val="18"/>
            <w:szCs w:val="18"/>
          </w:rPr>
          <w:instrText xml:space="preserve"> PAGE   \* MERGEFORMAT </w:instrText>
        </w:r>
        <w:r w:rsidRPr="00325CAD">
          <w:rPr>
            <w:sz w:val="18"/>
            <w:szCs w:val="18"/>
          </w:rPr>
          <w:fldChar w:fldCharType="separate"/>
        </w:r>
        <w:r w:rsidRPr="00325CAD">
          <w:rPr>
            <w:noProof/>
            <w:sz w:val="18"/>
            <w:szCs w:val="18"/>
          </w:rPr>
          <w:t>2</w:t>
        </w:r>
        <w:r w:rsidRPr="00325CA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ABEE" w14:textId="77777777" w:rsidR="00EE1515" w:rsidRDefault="00EE1515" w:rsidP="00002A97">
      <w:pPr>
        <w:spacing w:after="0" w:line="240" w:lineRule="auto"/>
      </w:pPr>
      <w:r>
        <w:separator/>
      </w:r>
    </w:p>
  </w:footnote>
  <w:footnote w:type="continuationSeparator" w:id="0">
    <w:p w14:paraId="6E692805" w14:textId="77777777" w:rsidR="00EE1515" w:rsidRDefault="00EE1515" w:rsidP="00002A97">
      <w:pPr>
        <w:spacing w:after="0" w:line="240" w:lineRule="auto"/>
      </w:pPr>
      <w:r>
        <w:continuationSeparator/>
      </w:r>
    </w:p>
  </w:footnote>
  <w:footnote w:id="1">
    <w:p w14:paraId="7A759E0D" w14:textId="77777777" w:rsidR="002E0C58" w:rsidRPr="003C5292" w:rsidRDefault="002E0C58" w:rsidP="00D97AE0">
      <w:pPr>
        <w:jc w:val="both"/>
        <w:rPr>
          <w:rFonts w:ascii="Graphik Regular" w:hAnsi="Graphik Regular" w:cs="Graphik Regular"/>
          <w:sz w:val="16"/>
          <w:szCs w:val="16"/>
          <w:lang w:val="es-ES"/>
        </w:rPr>
      </w:pPr>
      <w:r w:rsidRPr="003C5292">
        <w:rPr>
          <w:rStyle w:val="FootnoteReference"/>
          <w:sz w:val="16"/>
          <w:szCs w:val="16"/>
          <w:lang w:val="es-ES"/>
        </w:rPr>
        <w:footnoteRef/>
      </w:r>
      <w:r w:rsidRPr="003C5292">
        <w:rPr>
          <w:sz w:val="16"/>
          <w:szCs w:val="16"/>
          <w:lang w:val="es-ES"/>
        </w:rPr>
        <w:t xml:space="preserve"> IWC </w:t>
      </w:r>
      <w:proofErr w:type="spellStart"/>
      <w:r w:rsidRPr="003C5292">
        <w:rPr>
          <w:sz w:val="16"/>
          <w:szCs w:val="16"/>
          <w:lang w:val="es-ES"/>
        </w:rPr>
        <w:t>Strategic</w:t>
      </w:r>
      <w:proofErr w:type="spellEnd"/>
      <w:r w:rsidRPr="003C5292">
        <w:rPr>
          <w:sz w:val="16"/>
          <w:szCs w:val="16"/>
          <w:lang w:val="es-ES"/>
        </w:rPr>
        <w:t xml:space="preserve"> Plan </w:t>
      </w:r>
      <w:proofErr w:type="spellStart"/>
      <w:r w:rsidRPr="003C5292">
        <w:rPr>
          <w:sz w:val="16"/>
          <w:szCs w:val="16"/>
          <w:lang w:val="es-ES"/>
        </w:rPr>
        <w:t>to</w:t>
      </w:r>
      <w:proofErr w:type="spellEnd"/>
      <w:r w:rsidRPr="003C5292">
        <w:rPr>
          <w:sz w:val="16"/>
          <w:szCs w:val="16"/>
          <w:lang w:val="es-ES"/>
        </w:rPr>
        <w:t xml:space="preserve"> </w:t>
      </w:r>
      <w:proofErr w:type="spellStart"/>
      <w:r w:rsidRPr="003C5292">
        <w:rPr>
          <w:sz w:val="16"/>
          <w:szCs w:val="16"/>
          <w:lang w:val="es-ES"/>
        </w:rPr>
        <w:t>Mitigate</w:t>
      </w:r>
      <w:proofErr w:type="spellEnd"/>
      <w:r w:rsidRPr="003C5292">
        <w:rPr>
          <w:sz w:val="16"/>
          <w:szCs w:val="16"/>
          <w:lang w:val="es-ES"/>
        </w:rPr>
        <w:t xml:space="preserve"> the </w:t>
      </w:r>
      <w:proofErr w:type="spellStart"/>
      <w:r w:rsidRPr="003C5292">
        <w:rPr>
          <w:sz w:val="16"/>
          <w:szCs w:val="16"/>
          <w:lang w:val="es-ES"/>
        </w:rPr>
        <w:t>Impacts</w:t>
      </w:r>
      <w:proofErr w:type="spellEnd"/>
      <w:r w:rsidRPr="003C5292">
        <w:rPr>
          <w:sz w:val="16"/>
          <w:szCs w:val="16"/>
          <w:lang w:val="es-ES"/>
        </w:rPr>
        <w:t xml:space="preserve"> of </w:t>
      </w:r>
      <w:proofErr w:type="spellStart"/>
      <w:r w:rsidRPr="003C5292">
        <w:rPr>
          <w:sz w:val="16"/>
          <w:szCs w:val="16"/>
          <w:lang w:val="es-ES"/>
        </w:rPr>
        <w:t>Ship</w:t>
      </w:r>
      <w:proofErr w:type="spellEnd"/>
      <w:r w:rsidRPr="003C5292">
        <w:rPr>
          <w:sz w:val="16"/>
          <w:szCs w:val="16"/>
          <w:lang w:val="es-ES"/>
        </w:rPr>
        <w:t xml:space="preserve"> Strikes </w:t>
      </w:r>
      <w:proofErr w:type="spellStart"/>
      <w:r w:rsidRPr="003C5292">
        <w:rPr>
          <w:sz w:val="16"/>
          <w:szCs w:val="16"/>
          <w:lang w:val="es-ES"/>
        </w:rPr>
        <w:t>on</w:t>
      </w:r>
      <w:proofErr w:type="spellEnd"/>
      <w:r w:rsidRPr="003C5292">
        <w:rPr>
          <w:sz w:val="16"/>
          <w:szCs w:val="16"/>
          <w:lang w:val="es-ES"/>
        </w:rPr>
        <w:t xml:space="preserve"> </w:t>
      </w:r>
      <w:proofErr w:type="spellStart"/>
      <w:r w:rsidRPr="003C5292">
        <w:rPr>
          <w:sz w:val="16"/>
          <w:szCs w:val="16"/>
          <w:lang w:val="es-ES"/>
        </w:rPr>
        <w:t>Cetacean</w:t>
      </w:r>
      <w:proofErr w:type="spellEnd"/>
      <w:r w:rsidRPr="003C5292">
        <w:rPr>
          <w:sz w:val="16"/>
          <w:szCs w:val="16"/>
          <w:lang w:val="es-ES"/>
        </w:rPr>
        <w:t xml:space="preserve"> </w:t>
      </w:r>
      <w:proofErr w:type="spellStart"/>
      <w:r w:rsidRPr="003C5292">
        <w:rPr>
          <w:sz w:val="16"/>
          <w:szCs w:val="16"/>
          <w:lang w:val="es-ES"/>
        </w:rPr>
        <w:t>Populations</w:t>
      </w:r>
      <w:proofErr w:type="spellEnd"/>
      <w:r w:rsidRPr="003C5292">
        <w:rPr>
          <w:sz w:val="16"/>
          <w:szCs w:val="16"/>
          <w:lang w:val="es-ES"/>
        </w:rPr>
        <w:t>: 2022-2032 (</w:t>
      </w:r>
      <w:r w:rsidRPr="003C5292">
        <w:rPr>
          <w:rFonts w:cs="Arial"/>
          <w:i/>
          <w:iCs/>
          <w:sz w:val="16"/>
          <w:szCs w:val="16"/>
          <w:lang w:val="es-ES"/>
        </w:rPr>
        <w:t>Plan estratégico para mitigar los efectos de las colisiones con embarcaciones en las poblaciones de cetáceos: 2022-2032</w:t>
      </w:r>
      <w:r w:rsidRPr="003C5292">
        <w:rPr>
          <w:sz w:val="16"/>
          <w:szCs w:val="16"/>
          <w:lang w:val="es-ES"/>
        </w:rPr>
        <w:t xml:space="preserve">) </w:t>
      </w:r>
      <w:hyperlink r:id="rId1" w:history="1">
        <w:r w:rsidRPr="003C5292">
          <w:rPr>
            <w:rStyle w:val="Hyperlink"/>
            <w:sz w:val="16"/>
            <w:szCs w:val="16"/>
            <w:lang w:val="es-ES"/>
          </w:rPr>
          <w:t>https://archive.iwc.int/pages/view.php?ref=19858&amp;k=</w:t>
        </w:r>
      </w:hyperlink>
      <w:r w:rsidRPr="003C5292">
        <w:rPr>
          <w:color w:val="467885"/>
          <w:sz w:val="16"/>
          <w:szCs w:val="16"/>
          <w:lang w:val="es-ES"/>
        </w:rPr>
        <w:t xml:space="preserve"> </w:t>
      </w:r>
    </w:p>
  </w:footnote>
  <w:footnote w:id="2">
    <w:p w14:paraId="0D3D60DF" w14:textId="77777777" w:rsidR="002E0C58" w:rsidRPr="003C5292" w:rsidRDefault="002E0C58" w:rsidP="002E0C58">
      <w:pPr>
        <w:pStyle w:val="FootnoteText"/>
        <w:rPr>
          <w:sz w:val="16"/>
          <w:szCs w:val="16"/>
          <w:lang w:val="es-ES"/>
        </w:rPr>
      </w:pPr>
      <w:r w:rsidRPr="003C5292">
        <w:rPr>
          <w:rStyle w:val="FootnoteReference"/>
          <w:sz w:val="16"/>
          <w:szCs w:val="16"/>
          <w:lang w:val="es-ES"/>
        </w:rPr>
        <w:footnoteRef/>
      </w:r>
      <w:r w:rsidRPr="003C5292">
        <w:rPr>
          <w:sz w:val="16"/>
          <w:szCs w:val="16"/>
          <w:lang w:val="es-ES"/>
        </w:rPr>
        <w:t xml:space="preserve"> Asociación Internacional de Operadores Turísticos de la Antártida </w:t>
      </w:r>
    </w:p>
  </w:footnote>
  <w:footnote w:id="3">
    <w:p w14:paraId="06BA0024" w14:textId="77777777" w:rsidR="002E0C58" w:rsidRPr="004F600B" w:rsidRDefault="002E0C58" w:rsidP="002E0C58">
      <w:pPr>
        <w:pStyle w:val="FootnoteText"/>
        <w:rPr>
          <w:lang w:val="es-ES"/>
        </w:rPr>
      </w:pPr>
      <w:r w:rsidRPr="003C5292">
        <w:rPr>
          <w:rStyle w:val="FootnoteReference"/>
          <w:sz w:val="16"/>
          <w:szCs w:val="16"/>
          <w:lang w:val="es-ES"/>
        </w:rPr>
        <w:footnoteRef/>
      </w:r>
      <w:r w:rsidRPr="003C5292">
        <w:rPr>
          <w:sz w:val="16"/>
          <w:szCs w:val="16"/>
          <w:lang w:val="es-ES"/>
        </w:rPr>
        <w:t xml:space="preserve"> Zona marítima especialmente sensible</w:t>
      </w:r>
    </w:p>
  </w:footnote>
  <w:footnote w:id="4">
    <w:p w14:paraId="28A4103D" w14:textId="77777777" w:rsidR="002E0C58" w:rsidRPr="003C5292" w:rsidRDefault="002E0C58" w:rsidP="002E0C58">
      <w:pPr>
        <w:pStyle w:val="FootnoteText"/>
        <w:jc w:val="both"/>
        <w:rPr>
          <w:lang w:val="es-ES"/>
        </w:rPr>
      </w:pPr>
      <w:r w:rsidRPr="003C5292">
        <w:rPr>
          <w:rStyle w:val="FootnoteReference"/>
          <w:sz w:val="16"/>
          <w:szCs w:val="16"/>
          <w:lang w:val="es-ES"/>
        </w:rPr>
        <w:footnoteRef/>
      </w:r>
      <w:r w:rsidRPr="003C5292">
        <w:rPr>
          <w:sz w:val="16"/>
          <w:szCs w:val="16"/>
          <w:lang w:val="es-ES"/>
        </w:rPr>
        <w:t xml:space="preserve"> MEPC.1/Circ.674: </w:t>
      </w:r>
      <w:hyperlink r:id="rId2" w:history="1">
        <w:r w:rsidRPr="003C5292">
          <w:rPr>
            <w:rStyle w:val="Hyperlink"/>
            <w:rFonts w:cs="Arial"/>
            <w:sz w:val="16"/>
            <w:szCs w:val="16"/>
            <w:lang w:val="es-ES"/>
          </w:rPr>
          <w:t>https://wwwcdn.imo.org/localresources/en/MediaCentre/HotTopics/Documents/674.pdf</w:t>
        </w:r>
      </w:hyperlink>
      <w:r w:rsidRPr="003C5292">
        <w:rPr>
          <w:rFonts w:cs="Arial"/>
          <w:sz w:val="16"/>
          <w:szCs w:val="16"/>
          <w:lang w:val="es-ES"/>
        </w:rPr>
        <w:t xml:space="preserve"> </w:t>
      </w:r>
    </w:p>
  </w:footnote>
  <w:footnote w:id="5">
    <w:p w14:paraId="390FBF9D" w14:textId="77777777" w:rsidR="002E0C58" w:rsidRPr="004F600B" w:rsidRDefault="002E0C58" w:rsidP="002E0C58">
      <w:pPr>
        <w:pStyle w:val="FootnoteText"/>
        <w:jc w:val="both"/>
        <w:rPr>
          <w:sz w:val="16"/>
          <w:szCs w:val="16"/>
          <w:lang w:val="es-ES"/>
        </w:rPr>
      </w:pPr>
      <w:r w:rsidRPr="003C5292">
        <w:rPr>
          <w:rStyle w:val="FootnoteReference"/>
          <w:sz w:val="16"/>
          <w:szCs w:val="16"/>
          <w:lang w:val="es-ES"/>
        </w:rPr>
        <w:footnoteRef/>
      </w:r>
      <w:r w:rsidRPr="003C5292">
        <w:rPr>
          <w:sz w:val="16"/>
          <w:szCs w:val="16"/>
          <w:lang w:val="es-ES"/>
        </w:rPr>
        <w:t xml:space="preserve"> MEPC 69/21 </w:t>
      </w:r>
      <w:proofErr w:type="spellStart"/>
      <w:r w:rsidRPr="003C5292">
        <w:rPr>
          <w:i/>
          <w:iCs/>
          <w:sz w:val="16"/>
          <w:szCs w:val="16"/>
          <w:lang w:val="es-ES"/>
        </w:rPr>
        <w:t>Report</w:t>
      </w:r>
      <w:proofErr w:type="spellEnd"/>
      <w:r w:rsidRPr="003C5292">
        <w:rPr>
          <w:i/>
          <w:iCs/>
          <w:sz w:val="16"/>
          <w:szCs w:val="16"/>
          <w:lang w:val="es-ES"/>
        </w:rPr>
        <w:t xml:space="preserve"> of the Marine Environment </w:t>
      </w:r>
      <w:proofErr w:type="spellStart"/>
      <w:r w:rsidRPr="003C5292">
        <w:rPr>
          <w:i/>
          <w:iCs/>
          <w:sz w:val="16"/>
          <w:szCs w:val="16"/>
          <w:lang w:val="es-ES"/>
        </w:rPr>
        <w:t>Protection</w:t>
      </w:r>
      <w:proofErr w:type="spellEnd"/>
      <w:r w:rsidRPr="003C5292">
        <w:rPr>
          <w:i/>
          <w:iCs/>
          <w:sz w:val="16"/>
          <w:szCs w:val="16"/>
          <w:lang w:val="es-ES"/>
        </w:rPr>
        <w:t xml:space="preserve"> </w:t>
      </w:r>
      <w:proofErr w:type="spellStart"/>
      <w:r w:rsidRPr="003C5292">
        <w:rPr>
          <w:i/>
          <w:iCs/>
          <w:sz w:val="16"/>
          <w:szCs w:val="16"/>
          <w:lang w:val="es-ES"/>
        </w:rPr>
        <w:t>Committee</w:t>
      </w:r>
      <w:proofErr w:type="spellEnd"/>
      <w:r w:rsidRPr="003C5292">
        <w:rPr>
          <w:i/>
          <w:iCs/>
          <w:sz w:val="16"/>
          <w:szCs w:val="16"/>
          <w:lang w:val="es-ES"/>
        </w:rPr>
        <w:t xml:space="preserve"> </w:t>
      </w:r>
      <w:proofErr w:type="spellStart"/>
      <w:r w:rsidRPr="003C5292">
        <w:rPr>
          <w:i/>
          <w:iCs/>
          <w:sz w:val="16"/>
          <w:szCs w:val="16"/>
          <w:lang w:val="es-ES"/>
        </w:rPr>
        <w:t>on</w:t>
      </w:r>
      <w:proofErr w:type="spellEnd"/>
      <w:r w:rsidRPr="003C5292">
        <w:rPr>
          <w:i/>
          <w:iCs/>
          <w:sz w:val="16"/>
          <w:szCs w:val="16"/>
          <w:lang w:val="es-ES"/>
        </w:rPr>
        <w:t xml:space="preserve"> </w:t>
      </w:r>
      <w:proofErr w:type="spellStart"/>
      <w:r w:rsidRPr="003C5292">
        <w:rPr>
          <w:i/>
          <w:iCs/>
          <w:sz w:val="16"/>
          <w:szCs w:val="16"/>
          <w:lang w:val="es-ES"/>
        </w:rPr>
        <w:t>Its</w:t>
      </w:r>
      <w:proofErr w:type="spellEnd"/>
      <w:r w:rsidRPr="003C5292">
        <w:rPr>
          <w:i/>
          <w:iCs/>
          <w:sz w:val="16"/>
          <w:szCs w:val="16"/>
          <w:lang w:val="es-ES"/>
        </w:rPr>
        <w:t xml:space="preserve"> 69</w:t>
      </w:r>
      <w:r w:rsidRPr="003C5292">
        <w:rPr>
          <w:i/>
          <w:iCs/>
          <w:sz w:val="16"/>
          <w:szCs w:val="16"/>
          <w:vertAlign w:val="superscript"/>
          <w:lang w:val="es-ES"/>
        </w:rPr>
        <w:t>th</w:t>
      </w:r>
      <w:r w:rsidRPr="003C5292">
        <w:rPr>
          <w:i/>
          <w:iCs/>
          <w:sz w:val="16"/>
          <w:szCs w:val="16"/>
          <w:lang w:val="es-ES"/>
        </w:rPr>
        <w:t xml:space="preserve"> </w:t>
      </w:r>
      <w:proofErr w:type="spellStart"/>
      <w:r w:rsidRPr="003C5292">
        <w:rPr>
          <w:i/>
          <w:iCs/>
          <w:sz w:val="16"/>
          <w:szCs w:val="16"/>
          <w:lang w:val="es-ES"/>
        </w:rPr>
        <w:t>Session</w:t>
      </w:r>
      <w:proofErr w:type="spellEnd"/>
      <w:r w:rsidRPr="003C5292">
        <w:rPr>
          <w:sz w:val="16"/>
          <w:szCs w:val="16"/>
          <w:lang w:val="es-ES"/>
        </w:rPr>
        <w:t xml:space="preserve"> (Informe del Comité de Protección del Medio Marino sobre su 69.º período de sesiones)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082CBA63"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172102">
      <w:rPr>
        <w:rFonts w:eastAsia="Times New Roman" w:cs="Arial"/>
        <w:i/>
        <w:sz w:val="18"/>
        <w:szCs w:val="18"/>
        <w:lang w:val="fr-FR" w:eastAsia="es-ES"/>
      </w:rPr>
      <w:t>25.3.2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1711704B"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325CAD">
      <w:rPr>
        <w:rFonts w:eastAsia="Times New Roman" w:cs="Arial"/>
        <w:i/>
        <w:sz w:val="18"/>
        <w:szCs w:val="18"/>
        <w:lang w:val="fr-FR" w:eastAsia="es-ES"/>
      </w:rPr>
      <w:t>25.3.2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6FDF" w14:textId="77777777" w:rsidR="00692310" w:rsidRPr="00661875" w:rsidRDefault="00692310"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  ]</w:t>
    </w:r>
    <w:r>
      <w:rPr>
        <w:rFonts w:cs="Arial"/>
        <w:i/>
        <w:sz w:val="18"/>
        <w:szCs w:val="18"/>
        <w:lang w:val="de-DE"/>
      </w:rPr>
      <w:t>/Annex[...]</w:t>
    </w:r>
  </w:p>
  <w:p w14:paraId="24D7B899" w14:textId="77777777" w:rsidR="00692310" w:rsidRPr="00371DE1" w:rsidRDefault="00692310"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F38E" w14:textId="3E58201C" w:rsidR="00692310" w:rsidRPr="00661875" w:rsidRDefault="00692310"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25.3.2/Anex</w:t>
    </w:r>
    <w:r w:rsidR="001D36D9">
      <w:rPr>
        <w:rFonts w:cs="Arial"/>
        <w:i/>
        <w:sz w:val="18"/>
        <w:szCs w:val="18"/>
        <w:lang w:val="de-DE"/>
      </w:rPr>
      <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0B795280"/>
    <w:multiLevelType w:val="hybridMultilevel"/>
    <w:tmpl w:val="8CAABD36"/>
    <w:lvl w:ilvl="0" w:tplc="2000001B">
      <w:start w:val="1"/>
      <w:numFmt w:val="lowerRoman"/>
      <w:lvlText w:val="%1."/>
      <w:lvlJc w:val="right"/>
      <w:pPr>
        <w:ind w:left="1647" w:hanging="360"/>
      </w:pPr>
      <w:rPr>
        <w:rFonts w:hint="default"/>
      </w:rPr>
    </w:lvl>
    <w:lvl w:ilvl="1" w:tplc="0C000019">
      <w:start w:val="1"/>
      <w:numFmt w:val="lowerLetter"/>
      <w:lvlText w:val="%2."/>
      <w:lvlJc w:val="left"/>
      <w:pPr>
        <w:ind w:left="2367" w:hanging="360"/>
      </w:pPr>
    </w:lvl>
    <w:lvl w:ilvl="2" w:tplc="0C00001B" w:tentative="1">
      <w:start w:val="1"/>
      <w:numFmt w:val="lowerRoman"/>
      <w:lvlText w:val="%3."/>
      <w:lvlJc w:val="right"/>
      <w:pPr>
        <w:ind w:left="3087" w:hanging="180"/>
      </w:pPr>
    </w:lvl>
    <w:lvl w:ilvl="3" w:tplc="0C00000F" w:tentative="1">
      <w:start w:val="1"/>
      <w:numFmt w:val="decimal"/>
      <w:lvlText w:val="%4."/>
      <w:lvlJc w:val="left"/>
      <w:pPr>
        <w:ind w:left="3807" w:hanging="360"/>
      </w:pPr>
    </w:lvl>
    <w:lvl w:ilvl="4" w:tplc="0C000019" w:tentative="1">
      <w:start w:val="1"/>
      <w:numFmt w:val="lowerLetter"/>
      <w:lvlText w:val="%5."/>
      <w:lvlJc w:val="left"/>
      <w:pPr>
        <w:ind w:left="4527" w:hanging="360"/>
      </w:pPr>
    </w:lvl>
    <w:lvl w:ilvl="5" w:tplc="0C00001B" w:tentative="1">
      <w:start w:val="1"/>
      <w:numFmt w:val="lowerRoman"/>
      <w:lvlText w:val="%6."/>
      <w:lvlJc w:val="right"/>
      <w:pPr>
        <w:ind w:left="5247" w:hanging="180"/>
      </w:pPr>
    </w:lvl>
    <w:lvl w:ilvl="6" w:tplc="0C00000F" w:tentative="1">
      <w:start w:val="1"/>
      <w:numFmt w:val="decimal"/>
      <w:lvlText w:val="%7."/>
      <w:lvlJc w:val="left"/>
      <w:pPr>
        <w:ind w:left="5967" w:hanging="360"/>
      </w:pPr>
    </w:lvl>
    <w:lvl w:ilvl="7" w:tplc="0C000019" w:tentative="1">
      <w:start w:val="1"/>
      <w:numFmt w:val="lowerLetter"/>
      <w:lvlText w:val="%8."/>
      <w:lvlJc w:val="left"/>
      <w:pPr>
        <w:ind w:left="6687" w:hanging="360"/>
      </w:pPr>
    </w:lvl>
    <w:lvl w:ilvl="8" w:tplc="0C00001B" w:tentative="1">
      <w:start w:val="1"/>
      <w:numFmt w:val="lowerRoman"/>
      <w:lvlText w:val="%9."/>
      <w:lvlJc w:val="right"/>
      <w:pPr>
        <w:ind w:left="7407" w:hanging="180"/>
      </w:pPr>
    </w:lvl>
  </w:abstractNum>
  <w:abstractNum w:abstractNumId="5" w15:restartNumberingAfterBreak="0">
    <w:nsid w:val="11F057C7"/>
    <w:multiLevelType w:val="hybridMultilevel"/>
    <w:tmpl w:val="BDEC8456"/>
    <w:lvl w:ilvl="0" w:tplc="ED5EB622">
      <w:start w:val="1"/>
      <w:numFmt w:val="lowerLetter"/>
      <w:lvlText w:val="%1)"/>
      <w:lvlJc w:val="left"/>
      <w:pPr>
        <w:ind w:left="927" w:hanging="360"/>
      </w:pPr>
      <w:rPr>
        <w:rFonts w:hint="default"/>
      </w:rPr>
    </w:lvl>
    <w:lvl w:ilvl="1" w:tplc="47EA3766">
      <w:start w:val="1"/>
      <w:numFmt w:val="lowerRoman"/>
      <w:lvlText w:val="%2."/>
      <w:lvlJc w:val="left"/>
      <w:pPr>
        <w:ind w:left="2007" w:hanging="720"/>
      </w:pPr>
      <w:rPr>
        <w:rFonts w:hint="default"/>
      </w:r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7B4A272E"/>
    <w:lvl w:ilvl="0" w:tplc="08090017">
      <w:start w:val="1"/>
      <w:numFmt w:val="lowerLetter"/>
      <w:lvlText w:val="%1)"/>
      <w:lvlJc w:val="left"/>
      <w:pPr>
        <w:ind w:left="1003" w:hanging="360"/>
      </w:pPr>
    </w:lvl>
    <w:lvl w:ilvl="1" w:tplc="CF64E692">
      <w:start w:val="1"/>
      <w:numFmt w:val="lowerRoman"/>
      <w:lvlText w:val="%2)"/>
      <w:lvlJc w:val="right"/>
      <w:pPr>
        <w:ind w:left="1647" w:hanging="360"/>
      </w:pPr>
      <w:rPr>
        <w:rFonts w:hint="default"/>
      </w:r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00771"/>
    <w:multiLevelType w:val="hybridMultilevel"/>
    <w:tmpl w:val="D97261F6"/>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B70E3"/>
    <w:multiLevelType w:val="hybridMultilevel"/>
    <w:tmpl w:val="9446B98A"/>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3"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DA7565"/>
    <w:multiLevelType w:val="hybridMultilevel"/>
    <w:tmpl w:val="BE9882C0"/>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69A23F83"/>
    <w:multiLevelType w:val="hybridMultilevel"/>
    <w:tmpl w:val="09F65D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3"/>
  </w:num>
  <w:num w:numId="5" w16cid:durableId="37974177">
    <w:abstractNumId w:val="8"/>
  </w:num>
  <w:num w:numId="6" w16cid:durableId="1958830237">
    <w:abstractNumId w:val="14"/>
  </w:num>
  <w:num w:numId="7" w16cid:durableId="396439182">
    <w:abstractNumId w:val="17"/>
  </w:num>
  <w:num w:numId="8" w16cid:durableId="260603560">
    <w:abstractNumId w:val="11"/>
  </w:num>
  <w:num w:numId="9" w16cid:durableId="1356272424">
    <w:abstractNumId w:val="9"/>
  </w:num>
  <w:num w:numId="10" w16cid:durableId="630594039">
    <w:abstractNumId w:val="21"/>
  </w:num>
  <w:num w:numId="11" w16cid:durableId="2069759870">
    <w:abstractNumId w:val="15"/>
  </w:num>
  <w:num w:numId="12" w16cid:durableId="904724938">
    <w:abstractNumId w:val="18"/>
  </w:num>
  <w:num w:numId="13" w16cid:durableId="2132282296">
    <w:abstractNumId w:val="6"/>
  </w:num>
  <w:num w:numId="14" w16cid:durableId="1141927803">
    <w:abstractNumId w:val="19"/>
  </w:num>
  <w:num w:numId="15"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8002059">
    <w:abstractNumId w:val="16"/>
  </w:num>
  <w:num w:numId="17" w16cid:durableId="1616790160">
    <w:abstractNumId w:val="12"/>
  </w:num>
  <w:num w:numId="18" w16cid:durableId="738023046">
    <w:abstractNumId w:val="5"/>
  </w:num>
  <w:num w:numId="19" w16cid:durableId="735586479">
    <w:abstractNumId w:val="4"/>
  </w:num>
  <w:num w:numId="20" w16cid:durableId="1205143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445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55307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5793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D1E"/>
    <w:rsid w:val="000907CE"/>
    <w:rsid w:val="000E192F"/>
    <w:rsid w:val="000F4BDA"/>
    <w:rsid w:val="00127CCF"/>
    <w:rsid w:val="00154A11"/>
    <w:rsid w:val="00166CB7"/>
    <w:rsid w:val="00172102"/>
    <w:rsid w:val="001722A0"/>
    <w:rsid w:val="00192411"/>
    <w:rsid w:val="001D36D9"/>
    <w:rsid w:val="001D5D3E"/>
    <w:rsid w:val="001E6CDF"/>
    <w:rsid w:val="001E73E0"/>
    <w:rsid w:val="0024152C"/>
    <w:rsid w:val="00256158"/>
    <w:rsid w:val="002A40B8"/>
    <w:rsid w:val="002A5ABE"/>
    <w:rsid w:val="002A733B"/>
    <w:rsid w:val="002B37AA"/>
    <w:rsid w:val="002D2DC3"/>
    <w:rsid w:val="002D5F2A"/>
    <w:rsid w:val="002E0C58"/>
    <w:rsid w:val="002F43C9"/>
    <w:rsid w:val="002F6E00"/>
    <w:rsid w:val="002F7EC2"/>
    <w:rsid w:val="003133A7"/>
    <w:rsid w:val="00323406"/>
    <w:rsid w:val="00325CAD"/>
    <w:rsid w:val="003605DA"/>
    <w:rsid w:val="003E6CC7"/>
    <w:rsid w:val="00410321"/>
    <w:rsid w:val="00430A25"/>
    <w:rsid w:val="0044748F"/>
    <w:rsid w:val="00457C8A"/>
    <w:rsid w:val="00467FD1"/>
    <w:rsid w:val="004C7808"/>
    <w:rsid w:val="004E1372"/>
    <w:rsid w:val="004F7302"/>
    <w:rsid w:val="005330F7"/>
    <w:rsid w:val="00563598"/>
    <w:rsid w:val="005639AB"/>
    <w:rsid w:val="00591364"/>
    <w:rsid w:val="00592262"/>
    <w:rsid w:val="0059243E"/>
    <w:rsid w:val="005C39FC"/>
    <w:rsid w:val="005E7689"/>
    <w:rsid w:val="005F39D5"/>
    <w:rsid w:val="006114FC"/>
    <w:rsid w:val="00642523"/>
    <w:rsid w:val="00646AF0"/>
    <w:rsid w:val="00675168"/>
    <w:rsid w:val="00692310"/>
    <w:rsid w:val="006C2EF5"/>
    <w:rsid w:val="006D3098"/>
    <w:rsid w:val="006F22B0"/>
    <w:rsid w:val="00790422"/>
    <w:rsid w:val="007B53CC"/>
    <w:rsid w:val="007C212E"/>
    <w:rsid w:val="007E5A82"/>
    <w:rsid w:val="00800CB3"/>
    <w:rsid w:val="00810C64"/>
    <w:rsid w:val="00852AB7"/>
    <w:rsid w:val="008B6524"/>
    <w:rsid w:val="008D686F"/>
    <w:rsid w:val="009059D0"/>
    <w:rsid w:val="00934965"/>
    <w:rsid w:val="00943D15"/>
    <w:rsid w:val="009715FD"/>
    <w:rsid w:val="00984FB6"/>
    <w:rsid w:val="009E6416"/>
    <w:rsid w:val="00A218A0"/>
    <w:rsid w:val="00A22CB4"/>
    <w:rsid w:val="00A96EB9"/>
    <w:rsid w:val="00AB3653"/>
    <w:rsid w:val="00AC09AE"/>
    <w:rsid w:val="00AE2013"/>
    <w:rsid w:val="00AE590F"/>
    <w:rsid w:val="00AF04E8"/>
    <w:rsid w:val="00B104EC"/>
    <w:rsid w:val="00B227A3"/>
    <w:rsid w:val="00B40E07"/>
    <w:rsid w:val="00BC5707"/>
    <w:rsid w:val="00BE6C85"/>
    <w:rsid w:val="00BF7838"/>
    <w:rsid w:val="00C22155"/>
    <w:rsid w:val="00C41DAD"/>
    <w:rsid w:val="00C664E8"/>
    <w:rsid w:val="00CD0409"/>
    <w:rsid w:val="00CF660D"/>
    <w:rsid w:val="00D35442"/>
    <w:rsid w:val="00D70275"/>
    <w:rsid w:val="00D83332"/>
    <w:rsid w:val="00D84650"/>
    <w:rsid w:val="00D97AE0"/>
    <w:rsid w:val="00E52DDD"/>
    <w:rsid w:val="00E607BD"/>
    <w:rsid w:val="00E77A9F"/>
    <w:rsid w:val="00E81B4A"/>
    <w:rsid w:val="00EB0DAA"/>
    <w:rsid w:val="00EE04BF"/>
    <w:rsid w:val="00EE1515"/>
    <w:rsid w:val="00EF1D13"/>
    <w:rsid w:val="00F147ED"/>
    <w:rsid w:val="00F30D5A"/>
    <w:rsid w:val="00F973DB"/>
    <w:rsid w:val="00FC061B"/>
    <w:rsid w:val="00FC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642523"/>
    <w:pPr>
      <w:numPr>
        <w:numId w:val="13"/>
      </w:numPr>
      <w:spacing w:after="0" w:line="240" w:lineRule="auto"/>
    </w:pPr>
    <w:rPr>
      <w:lang w:val="en-GB"/>
    </w:rPr>
  </w:style>
  <w:style w:type="character" w:customStyle="1" w:styleId="SecondnumberingChar">
    <w:name w:val="Second numbering Char"/>
    <w:basedOn w:val="DefaultParagraphFont"/>
    <w:link w:val="Secondnumbering"/>
    <w:rsid w:val="00642523"/>
    <w:rPr>
      <w:lang w:val="en-GB"/>
    </w:rPr>
  </w:style>
  <w:style w:type="paragraph" w:styleId="FootnoteText">
    <w:name w:val="footnote text"/>
    <w:basedOn w:val="Normal"/>
    <w:link w:val="FootnoteTextChar"/>
    <w:uiPriority w:val="99"/>
    <w:semiHidden/>
    <w:unhideWhenUsed/>
    <w:rsid w:val="0064252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642523"/>
    <w:rPr>
      <w:sz w:val="20"/>
      <w:szCs w:val="20"/>
      <w:lang w:val="en-GB"/>
    </w:rPr>
  </w:style>
  <w:style w:type="table" w:styleId="TableGrid">
    <w:name w:val="Table Grid"/>
    <w:basedOn w:val="TableNormal"/>
    <w:uiPriority w:val="39"/>
    <w:rsid w:val="00642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E0C58"/>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2E0C58"/>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gratoryspecies.org/en/country/south-georgia-and-south-sandwich-islands"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igratoryspecies.org/en/country/south-georgia-and-south-sandwich-islands"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cms.int/en/document/reducing-risk-vessel-strikes-marine-megafau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cms.int/en/publication/limiting-global-ship-strikes-whale-sharks"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priorities-area-based-conservation-marine-migratory-species"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dn.imo.org/localresources/en/MediaCentre/HotTopics/Documents/674.pdf" TargetMode="External"/><Relationship Id="rId1" Type="http://schemas.openxmlformats.org/officeDocument/2006/relationships/hyperlink" Target="https://archive.iwc.int/pages/view.php?ref=19858&amp;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6566FA73-5CEB-4550-9A78-30C4894DE754}"/>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50</TotalTime>
  <Pages>9</Pages>
  <Words>3138</Words>
  <Characters>17891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43</cp:revision>
  <dcterms:created xsi:type="dcterms:W3CDTF">2025-09-15T11:57:00Z</dcterms:created>
  <dcterms:modified xsi:type="dcterms:W3CDTF">2025-10-10T11:34:00Z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