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006B46" w:rsidRPr="00006B46" w14:paraId="6701884F" w14:textId="77777777" w:rsidTr="00FD1FC8">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23285063" w14:textId="77777777" w:rsidR="00006B46" w:rsidRPr="00EC2A58" w:rsidRDefault="00006B46" w:rsidP="00FD1FC8">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5CA1FF00" wp14:editId="4DC08CB9">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5CA0B1F1" w14:textId="77777777" w:rsidR="00006B46" w:rsidRPr="00EC2A58" w:rsidRDefault="00006B46" w:rsidP="00FD1FC8">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1BD74B70" w14:textId="77777777" w:rsidR="00006B46" w:rsidRPr="00EC2A58" w:rsidRDefault="00006B46" w:rsidP="00FD1FC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2D75B5D8" w14:textId="77777777" w:rsidR="00006B46" w:rsidRPr="00EC2A58" w:rsidRDefault="00006B46"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7CDF51D" w14:textId="77777777" w:rsidR="00006B46" w:rsidRPr="00EC2A58" w:rsidRDefault="00006B46"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5341249D" w14:textId="77777777" w:rsidR="00006B46" w:rsidRPr="00EC2A58" w:rsidRDefault="00006B46"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05267507" w14:textId="47D7F528" w:rsidR="00006B46" w:rsidRPr="00AF3AEC" w:rsidRDefault="00006B46"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5D2C76">
              <w:rPr>
                <w:rFonts w:eastAsia="Arial" w:cs="Arial"/>
                <w:lang w:val="fr-FR"/>
              </w:rPr>
              <w:t>20.2</w:t>
            </w:r>
          </w:p>
          <w:p w14:paraId="2F6446CA" w14:textId="2D2598EF" w:rsidR="00006B46" w:rsidRPr="00AF3AEC" w:rsidRDefault="005D2C76"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20 octobre </w:t>
            </w:r>
            <w:r w:rsidR="00006B46" w:rsidRPr="00AF3AEC">
              <w:rPr>
                <w:rFonts w:eastAsia="Arial" w:cs="Arial"/>
                <w:lang w:val="fr-FR"/>
              </w:rPr>
              <w:t>2025</w:t>
            </w:r>
          </w:p>
          <w:p w14:paraId="34FC8488" w14:textId="77777777" w:rsidR="00006B46" w:rsidRPr="00FC4F18" w:rsidRDefault="00006B46" w:rsidP="00FD1FC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56752461" w14:textId="77777777" w:rsidR="00006B46" w:rsidRPr="00FC4F18" w:rsidRDefault="00006B46" w:rsidP="00FD1FC8">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40D72E31" w14:textId="77777777" w:rsidR="00006B46" w:rsidRPr="00EC2A58" w:rsidRDefault="00006B46" w:rsidP="00006B46">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1A13F26F" w14:textId="77777777" w:rsidR="00006B46" w:rsidRPr="00EC2A58" w:rsidRDefault="00006B46" w:rsidP="00006B46">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0A483DA1" w14:textId="77777777" w:rsidR="00006B46" w:rsidRPr="00EC2A58" w:rsidRDefault="00006B46" w:rsidP="00006B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107110E6" w14:textId="5C0FCF89" w:rsidR="00006B46" w:rsidRPr="00EC2A58" w:rsidRDefault="00006B46" w:rsidP="00006B46">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5D2C76">
        <w:rPr>
          <w:rFonts w:eastAsia="Arial" w:cs="Arial"/>
          <w:iCs/>
          <w:lang w:val="fr-FR"/>
        </w:rPr>
        <w:t>20.2</w:t>
      </w:r>
      <w:r w:rsidRPr="00EC2A58">
        <w:rPr>
          <w:rFonts w:eastAsia="Arial" w:cs="Arial"/>
          <w:iCs/>
          <w:lang w:val="fr-FR"/>
        </w:rPr>
        <w:t xml:space="preserve"> de l’ordre du jour</w:t>
      </w:r>
    </w:p>
    <w:bookmarkEnd w:id="1"/>
    <w:p w14:paraId="159736FD" w14:textId="77777777" w:rsidR="00AF1989" w:rsidRPr="00E34332" w:rsidRDefault="00AF1989">
      <w:pPr>
        <w:widowControl w:val="0"/>
        <w:suppressAutoHyphens/>
        <w:autoSpaceDE w:val="0"/>
        <w:autoSpaceDN w:val="0"/>
        <w:spacing w:after="0" w:line="240" w:lineRule="auto"/>
        <w:textAlignment w:val="baseline"/>
        <w:rPr>
          <w:rFonts w:eastAsia="Times New Roman" w:cs="Arial"/>
          <w:i/>
          <w:iCs/>
          <w:color w:val="000000" w:themeColor="text1"/>
          <w:lang w:val="fr-FR"/>
        </w:rPr>
      </w:pPr>
    </w:p>
    <w:p w14:paraId="65253564"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lang w:val="fr-FR"/>
        </w:rPr>
      </w:pPr>
    </w:p>
    <w:p w14:paraId="5F7E20FB" w14:textId="77777777" w:rsidR="00AF1989" w:rsidRPr="00E34332" w:rsidRDefault="0020159F">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cs="Arial"/>
          <w:b/>
          <w:bCs/>
          <w:color w:val="000000" w:themeColor="text1"/>
          <w:lang w:val="fr-FR"/>
        </w:rPr>
      </w:pPr>
      <w:r w:rsidRPr="00E34332">
        <w:rPr>
          <w:rFonts w:eastAsia="Times New Roman" w:cs="Arial"/>
          <w:b/>
          <w:bCs/>
          <w:color w:val="000000" w:themeColor="text1"/>
          <w:lang w:val="fr-FR"/>
        </w:rPr>
        <w:t>ÉTAT DES ESPÈCES MIGRATRICES DANS LE MONDE : RAPPORT INTÉRIMAIRE (2026)</w:t>
      </w:r>
    </w:p>
    <w:p w14:paraId="04C42D5B" w14:textId="77777777" w:rsidR="00AF1989" w:rsidRPr="00E34332" w:rsidRDefault="0020159F">
      <w:pPr>
        <w:widowControl w:val="0"/>
        <w:suppressAutoHyphens/>
        <w:autoSpaceDE w:val="0"/>
        <w:autoSpaceDN w:val="0"/>
        <w:spacing w:after="0" w:line="240" w:lineRule="auto"/>
        <w:jc w:val="center"/>
        <w:textAlignment w:val="baseline"/>
        <w:rPr>
          <w:rFonts w:cs="Arial"/>
          <w:i/>
          <w:color w:val="000000" w:themeColor="text1"/>
          <w:sz w:val="21"/>
          <w:szCs w:val="21"/>
          <w:lang w:val="fr-FR"/>
        </w:rPr>
      </w:pPr>
      <w:r w:rsidRPr="00E34332">
        <w:rPr>
          <w:rFonts w:eastAsia="Times New Roman" w:cs="Arial"/>
          <w:i/>
          <w:color w:val="000000" w:themeColor="text1"/>
          <w:lang w:val="fr-FR"/>
        </w:rPr>
        <w:t>(Préparé par le Secrétariat)</w:t>
      </w:r>
    </w:p>
    <w:p w14:paraId="750CAC4F" w14:textId="77777777" w:rsidR="00AF1989" w:rsidRPr="00E34332" w:rsidRDefault="00AF1989">
      <w:pPr>
        <w:widowControl w:val="0"/>
        <w:suppressAutoHyphens/>
        <w:autoSpaceDE w:val="0"/>
        <w:autoSpaceDN w:val="0"/>
        <w:spacing w:after="0" w:line="240" w:lineRule="auto"/>
        <w:textAlignment w:val="baseline"/>
        <w:rPr>
          <w:rFonts w:cs="Arial"/>
          <w:i/>
          <w:color w:val="000000" w:themeColor="text1"/>
          <w:sz w:val="21"/>
          <w:szCs w:val="21"/>
          <w:lang w:val="fr-FR"/>
        </w:rPr>
      </w:pPr>
    </w:p>
    <w:p w14:paraId="023B5202" w14:textId="77777777" w:rsidR="00AF1989" w:rsidRPr="00E34332" w:rsidRDefault="00000000">
      <w:pPr>
        <w:widowControl w:val="0"/>
        <w:suppressAutoHyphens/>
        <w:autoSpaceDE w:val="0"/>
        <w:autoSpaceDN w:val="0"/>
        <w:spacing w:after="0" w:line="240" w:lineRule="auto"/>
        <w:textAlignment w:val="baseline"/>
        <w:rPr>
          <w:rFonts w:eastAsia="Calibri" w:cs="Arial"/>
          <w:color w:val="000000" w:themeColor="text1"/>
          <w:lang w:val="fr-FR"/>
        </w:rPr>
      </w:pPr>
      <w:r>
        <w:rPr>
          <w:rFonts w:eastAsia="Times New Roman" w:cs="Arial"/>
          <w:color w:val="000000" w:themeColor="text1"/>
          <w:sz w:val="21"/>
          <w:szCs w:val="21"/>
          <w:lang w:val="fr-FR"/>
        </w:rPr>
        <w:pict w14:anchorId="7AB25AF2">
          <v:shapetype id="_x0000_t202" coordsize="21600,21600" o:spt="202" path="m,l,21600r21600,l21600,xe">
            <v:stroke joinstyle="miter"/>
            <v:path gradientshapeok="t" o:connecttype="rect"/>
          </v:shapetype>
          <v:shape id="Text Box 5" o:spid="_x0000_s2056" type="#_x0000_t202" style="position:absolute;margin-left:64.8pt;margin-top:8.35pt;width:364.5pt;height:142.1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" strokeweight=".08811mm">
            <v:textbox>
              <w:txbxContent>
                <w:p w14:paraId="522FB37D" w14:textId="77777777" w:rsidR="009651D4" w:rsidRPr="009651D4" w:rsidRDefault="009651D4" w:rsidP="009651D4">
                  <w:pPr>
                    <w:shd w:val="clear" w:color="auto" w:fill="FFFFFF"/>
                    <w:spacing w:after="0" w:line="235" w:lineRule="atLeast"/>
                    <w:rPr>
                      <w:rFonts w:eastAsia="Times New Roman" w:cs="Arial"/>
                      <w:color w:val="222222"/>
                      <w:lang w:val="fr-FR" w:eastAsia="fr-FR"/>
                    </w:rPr>
                  </w:pPr>
                  <w:r w:rsidRPr="009651D4">
                    <w:rPr>
                      <w:rFonts w:eastAsia="Times New Roman" w:cs="Arial"/>
                      <w:color w:val="222222"/>
                      <w:lang w:val="fr-FR" w:eastAsia="fr-FR"/>
                    </w:rPr>
                    <w:t>Résumé :</w:t>
                  </w:r>
                </w:p>
                <w:p w14:paraId="0B059177" w14:textId="77777777" w:rsidR="009651D4" w:rsidRPr="009651D4" w:rsidRDefault="009651D4" w:rsidP="009651D4">
                  <w:pPr>
                    <w:shd w:val="clear" w:color="auto" w:fill="FFFFFF"/>
                    <w:spacing w:after="0" w:line="240" w:lineRule="auto"/>
                    <w:jc w:val="both"/>
                    <w:rPr>
                      <w:rFonts w:eastAsia="Times New Roman" w:cs="Arial"/>
                      <w:color w:val="222222"/>
                      <w:lang w:val="fr-FR" w:eastAsia="fr-FR"/>
                    </w:rPr>
                  </w:pPr>
                  <w:r w:rsidRPr="009651D4">
                    <w:rPr>
                      <w:rFonts w:eastAsia="Times New Roman" w:cs="Arial"/>
                      <w:color w:val="222222"/>
                      <w:lang w:val="fr-FR" w:eastAsia="fr-FR"/>
                    </w:rPr>
                    <w:t> </w:t>
                  </w:r>
                </w:p>
                <w:p w14:paraId="6FAA278B" w14:textId="77777777" w:rsidR="009651D4" w:rsidRPr="009651D4" w:rsidRDefault="009651D4" w:rsidP="009651D4">
                  <w:pPr>
                    <w:shd w:val="clear" w:color="auto" w:fill="FFFFFF"/>
                    <w:spacing w:after="0" w:line="240" w:lineRule="auto"/>
                    <w:jc w:val="both"/>
                    <w:rPr>
                      <w:rFonts w:eastAsia="Times New Roman" w:cs="Arial"/>
                      <w:color w:val="222222"/>
                      <w:lang w:val="fr-FR" w:eastAsia="fr-FR"/>
                    </w:rPr>
                  </w:pPr>
                  <w:r w:rsidRPr="009651D4">
                    <w:rPr>
                      <w:rFonts w:eastAsia="Times New Roman" w:cs="Arial"/>
                      <w:color w:val="222222"/>
                      <w:lang w:val="fr-FR" w:eastAsia="fr-FR"/>
                    </w:rPr>
                    <w:t>Le présent document contient le rapport intérimaire sur l’état des espèces migratrices dans le monde : Rapport 2026, élaboré dans le cadre de la mise en œuvre de la décision 14.24 d).</w:t>
                  </w:r>
                </w:p>
                <w:p w14:paraId="6DBBEADE" w14:textId="77777777" w:rsidR="009651D4" w:rsidRPr="009651D4" w:rsidRDefault="009651D4" w:rsidP="009651D4">
                  <w:pPr>
                    <w:shd w:val="clear" w:color="auto" w:fill="FFFFFF"/>
                    <w:spacing w:after="0" w:line="240" w:lineRule="auto"/>
                    <w:jc w:val="both"/>
                    <w:rPr>
                      <w:rFonts w:eastAsia="Times New Roman" w:cs="Arial"/>
                      <w:color w:val="222222"/>
                      <w:lang w:val="fr-FR" w:eastAsia="fr-FR"/>
                    </w:rPr>
                  </w:pPr>
                  <w:r w:rsidRPr="009651D4">
                    <w:rPr>
                      <w:rFonts w:eastAsia="Times New Roman" w:cs="Arial"/>
                      <w:color w:val="222222"/>
                      <w:lang w:val="fr-FR" w:eastAsia="fr-FR"/>
                    </w:rPr>
                    <w:t> </w:t>
                  </w:r>
                </w:p>
                <w:p w14:paraId="5D2E2BBA" w14:textId="77777777" w:rsidR="009651D4" w:rsidRPr="009651D4" w:rsidRDefault="009651D4" w:rsidP="009651D4">
                  <w:pPr>
                    <w:shd w:val="clear" w:color="auto" w:fill="FFFFFF"/>
                    <w:spacing w:after="0" w:line="240" w:lineRule="auto"/>
                    <w:jc w:val="both"/>
                    <w:rPr>
                      <w:rFonts w:eastAsia="Times New Roman" w:cs="Arial"/>
                      <w:color w:val="222222"/>
                      <w:lang w:val="fr-FR" w:eastAsia="fr-FR"/>
                    </w:rPr>
                  </w:pPr>
                  <w:r w:rsidRPr="009651D4">
                    <w:rPr>
                      <w:rFonts w:eastAsia="Times New Roman" w:cs="Arial"/>
                      <w:color w:val="222222"/>
                      <w:lang w:val="fr-FR" w:eastAsia="fr-FR"/>
                    </w:rPr>
                    <w:t>Il complète le document UNEP/CMS/COP15/Doc.20.1 sur le </w:t>
                  </w:r>
                  <w:r w:rsidRPr="009651D4">
                    <w:rPr>
                      <w:rFonts w:eastAsia="Times New Roman" w:cs="Arial"/>
                      <w:i/>
                      <w:iCs/>
                      <w:color w:val="222222"/>
                      <w:lang w:val="fr-FR" w:eastAsia="fr-FR"/>
                    </w:rPr>
                    <w:t>statut de conservation des espèces migratrices</w:t>
                  </w:r>
                  <w:r w:rsidRPr="009651D4">
                    <w:rPr>
                      <w:rFonts w:eastAsia="Times New Roman" w:cs="Arial"/>
                      <w:color w:val="222222"/>
                      <w:lang w:val="fr-FR" w:eastAsia="fr-FR"/>
                    </w:rPr>
                    <w:t>.</w:t>
                  </w:r>
                </w:p>
                <w:p w14:paraId="4F5059C2" w14:textId="77777777" w:rsidR="00AF1989" w:rsidRPr="009651D4" w:rsidRDefault="00AF1989" w:rsidP="009651D4">
                  <w:pPr>
                    <w:rPr>
                      <w:lang w:val="fr-FR"/>
                    </w:rPr>
                  </w:pPr>
                </w:p>
              </w:txbxContent>
            </v:textbox>
          </v:shape>
        </w:pict>
      </w:r>
    </w:p>
    <w:p w14:paraId="38C5BB38"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14AC186F"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29321093"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00B29E5D"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5F7209C9"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34EE401C"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331E3A2E"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29AABF8B"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16830041"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3AAD7F67" w14:textId="77777777" w:rsidR="00AF1989" w:rsidRPr="00E34332" w:rsidRDefault="00AF1989">
      <w:pPr>
        <w:widowControl w:val="0"/>
        <w:suppressAutoHyphens/>
        <w:autoSpaceDE w:val="0"/>
        <w:autoSpaceDN w:val="0"/>
        <w:spacing w:after="0" w:line="240" w:lineRule="auto"/>
        <w:textAlignment w:val="baseline"/>
        <w:rPr>
          <w:rFonts w:eastAsia="Times New Roman" w:cs="Arial"/>
          <w:color w:val="000000" w:themeColor="text1"/>
          <w:sz w:val="21"/>
          <w:szCs w:val="21"/>
          <w:lang w:val="fr-FR"/>
        </w:rPr>
      </w:pPr>
    </w:p>
    <w:p w14:paraId="2CFD5854"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0E32540D"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3BCF3FC7"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18CE92F5"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47E8766D"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3C1420FE"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6B42919A" w14:textId="77777777" w:rsidR="00AF1989" w:rsidRPr="00E34332" w:rsidRDefault="00AF1989">
      <w:pPr>
        <w:widowControl w:val="0"/>
        <w:suppressAutoHyphens/>
        <w:autoSpaceDE w:val="0"/>
        <w:autoSpaceDN w:val="0"/>
        <w:spacing w:after="0" w:line="240" w:lineRule="auto"/>
        <w:textAlignment w:val="baseline"/>
        <w:rPr>
          <w:rFonts w:eastAsia="Times New Roman" w:cs="Arial"/>
          <w:sz w:val="21"/>
          <w:szCs w:val="21"/>
          <w:lang w:val="fr-FR"/>
        </w:rPr>
      </w:pPr>
    </w:p>
    <w:p w14:paraId="73D8BF46" w14:textId="77777777" w:rsidR="00AF1989" w:rsidRPr="00E34332" w:rsidRDefault="00AF1989">
      <w:pPr>
        <w:widowControl w:val="0"/>
        <w:tabs>
          <w:tab w:val="left" w:pos="7245"/>
        </w:tabs>
        <w:suppressAutoHyphens/>
        <w:autoSpaceDE w:val="0"/>
        <w:autoSpaceDN w:val="0"/>
        <w:spacing w:after="0" w:line="240" w:lineRule="auto"/>
        <w:textAlignment w:val="baseline"/>
        <w:rPr>
          <w:rFonts w:eastAsia="Times New Roman" w:cs="Arial"/>
          <w:sz w:val="21"/>
          <w:szCs w:val="21"/>
          <w:lang w:val="fr-FR"/>
        </w:rPr>
      </w:pPr>
    </w:p>
    <w:p w14:paraId="5D2EC3DC" w14:textId="77777777" w:rsidR="00AF1989" w:rsidRPr="00E34332" w:rsidRDefault="00AF1989">
      <w:pPr>
        <w:widowControl w:val="0"/>
        <w:suppressAutoHyphens/>
        <w:autoSpaceDE w:val="0"/>
        <w:autoSpaceDN w:val="0"/>
        <w:spacing w:after="0" w:line="240" w:lineRule="auto"/>
        <w:textAlignment w:val="baseline"/>
        <w:rPr>
          <w:rFonts w:eastAsia="Times New Roman" w:cs="Arial"/>
          <w:lang w:val="fr-FR"/>
        </w:rPr>
      </w:pPr>
    </w:p>
    <w:p w14:paraId="661CAA42" w14:textId="77777777" w:rsidR="00AF1989" w:rsidRPr="00E34332" w:rsidRDefault="00AF1989">
      <w:pPr>
        <w:widowControl w:val="0"/>
        <w:suppressAutoHyphens/>
        <w:autoSpaceDE w:val="0"/>
        <w:autoSpaceDN w:val="0"/>
        <w:spacing w:after="0" w:line="240" w:lineRule="auto"/>
        <w:textAlignment w:val="baseline"/>
        <w:rPr>
          <w:rFonts w:eastAsia="Times New Roman" w:cs="Arial"/>
          <w:lang w:val="fr-FR"/>
        </w:rPr>
      </w:pPr>
    </w:p>
    <w:p w14:paraId="74BC8FEC" w14:textId="77777777" w:rsidR="00AF1989" w:rsidRPr="00E34332" w:rsidRDefault="00AF1989">
      <w:pPr>
        <w:spacing w:after="0" w:line="240" w:lineRule="auto"/>
        <w:rPr>
          <w:rFonts w:cs="Arial"/>
          <w:lang w:val="fr-FR"/>
        </w:rPr>
      </w:pPr>
    </w:p>
    <w:p w14:paraId="00EA4ACC" w14:textId="77777777" w:rsidR="00AF1989" w:rsidRPr="00E34332" w:rsidRDefault="00AF1989">
      <w:pPr>
        <w:spacing w:after="0" w:line="240" w:lineRule="auto"/>
        <w:rPr>
          <w:rFonts w:cs="Arial"/>
          <w:lang w:val="fr-FR"/>
        </w:rPr>
      </w:pPr>
    </w:p>
    <w:p w14:paraId="3744238A" w14:textId="77777777" w:rsidR="00AF1989" w:rsidRPr="00E34332" w:rsidRDefault="00AF1989">
      <w:pPr>
        <w:spacing w:after="0" w:line="240" w:lineRule="auto"/>
        <w:rPr>
          <w:rFonts w:cs="Arial"/>
          <w:lang w:val="fr-FR"/>
        </w:rPr>
      </w:pPr>
    </w:p>
    <w:p w14:paraId="4C143E26" w14:textId="77777777" w:rsidR="00AF1989" w:rsidRPr="00E34332" w:rsidRDefault="00AF1989">
      <w:pPr>
        <w:spacing w:after="0" w:line="240" w:lineRule="auto"/>
        <w:rPr>
          <w:rFonts w:cs="Arial"/>
          <w:lang w:val="fr-FR"/>
        </w:rPr>
      </w:pPr>
    </w:p>
    <w:p w14:paraId="3FA11504" w14:textId="77777777" w:rsidR="00AF1989" w:rsidRPr="00E34332" w:rsidRDefault="00AF1989">
      <w:pPr>
        <w:spacing w:after="0" w:line="240" w:lineRule="auto"/>
        <w:rPr>
          <w:rFonts w:cs="Arial"/>
          <w:lang w:val="fr-FR"/>
        </w:rPr>
        <w:sectPr w:rsidR="00AF1989" w:rsidRPr="00E34332">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pgNumType w:start="2"/>
          <w:cols w:space="720"/>
          <w:titlePg/>
          <w:docGrid w:linePitch="360"/>
        </w:sectPr>
      </w:pPr>
    </w:p>
    <w:p w14:paraId="21B012CC" w14:textId="77777777" w:rsidR="00AF1989" w:rsidRPr="00E34332" w:rsidRDefault="0020159F">
      <w:pPr>
        <w:spacing w:line="256" w:lineRule="auto"/>
        <w:rPr>
          <w:rFonts w:ascii="Roboto" w:eastAsia="Calibri" w:hAnsi="Roboto" w:cs="Arial"/>
          <w:b/>
          <w:bCs/>
          <w:kern w:val="2"/>
          <w:sz w:val="24"/>
          <w:szCs w:val="24"/>
          <w:lang w:val="fr-FR"/>
        </w:rPr>
      </w:pPr>
      <w:r w:rsidRPr="00E34332">
        <w:rPr>
          <w:rFonts w:ascii="Calibri" w:eastAsia="Calibri" w:hAnsi="Calibri" w:cs="Arial"/>
          <w:noProof/>
          <w:kern w:val="2"/>
          <w:lang w:val="fr-FR" w:eastAsia="fr-FR"/>
        </w:rPr>
        <w:lastRenderedPageBreak/>
        <w:drawing>
          <wp:anchor distT="0" distB="0" distL="114300" distR="114300" simplePos="0" relativeHeight="251650560" behindDoc="1" locked="0" layoutInCell="1" allowOverlap="1" wp14:anchorId="2757FF09" wp14:editId="75DFBF54">
            <wp:simplePos x="0" y="0"/>
            <wp:positionH relativeFrom="page">
              <wp:posOffset>-240973</wp:posOffset>
            </wp:positionH>
            <wp:positionV relativeFrom="paragraph">
              <wp:posOffset>-785062</wp:posOffset>
            </wp:positionV>
            <wp:extent cx="7680960" cy="11522710"/>
            <wp:effectExtent l="0" t="0" r="0" b="2540"/>
            <wp:wrapNone/>
            <wp:docPr id="48" name="Picture 14" descr="A leopard sitt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leopard sitting in gra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80960" cy="11522710"/>
                    </a:xfrm>
                    <a:prstGeom prst="rect">
                      <a:avLst/>
                    </a:prstGeom>
                    <a:noFill/>
                  </pic:spPr>
                </pic:pic>
              </a:graphicData>
            </a:graphic>
          </wp:anchor>
        </w:drawing>
      </w:r>
      <w:r w:rsidR="00000000">
        <w:rPr>
          <w:rFonts w:ascii="Calibri" w:eastAsia="Calibri" w:hAnsi="Calibri" w:cs="Arial"/>
          <w:kern w:val="2"/>
          <w:lang w:val="fr-FR"/>
        </w:rPr>
        <w:pict w14:anchorId="23BBE929">
          <v:shape id="Text Box 2" o:spid="_x0000_s2055" type="#_x0000_t202" style="position:absolute;margin-left:0;margin-top:12.55pt;width:507pt;height:71.1pt;z-index:251661824;visibility:visible;mso-height-percent:200;mso-wrap-distance-top:3.6pt;mso-wrap-distance-bottom:3.6pt;mso-position-horizontal:center;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" filled="f" stroked="f">
            <v:textbox style="mso-fit-shape-to-text:t">
              <w:txbxContent>
                <w:p w14:paraId="3179EE59" w14:textId="7927DA22" w:rsidR="00AF1989" w:rsidRPr="00326FD4" w:rsidRDefault="00326FD4">
                  <w:pPr>
                    <w:spacing w:after="0"/>
                    <w:rPr>
                      <w:rFonts w:ascii="Lato" w:hAnsi="Lato"/>
                      <w:b/>
                      <w:bCs/>
                      <w:color w:val="FFFFFF"/>
                      <w:sz w:val="48"/>
                      <w:szCs w:val="48"/>
                      <w:lang w:val="fr-FR"/>
                    </w:rPr>
                  </w:pPr>
                  <w:r w:rsidRPr="00326FD4">
                    <w:rPr>
                      <w:rFonts w:ascii="Lato" w:hAnsi="Lato"/>
                      <w:b/>
                      <w:bCs/>
                      <w:color w:val="FFFFFF"/>
                      <w:sz w:val="48"/>
                      <w:szCs w:val="48"/>
                      <w:lang w:val="fr-FR"/>
                    </w:rPr>
                    <w:t>État des espèces migratrices dans le monde</w:t>
                  </w:r>
                  <w:r w:rsidR="0020159F" w:rsidRPr="00326FD4">
                    <w:rPr>
                      <w:rFonts w:ascii="Lato" w:hAnsi="Lato"/>
                      <w:b/>
                      <w:bCs/>
                      <w:color w:val="FFFFFF"/>
                      <w:sz w:val="48"/>
                      <w:szCs w:val="48"/>
                      <w:lang w:val="fr-FR"/>
                    </w:rPr>
                    <w:t>:</w:t>
                  </w:r>
                </w:p>
                <w:p w14:paraId="2DB9A14D" w14:textId="5EAE94C0" w:rsidR="00AF1989" w:rsidRDefault="0020159F">
                  <w:pPr>
                    <w:spacing w:after="0"/>
                    <w:rPr>
                      <w:rFonts w:ascii="Lato" w:hAnsi="Lato"/>
                      <w:b/>
                      <w:color w:val="FFFFFF"/>
                      <w:sz w:val="48"/>
                      <w:szCs w:val="48"/>
                    </w:rPr>
                  </w:pPr>
                  <w:r>
                    <w:rPr>
                      <w:rFonts w:ascii="Lato" w:hAnsi="Lato"/>
                      <w:b/>
                      <w:bCs/>
                      <w:color w:val="FFFFFF"/>
                      <w:sz w:val="48"/>
                      <w:szCs w:val="48"/>
                    </w:rPr>
                    <w:t>R</w:t>
                  </w:r>
                  <w:r w:rsidR="00326FD4">
                    <w:rPr>
                      <w:rFonts w:ascii="Lato" w:hAnsi="Lato"/>
                      <w:b/>
                      <w:bCs/>
                      <w:color w:val="FFFFFF"/>
                      <w:sz w:val="48"/>
                      <w:szCs w:val="48"/>
                    </w:rPr>
                    <w:t>ap</w:t>
                  </w:r>
                  <w:r>
                    <w:rPr>
                      <w:rFonts w:ascii="Lato" w:hAnsi="Lato"/>
                      <w:b/>
                      <w:bCs/>
                      <w:color w:val="FFFFFF"/>
                      <w:sz w:val="48"/>
                      <w:szCs w:val="48"/>
                    </w:rPr>
                    <w:t>port</w:t>
                  </w:r>
                  <w:r w:rsidR="00326FD4" w:rsidRPr="00326FD4">
                    <w:rPr>
                      <w:rFonts w:ascii="Lato" w:hAnsi="Lato"/>
                      <w:b/>
                      <w:bCs/>
                      <w:color w:val="FFFFFF"/>
                      <w:sz w:val="48"/>
                      <w:szCs w:val="48"/>
                    </w:rPr>
                    <w:t xml:space="preserve"> </w:t>
                  </w:r>
                  <w:proofErr w:type="spellStart"/>
                  <w:r w:rsidR="00326FD4">
                    <w:rPr>
                      <w:rFonts w:ascii="Lato" w:hAnsi="Lato"/>
                      <w:b/>
                      <w:bCs/>
                      <w:color w:val="FFFFFF"/>
                      <w:sz w:val="48"/>
                      <w:szCs w:val="48"/>
                    </w:rPr>
                    <w:t>i</w:t>
                  </w:r>
                  <w:r w:rsidR="00326FD4">
                    <w:rPr>
                      <w:rFonts w:ascii="Lato" w:hAnsi="Lato"/>
                      <w:b/>
                      <w:bCs/>
                      <w:color w:val="FFFFFF"/>
                      <w:sz w:val="48"/>
                      <w:szCs w:val="48"/>
                    </w:rPr>
                    <w:t>nt</w:t>
                  </w:r>
                  <w:r w:rsidR="00326FD4">
                    <w:rPr>
                      <w:rFonts w:ascii="Lato" w:hAnsi="Lato"/>
                      <w:b/>
                      <w:bCs/>
                      <w:color w:val="FFFFFF"/>
                      <w:sz w:val="48"/>
                      <w:szCs w:val="48"/>
                    </w:rPr>
                    <w:t>é</w:t>
                  </w:r>
                  <w:r w:rsidR="00326FD4">
                    <w:rPr>
                      <w:rFonts w:ascii="Lato" w:hAnsi="Lato"/>
                      <w:b/>
                      <w:bCs/>
                      <w:color w:val="FFFFFF"/>
                      <w:sz w:val="48"/>
                      <w:szCs w:val="48"/>
                    </w:rPr>
                    <w:t>rim</w:t>
                  </w:r>
                  <w:r w:rsidR="00326FD4">
                    <w:rPr>
                      <w:rFonts w:ascii="Lato" w:hAnsi="Lato"/>
                      <w:b/>
                      <w:bCs/>
                      <w:color w:val="FFFFFF"/>
                      <w:sz w:val="48"/>
                      <w:szCs w:val="48"/>
                    </w:rPr>
                    <w:t>aire</w:t>
                  </w:r>
                  <w:proofErr w:type="spellEnd"/>
                  <w:r>
                    <w:rPr>
                      <w:rFonts w:ascii="Lato" w:hAnsi="Lato"/>
                      <w:b/>
                      <w:bCs/>
                      <w:color w:val="FFFFFF"/>
                      <w:sz w:val="48"/>
                      <w:szCs w:val="48"/>
                    </w:rPr>
                    <w:t xml:space="preserve"> (2026) </w:t>
                  </w:r>
                </w:p>
              </w:txbxContent>
            </v:textbox>
            <w10:wrap type="square" anchorx="margin"/>
          </v:shape>
        </w:pict>
      </w:r>
    </w:p>
    <w:p w14:paraId="7ACDD580" w14:textId="77777777" w:rsidR="00AF1989" w:rsidRPr="00E34332" w:rsidRDefault="00000000">
      <w:pPr>
        <w:spacing w:line="256" w:lineRule="auto"/>
        <w:rPr>
          <w:rFonts w:ascii="Roboto" w:eastAsia="Calibri" w:hAnsi="Roboto" w:cs="Arial"/>
          <w:b/>
          <w:bCs/>
          <w:kern w:val="2"/>
          <w:sz w:val="24"/>
          <w:szCs w:val="24"/>
          <w:lang w:val="fr-FR"/>
        </w:rPr>
      </w:pPr>
      <w:r w:rsidRPr="00326FD4">
        <w:rPr>
          <w:rFonts w:ascii="Calibri" w:eastAsia="Calibri" w:hAnsi="Calibri" w:cs="Arial"/>
          <w:color w:val="FFFFFF" w:themeColor="background1"/>
          <w:kern w:val="2"/>
          <w:lang w:val="fr-FR"/>
        </w:rPr>
        <w:pict w14:anchorId="7AEC963E">
          <v:rect id="Rectangle 6" o:spid="_x0000_s2054" style="position:absolute;margin-left:0;margin-top:475pt;width:594pt;height:93.75pt;z-index:251663872;visibility:visible;mso-position-horizontal-relative:page;mso-width-relative:margin;v-text-anchor:middle" wrapcoords="-27 0 -27 21427 21600 21427 21600 0 -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" fillcolor="windowText" stroked="f" strokeweight="1pt">
            <v:fill opacity="52428f"/>
            <w10:wrap type="through" anchorx="page"/>
          </v:rect>
        </w:pict>
      </w:r>
      <w:r w:rsidR="0020159F" w:rsidRPr="00E34332">
        <w:rPr>
          <w:rFonts w:ascii="Calibri" w:eastAsia="Calibri" w:hAnsi="Calibri" w:cs="Arial"/>
          <w:noProof/>
          <w:kern w:val="2"/>
          <w:lang w:val="fr-FR" w:eastAsia="fr-FR"/>
        </w:rPr>
        <w:drawing>
          <wp:anchor distT="0" distB="0" distL="114300" distR="114300" simplePos="0" relativeHeight="251654656" behindDoc="0" locked="1" layoutInCell="1" allowOverlap="1" wp14:anchorId="614CCC3F" wp14:editId="7F8DEE33">
            <wp:simplePos x="0" y="0"/>
            <wp:positionH relativeFrom="margin">
              <wp:posOffset>662940</wp:posOffset>
            </wp:positionH>
            <wp:positionV relativeFrom="paragraph">
              <wp:posOffset>6227445</wp:posOffset>
            </wp:positionV>
            <wp:extent cx="2545080" cy="744220"/>
            <wp:effectExtent l="0" t="0" r="7620" b="0"/>
            <wp:wrapSquare wrapText="bothSides"/>
            <wp:docPr id="50" name="Picture 132854916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328549162"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5080" cy="744220"/>
                    </a:xfrm>
                    <a:prstGeom prst="rect">
                      <a:avLst/>
                    </a:prstGeom>
                    <a:noFill/>
                  </pic:spPr>
                </pic:pic>
              </a:graphicData>
            </a:graphic>
          </wp:anchor>
        </w:drawing>
      </w:r>
      <w:r w:rsidR="0020159F" w:rsidRPr="00E34332">
        <w:rPr>
          <w:rFonts w:ascii="Calibri" w:eastAsia="Calibri" w:hAnsi="Calibri" w:cs="Arial"/>
          <w:noProof/>
          <w:kern w:val="2"/>
          <w:lang w:val="fr-FR" w:eastAsia="fr-FR"/>
        </w:rPr>
        <w:drawing>
          <wp:anchor distT="0" distB="0" distL="114300" distR="114300" simplePos="0" relativeHeight="251655680" behindDoc="0" locked="1" layoutInCell="1" allowOverlap="1" wp14:anchorId="0F08A985" wp14:editId="5A5C048B">
            <wp:simplePos x="0" y="0"/>
            <wp:positionH relativeFrom="margin">
              <wp:posOffset>-353060</wp:posOffset>
            </wp:positionH>
            <wp:positionV relativeFrom="paragraph">
              <wp:posOffset>6208395</wp:posOffset>
            </wp:positionV>
            <wp:extent cx="557530" cy="784225"/>
            <wp:effectExtent l="0" t="0" r="0" b="0"/>
            <wp:wrapThrough wrapText="bothSides">
              <wp:wrapPolygon edited="0">
                <wp:start x="4428" y="0"/>
                <wp:lineTo x="0" y="3148"/>
                <wp:lineTo x="0" y="20988"/>
                <wp:lineTo x="20665" y="20988"/>
                <wp:lineTo x="20665" y="3148"/>
                <wp:lineTo x="16237" y="0"/>
                <wp:lineTo x="4428" y="0"/>
              </wp:wrapPolygon>
            </wp:wrapThrough>
            <wp:docPr id="51" name="Picture 13285491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549170" descr="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530" cy="784225"/>
                    </a:xfrm>
                    <a:prstGeom prst="rect">
                      <a:avLst/>
                    </a:prstGeom>
                    <a:noFill/>
                  </pic:spPr>
                </pic:pic>
              </a:graphicData>
            </a:graphic>
          </wp:anchor>
        </w:drawing>
      </w:r>
    </w:p>
    <w:p w14:paraId="458494F3" w14:textId="77777777" w:rsidR="00AF1989" w:rsidRPr="00E34332" w:rsidRDefault="00AF1989">
      <w:pPr>
        <w:spacing w:after="0" w:line="256" w:lineRule="auto"/>
        <w:rPr>
          <w:rFonts w:ascii="Roboto" w:eastAsia="Calibri" w:hAnsi="Roboto" w:cs="Arial"/>
          <w:b/>
          <w:bCs/>
          <w:sz w:val="24"/>
          <w:szCs w:val="24"/>
          <w:lang w:val="fr-FR"/>
        </w:rPr>
        <w:sectPr w:rsidR="00AF1989" w:rsidRPr="00E34332">
          <w:headerReference w:type="default" r:id="rId21"/>
          <w:pgSz w:w="11906" w:h="16838"/>
          <w:pgMar w:top="1440" w:right="1440" w:bottom="1440" w:left="1440" w:header="708" w:footer="708" w:gutter="0"/>
          <w:pgNumType w:fmt="lowerRoman"/>
          <w:cols w:space="720"/>
        </w:sectPr>
      </w:pPr>
    </w:p>
    <w:p w14:paraId="0A52F517" w14:textId="77777777" w:rsidR="00AF1989" w:rsidRPr="00E34332" w:rsidRDefault="0020159F">
      <w:pPr>
        <w:spacing w:line="256" w:lineRule="auto"/>
        <w:rPr>
          <w:rFonts w:ascii="Roboto" w:eastAsia="Calibri" w:hAnsi="Roboto" w:cs="Arial"/>
          <w:b/>
          <w:bCs/>
          <w:kern w:val="2"/>
          <w:sz w:val="24"/>
          <w:szCs w:val="24"/>
          <w:lang w:val="fr-FR"/>
        </w:rPr>
      </w:pPr>
      <w:r w:rsidRPr="00E34332">
        <w:rPr>
          <w:rFonts w:ascii="Calibri" w:eastAsia="Calibri" w:hAnsi="Calibri" w:cs="Arial"/>
          <w:noProof/>
          <w:kern w:val="2"/>
          <w:lang w:val="fr-FR" w:eastAsia="fr-FR"/>
        </w:rPr>
        <w:lastRenderedPageBreak/>
        <w:drawing>
          <wp:anchor distT="0" distB="0" distL="114300" distR="114300" simplePos="0" relativeHeight="251651584" behindDoc="1" locked="0" layoutInCell="1" allowOverlap="1" wp14:anchorId="17272F4D" wp14:editId="554E588A">
            <wp:simplePos x="0" y="0"/>
            <wp:positionH relativeFrom="page">
              <wp:posOffset>-2957830</wp:posOffset>
            </wp:positionH>
            <wp:positionV relativeFrom="paragraph">
              <wp:posOffset>-721021</wp:posOffset>
            </wp:positionV>
            <wp:extent cx="16108045" cy="10740390"/>
            <wp:effectExtent l="0" t="0" r="8255" b="3810"/>
            <wp:wrapNone/>
            <wp:docPr id="36" name="Picture 2" descr="A group of 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fish in the wa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8045" cy="10740390"/>
                    </a:xfrm>
                    <a:prstGeom prst="rect">
                      <a:avLst/>
                    </a:prstGeom>
                    <a:noFill/>
                  </pic:spPr>
                </pic:pic>
              </a:graphicData>
            </a:graphic>
          </wp:anchor>
        </w:drawing>
      </w:r>
    </w:p>
    <w:p w14:paraId="2B91196C" w14:textId="77777777" w:rsidR="00AF1989" w:rsidRPr="00E34332" w:rsidRDefault="0020159F">
      <w:pPr>
        <w:spacing w:line="256" w:lineRule="auto"/>
        <w:rPr>
          <w:rFonts w:ascii="Roboto" w:eastAsia="Calibri" w:hAnsi="Roboto" w:cs="Arial"/>
          <w:b/>
          <w:bCs/>
          <w:kern w:val="2"/>
          <w:sz w:val="24"/>
          <w:szCs w:val="24"/>
          <w:lang w:val="fr-FR"/>
        </w:rPr>
      </w:pPr>
      <w:r w:rsidRPr="00E34332">
        <w:rPr>
          <w:rFonts w:ascii="Roboto" w:eastAsia="Calibri" w:hAnsi="Roboto" w:cs="Arial"/>
          <w:b/>
          <w:bCs/>
          <w:color w:val="FFFFFF"/>
          <w:kern w:val="2"/>
          <w:sz w:val="18"/>
          <w:szCs w:val="18"/>
          <w:lang w:val="fr-FR"/>
        </w:rPr>
        <w:t>État des espèces migratrices dans le monde : Rapport intérimaire (2026)</w:t>
      </w:r>
    </w:p>
    <w:p w14:paraId="78890232"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b/>
          <w:bCs/>
          <w:color w:val="FFFFFF"/>
          <w:kern w:val="2"/>
          <w:sz w:val="18"/>
          <w:szCs w:val="18"/>
          <w:lang w:val="fr-FR"/>
        </w:rPr>
        <w:t xml:space="preserve">Préparé pour : </w:t>
      </w:r>
      <w:r w:rsidRPr="00E34332">
        <w:rPr>
          <w:rFonts w:ascii="Roboto" w:eastAsia="Calibri" w:hAnsi="Roboto" w:cs="Arial"/>
          <w:color w:val="FFFFFF"/>
          <w:kern w:val="2"/>
          <w:sz w:val="18"/>
          <w:szCs w:val="18"/>
          <w:lang w:val="fr-FR"/>
        </w:rPr>
        <w:t>Le Secrétariat de la Convention sur la conservation des espèces migratrices appartenant à la faune sauvage (CMS).</w:t>
      </w:r>
    </w:p>
    <w:p w14:paraId="3B2640AF"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b/>
          <w:bCs/>
          <w:color w:val="FFFFFF"/>
          <w:kern w:val="2"/>
          <w:sz w:val="18"/>
          <w:szCs w:val="18"/>
          <w:lang w:val="fr-FR"/>
        </w:rPr>
        <w:t>Droit d'auteur :</w:t>
      </w:r>
      <w:r w:rsidRPr="00E34332">
        <w:rPr>
          <w:rFonts w:ascii="Roboto" w:eastAsia="Calibri" w:hAnsi="Roboto" w:cs="Arial"/>
          <w:color w:val="FFFFFF"/>
          <w:kern w:val="2"/>
          <w:sz w:val="18"/>
          <w:szCs w:val="18"/>
          <w:lang w:val="fr-FR"/>
        </w:rPr>
        <w:t xml:space="preserve"> © 2026 Convention sur la conservation des espèces migratrices appartenant à la faune sauvage.</w:t>
      </w:r>
    </w:p>
    <w:p w14:paraId="458C519D"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b/>
          <w:bCs/>
          <w:color w:val="FFFFFF"/>
          <w:kern w:val="2"/>
          <w:sz w:val="18"/>
          <w:szCs w:val="18"/>
          <w:lang w:val="fr-FR"/>
        </w:rPr>
        <w:t>Référence :</w:t>
      </w:r>
      <w:r w:rsidRPr="00E34332">
        <w:rPr>
          <w:rFonts w:ascii="Roboto" w:eastAsia="Calibri" w:hAnsi="Roboto" w:cs="Arial"/>
          <w:color w:val="FFFFFF"/>
          <w:kern w:val="2"/>
          <w:sz w:val="18"/>
          <w:szCs w:val="18"/>
          <w:lang w:val="fr-FR"/>
        </w:rPr>
        <w:t xml:space="preserve"> PNUE-WCMC, 2026. État des espèces migratrices dans le monde : Rapport intérimaire (2026). PNUE-WCMC, Cambridge, Royaume-Uni.</w:t>
      </w:r>
    </w:p>
    <w:p w14:paraId="3323DE49" w14:textId="77777777" w:rsidR="00AF1989" w:rsidRPr="00E34332" w:rsidRDefault="00000000">
      <w:pPr>
        <w:spacing w:line="256" w:lineRule="auto"/>
        <w:rPr>
          <w:rFonts w:ascii="Roboto" w:eastAsia="Calibri" w:hAnsi="Roboto" w:cs="Arial"/>
          <w:color w:val="FFFFFF"/>
          <w:kern w:val="2"/>
          <w:sz w:val="18"/>
          <w:szCs w:val="18"/>
          <w:lang w:val="fr-FR"/>
        </w:rPr>
      </w:pPr>
      <w:r>
        <w:rPr>
          <w:rFonts w:ascii="Calibri" w:eastAsia="Calibri" w:hAnsi="Calibri" w:cs="Arial"/>
          <w:kern w:val="2"/>
          <w:lang w:val="fr-FR"/>
        </w:rPr>
        <w:pict w14:anchorId="39A78F7C">
          <v:rect id="Rectangle 1" o:spid="_x0000_s2053" style="position:absolute;margin-left:-18.8pt;margin-top:14.65pt;width:503.5pt;height:739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" fillcolor="#0281ab" stroked="f" strokeweight="1pt">
            <v:fill opacity="32896f"/>
          </v:rect>
        </w:pict>
      </w:r>
      <w:r w:rsidR="0020159F" w:rsidRPr="00E34332">
        <w:rPr>
          <w:rFonts w:ascii="Roboto" w:eastAsia="Calibri" w:hAnsi="Roboto" w:cs="Arial"/>
          <w:b/>
          <w:bCs/>
          <w:color w:val="FFFFFF"/>
          <w:kern w:val="2"/>
          <w:sz w:val="18"/>
          <w:szCs w:val="18"/>
          <w:lang w:val="fr-FR"/>
        </w:rPr>
        <w:t>Auteurs :</w:t>
      </w:r>
      <w:r w:rsidR="0020159F" w:rsidRPr="00E34332">
        <w:rPr>
          <w:rFonts w:ascii="Roboto" w:eastAsia="Calibri" w:hAnsi="Roboto" w:cs="Arial"/>
          <w:color w:val="FFFFFF"/>
          <w:kern w:val="2"/>
          <w:sz w:val="18"/>
          <w:szCs w:val="18"/>
          <w:lang w:val="fr-FR"/>
        </w:rPr>
        <w:t xml:space="preserve"> Andrew </w:t>
      </w:r>
      <w:proofErr w:type="spellStart"/>
      <w:r w:rsidR="0020159F" w:rsidRPr="00E34332">
        <w:rPr>
          <w:rFonts w:ascii="Roboto" w:eastAsia="Calibri" w:hAnsi="Roboto" w:cs="Arial"/>
          <w:color w:val="FFFFFF"/>
          <w:kern w:val="2"/>
          <w:sz w:val="18"/>
          <w:szCs w:val="18"/>
          <w:lang w:val="fr-FR"/>
        </w:rPr>
        <w:t>Szopa-Comley</w:t>
      </w:r>
      <w:proofErr w:type="spellEnd"/>
      <w:r w:rsidR="0020159F" w:rsidRPr="00E34332">
        <w:rPr>
          <w:rFonts w:ascii="Roboto" w:eastAsia="Calibri" w:hAnsi="Roboto" w:cs="Arial"/>
          <w:color w:val="FFFFFF"/>
          <w:kern w:val="2"/>
          <w:sz w:val="18"/>
          <w:szCs w:val="18"/>
          <w:lang w:val="fr-FR"/>
        </w:rPr>
        <w:t>, Frances Davis et Kelly Malsch.</w:t>
      </w:r>
    </w:p>
    <w:p w14:paraId="02135FBB"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b/>
          <w:bCs/>
          <w:color w:val="FFFFFF"/>
          <w:kern w:val="2"/>
          <w:sz w:val="18"/>
          <w:szCs w:val="18"/>
          <w:lang w:val="fr-FR"/>
        </w:rPr>
        <w:t>Remerciements :</w:t>
      </w:r>
      <w:r w:rsidRPr="00E34332">
        <w:rPr>
          <w:rFonts w:ascii="Roboto" w:eastAsia="Calibri" w:hAnsi="Roboto" w:cs="Arial"/>
          <w:color w:val="FFFFFF"/>
          <w:kern w:val="2"/>
          <w:sz w:val="18"/>
          <w:szCs w:val="18"/>
          <w:lang w:val="fr-FR"/>
        </w:rPr>
        <w:t xml:space="preserve"> ce rapport a été rendu possible grâce aux généreuses contributions financières du Fonds Arcadia.</w:t>
      </w:r>
    </w:p>
    <w:p w14:paraId="3C4C27CE" w14:textId="77777777" w:rsidR="00AF1989" w:rsidRPr="00E34332" w:rsidRDefault="0020159F">
      <w:pPr>
        <w:spacing w:line="240"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 xml:space="preserve">Le PNUE-WCMC souhaite également exprimer ses sincères remerciements à ses collègues du Secrétariat de la CMS et aux membres du groupe de travail de la CMS sur l'état des espèces migratrices dans le monde pour leur contribution d'expert et leur relecture. Le PNUE-WCMC tient également à remercier sincèrement les organisations suivantes pour leurs précieuses contributions au rapport : </w:t>
      </w:r>
      <w:proofErr w:type="spellStart"/>
      <w:r w:rsidRPr="00E34332">
        <w:rPr>
          <w:rFonts w:ascii="Roboto" w:eastAsia="Calibri" w:hAnsi="Roboto" w:cs="Arial"/>
          <w:color w:val="FFFFFF"/>
          <w:kern w:val="2"/>
          <w:sz w:val="18"/>
          <w:szCs w:val="18"/>
          <w:lang w:val="fr-FR"/>
        </w:rPr>
        <w:t>BirdLife</w:t>
      </w:r>
      <w:proofErr w:type="spellEnd"/>
      <w:r w:rsidRPr="00E34332">
        <w:rPr>
          <w:rFonts w:ascii="Roboto" w:eastAsia="Calibri" w:hAnsi="Roboto" w:cs="Arial"/>
          <w:color w:val="FFFFFF"/>
          <w:kern w:val="2"/>
          <w:sz w:val="18"/>
          <w:szCs w:val="18"/>
          <w:lang w:val="fr-FR"/>
        </w:rPr>
        <w:t xml:space="preserve"> International pour son analyse des zones clés pour la biodiversité des espèces inscrites à la CMS ; ainsi que l'Initiative mondiale sur la migration des ongulés (GIUM), la connectivité migratoire dans l'océan (</w:t>
      </w:r>
      <w:proofErr w:type="spellStart"/>
      <w:r w:rsidRPr="00E34332">
        <w:rPr>
          <w:rFonts w:ascii="Roboto" w:eastAsia="Calibri" w:hAnsi="Roboto" w:cs="Arial"/>
          <w:color w:val="FFFFFF"/>
          <w:kern w:val="2"/>
          <w:sz w:val="18"/>
          <w:szCs w:val="18"/>
          <w:lang w:val="fr-FR"/>
        </w:rPr>
        <w:t>MiCO</w:t>
      </w:r>
      <w:proofErr w:type="spellEnd"/>
      <w:r w:rsidRPr="00E34332">
        <w:rPr>
          <w:rFonts w:ascii="Roboto" w:eastAsia="Calibri" w:hAnsi="Roboto" w:cs="Arial"/>
          <w:color w:val="FFFFFF"/>
          <w:kern w:val="2"/>
          <w:sz w:val="18"/>
          <w:szCs w:val="18"/>
          <w:lang w:val="fr-FR"/>
        </w:rPr>
        <w:t xml:space="preserve">) et </w:t>
      </w:r>
      <w:proofErr w:type="spellStart"/>
      <w:r w:rsidRPr="00E34332">
        <w:rPr>
          <w:rFonts w:ascii="Roboto" w:eastAsia="Calibri" w:hAnsi="Roboto" w:cs="Arial"/>
          <w:color w:val="FFFFFF"/>
          <w:kern w:val="2"/>
          <w:sz w:val="18"/>
          <w:szCs w:val="18"/>
          <w:lang w:val="fr-FR"/>
        </w:rPr>
        <w:t>BirdLife</w:t>
      </w:r>
      <w:proofErr w:type="spellEnd"/>
      <w:r w:rsidRPr="00E34332">
        <w:rPr>
          <w:rFonts w:ascii="Roboto" w:eastAsia="Calibri" w:hAnsi="Roboto" w:cs="Arial"/>
          <w:color w:val="FFFFFF"/>
          <w:kern w:val="2"/>
          <w:sz w:val="18"/>
          <w:szCs w:val="18"/>
          <w:lang w:val="fr-FR"/>
        </w:rPr>
        <w:t xml:space="preserve"> International pour leurs contributions à la section sur la cartographie des voies migratoires.</w:t>
      </w:r>
    </w:p>
    <w:p w14:paraId="509FDD62" w14:textId="77777777" w:rsidR="00AF1989" w:rsidRPr="00E34332" w:rsidRDefault="0020159F">
      <w:pPr>
        <w:spacing w:line="240"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 xml:space="preserve">Les auteurs du rapport remercient les personnes suivantes pour leurs contributions expertes et/ou leur relecture : Lily Bentley, Daniel Dunn et Angela Liu (Université du Queensland) ; Janey </w:t>
      </w:r>
      <w:proofErr w:type="spellStart"/>
      <w:r w:rsidRPr="00E34332">
        <w:rPr>
          <w:rFonts w:ascii="Roboto" w:eastAsia="Calibri" w:hAnsi="Roboto" w:cs="Arial"/>
          <w:color w:val="FFFFFF"/>
          <w:kern w:val="2"/>
          <w:sz w:val="18"/>
          <w:szCs w:val="18"/>
          <w:lang w:val="fr-FR"/>
        </w:rPr>
        <w:t>Fugate</w:t>
      </w:r>
      <w:proofErr w:type="spellEnd"/>
      <w:r w:rsidRPr="00E34332">
        <w:rPr>
          <w:rFonts w:ascii="Roboto" w:eastAsia="Calibri" w:hAnsi="Roboto" w:cs="Arial"/>
          <w:color w:val="FFFFFF"/>
          <w:kern w:val="2"/>
          <w:sz w:val="18"/>
          <w:szCs w:val="18"/>
          <w:lang w:val="fr-FR"/>
        </w:rPr>
        <w:t xml:space="preserve">, Grant Hopcraft, Matthew Kauffman et Thomas Mueller (GIUM) ; Ian </w:t>
      </w:r>
      <w:proofErr w:type="spellStart"/>
      <w:r w:rsidRPr="00E34332">
        <w:rPr>
          <w:rFonts w:ascii="Roboto" w:eastAsia="Calibri" w:hAnsi="Roboto" w:cs="Arial"/>
          <w:color w:val="FFFFFF"/>
          <w:kern w:val="2"/>
          <w:sz w:val="18"/>
          <w:szCs w:val="18"/>
          <w:lang w:val="fr-FR"/>
        </w:rPr>
        <w:t>Burfield</w:t>
      </w:r>
      <w:proofErr w:type="spellEnd"/>
      <w:r w:rsidRPr="00E34332">
        <w:rPr>
          <w:rFonts w:ascii="Roboto" w:eastAsia="Calibri" w:hAnsi="Roboto" w:cs="Arial"/>
          <w:color w:val="FFFFFF"/>
          <w:kern w:val="2"/>
          <w:sz w:val="18"/>
          <w:szCs w:val="18"/>
          <w:lang w:val="fr-FR"/>
        </w:rPr>
        <w:t xml:space="preserve">, Stuart </w:t>
      </w:r>
      <w:proofErr w:type="spellStart"/>
      <w:r w:rsidRPr="00E34332">
        <w:rPr>
          <w:rFonts w:ascii="Roboto" w:eastAsia="Calibri" w:hAnsi="Roboto" w:cs="Arial"/>
          <w:color w:val="FFFFFF"/>
          <w:kern w:val="2"/>
          <w:sz w:val="18"/>
          <w:szCs w:val="18"/>
          <w:lang w:val="fr-FR"/>
        </w:rPr>
        <w:t>Butchart</w:t>
      </w:r>
      <w:proofErr w:type="spellEnd"/>
      <w:r w:rsidRPr="00E34332">
        <w:rPr>
          <w:rFonts w:ascii="Roboto" w:eastAsia="Calibri" w:hAnsi="Roboto" w:cs="Arial"/>
          <w:color w:val="FFFFFF"/>
          <w:kern w:val="2"/>
          <w:sz w:val="18"/>
          <w:szCs w:val="18"/>
          <w:lang w:val="fr-FR"/>
        </w:rPr>
        <w:t>, Vicky Jones et Tom Scott (</w:t>
      </w:r>
      <w:proofErr w:type="spellStart"/>
      <w:r w:rsidRPr="00E34332">
        <w:rPr>
          <w:rFonts w:ascii="Roboto" w:eastAsia="Calibri" w:hAnsi="Roboto" w:cs="Arial"/>
          <w:color w:val="FFFFFF"/>
          <w:kern w:val="2"/>
          <w:sz w:val="18"/>
          <w:szCs w:val="18"/>
          <w:lang w:val="fr-FR"/>
        </w:rPr>
        <w:t>BirdLife</w:t>
      </w:r>
      <w:proofErr w:type="spellEnd"/>
      <w:r w:rsidRPr="00E34332">
        <w:rPr>
          <w:rFonts w:ascii="Roboto" w:eastAsia="Calibri" w:hAnsi="Roboto" w:cs="Arial"/>
          <w:color w:val="FFFFFF"/>
          <w:kern w:val="2"/>
          <w:sz w:val="18"/>
          <w:szCs w:val="18"/>
          <w:lang w:val="fr-FR"/>
        </w:rPr>
        <w:t xml:space="preserve"> International). </w:t>
      </w:r>
    </w:p>
    <w:p w14:paraId="1FFCD763" w14:textId="77777777" w:rsidR="00AF1989" w:rsidRPr="00E34332" w:rsidRDefault="0020159F">
      <w:pPr>
        <w:spacing w:line="256" w:lineRule="auto"/>
        <w:rPr>
          <w:rFonts w:ascii="Roboto" w:eastAsia="Calibri" w:hAnsi="Roboto" w:cs="Arial"/>
          <w:b/>
          <w:bCs/>
          <w:color w:val="FFFFFF"/>
          <w:kern w:val="2"/>
          <w:sz w:val="18"/>
          <w:szCs w:val="18"/>
          <w:lang w:val="fr-FR"/>
        </w:rPr>
      </w:pPr>
      <w:r w:rsidRPr="00E34332">
        <w:rPr>
          <w:rFonts w:ascii="Roboto" w:eastAsia="Calibri" w:hAnsi="Roboto" w:cs="Arial"/>
          <w:b/>
          <w:bCs/>
          <w:color w:val="FFFFFF"/>
          <w:kern w:val="2"/>
          <w:sz w:val="18"/>
          <w:szCs w:val="18"/>
          <w:lang w:val="fr-FR"/>
        </w:rPr>
        <w:t>Photo de couverture :</w:t>
      </w:r>
      <w:r w:rsidRPr="00E34332">
        <w:rPr>
          <w:rFonts w:ascii="Roboto" w:eastAsia="Calibri" w:hAnsi="Roboto" w:cs="Arial"/>
          <w:color w:val="FFFFFF"/>
          <w:kern w:val="2"/>
          <w:sz w:val="18"/>
          <w:szCs w:val="18"/>
          <w:lang w:val="fr-FR"/>
        </w:rPr>
        <w:t xml:space="preserve"> Jaguar (</w:t>
      </w:r>
      <w:r w:rsidRPr="00E34332">
        <w:rPr>
          <w:rFonts w:ascii="Roboto" w:eastAsia="Calibri" w:hAnsi="Roboto" w:cs="Arial"/>
          <w:i/>
          <w:iCs/>
          <w:color w:val="FFFFFF"/>
          <w:kern w:val="2"/>
          <w:sz w:val="18"/>
          <w:szCs w:val="18"/>
          <w:lang w:val="fr-FR"/>
        </w:rPr>
        <w:t xml:space="preserve">Panthera </w:t>
      </w:r>
      <w:proofErr w:type="spellStart"/>
      <w:r w:rsidRPr="00E34332">
        <w:rPr>
          <w:rFonts w:ascii="Roboto" w:eastAsia="Calibri" w:hAnsi="Roboto" w:cs="Arial"/>
          <w:i/>
          <w:iCs/>
          <w:color w:val="FFFFFF"/>
          <w:kern w:val="2"/>
          <w:sz w:val="18"/>
          <w:szCs w:val="18"/>
          <w:lang w:val="fr-FR"/>
        </w:rPr>
        <w:t>onca</w:t>
      </w:r>
      <w:proofErr w:type="spellEnd"/>
      <w:r w:rsidRPr="00E34332">
        <w:rPr>
          <w:rFonts w:ascii="Roboto" w:eastAsia="Calibri" w:hAnsi="Roboto" w:cs="Arial"/>
          <w:color w:val="FFFFFF"/>
          <w:kern w:val="2"/>
          <w:sz w:val="18"/>
          <w:szCs w:val="18"/>
          <w:lang w:val="fr-FR"/>
        </w:rPr>
        <w:t xml:space="preserve">). </w:t>
      </w:r>
      <w:r w:rsidRPr="00E34332">
        <w:rPr>
          <w:rFonts w:ascii="Roboto" w:eastAsia="Calibri" w:hAnsi="Roboto" w:cs="Arial"/>
          <w:i/>
          <w:iCs/>
          <w:color w:val="FFFFFF"/>
          <w:kern w:val="2"/>
          <w:sz w:val="18"/>
          <w:szCs w:val="18"/>
          <w:lang w:val="fr-FR"/>
        </w:rPr>
        <w:t>Crédit photo</w:t>
      </w:r>
      <w:r w:rsidRPr="00E34332">
        <w:rPr>
          <w:rFonts w:ascii="Roboto" w:eastAsia="Calibri" w:hAnsi="Roboto" w:cs="Arial"/>
          <w:color w:val="FFFFFF"/>
          <w:kern w:val="2"/>
          <w:sz w:val="18"/>
          <w:szCs w:val="18"/>
          <w:lang w:val="fr-FR"/>
        </w:rPr>
        <w:t xml:space="preserve"> : </w:t>
      </w:r>
      <w:proofErr w:type="spellStart"/>
      <w:r w:rsidRPr="00E34332">
        <w:rPr>
          <w:rFonts w:ascii="Roboto" w:eastAsia="Calibri" w:hAnsi="Roboto" w:cs="Arial"/>
          <w:color w:val="FFFFFF"/>
          <w:kern w:val="2"/>
          <w:sz w:val="18"/>
          <w:szCs w:val="18"/>
          <w:lang w:val="fr-FR"/>
        </w:rPr>
        <w:t>Photocech</w:t>
      </w:r>
      <w:proofErr w:type="spellEnd"/>
      <w:r w:rsidRPr="00E34332">
        <w:rPr>
          <w:rFonts w:ascii="Roboto" w:eastAsia="Calibri" w:hAnsi="Roboto" w:cs="Arial"/>
          <w:color w:val="FFFFFF"/>
          <w:kern w:val="2"/>
          <w:sz w:val="18"/>
          <w:szCs w:val="18"/>
          <w:lang w:val="fr-FR"/>
        </w:rPr>
        <w:t xml:space="preserve"> / Adobe Stock | #526706118.</w:t>
      </w:r>
      <w:r w:rsidRPr="00E34332">
        <w:rPr>
          <w:rFonts w:ascii="Roboto" w:eastAsia="Calibri" w:hAnsi="Roboto" w:cs="Arial"/>
          <w:b/>
          <w:bCs/>
          <w:color w:val="FFFFFF"/>
          <w:kern w:val="2"/>
          <w:sz w:val="18"/>
          <w:szCs w:val="18"/>
          <w:lang w:val="fr-FR"/>
        </w:rPr>
        <w:t xml:space="preserve"> Deuxième de couverture : </w:t>
      </w:r>
      <w:r w:rsidRPr="00E34332">
        <w:rPr>
          <w:rFonts w:ascii="Roboto" w:eastAsia="Calibri" w:hAnsi="Roboto" w:cs="Arial"/>
          <w:color w:val="FFFFFF"/>
          <w:kern w:val="2"/>
          <w:sz w:val="18"/>
          <w:szCs w:val="18"/>
          <w:lang w:val="fr-FR"/>
        </w:rPr>
        <w:t>Mantes De Munk (</w:t>
      </w:r>
      <w:proofErr w:type="spellStart"/>
      <w:r w:rsidRPr="00E34332">
        <w:rPr>
          <w:rFonts w:ascii="Roboto" w:eastAsia="Calibri" w:hAnsi="Roboto" w:cs="Arial"/>
          <w:i/>
          <w:iCs/>
          <w:color w:val="FFFFFF"/>
          <w:kern w:val="2"/>
          <w:sz w:val="18"/>
          <w:szCs w:val="18"/>
          <w:lang w:val="fr-FR"/>
        </w:rPr>
        <w:t>Mobula</w:t>
      </w:r>
      <w:proofErr w:type="spellEnd"/>
      <w:r w:rsidRPr="00E34332">
        <w:rPr>
          <w:rFonts w:ascii="Roboto" w:eastAsia="Calibri" w:hAnsi="Roboto" w:cs="Arial"/>
          <w:i/>
          <w:iCs/>
          <w:color w:val="FFFFFF"/>
          <w:kern w:val="2"/>
          <w:sz w:val="18"/>
          <w:szCs w:val="18"/>
          <w:lang w:val="fr-FR"/>
        </w:rPr>
        <w:t xml:space="preserve"> </w:t>
      </w:r>
      <w:proofErr w:type="spellStart"/>
      <w:r w:rsidRPr="00E34332">
        <w:rPr>
          <w:rFonts w:ascii="Roboto" w:eastAsia="Calibri" w:hAnsi="Roboto" w:cs="Arial"/>
          <w:i/>
          <w:iCs/>
          <w:color w:val="FFFFFF"/>
          <w:kern w:val="2"/>
          <w:sz w:val="18"/>
          <w:szCs w:val="18"/>
          <w:lang w:val="fr-FR"/>
        </w:rPr>
        <w:t>munkiana</w:t>
      </w:r>
      <w:proofErr w:type="spellEnd"/>
      <w:r w:rsidRPr="00E34332">
        <w:rPr>
          <w:rFonts w:ascii="Roboto" w:eastAsia="Calibri" w:hAnsi="Roboto" w:cs="Arial"/>
          <w:color w:val="FFFFFF"/>
          <w:kern w:val="2"/>
          <w:sz w:val="18"/>
          <w:szCs w:val="18"/>
          <w:lang w:val="fr-FR"/>
        </w:rPr>
        <w:t xml:space="preserve">). </w:t>
      </w:r>
      <w:r w:rsidRPr="00E34332">
        <w:rPr>
          <w:rFonts w:ascii="Roboto" w:eastAsia="Calibri" w:hAnsi="Roboto" w:cs="Arial"/>
          <w:i/>
          <w:iCs/>
          <w:color w:val="FFFFFF"/>
          <w:kern w:val="2"/>
          <w:sz w:val="18"/>
          <w:szCs w:val="18"/>
          <w:lang w:val="fr-FR"/>
        </w:rPr>
        <w:t>Crédit photo</w:t>
      </w:r>
      <w:r w:rsidRPr="00E34332">
        <w:rPr>
          <w:rFonts w:ascii="Roboto" w:eastAsia="Calibri" w:hAnsi="Roboto" w:cs="Arial"/>
          <w:color w:val="FFFFFF"/>
          <w:kern w:val="2"/>
          <w:sz w:val="18"/>
          <w:szCs w:val="18"/>
          <w:lang w:val="fr-FR"/>
        </w:rPr>
        <w:t xml:space="preserve"> : Lars von Ritter </w:t>
      </w:r>
      <w:proofErr w:type="spellStart"/>
      <w:r w:rsidRPr="00E34332">
        <w:rPr>
          <w:rFonts w:ascii="Roboto" w:eastAsia="Calibri" w:hAnsi="Roboto" w:cs="Arial"/>
          <w:color w:val="FFFFFF"/>
          <w:kern w:val="2"/>
          <w:sz w:val="18"/>
          <w:szCs w:val="18"/>
          <w:lang w:val="fr-FR"/>
        </w:rPr>
        <w:t>Zahony</w:t>
      </w:r>
      <w:proofErr w:type="spellEnd"/>
      <w:r w:rsidRPr="00E34332">
        <w:rPr>
          <w:rFonts w:ascii="Roboto" w:eastAsia="Calibri" w:hAnsi="Roboto" w:cs="Arial"/>
          <w:color w:val="FFFFFF"/>
          <w:kern w:val="2"/>
          <w:sz w:val="18"/>
          <w:szCs w:val="18"/>
          <w:lang w:val="fr-FR"/>
        </w:rPr>
        <w:t xml:space="preserve"> / </w:t>
      </w:r>
      <w:proofErr w:type="spellStart"/>
      <w:r w:rsidRPr="00E34332">
        <w:rPr>
          <w:rFonts w:ascii="Roboto" w:eastAsia="Calibri" w:hAnsi="Roboto" w:cs="Arial"/>
          <w:color w:val="FFFFFF"/>
          <w:kern w:val="2"/>
          <w:sz w:val="18"/>
          <w:szCs w:val="18"/>
          <w:lang w:val="fr-FR"/>
        </w:rPr>
        <w:t>Ocean</w:t>
      </w:r>
      <w:proofErr w:type="spellEnd"/>
      <w:r w:rsidRPr="00E34332">
        <w:rPr>
          <w:rFonts w:ascii="Roboto" w:eastAsia="Calibri" w:hAnsi="Roboto" w:cs="Arial"/>
          <w:color w:val="FFFFFF"/>
          <w:kern w:val="2"/>
          <w:sz w:val="18"/>
          <w:szCs w:val="18"/>
          <w:lang w:val="fr-FR"/>
        </w:rPr>
        <w:t xml:space="preserve"> Image Bank.</w:t>
      </w:r>
    </w:p>
    <w:p w14:paraId="41DFC230" w14:textId="77777777" w:rsidR="00AF1989" w:rsidRPr="00E34332" w:rsidRDefault="0020159F">
      <w:pPr>
        <w:spacing w:line="256" w:lineRule="auto"/>
        <w:rPr>
          <w:rFonts w:ascii="Roboto" w:eastAsia="Calibri" w:hAnsi="Roboto" w:cs="Arial"/>
          <w:color w:val="FF0000"/>
          <w:kern w:val="2"/>
          <w:sz w:val="18"/>
          <w:szCs w:val="18"/>
          <w:lang w:val="fr-FR"/>
        </w:rPr>
      </w:pPr>
      <w:r w:rsidRPr="00E34332">
        <w:rPr>
          <w:rFonts w:ascii="Roboto" w:eastAsia="Calibri" w:hAnsi="Roboto" w:cs="Arial"/>
          <w:noProof/>
          <w:color w:val="FFFFFF"/>
          <w:kern w:val="2"/>
          <w:sz w:val="18"/>
          <w:szCs w:val="18"/>
          <w:lang w:val="fr-FR" w:eastAsia="fr-FR"/>
        </w:rPr>
        <w:drawing>
          <wp:inline distT="0" distB="0" distL="0" distR="0" wp14:anchorId="6C384A5B" wp14:editId="1724F313">
            <wp:extent cx="1228725" cy="361950"/>
            <wp:effectExtent l="0" t="0" r="9525" b="0"/>
            <wp:docPr id="59448002" name="Picture 2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ack and white 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inline>
        </w:drawing>
      </w:r>
    </w:p>
    <w:p w14:paraId="40298161"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Le Centre mondial de surveillance continue de la conservation de la nature du Programme des Nations Unies pour l'environnement (PNUE-WCMC) est un centre mondial d'excellence sur la biodiversité. Le Centre est le fruit d'une collaboration entre le Programme des Nations Unies pour l'environnement et l'organisation caritative britannique WCMC. Ensemble, nous faisons face à la crise mondiale qui touche la nature.</w:t>
      </w:r>
    </w:p>
    <w:p w14:paraId="13554D31" w14:textId="77777777"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Cette publication peut être reproduite à des fins éducatives ou non lucratives sans autorisation spéciale, à condition que la source soit mentionnée. La réutilisation de toute figure est soumise à l'autorisation des détenteurs des droits originaux. Cette publication ne peut être utilisée pour la revente ou à toute autre fin commerciale sans l'autorisation écrite du Programme des Nations Unies pour l'environnement. Les demandes d'autorisation, accompagnées d'une déclaration sur l'objectif et l'étendue de la reproduction, doivent être envoyées au directeur, WCMC, 219 Huntingdon Road, Cambridge, CB3 0DL, Royaume-Uni.</w:t>
      </w:r>
    </w:p>
    <w:p w14:paraId="4A7F1A4E" w14:textId="1E3EDECB" w:rsidR="00AF1989" w:rsidRPr="00E34332" w:rsidRDefault="0020159F">
      <w:pPr>
        <w:spacing w:line="256"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Le contenu de ce rapport ne reflète pas nécessairement les opinions ou les politiques du Programme des Nations Unies pour l'environnement, des organisations qui y ont contribué ou des éditeurs. Les appellations employées dans ce rapport et la présentation des éléments qui y figurent n'impliquent de la part du Programme des Nations Unies pour l'environnement ou des organisations qui y ont contribué, des rédacteurs ou des éditeurs, aucune prise de position quant au statut juridique des pays, territoires, zones urbaines ou de leurs autorités, ni quant au tracé de leurs frontières ou limites ou à la désignation de leur nom, de leurs frontières ou de leurs limites. La mention d'une entité commerciale ou d'un produit dans cette publication n'implique pas l'approbation du Programme des Nations Unies pour l'environnement.</w:t>
      </w:r>
    </w:p>
    <w:p w14:paraId="09210372" w14:textId="6CF5E570" w:rsidR="00AF1989" w:rsidRPr="00E34332" w:rsidRDefault="00000000">
      <w:pPr>
        <w:spacing w:after="0" w:line="240" w:lineRule="auto"/>
        <w:rPr>
          <w:rFonts w:ascii="Roboto" w:eastAsia="Calibri" w:hAnsi="Roboto" w:cs="Arial"/>
          <w:b/>
          <w:bCs/>
          <w:color w:val="FFFFFF"/>
          <w:kern w:val="2"/>
          <w:sz w:val="18"/>
          <w:szCs w:val="18"/>
          <w:lang w:val="fr-FR"/>
        </w:rPr>
      </w:pPr>
      <w:r>
        <w:rPr>
          <w:rFonts w:ascii="Calibri" w:eastAsia="Calibri" w:hAnsi="Calibri" w:cs="Arial"/>
          <w:kern w:val="2"/>
          <w:lang w:val="fr-FR"/>
        </w:rPr>
        <w:pict w14:anchorId="235D1D70">
          <v:group id="Group 248" o:spid="_x0000_s2050" style="position:absolute;margin-left:327.5pt;margin-top:10.45pt;width:175.55pt;height:143pt;z-index:251664896;mso-height-relative:margin" coordsize="21145,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">
            <v:oval id="Oval 35794616" o:spid="_x0000_s2052" style="position:absolute;width:21145;height:211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" fillcolor="#95cc66" stroked="f" strokeweight="1pt">
              <v:stroke joinstyle="miter"/>
            </v:oval>
            <v:shape id="Text Box 204" o:spid="_x0000_s2051" type="#_x0000_t202" style="position:absolute;left:2461;top:4009;width:16383;height:13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" filled="f" stroked="f" strokeweight=".5pt">
              <v:textbox>
                <w:txbxContent>
                  <w:p w14:paraId="23399E88" w14:textId="77777777" w:rsidR="00AF1989" w:rsidRDefault="0020159F">
                    <w:pPr>
                      <w:jc w:val="center"/>
                      <w:rPr>
                        <w:rFonts w:ascii="Arial Narrow" w:hAnsi="Arial Narrow"/>
                        <w:color w:val="FFFFFF"/>
                      </w:rPr>
                    </w:pPr>
                    <w:r>
                      <w:rPr>
                        <w:rFonts w:ascii="Arial Narrow" w:hAnsi="Arial Narrow"/>
                        <w:color w:val="FFFFFF"/>
                      </w:rPr>
                      <w:t>UNEP promotes environmentally sound practices globally and in its own activities. Our distribution policy aims to reduce UNEP’s carbon footprint.</w:t>
                    </w:r>
                  </w:p>
                </w:txbxContent>
              </v:textbox>
            </v:shape>
          </v:group>
        </w:pict>
      </w:r>
      <w:r w:rsidR="0020159F" w:rsidRPr="00E34332">
        <w:rPr>
          <w:rFonts w:ascii="Roboto" w:eastAsia="Calibri" w:hAnsi="Roboto" w:cs="Arial"/>
          <w:b/>
          <w:bCs/>
          <w:color w:val="FFFFFF"/>
          <w:kern w:val="2"/>
          <w:sz w:val="18"/>
          <w:szCs w:val="18"/>
          <w:lang w:val="fr-FR"/>
        </w:rPr>
        <w:t xml:space="preserve">Centre mondial de surveillance continue de la conservation de la nature du Programme des Nations Unies pour l'environnement (PNUE-WCMC) </w:t>
      </w:r>
    </w:p>
    <w:p w14:paraId="528DEF79" w14:textId="77777777" w:rsidR="00AF1989" w:rsidRPr="00E34332" w:rsidRDefault="00AF1989">
      <w:pPr>
        <w:spacing w:after="0" w:line="240" w:lineRule="auto"/>
        <w:rPr>
          <w:rFonts w:ascii="Roboto" w:eastAsia="Calibri" w:hAnsi="Roboto" w:cs="Arial"/>
          <w:b/>
          <w:bCs/>
          <w:color w:val="FFFFFF"/>
          <w:kern w:val="2"/>
          <w:sz w:val="18"/>
          <w:szCs w:val="18"/>
          <w:lang w:val="fr-FR"/>
        </w:rPr>
      </w:pPr>
    </w:p>
    <w:p w14:paraId="2A28E49A" w14:textId="77777777" w:rsidR="00AF1989" w:rsidRPr="00E34332" w:rsidRDefault="0020159F">
      <w:pPr>
        <w:spacing w:after="0" w:line="240" w:lineRule="auto"/>
        <w:rPr>
          <w:rFonts w:ascii="Roboto" w:eastAsia="Calibri" w:hAnsi="Roboto" w:cs="Arial"/>
          <w:color w:val="FFFFFF"/>
          <w:kern w:val="2"/>
          <w:sz w:val="18"/>
          <w:szCs w:val="18"/>
        </w:rPr>
      </w:pPr>
      <w:r w:rsidRPr="00E34332">
        <w:rPr>
          <w:rFonts w:ascii="Roboto" w:eastAsia="Calibri" w:hAnsi="Roboto" w:cs="Arial"/>
          <w:color w:val="FFFFFF"/>
          <w:kern w:val="2"/>
          <w:sz w:val="18"/>
          <w:szCs w:val="18"/>
        </w:rPr>
        <w:t>219 Huntingdon Road,</w:t>
      </w:r>
    </w:p>
    <w:p w14:paraId="7DD6B425" w14:textId="77777777" w:rsidR="00AF1989" w:rsidRPr="00E34332" w:rsidRDefault="0020159F">
      <w:pPr>
        <w:spacing w:after="0" w:line="240" w:lineRule="auto"/>
        <w:rPr>
          <w:rFonts w:ascii="Roboto" w:eastAsia="Calibri" w:hAnsi="Roboto" w:cs="Arial"/>
          <w:color w:val="FFFFFF"/>
          <w:kern w:val="2"/>
          <w:sz w:val="18"/>
          <w:szCs w:val="18"/>
          <w:lang w:val="en-US"/>
        </w:rPr>
      </w:pPr>
      <w:r w:rsidRPr="00E34332">
        <w:rPr>
          <w:rFonts w:ascii="Roboto" w:eastAsia="Calibri" w:hAnsi="Roboto" w:cs="Arial"/>
          <w:color w:val="FFFFFF"/>
          <w:kern w:val="2"/>
          <w:sz w:val="18"/>
          <w:szCs w:val="18"/>
          <w:lang w:val="en-US"/>
        </w:rPr>
        <w:t xml:space="preserve">Cambridge CB3 0DL, </w:t>
      </w:r>
      <w:proofErr w:type="spellStart"/>
      <w:r w:rsidRPr="00E34332">
        <w:rPr>
          <w:rFonts w:ascii="Roboto" w:eastAsia="Calibri" w:hAnsi="Roboto" w:cs="Arial"/>
          <w:color w:val="FFFFFF"/>
          <w:kern w:val="2"/>
          <w:sz w:val="18"/>
          <w:szCs w:val="18"/>
          <w:lang w:val="en-US"/>
        </w:rPr>
        <w:t>Royaume</w:t>
      </w:r>
      <w:proofErr w:type="spellEnd"/>
      <w:r w:rsidRPr="00E34332">
        <w:rPr>
          <w:rFonts w:ascii="Roboto" w:eastAsia="Calibri" w:hAnsi="Roboto" w:cs="Arial"/>
          <w:color w:val="FFFFFF"/>
          <w:kern w:val="2"/>
          <w:sz w:val="18"/>
          <w:szCs w:val="18"/>
          <w:lang w:val="en-US"/>
        </w:rPr>
        <w:t>-Uni</w:t>
      </w:r>
    </w:p>
    <w:p w14:paraId="30C9E53B" w14:textId="77777777" w:rsidR="00AF1989" w:rsidRPr="00E34332" w:rsidRDefault="0020159F">
      <w:pPr>
        <w:spacing w:after="0" w:line="240"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Tel : +44 1223 277314 www.unep-wcmc.org</w:t>
      </w:r>
    </w:p>
    <w:p w14:paraId="4C6BD097" w14:textId="77777777" w:rsidR="00AF1989" w:rsidRPr="00E34332" w:rsidRDefault="0020159F">
      <w:pPr>
        <w:spacing w:after="0" w:line="240" w:lineRule="auto"/>
        <w:rPr>
          <w:rFonts w:ascii="Roboto" w:eastAsia="Calibri" w:hAnsi="Roboto" w:cs="Arial"/>
          <w:color w:val="FFFFFF"/>
          <w:kern w:val="2"/>
          <w:sz w:val="18"/>
          <w:szCs w:val="18"/>
          <w:lang w:val="fr-FR"/>
        </w:rPr>
      </w:pPr>
      <w:r w:rsidRPr="00E34332">
        <w:rPr>
          <w:rFonts w:ascii="Roboto" w:eastAsia="Calibri" w:hAnsi="Roboto" w:cs="Arial"/>
          <w:color w:val="FFFFFF"/>
          <w:kern w:val="2"/>
          <w:sz w:val="18"/>
          <w:szCs w:val="18"/>
          <w:lang w:val="fr-FR"/>
        </w:rPr>
        <w:t>www.unep-wcmc.org</w:t>
      </w:r>
    </w:p>
    <w:p w14:paraId="5A67671D" w14:textId="77777777" w:rsidR="00AF1989" w:rsidRPr="00E34332" w:rsidRDefault="0020159F">
      <w:pPr>
        <w:rPr>
          <w:rFonts w:cs="Arial"/>
          <w:b/>
          <w:lang w:val="fr-FR"/>
        </w:rPr>
      </w:pPr>
      <w:r w:rsidRPr="00E34332">
        <w:rPr>
          <w:rFonts w:cs="Arial"/>
          <w:b/>
          <w:lang w:val="fr-FR"/>
        </w:rPr>
        <w:t>Table des matières</w:t>
      </w:r>
    </w:p>
    <w:p w14:paraId="47970B95" w14:textId="083FD187" w:rsidR="00326FD4" w:rsidRPr="00326FD4" w:rsidRDefault="00326FD4">
      <w:pPr>
        <w:pStyle w:val="TOC1"/>
        <w:tabs>
          <w:tab w:val="right" w:leader="dot" w:pos="9016"/>
        </w:tabs>
        <w:rPr>
          <w:rFonts w:ascii="Arial" w:hAnsi="Arial"/>
          <w:b/>
          <w:bCs/>
          <w:color w:val="003870"/>
          <w:lang w:val="fr-FR"/>
        </w:rPr>
      </w:pPr>
      <w:r w:rsidRPr="00326FD4">
        <w:rPr>
          <w:rFonts w:ascii="Arial" w:hAnsi="Arial"/>
          <w:b/>
          <w:bCs/>
          <w:color w:val="003870"/>
          <w:lang w:val="fr-FR"/>
        </w:rPr>
        <w:lastRenderedPageBreak/>
        <w:t>Table des matières</w:t>
      </w:r>
    </w:p>
    <w:p w14:paraId="4BEBA8C3" w14:textId="1683566B" w:rsidR="00AF1989" w:rsidRPr="00E34332" w:rsidRDefault="00AF1989">
      <w:pPr>
        <w:pStyle w:val="TOC1"/>
        <w:tabs>
          <w:tab w:val="right" w:leader="dot" w:pos="9016"/>
        </w:tabs>
        <w:rPr>
          <w:rFonts w:ascii="Arial" w:eastAsiaTheme="minorEastAsia" w:hAnsi="Arial"/>
          <w:lang w:val="fr-FR" w:eastAsia="en-GB"/>
        </w:rPr>
      </w:pPr>
      <w:r w:rsidRPr="00E34332">
        <w:rPr>
          <w:rFonts w:ascii="Arial" w:hAnsi="Arial"/>
          <w:color w:val="003870"/>
          <w:lang w:val="fr-FR"/>
        </w:rPr>
        <w:fldChar w:fldCharType="begin"/>
      </w:r>
      <w:r w:rsidR="0020159F" w:rsidRPr="00E34332">
        <w:rPr>
          <w:rFonts w:ascii="Arial" w:hAnsi="Arial"/>
          <w:color w:val="003870"/>
          <w:lang w:val="fr-FR"/>
        </w:rPr>
        <w:instrText xml:space="preserve"> TOC \o "1-1" \h \z \u </w:instrText>
      </w:r>
      <w:r w:rsidRPr="00E34332">
        <w:rPr>
          <w:rFonts w:ascii="Arial" w:hAnsi="Arial"/>
          <w:color w:val="003870"/>
          <w:lang w:val="fr-FR"/>
        </w:rPr>
        <w:fldChar w:fldCharType="separate"/>
      </w:r>
      <w:hyperlink w:anchor="_Toc210914218" w:history="1">
        <w:r w:rsidR="0020159F" w:rsidRPr="00E34332">
          <w:rPr>
            <w:rStyle w:val="Hyperlink"/>
            <w:rFonts w:ascii="Arial" w:hAnsi="Arial"/>
            <w:lang w:val="fr-FR"/>
          </w:rPr>
          <w:t>Résumé analytique</w:t>
        </w:r>
        <w:r w:rsidR="0020159F" w:rsidRPr="00E34332">
          <w:rPr>
            <w:rFonts w:ascii="Arial" w:hAnsi="Arial"/>
            <w:webHidden/>
            <w:lang w:val="fr-FR"/>
          </w:rPr>
          <w:tab/>
        </w:r>
        <w:r w:rsidRPr="00E34332">
          <w:rPr>
            <w:rFonts w:ascii="Arial" w:hAnsi="Arial"/>
            <w:webHidden/>
            <w:lang w:val="fr-FR"/>
          </w:rPr>
          <w:fldChar w:fldCharType="begin"/>
        </w:r>
        <w:r w:rsidR="0020159F" w:rsidRPr="00E34332">
          <w:rPr>
            <w:rFonts w:ascii="Arial" w:hAnsi="Arial"/>
            <w:webHidden/>
            <w:lang w:val="fr-FR"/>
          </w:rPr>
          <w:instrText xml:space="preserve"> PAGEREF _Toc210914218 \h </w:instrText>
        </w:r>
        <w:r w:rsidRPr="00E34332">
          <w:rPr>
            <w:rFonts w:ascii="Arial" w:hAnsi="Arial"/>
            <w:webHidden/>
            <w:lang w:val="fr-FR"/>
          </w:rPr>
        </w:r>
        <w:r w:rsidRPr="00E34332">
          <w:rPr>
            <w:rFonts w:ascii="Arial" w:hAnsi="Arial"/>
            <w:webHidden/>
            <w:lang w:val="fr-FR"/>
          </w:rPr>
          <w:fldChar w:fldCharType="separate"/>
        </w:r>
        <w:r w:rsidR="0020159F" w:rsidRPr="00E34332">
          <w:rPr>
            <w:rFonts w:ascii="Arial" w:hAnsi="Arial"/>
            <w:webHidden/>
            <w:lang w:val="fr-FR"/>
          </w:rPr>
          <w:t>v</w:t>
        </w:r>
        <w:r w:rsidRPr="00E34332">
          <w:rPr>
            <w:rFonts w:ascii="Arial" w:hAnsi="Arial"/>
            <w:webHidden/>
            <w:lang w:val="fr-FR"/>
          </w:rPr>
          <w:fldChar w:fldCharType="end"/>
        </w:r>
      </w:hyperlink>
    </w:p>
    <w:p w14:paraId="2AB629E4" w14:textId="77777777" w:rsidR="00AF1989" w:rsidRPr="00E34332" w:rsidRDefault="0020159F">
      <w:pPr>
        <w:pStyle w:val="TOC1"/>
        <w:tabs>
          <w:tab w:val="right" w:leader="dot" w:pos="9016"/>
        </w:tabs>
        <w:rPr>
          <w:rFonts w:ascii="Arial" w:eastAsiaTheme="minorEastAsia" w:hAnsi="Arial"/>
          <w:lang w:eastAsia="en-GB"/>
        </w:rPr>
      </w:pPr>
      <w:hyperlink w:anchor="_Toc210914219" w:history="1">
        <w:r w:rsidRPr="00E34332">
          <w:rPr>
            <w:rStyle w:val="Hyperlink"/>
            <w:rFonts w:ascii="Arial" w:hAnsi="Arial"/>
          </w:rPr>
          <w:t>Introduction</w:t>
        </w:r>
        <w:r w:rsidRPr="00E34332">
          <w:rPr>
            <w:rFonts w:ascii="Arial" w:hAnsi="Arial"/>
            <w:webHidden/>
          </w:rPr>
          <w:tab/>
        </w:r>
        <w:r w:rsidR="00AF1989" w:rsidRPr="00E34332">
          <w:rPr>
            <w:rFonts w:ascii="Arial" w:hAnsi="Arial"/>
            <w:webHidden/>
          </w:rPr>
          <w:fldChar w:fldCharType="begin"/>
        </w:r>
        <w:r w:rsidRPr="00E34332">
          <w:rPr>
            <w:rFonts w:ascii="Arial" w:hAnsi="Arial"/>
            <w:webHidden/>
          </w:rPr>
          <w:instrText xml:space="preserve"> PAGEREF _Toc210914219 \h </w:instrText>
        </w:r>
        <w:r w:rsidR="00AF1989" w:rsidRPr="00E34332">
          <w:rPr>
            <w:rFonts w:ascii="Arial" w:hAnsi="Arial"/>
            <w:webHidden/>
          </w:rPr>
        </w:r>
        <w:r w:rsidR="00AF1989" w:rsidRPr="00E34332">
          <w:rPr>
            <w:rFonts w:ascii="Arial" w:hAnsi="Arial"/>
            <w:webHidden/>
          </w:rPr>
          <w:fldChar w:fldCharType="separate"/>
        </w:r>
        <w:r w:rsidRPr="00E34332">
          <w:rPr>
            <w:rFonts w:ascii="Arial" w:hAnsi="Arial"/>
            <w:webHidden/>
          </w:rPr>
          <w:t>1</w:t>
        </w:r>
        <w:r w:rsidR="00AF1989" w:rsidRPr="00E34332">
          <w:rPr>
            <w:rFonts w:ascii="Arial" w:hAnsi="Arial"/>
            <w:webHidden/>
          </w:rPr>
          <w:fldChar w:fldCharType="end"/>
        </w:r>
      </w:hyperlink>
    </w:p>
    <w:p w14:paraId="2971DCA2" w14:textId="77777777" w:rsidR="00AF1989" w:rsidRPr="00E34332" w:rsidRDefault="0020159F">
      <w:pPr>
        <w:pStyle w:val="TOC1"/>
        <w:tabs>
          <w:tab w:val="left" w:pos="440"/>
          <w:tab w:val="right" w:leader="dot" w:pos="9016"/>
        </w:tabs>
        <w:rPr>
          <w:rFonts w:ascii="Arial" w:eastAsiaTheme="minorEastAsia" w:hAnsi="Arial"/>
          <w:lang w:val="fr-FR" w:eastAsia="en-GB"/>
        </w:rPr>
      </w:pPr>
      <w:hyperlink w:anchor="_Toc210914220" w:history="1">
        <w:r w:rsidRPr="00E34332">
          <w:rPr>
            <w:rStyle w:val="Hyperlink"/>
            <w:rFonts w:ascii="Arial" w:hAnsi="Arial"/>
            <w:lang w:val="fr-FR"/>
          </w:rPr>
          <w:t>1.</w:t>
        </w:r>
        <w:r w:rsidRPr="00E34332">
          <w:rPr>
            <w:rFonts w:ascii="Arial" w:eastAsiaTheme="minorEastAsia" w:hAnsi="Arial"/>
            <w:lang w:val="fr-FR" w:eastAsia="en-GB"/>
          </w:rPr>
          <w:tab/>
        </w:r>
        <w:r w:rsidRPr="00E34332">
          <w:rPr>
            <w:rStyle w:val="Hyperlink"/>
            <w:rFonts w:ascii="Arial" w:hAnsi="Arial"/>
            <w:lang w:val="fr-FR"/>
          </w:rPr>
          <w:t>Changements de l’état de conservation des espèces inscrites aux Annexes de la CMS</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_Toc210914220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2</w:t>
        </w:r>
        <w:r w:rsidR="00AF1989" w:rsidRPr="00E34332">
          <w:rPr>
            <w:rFonts w:ascii="Arial" w:hAnsi="Arial"/>
            <w:webHidden/>
            <w:lang w:val="fr-FR"/>
          </w:rPr>
          <w:fldChar w:fldCharType="end"/>
        </w:r>
      </w:hyperlink>
    </w:p>
    <w:p w14:paraId="1029ED4D" w14:textId="77777777" w:rsidR="00AF1989" w:rsidRPr="00E34332" w:rsidRDefault="0020159F">
      <w:pPr>
        <w:pStyle w:val="TOC1"/>
        <w:tabs>
          <w:tab w:val="left" w:pos="440"/>
          <w:tab w:val="right" w:leader="dot" w:pos="9016"/>
        </w:tabs>
        <w:rPr>
          <w:rFonts w:ascii="Arial" w:eastAsiaTheme="minorEastAsia" w:hAnsi="Arial"/>
          <w:lang w:val="fr-FR" w:eastAsia="en-GB"/>
        </w:rPr>
      </w:pPr>
      <w:hyperlink w:anchor="_Toc210914221" w:history="1">
        <w:r w:rsidRPr="00E34332">
          <w:rPr>
            <w:rStyle w:val="Hyperlink"/>
            <w:rFonts w:ascii="Arial" w:hAnsi="Arial"/>
            <w:lang w:val="fr-FR"/>
          </w:rPr>
          <w:t>2.</w:t>
        </w:r>
        <w:r w:rsidRPr="00E34332">
          <w:rPr>
            <w:rFonts w:ascii="Arial" w:eastAsiaTheme="minorEastAsia" w:hAnsi="Arial"/>
            <w:lang w:val="fr-FR" w:eastAsia="en-GB"/>
          </w:rPr>
          <w:tab/>
        </w:r>
        <w:r w:rsidRPr="00E34332">
          <w:rPr>
            <w:rStyle w:val="Hyperlink"/>
            <w:rFonts w:ascii="Arial" w:hAnsi="Arial"/>
            <w:lang w:val="fr-FR"/>
          </w:rPr>
          <w:t>Focus sur les changements de population récemment signalés</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_Toc210914221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6</w:t>
        </w:r>
        <w:r w:rsidR="00AF1989" w:rsidRPr="00E34332">
          <w:rPr>
            <w:rFonts w:ascii="Arial" w:hAnsi="Arial"/>
            <w:webHidden/>
            <w:lang w:val="fr-FR"/>
          </w:rPr>
          <w:fldChar w:fldCharType="end"/>
        </w:r>
      </w:hyperlink>
    </w:p>
    <w:p w14:paraId="33814A29" w14:textId="77777777" w:rsidR="00AF1989" w:rsidRPr="00E34332" w:rsidRDefault="0020159F">
      <w:pPr>
        <w:pStyle w:val="TOC1"/>
        <w:tabs>
          <w:tab w:val="left" w:pos="440"/>
          <w:tab w:val="right" w:leader="dot" w:pos="9016"/>
        </w:tabs>
        <w:rPr>
          <w:rFonts w:ascii="Arial" w:eastAsiaTheme="minorEastAsia" w:hAnsi="Arial"/>
          <w:lang w:val="fr-FR" w:eastAsia="en-GB"/>
        </w:rPr>
      </w:pPr>
      <w:hyperlink w:anchor="_Toc210914222" w:history="1">
        <w:r w:rsidRPr="00E34332">
          <w:rPr>
            <w:rStyle w:val="Hyperlink"/>
            <w:rFonts w:ascii="Arial" w:hAnsi="Arial"/>
            <w:lang w:val="fr-FR"/>
          </w:rPr>
          <w:t>3.</w:t>
        </w:r>
        <w:r w:rsidRPr="00E34332">
          <w:rPr>
            <w:rFonts w:ascii="Arial" w:eastAsiaTheme="minorEastAsia" w:hAnsi="Arial"/>
            <w:lang w:val="fr-FR" w:eastAsia="en-GB"/>
          </w:rPr>
          <w:tab/>
        </w:r>
        <w:r w:rsidRPr="00E34332">
          <w:rPr>
            <w:rStyle w:val="Hyperlink"/>
            <w:rFonts w:ascii="Arial" w:hAnsi="Arial"/>
            <w:lang w:val="fr-FR"/>
          </w:rPr>
          <w:t>Progrès dans l’identification et la protection des habitats importants pour les espèces inscrites aux Annexes de la CMS</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_Toc210914222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12</w:t>
        </w:r>
        <w:r w:rsidR="00AF1989" w:rsidRPr="00E34332">
          <w:rPr>
            <w:rFonts w:ascii="Arial" w:hAnsi="Arial"/>
            <w:webHidden/>
            <w:lang w:val="fr-FR"/>
          </w:rPr>
          <w:fldChar w:fldCharType="end"/>
        </w:r>
      </w:hyperlink>
    </w:p>
    <w:p w14:paraId="0206E0AA" w14:textId="77777777" w:rsidR="00AF1989" w:rsidRPr="00E34332" w:rsidRDefault="0020159F">
      <w:pPr>
        <w:pStyle w:val="TOC1"/>
        <w:tabs>
          <w:tab w:val="left" w:pos="440"/>
          <w:tab w:val="right" w:leader="dot" w:pos="9016"/>
        </w:tabs>
        <w:rPr>
          <w:rFonts w:ascii="Arial" w:eastAsiaTheme="minorEastAsia" w:hAnsi="Arial"/>
          <w:lang w:val="fr-FR" w:eastAsia="en-GB"/>
        </w:rPr>
      </w:pPr>
      <w:hyperlink w:anchor="_Toc210914223" w:history="1">
        <w:r w:rsidRPr="00E34332">
          <w:rPr>
            <w:rStyle w:val="Hyperlink"/>
            <w:rFonts w:ascii="Arial" w:hAnsi="Arial"/>
            <w:lang w:val="fr-FR"/>
          </w:rPr>
          <w:t>4.</w:t>
        </w:r>
        <w:r w:rsidRPr="00E34332">
          <w:rPr>
            <w:rFonts w:ascii="Arial" w:eastAsiaTheme="minorEastAsia" w:hAnsi="Arial"/>
            <w:lang w:val="fr-FR" w:eastAsia="en-GB"/>
          </w:rPr>
          <w:tab/>
        </w:r>
        <w:r w:rsidRPr="00E34332">
          <w:rPr>
            <w:rStyle w:val="Hyperlink"/>
            <w:rFonts w:ascii="Arial" w:hAnsi="Arial"/>
            <w:lang w:val="fr-FR"/>
          </w:rPr>
          <w:t>Progrès récents dans la cartographie des voies migratoires</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_Toc210914223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17</w:t>
        </w:r>
        <w:r w:rsidR="00AF1989" w:rsidRPr="00E34332">
          <w:rPr>
            <w:rFonts w:ascii="Arial" w:hAnsi="Arial"/>
            <w:webHidden/>
            <w:lang w:val="fr-FR"/>
          </w:rPr>
          <w:fldChar w:fldCharType="end"/>
        </w:r>
      </w:hyperlink>
    </w:p>
    <w:p w14:paraId="5CE57E19" w14:textId="77777777" w:rsidR="00AF1989" w:rsidRPr="00E34332" w:rsidRDefault="0020159F">
      <w:pPr>
        <w:pStyle w:val="TOC1"/>
        <w:tabs>
          <w:tab w:val="right" w:leader="dot" w:pos="9016"/>
        </w:tabs>
        <w:rPr>
          <w:rFonts w:ascii="Arial" w:eastAsiaTheme="minorEastAsia" w:hAnsi="Arial"/>
          <w:lang w:eastAsia="en-GB"/>
        </w:rPr>
      </w:pPr>
      <w:hyperlink w:anchor="_Toc210914224" w:history="1">
        <w:r w:rsidRPr="00E34332">
          <w:rPr>
            <w:rStyle w:val="Hyperlink"/>
            <w:rFonts w:ascii="Arial" w:hAnsi="Arial"/>
          </w:rPr>
          <w:t>Conclusion</w:t>
        </w:r>
        <w:r w:rsidRPr="00E34332">
          <w:rPr>
            <w:rFonts w:ascii="Arial" w:hAnsi="Arial"/>
            <w:webHidden/>
          </w:rPr>
          <w:tab/>
        </w:r>
        <w:r w:rsidR="00AF1989" w:rsidRPr="00E34332">
          <w:rPr>
            <w:rFonts w:ascii="Arial" w:hAnsi="Arial"/>
            <w:webHidden/>
          </w:rPr>
          <w:fldChar w:fldCharType="begin"/>
        </w:r>
        <w:r w:rsidRPr="00E34332">
          <w:rPr>
            <w:rFonts w:ascii="Arial" w:hAnsi="Arial"/>
            <w:webHidden/>
          </w:rPr>
          <w:instrText xml:space="preserve"> PAGEREF _Toc210914224 \h </w:instrText>
        </w:r>
        <w:r w:rsidR="00AF1989" w:rsidRPr="00E34332">
          <w:rPr>
            <w:rFonts w:ascii="Arial" w:hAnsi="Arial"/>
            <w:webHidden/>
          </w:rPr>
        </w:r>
        <w:r w:rsidR="00AF1989" w:rsidRPr="00E34332">
          <w:rPr>
            <w:rFonts w:ascii="Arial" w:hAnsi="Arial"/>
            <w:webHidden/>
          </w:rPr>
          <w:fldChar w:fldCharType="separate"/>
        </w:r>
        <w:r w:rsidRPr="00E34332">
          <w:rPr>
            <w:rFonts w:ascii="Arial" w:hAnsi="Arial"/>
            <w:webHidden/>
          </w:rPr>
          <w:t>21</w:t>
        </w:r>
        <w:r w:rsidR="00AF1989" w:rsidRPr="00E34332">
          <w:rPr>
            <w:rFonts w:ascii="Arial" w:hAnsi="Arial"/>
            <w:webHidden/>
          </w:rPr>
          <w:fldChar w:fldCharType="end"/>
        </w:r>
      </w:hyperlink>
    </w:p>
    <w:p w14:paraId="6B236298" w14:textId="77777777" w:rsidR="00AF1989" w:rsidRPr="00E34332" w:rsidRDefault="0020159F">
      <w:pPr>
        <w:pStyle w:val="TOC1"/>
        <w:tabs>
          <w:tab w:val="right" w:leader="dot" w:pos="9016"/>
        </w:tabs>
        <w:rPr>
          <w:rFonts w:ascii="Arial" w:eastAsiaTheme="minorEastAsia" w:hAnsi="Arial"/>
          <w:lang w:val="fr-FR" w:eastAsia="en-GB"/>
        </w:rPr>
      </w:pPr>
      <w:hyperlink w:anchor="_Toc210914225" w:history="1">
        <w:r w:rsidRPr="00E34332">
          <w:rPr>
            <w:rStyle w:val="Hyperlink"/>
            <w:rFonts w:ascii="Arial" w:hAnsi="Arial"/>
            <w:lang w:val="fr-FR"/>
          </w:rPr>
          <w:t>Annexe</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_Toc210914225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22</w:t>
        </w:r>
        <w:r w:rsidR="00AF1989" w:rsidRPr="00E34332">
          <w:rPr>
            <w:rFonts w:ascii="Arial" w:hAnsi="Arial"/>
            <w:webHidden/>
            <w:lang w:val="fr-FR"/>
          </w:rPr>
          <w:fldChar w:fldCharType="end"/>
        </w:r>
      </w:hyperlink>
    </w:p>
    <w:p w14:paraId="478A4612" w14:textId="77777777" w:rsidR="00AF1989" w:rsidRPr="00E34332" w:rsidRDefault="0020159F">
      <w:pPr>
        <w:pStyle w:val="TOC1"/>
        <w:tabs>
          <w:tab w:val="right" w:leader="dot" w:pos="9016"/>
        </w:tabs>
        <w:rPr>
          <w:rFonts w:ascii="Arial" w:eastAsiaTheme="minorEastAsia" w:hAnsi="Arial"/>
          <w:lang w:val="fr-FR" w:eastAsia="en-GB"/>
        </w:rPr>
      </w:pPr>
      <w:hyperlink w:anchor="_Toc210914226" w:history="1">
        <w:r w:rsidRPr="00E34332">
          <w:rPr>
            <w:rStyle w:val="Hyperlink"/>
            <w:rFonts w:ascii="Arial" w:hAnsi="Arial"/>
            <w:lang w:val="fr-FR"/>
          </w:rPr>
          <w:t>Références</w:t>
        </w:r>
        <w:r w:rsidRPr="00E34332">
          <w:rPr>
            <w:rFonts w:ascii="Arial" w:hAnsi="Arial"/>
            <w:webHidden/>
            <w:lang w:val="fr-FR"/>
          </w:rPr>
          <w:tab/>
        </w:r>
        <w:r w:rsidR="00AF1989" w:rsidRPr="00E34332">
          <w:rPr>
            <w:rFonts w:ascii="Arial" w:hAnsi="Arial"/>
            <w:webHidden/>
            <w:lang w:val="fr-FR"/>
          </w:rPr>
          <w:fldChar w:fldCharType="begin"/>
        </w:r>
        <w:r w:rsidRPr="00E34332">
          <w:rPr>
            <w:rFonts w:ascii="Arial" w:hAnsi="Arial"/>
            <w:webHidden/>
            <w:lang w:val="fr-FR"/>
          </w:rPr>
          <w:instrText xml:space="preserve"> PAGEREF _Toc210914226 \h </w:instrText>
        </w:r>
        <w:r w:rsidR="00AF1989" w:rsidRPr="00E34332">
          <w:rPr>
            <w:rFonts w:ascii="Arial" w:hAnsi="Arial"/>
            <w:webHidden/>
            <w:lang w:val="fr-FR"/>
          </w:rPr>
        </w:r>
        <w:r w:rsidR="00AF1989" w:rsidRPr="00E34332">
          <w:rPr>
            <w:rFonts w:ascii="Arial" w:hAnsi="Arial"/>
            <w:webHidden/>
            <w:lang w:val="fr-FR"/>
          </w:rPr>
          <w:fldChar w:fldCharType="separate"/>
        </w:r>
        <w:r w:rsidRPr="00E34332">
          <w:rPr>
            <w:rFonts w:ascii="Arial" w:hAnsi="Arial"/>
            <w:webHidden/>
            <w:lang w:val="fr-FR"/>
          </w:rPr>
          <w:t>24</w:t>
        </w:r>
        <w:r w:rsidR="00AF1989" w:rsidRPr="00E34332">
          <w:rPr>
            <w:rFonts w:ascii="Arial" w:hAnsi="Arial"/>
            <w:webHidden/>
            <w:lang w:val="fr-FR"/>
          </w:rPr>
          <w:fldChar w:fldCharType="end"/>
        </w:r>
      </w:hyperlink>
    </w:p>
    <w:p w14:paraId="1EAF0D43" w14:textId="77777777" w:rsidR="00AF1989" w:rsidRPr="00E34332" w:rsidRDefault="00AF1989">
      <w:pPr>
        <w:rPr>
          <w:rFonts w:ascii="Roboto" w:hAnsi="Roboto"/>
          <w:color w:val="003870"/>
          <w:lang w:val="fr-FR"/>
        </w:rPr>
      </w:pPr>
      <w:r w:rsidRPr="00E34332">
        <w:rPr>
          <w:rFonts w:cs="Arial"/>
          <w:color w:val="003870"/>
          <w:lang w:val="fr-FR"/>
        </w:rPr>
        <w:fldChar w:fldCharType="end"/>
      </w:r>
    </w:p>
    <w:p w14:paraId="3C9C8C52" w14:textId="77777777" w:rsidR="00AF1989" w:rsidRPr="00E34332" w:rsidRDefault="00AF1989">
      <w:pPr>
        <w:spacing w:after="0" w:line="240" w:lineRule="auto"/>
        <w:jc w:val="both"/>
        <w:rPr>
          <w:rFonts w:cs="Arial"/>
          <w:b/>
          <w:color w:val="003870"/>
          <w:lang w:val="fr-FR"/>
        </w:rPr>
      </w:pPr>
    </w:p>
    <w:p w14:paraId="5CBFFC7B" w14:textId="77777777" w:rsidR="00AF1989" w:rsidRPr="00E34332" w:rsidRDefault="00AF1989">
      <w:pPr>
        <w:spacing w:after="0" w:line="240" w:lineRule="auto"/>
        <w:jc w:val="both"/>
        <w:rPr>
          <w:rFonts w:cs="Arial"/>
          <w:b/>
          <w:color w:val="003870"/>
          <w:lang w:val="fr-FR"/>
        </w:rPr>
        <w:sectPr w:rsidR="00AF1989" w:rsidRPr="00E34332">
          <w:footerReference w:type="even" r:id="rId24"/>
          <w:pgSz w:w="11906" w:h="16838"/>
          <w:pgMar w:top="1440" w:right="1440" w:bottom="1440" w:left="1440" w:header="708" w:footer="708" w:gutter="0"/>
          <w:pgNumType w:fmt="lowerRoman" w:start="4"/>
          <w:cols w:space="708"/>
          <w:docGrid w:linePitch="360"/>
        </w:sectPr>
      </w:pPr>
    </w:p>
    <w:p w14:paraId="4C45DA97" w14:textId="77777777" w:rsidR="00AF1989" w:rsidRPr="00E34332" w:rsidRDefault="0020159F">
      <w:pPr>
        <w:pStyle w:val="Heading1"/>
        <w:spacing w:before="0" w:line="240" w:lineRule="auto"/>
        <w:jc w:val="both"/>
        <w:rPr>
          <w:rFonts w:ascii="Arial" w:hAnsi="Arial" w:cs="Arial"/>
          <w:b/>
          <w:color w:val="auto"/>
          <w:sz w:val="22"/>
          <w:szCs w:val="22"/>
          <w:lang w:val="fr-FR"/>
        </w:rPr>
      </w:pPr>
      <w:bookmarkStart w:id="4" w:name="_Toc210914218"/>
      <w:r w:rsidRPr="00E34332">
        <w:rPr>
          <w:rFonts w:ascii="Arial" w:hAnsi="Arial" w:cs="Arial"/>
          <w:b/>
          <w:color w:val="auto"/>
          <w:sz w:val="22"/>
          <w:szCs w:val="22"/>
          <w:lang w:val="fr-FR"/>
        </w:rPr>
        <w:lastRenderedPageBreak/>
        <w:t>Résumé analytique</w:t>
      </w:r>
      <w:bookmarkEnd w:id="4"/>
    </w:p>
    <w:p w14:paraId="2EDFBFE1" w14:textId="77777777" w:rsidR="00AF1989" w:rsidRPr="00E34332" w:rsidRDefault="00AF1989">
      <w:pPr>
        <w:spacing w:after="0" w:line="240" w:lineRule="auto"/>
        <w:rPr>
          <w:lang w:val="fr-FR"/>
        </w:rPr>
      </w:pPr>
    </w:p>
    <w:p w14:paraId="58D0D93A" w14:textId="77777777" w:rsidR="00AF1989" w:rsidRPr="00E34332" w:rsidRDefault="0020159F">
      <w:pPr>
        <w:spacing w:after="0" w:line="240" w:lineRule="auto"/>
        <w:jc w:val="both"/>
        <w:rPr>
          <w:rFonts w:cs="Arial"/>
          <w:lang w:val="fr-FR"/>
        </w:rPr>
      </w:pPr>
      <w:r w:rsidRPr="00E34332">
        <w:rPr>
          <w:rFonts w:cs="Arial"/>
          <w:lang w:val="fr-FR"/>
        </w:rPr>
        <w:t xml:space="preserve">Le premier </w:t>
      </w:r>
      <w:hyperlink r:id="rId25" w:history="1">
        <w:r w:rsidRPr="00E34332">
          <w:rPr>
            <w:rStyle w:val="Hyperlink"/>
            <w:rFonts w:cs="Arial"/>
            <w:i/>
            <w:iCs/>
            <w:lang w:val="fr-FR"/>
          </w:rPr>
          <w:t>Rapport sur l'état des espèces migratrices dans le monde</w:t>
        </w:r>
      </w:hyperlink>
      <w:r w:rsidRPr="00E34332">
        <w:rPr>
          <w:rFonts w:cs="Arial"/>
          <w:lang w:val="fr-FR"/>
        </w:rPr>
        <w:t xml:space="preserve"> a été lancé lors de la 14</w:t>
      </w:r>
      <w:r w:rsidRPr="00E34332">
        <w:rPr>
          <w:rFonts w:cs="Arial"/>
          <w:vertAlign w:val="superscript"/>
          <w:lang w:val="fr-FR"/>
        </w:rPr>
        <w:t>e</w:t>
      </w:r>
      <w:r w:rsidRPr="00E34332">
        <w:rPr>
          <w:rFonts w:cs="Arial"/>
          <w:lang w:val="fr-FR"/>
        </w:rPr>
        <w:t xml:space="preserve"> session de la Conférence des Parties à la Convention sur la conservation des espèces migratrices appartenant à la faune sauvage (COP14 à la CMS), en février 2024. Le rapport a révélé que le risque d’extinction des espèces inscrites aux Annexes de la CMS est en augmentation, et que cette même tendance est également observée pour l’ensemble des espèces migratrices (y compris celles qui ne figurent pas aux Annexes de la CMS). Cette trajectoire préoccupante résulte de pressions croissantes exercées par les activités humaines, de nombreuses espèces migratrices étant exposées à une combinaison de menaces interconnectées se manifestant en différents points de leurs routes migratoires.</w:t>
      </w:r>
    </w:p>
    <w:p w14:paraId="5F2A72A4" w14:textId="77777777" w:rsidR="00AF1989" w:rsidRPr="00E34332" w:rsidRDefault="00AF1989">
      <w:pPr>
        <w:spacing w:after="0" w:line="240" w:lineRule="auto"/>
        <w:jc w:val="both"/>
        <w:rPr>
          <w:rFonts w:cs="Arial"/>
          <w:lang w:val="fr-FR"/>
        </w:rPr>
      </w:pPr>
    </w:p>
    <w:p w14:paraId="7A7CDEFB" w14:textId="77777777" w:rsidR="00AF1989" w:rsidRPr="00E34332" w:rsidRDefault="0020159F">
      <w:pPr>
        <w:spacing w:after="0" w:line="240" w:lineRule="auto"/>
        <w:jc w:val="both"/>
        <w:rPr>
          <w:rFonts w:cs="Arial"/>
          <w:lang w:val="fr-FR"/>
        </w:rPr>
      </w:pPr>
      <w:r w:rsidRPr="00E34332">
        <w:rPr>
          <w:rFonts w:cs="Arial"/>
          <w:lang w:val="fr-FR"/>
        </w:rPr>
        <w:t>Ce rapport intérimaire, élaboré pour la COP 15 à la CMS en réponse à la décision 14.24 d), présente une mise à jour des principales évolutions de l’état de conservation des espèces inscrites aux Annexes de la CMS depuis la COP14. Il comprend une analyse des mises à jour de la Liste rouge des espèces menacées de l’UICN</w:t>
      </w:r>
      <w:r w:rsidRPr="00E34332">
        <w:rPr>
          <w:rFonts w:eastAsia="Calibri" w:cs="Arial"/>
          <w:vertAlign w:val="superscript"/>
          <w:lang w:val="fr-FR"/>
        </w:rPr>
        <w:t xml:space="preserve"> </w:t>
      </w:r>
      <w:r w:rsidRPr="00E34332">
        <w:rPr>
          <w:rFonts w:eastAsia="Calibri" w:cs="Arial"/>
          <w:kern w:val="2"/>
          <w:vertAlign w:val="superscript"/>
          <w:lang w:val="fr-FR"/>
        </w:rPr>
        <w:t>TM</w:t>
      </w:r>
      <w:r w:rsidRPr="00E34332">
        <w:rPr>
          <w:rFonts w:eastAsia="Calibri" w:cs="Arial"/>
          <w:kern w:val="2"/>
          <w:lang w:val="fr-FR"/>
        </w:rPr>
        <w:t xml:space="preserve"> </w:t>
      </w:r>
      <w:r w:rsidRPr="00E34332">
        <w:rPr>
          <w:rFonts w:cs="Arial"/>
          <w:lang w:val="fr-FR"/>
        </w:rPr>
        <w:t>et résume les informations sur les tendances des populations et les changements de répartition issues de publications scientifiques récentes. Il fournit également une mise à jour sur le degré d’identification et de protection des habitats importants pour les espèces inscrites aux Annexes de la CMS. Enfin, il met en lumière plusieurs initiatives qui cartographient les itinéraires et les chemins empruntés par les espèces migratrices.</w:t>
      </w:r>
    </w:p>
    <w:p w14:paraId="2383487C" w14:textId="77777777" w:rsidR="00AF1989" w:rsidRPr="00E34332" w:rsidRDefault="00AF1989">
      <w:pPr>
        <w:spacing w:after="0" w:line="240" w:lineRule="auto"/>
        <w:jc w:val="both"/>
        <w:rPr>
          <w:rFonts w:cs="Arial"/>
          <w:lang w:val="fr-FR"/>
        </w:rPr>
      </w:pPr>
    </w:p>
    <w:p w14:paraId="7E8075EA" w14:textId="77777777" w:rsidR="00AF1989" w:rsidRPr="00E34332" w:rsidRDefault="0020159F">
      <w:pPr>
        <w:spacing w:after="0" w:line="240" w:lineRule="auto"/>
        <w:jc w:val="both"/>
        <w:rPr>
          <w:rFonts w:cs="Arial"/>
          <w:lang w:val="fr-FR"/>
        </w:rPr>
      </w:pPr>
      <w:r w:rsidRPr="00E34332">
        <w:rPr>
          <w:rFonts w:cs="Arial"/>
          <w:lang w:val="fr-FR"/>
        </w:rPr>
        <w:t xml:space="preserve">Depuis l’analyse de cet ensemble de données dans le premier </w:t>
      </w:r>
      <w:r w:rsidRPr="00E34332">
        <w:rPr>
          <w:rFonts w:cs="Arial"/>
          <w:i/>
          <w:lang w:val="fr-FR"/>
        </w:rPr>
        <w:t>Rapport sur l’état des espèces migratrices dans le monde</w:t>
      </w:r>
      <w:r w:rsidRPr="00E34332">
        <w:rPr>
          <w:rFonts w:cs="Arial"/>
          <w:lang w:val="fr-FR"/>
        </w:rPr>
        <w:t xml:space="preserve">, des évaluations mises à jour de la Liste rouge de l’UICN ont été publiées pour environ un tiers de l’ensemble des espèces inscrites aux Annexes de la CMS. À la suite de ces réévaluations, près d’une espèce inscrite aux Annexes de la CMS sur quatre (24 %) est désormais menacée à l’échelle mondiale, ce qui représente une augmentation marginale (2 %) par rapport au pourcentage (22 %) signalé lors de la COP14. Parmi les espèces inscrites aux Annexes de la CMS avant la COP14, 34 ont changé de catégorie sur la Liste rouge de l’UICN au cours de la même période. Vingt-six de ces espèces ont été déplacées vers une catégorie de menace plus élevée sur la Liste rouge de l’UICN, dont 18 oiseaux de rivage. La majorité de ces oiseaux de rivage ont été confirmés comme ayant subi une dégradation de leur état de conservation attribuable à l’intensification des menaces, et non à des changements découlant d’une meilleure connaissance des données montrant que l’espèce était plus menacée qu’initialement estimé. Dans le même temps, sept espèces inscrites aux Annexes de la CMS ont été déplacées vers une catégorie de menace moins élevée sur la Liste rouge de l’UICN, reflétant certains succès en matière de conservation. </w:t>
      </w:r>
    </w:p>
    <w:p w14:paraId="21388D0B" w14:textId="77777777" w:rsidR="00AF1989" w:rsidRPr="00E34332" w:rsidRDefault="00AF1989">
      <w:pPr>
        <w:spacing w:after="0" w:line="240" w:lineRule="auto"/>
        <w:jc w:val="both"/>
        <w:rPr>
          <w:rFonts w:cs="Arial"/>
          <w:lang w:val="fr-FR"/>
        </w:rPr>
      </w:pPr>
    </w:p>
    <w:p w14:paraId="11879C5E" w14:textId="77777777" w:rsidR="00AF1989" w:rsidRPr="00E34332" w:rsidRDefault="0020159F">
      <w:pPr>
        <w:spacing w:after="0" w:line="240" w:lineRule="auto"/>
        <w:jc w:val="both"/>
        <w:rPr>
          <w:rFonts w:cs="Arial"/>
          <w:lang w:val="fr-FR"/>
        </w:rPr>
      </w:pPr>
      <w:r w:rsidRPr="00E34332">
        <w:rPr>
          <w:rFonts w:cs="Arial"/>
          <w:lang w:val="fr-FR"/>
        </w:rPr>
        <w:t>Selon les données des évaluations de la Liste rouge de l’UICN, la proportion d’espèces inscrites aux Annexes de la CMS dont la tendance des populations est à la baisse s’élève désormais à 49 %, contre 44 % lors de la COP14. Ce changement peut refléter une meilleure information sur les tendances des populations, plutôt qu’une baisse soudaine depuis la COP14, mais la situation reste préoccupante. Des articles scientifiques et rapports récemment publiés mettent également en évidence des tendances à la baisse des populations d’oiseaux de rivage migrateurs, de rapaces de la voie migratoire Afrique-Eurasie, de poissons d’eau douce, ainsi que de requins et de raies. Beaucoup de ces observations confirment des tendances alarmantes déjà identifiées lors de la COP14, notamment la dégradation de l’état de conservation des poissons inscrits aux Annexes de la CMS. Ces tendances négatives contrastent avec un tableau globalement plus positif pour de nombreuses populations de tortues marines dans le monde (mais pas toutes).</w:t>
      </w:r>
    </w:p>
    <w:p w14:paraId="1A866C8F" w14:textId="77777777" w:rsidR="00AF1989" w:rsidRPr="00E34332" w:rsidRDefault="00AF1989">
      <w:pPr>
        <w:spacing w:after="0" w:line="240" w:lineRule="auto"/>
        <w:jc w:val="both"/>
        <w:rPr>
          <w:rFonts w:cs="Arial"/>
          <w:lang w:val="fr-FR"/>
        </w:rPr>
      </w:pPr>
    </w:p>
    <w:p w14:paraId="31FF7C72" w14:textId="77777777" w:rsidR="00AF1989" w:rsidRPr="00E34332" w:rsidRDefault="0020159F">
      <w:pPr>
        <w:spacing w:after="0" w:line="240" w:lineRule="auto"/>
        <w:jc w:val="both"/>
        <w:rPr>
          <w:rFonts w:cs="Arial"/>
          <w:lang w:val="fr-FR"/>
        </w:rPr>
      </w:pPr>
      <w:r w:rsidRPr="00E34332">
        <w:rPr>
          <w:rFonts w:cs="Arial"/>
          <w:lang w:val="fr-FR"/>
        </w:rPr>
        <w:t xml:space="preserve">Depuis la COP14, des progrès ont été réalisés dans l’identification des zones constituant des habitats importants pour les espèces inscrites aux Annexes de la CMS. À ce jour, sur les 16 589 zones clés pour la biodiversité (ZCB) reconnues à l’échelle mondiale, 9 372 ont </w:t>
      </w:r>
      <w:r w:rsidRPr="00E34332">
        <w:rPr>
          <w:rFonts w:cs="Arial"/>
          <w:lang w:val="fr-FR"/>
        </w:rPr>
        <w:lastRenderedPageBreak/>
        <w:t>été identifiées comme importantes pour les espèces inscrites aux Annexes de la CMS. Un nombre croissant d’aires importantes pour les mammifères marins (AIMM) et d’aires importantes pour les requins et les raies (AIRR) – représentant ensemble plus de 1 000 zones distinctes dans le monde – ont également été identifiées. De nombreuses aires importantes pour les mammifères aquatiques et les requins inscrits aux Annexes de la CMS ont été délimitées dans le cadre des réseaux AIMM et AIRR. Bien que des aires importantes aient désormais été identifiées pour un éventail plus large d’espèces inscrites aux Annexes de la CMS, il reste nécessaire de poursuivre les travaux afin d’identifier de manière exhaustive les réseaux de sites dont chaque espèce dépend tout au long de son cycle de vie et de son cycle annuel.</w:t>
      </w:r>
    </w:p>
    <w:p w14:paraId="3155FABB" w14:textId="77777777" w:rsidR="00AF1989" w:rsidRPr="00E34332" w:rsidRDefault="00AF1989">
      <w:pPr>
        <w:spacing w:after="0" w:line="240" w:lineRule="auto"/>
        <w:jc w:val="both"/>
        <w:rPr>
          <w:rFonts w:cs="Arial"/>
          <w:lang w:val="fr-FR"/>
        </w:rPr>
      </w:pPr>
    </w:p>
    <w:p w14:paraId="4A809F31" w14:textId="77777777" w:rsidR="00AF1989" w:rsidRPr="00E34332" w:rsidRDefault="0020159F">
      <w:pPr>
        <w:spacing w:after="0" w:line="240" w:lineRule="auto"/>
        <w:jc w:val="both"/>
        <w:rPr>
          <w:rFonts w:cs="Arial"/>
          <w:lang w:val="fr-FR"/>
        </w:rPr>
      </w:pPr>
      <w:r w:rsidRPr="00E34332">
        <w:rPr>
          <w:rFonts w:cs="Arial"/>
          <w:lang w:val="fr-FR"/>
        </w:rPr>
        <w:t xml:space="preserve">Des progrès significatifs ont également été réalisés depuis la COP14 dans les efforts de synthèse des informations spatiales sur les routes, voies et connexions migratoires, par divers groupes et initiatives. Ces efforts sont illustrés dans ce rapport à travers une section spéciale mettant en lumière l’Initiative mondiale sur la migration des ongulés (GIUM), le système </w:t>
      </w:r>
      <w:proofErr w:type="spellStart"/>
      <w:r w:rsidRPr="00E34332">
        <w:rPr>
          <w:rFonts w:cs="Arial"/>
          <w:lang w:val="fr-FR"/>
        </w:rPr>
        <w:t>MiCO</w:t>
      </w:r>
      <w:proofErr w:type="spellEnd"/>
      <w:r w:rsidRPr="00E34332">
        <w:rPr>
          <w:rFonts w:cs="Arial"/>
          <w:lang w:val="fr-FR"/>
        </w:rPr>
        <w:t xml:space="preserve"> (connectivité migratoire dans l’océan) et le travail de </w:t>
      </w:r>
      <w:proofErr w:type="spellStart"/>
      <w:r w:rsidRPr="00E34332">
        <w:rPr>
          <w:rFonts w:cs="Arial"/>
          <w:lang w:val="fr-FR"/>
        </w:rPr>
        <w:t>BirdLife</w:t>
      </w:r>
      <w:proofErr w:type="spellEnd"/>
      <w:r w:rsidRPr="00E34332">
        <w:rPr>
          <w:rFonts w:cs="Arial"/>
          <w:lang w:val="fr-FR"/>
        </w:rPr>
        <w:t xml:space="preserve"> International visant à identifier et cartographier six grandes voies migratoires marines. La cartographie actualisée peut accélérer l’identification de réseaux de sites complets pour les espèces migratrices et contribuer à localiser les obstacles d’origine humaine ainsi que les activités anthropiques qui risquent de perturber la connectivité et de fragmenter les routes migratoires.</w:t>
      </w:r>
    </w:p>
    <w:p w14:paraId="4367EAAD" w14:textId="77777777" w:rsidR="00AF1989" w:rsidRPr="00E34332" w:rsidRDefault="00AF1989">
      <w:pPr>
        <w:spacing w:after="0" w:line="240" w:lineRule="auto"/>
        <w:jc w:val="both"/>
        <w:rPr>
          <w:rFonts w:cs="Arial"/>
          <w:lang w:val="fr-FR"/>
        </w:rPr>
      </w:pPr>
    </w:p>
    <w:p w14:paraId="04A2BA74" w14:textId="77777777" w:rsidR="00AF1989" w:rsidRPr="00E34332" w:rsidRDefault="0020159F">
      <w:pPr>
        <w:spacing w:after="0" w:line="240" w:lineRule="auto"/>
        <w:jc w:val="both"/>
        <w:rPr>
          <w:rFonts w:cs="Arial"/>
          <w:lang w:val="fr-FR"/>
        </w:rPr>
      </w:pPr>
      <w:r w:rsidRPr="00E34332">
        <w:rPr>
          <w:rFonts w:cs="Arial"/>
          <w:lang w:val="fr-FR"/>
        </w:rPr>
        <w:t>Malgré ces avancées, des informations scientifiques détaillées sur les habitats et les voies migratoires les plus importants font encore défaut pour de nombreuses espèces inscrites aux Annexes de la CMS, et des lacunes de connaissance régionales substantielles subsistent. Des lacunes existent également dans les efforts visant à protéger les habitats importants ; de manière cruciale, de nombreuses aires importantes pour les espèces inscrites aux Annexes de la CMS identifiées à ce jour ne disposent pas d’un niveau de protection adéquat. En moyenne, un peu plus de la moitié (52,6 %) de la surface de chaque zone clé pour la biodiversité (ZCB) identifiée comme importante pour les espèces inscrites aux Annexes de la CMS est désormais couverte par des aires protégées et conservées. Ces résultats indiquent qu’il existe potentiellement des lacunes importantes dans la protection des sites essentiels à la survie mondiale des espèces inscrites aux Annexes de la CMS ; l’identification de ces sites non protégés constitue également une base utile pour les pays afin de planifier, hiérarchiser et prendre des décisions concernant la création de nouvelles aires protégées et conservées.</w:t>
      </w:r>
    </w:p>
    <w:p w14:paraId="71D7B22E" w14:textId="77777777" w:rsidR="00AF1989" w:rsidRPr="00E34332" w:rsidRDefault="00AF1989">
      <w:pPr>
        <w:spacing w:after="0" w:line="240" w:lineRule="auto"/>
        <w:jc w:val="both"/>
        <w:rPr>
          <w:rFonts w:cs="Arial"/>
          <w:lang w:val="fr-FR"/>
        </w:rPr>
      </w:pPr>
    </w:p>
    <w:p w14:paraId="7ADB77D5" w14:textId="77777777" w:rsidR="00AF1989" w:rsidRPr="00E34332" w:rsidRDefault="0020159F">
      <w:pPr>
        <w:spacing w:after="0" w:line="240" w:lineRule="auto"/>
        <w:jc w:val="both"/>
        <w:rPr>
          <w:rFonts w:cs="Arial"/>
          <w:lang w:val="fr-FR"/>
        </w:rPr>
        <w:sectPr w:rsidR="00AF1989" w:rsidRPr="00E34332">
          <w:headerReference w:type="default" r:id="rId26"/>
          <w:pgSz w:w="11906" w:h="16838"/>
          <w:pgMar w:top="1440" w:right="1440" w:bottom="1440" w:left="1440" w:header="708" w:footer="708" w:gutter="0"/>
          <w:pgNumType w:fmt="lowerRoman"/>
          <w:cols w:space="708"/>
          <w:docGrid w:linePitch="360"/>
        </w:sectPr>
      </w:pPr>
      <w:r w:rsidRPr="00E34332">
        <w:rPr>
          <w:rFonts w:cs="Arial"/>
          <w:lang w:val="fr-FR"/>
        </w:rPr>
        <w:t xml:space="preserve">D’après les conclusions de ce rapport, des actions supplémentaires seront nécessaires pour atteindre la Cible 2.2 du Plan stratégique de Samarcande pour les espèces migratrices, qui prévoit la protection, la conservation efficace, la gestion et la restauration de tous les habitats importants pour les espèces inscrites aux Annexes de la CMS d’ici 2032. Accélérer les efforts pour identifier les réseaux de sites importants et cartographier les voies migratoires qui les relient sera essentiel pour garantir que la conservation fondée sur les zones soit ciblée là où elle est le plus nécessaire. En fin de compte, des actions visant à restaurer, connecter et protéger les habitats importants, ainsi qu’à réduire les pressions exercées sur les espèces migratrices par des menaces telles que la surexploitation, le changement climatique et la pollution, restent urgemment nécessaires pour assurer leur avenir. Le premier </w:t>
      </w:r>
      <w:hyperlink r:id="rId27" w:history="1">
        <w:r w:rsidRPr="00E34332">
          <w:rPr>
            <w:rStyle w:val="Hyperlink"/>
            <w:rFonts w:cs="Arial"/>
            <w:i/>
            <w:iCs/>
            <w:lang w:val="fr-FR"/>
          </w:rPr>
          <w:t>Rapport sur l’état des espèces migratrices dans le monde</w:t>
        </w:r>
      </w:hyperlink>
      <w:r w:rsidRPr="00E34332">
        <w:rPr>
          <w:rFonts w:cs="Arial"/>
          <w:lang w:val="fr-FR"/>
        </w:rPr>
        <w:t xml:space="preserve"> comprenait un ensemble de recommandations pour des actions prioritaires, qui ont servi de base au Plan stratégique de Samarcande pour les espèces migratrices. Ces actions recommandées restent valables et sont plus urgentes que jamais.</w:t>
      </w:r>
    </w:p>
    <w:p w14:paraId="50912096" w14:textId="77777777" w:rsidR="00AF1989" w:rsidRPr="00E34332" w:rsidRDefault="0020159F">
      <w:pPr>
        <w:pStyle w:val="Heading1"/>
        <w:spacing w:before="0" w:line="240" w:lineRule="auto"/>
        <w:jc w:val="both"/>
        <w:rPr>
          <w:rFonts w:ascii="Arial" w:hAnsi="Arial" w:cs="Arial"/>
          <w:b/>
          <w:color w:val="auto"/>
          <w:sz w:val="22"/>
          <w:szCs w:val="22"/>
          <w:lang w:val="fr-FR"/>
        </w:rPr>
      </w:pPr>
      <w:bookmarkStart w:id="5" w:name="_Toc210914219"/>
      <w:r w:rsidRPr="00E34332">
        <w:rPr>
          <w:rFonts w:ascii="Arial" w:hAnsi="Arial" w:cs="Arial"/>
          <w:b/>
          <w:color w:val="auto"/>
          <w:sz w:val="22"/>
          <w:szCs w:val="22"/>
          <w:lang w:val="fr-FR"/>
        </w:rPr>
        <w:lastRenderedPageBreak/>
        <w:t>Introductio</w:t>
      </w:r>
      <w:bookmarkEnd w:id="5"/>
      <w:r w:rsidRPr="00E34332">
        <w:rPr>
          <w:rFonts w:ascii="Arial" w:hAnsi="Arial" w:cs="Arial"/>
          <w:b/>
          <w:color w:val="auto"/>
          <w:sz w:val="22"/>
          <w:szCs w:val="22"/>
          <w:lang w:val="fr-FR"/>
        </w:rPr>
        <w:t>n</w:t>
      </w:r>
    </w:p>
    <w:p w14:paraId="6A9BFE38" w14:textId="77777777" w:rsidR="00AF1989" w:rsidRPr="00E34332" w:rsidRDefault="00AF1989">
      <w:pPr>
        <w:spacing w:after="0" w:line="240" w:lineRule="auto"/>
        <w:rPr>
          <w:lang w:val="fr-FR"/>
        </w:rPr>
      </w:pPr>
    </w:p>
    <w:p w14:paraId="7D74A17A" w14:textId="77777777" w:rsidR="00AF1989" w:rsidRPr="00E34332" w:rsidRDefault="0020159F">
      <w:pPr>
        <w:spacing w:after="0" w:line="240" w:lineRule="auto"/>
        <w:jc w:val="both"/>
        <w:rPr>
          <w:rFonts w:cs="Arial"/>
          <w:lang w:val="fr-FR"/>
        </w:rPr>
      </w:pPr>
      <w:r w:rsidRPr="00E34332">
        <w:rPr>
          <w:rFonts w:cs="Arial"/>
          <w:lang w:val="fr-FR"/>
        </w:rPr>
        <w:t xml:space="preserve">Le premier </w:t>
      </w:r>
      <w:hyperlink r:id="rId28" w:history="1">
        <w:r w:rsidRPr="00E34332">
          <w:rPr>
            <w:rStyle w:val="Hyperlink"/>
            <w:rFonts w:cs="Arial"/>
            <w:i/>
            <w:lang w:val="fr-FR"/>
          </w:rPr>
          <w:t>Rapport sur l’état des espèces migratrices dans le monde</w:t>
        </w:r>
      </w:hyperlink>
      <w:r w:rsidRPr="00E34332">
        <w:rPr>
          <w:rFonts w:cs="Arial"/>
          <w:lang w:val="fr-FR"/>
        </w:rPr>
        <w:t xml:space="preserve"> a été lancé lors de la COP14 de la CMS à Samarcande, en Ouzbékistan, en mars 2024. Le rapport présentait un aperçu complet de l’état de conservation des espèces migratrices et des pressions auxquelles elles sont confrontées. Il mettait également en lumière des exemples d’actions entreprises pour la conservation de ces espèces et de leurs habitats. </w:t>
      </w:r>
    </w:p>
    <w:p w14:paraId="7E63BE2D" w14:textId="77777777" w:rsidR="00AF1989" w:rsidRPr="00E34332" w:rsidRDefault="00AF1989">
      <w:pPr>
        <w:spacing w:after="0" w:line="240" w:lineRule="auto"/>
        <w:jc w:val="both"/>
        <w:rPr>
          <w:rFonts w:cs="Arial"/>
          <w:lang w:val="fr-FR"/>
        </w:rPr>
      </w:pPr>
    </w:p>
    <w:p w14:paraId="5383C419" w14:textId="77777777" w:rsidR="00AF1989" w:rsidRPr="00E34332" w:rsidRDefault="0020159F">
      <w:pPr>
        <w:spacing w:after="0" w:line="240" w:lineRule="auto"/>
        <w:jc w:val="both"/>
        <w:rPr>
          <w:rFonts w:cs="Arial"/>
          <w:lang w:val="fr-FR"/>
        </w:rPr>
      </w:pPr>
      <w:r w:rsidRPr="00E34332">
        <w:rPr>
          <w:rFonts w:cs="Arial"/>
          <w:lang w:val="fr-FR"/>
        </w:rPr>
        <w:t xml:space="preserve">L’un des messages clés du </w:t>
      </w:r>
      <w:r w:rsidRPr="00E34332">
        <w:rPr>
          <w:rFonts w:cs="Arial"/>
          <w:i/>
          <w:lang w:val="fr-FR"/>
        </w:rPr>
        <w:t>Rapport sur l’état des espèces migratrices dans le monde</w:t>
      </w:r>
      <w:r w:rsidRPr="00E34332">
        <w:rPr>
          <w:rFonts w:cs="Arial"/>
          <w:lang w:val="fr-FR"/>
        </w:rPr>
        <w:t xml:space="preserve"> est que l’état de conservation des espèces migratrices se dégrade dans l’ensemble. Un peu plus d’une espèce inscrite aux Annexes de la CMS sur cinq a été jugée menacée d’extinction, et 44 % présentent un déclin de leurs populations. Le rapport a conclu que ces tendances sont provoquées par des niveaux élevés de pression anthropique, les principales pressions exercées sur l’ensemble des espèces inscrites aux Annexes de la CMS étant la perte, la dégradation et la fragmentation des habitats, ainsi que la surexploitation. Parmi les autres menaces majeures figurent la pollution, le changement climatique et les espèces envahissantes.</w:t>
      </w:r>
    </w:p>
    <w:p w14:paraId="0106E7C0" w14:textId="77777777" w:rsidR="00AF1989" w:rsidRPr="00E34332" w:rsidRDefault="00AF1989">
      <w:pPr>
        <w:spacing w:after="0" w:line="240" w:lineRule="auto"/>
        <w:jc w:val="both"/>
        <w:rPr>
          <w:rFonts w:cs="Arial"/>
          <w:lang w:val="fr-FR"/>
        </w:rPr>
      </w:pPr>
    </w:p>
    <w:p w14:paraId="00F55D1D" w14:textId="77777777" w:rsidR="00AF1989" w:rsidRPr="00E34332" w:rsidRDefault="0020159F">
      <w:pPr>
        <w:spacing w:after="0" w:line="240" w:lineRule="auto"/>
        <w:jc w:val="both"/>
        <w:rPr>
          <w:rFonts w:cs="Arial"/>
          <w:lang w:val="fr-FR"/>
        </w:rPr>
      </w:pPr>
      <w:r w:rsidRPr="00E34332">
        <w:rPr>
          <w:rFonts w:cs="Arial"/>
          <w:lang w:val="fr-FR"/>
        </w:rPr>
        <w:t xml:space="preserve">Bien que les principaux facteurs à l’origine de l’augmentation du risque d’extinction des espèces inscrites aux Annexes de la CMS n’aient probablement pas beaucoup évolué depuis la COP14, de nouvelles informations pertinentes concernant l’état de conservation et les tendances de nombreuses espèces inscrites aux Annexes de la CMS et d’espèces migratrices ont été publiées au cours de la période intérimaire. Reconnaissant la nécessité d’examens réguliers des informations sur l’état et les menaces pesant sur les espèces migratrices, les Parties à la CMS ont adopté la </w:t>
      </w:r>
      <w:hyperlink r:id="rId29" w:history="1">
        <w:r w:rsidRPr="00E34332">
          <w:rPr>
            <w:rStyle w:val="Hyperlink"/>
            <w:rFonts w:cs="Arial"/>
            <w:lang w:val="fr-FR"/>
          </w:rPr>
          <w:t>Résolution 14.4</w:t>
        </w:r>
      </w:hyperlink>
      <w:r w:rsidRPr="00E34332">
        <w:rPr>
          <w:rStyle w:val="Hyperlink"/>
          <w:rFonts w:cs="Arial"/>
          <w:lang w:val="fr-FR"/>
        </w:rPr>
        <w:t xml:space="preserve"> </w:t>
      </w:r>
      <w:r w:rsidRPr="00E34332">
        <w:rPr>
          <w:rFonts w:cs="Arial"/>
          <w:lang w:val="fr-FR"/>
        </w:rPr>
        <w:t xml:space="preserve">afin d’éclairer les actions de conservation. Par le biais de cette Résolution, les Parties ont décidé que le </w:t>
      </w:r>
      <w:r w:rsidRPr="00E34332">
        <w:rPr>
          <w:rFonts w:cs="Arial"/>
          <w:i/>
          <w:iCs/>
          <w:lang w:val="fr-FR"/>
        </w:rPr>
        <w:t>Rapport sur l’état des espèces migratrices dans le monde</w:t>
      </w:r>
      <w:r w:rsidRPr="00E34332">
        <w:rPr>
          <w:rFonts w:cs="Arial"/>
          <w:lang w:val="fr-FR"/>
        </w:rPr>
        <w:t xml:space="preserve"> devrait être élaboré pour les réunions alternées de la Conférence des Parties, le prochain rapport devant être préparé pour la COP16. Lors des réunions intérimaires, à partir de la COP15, les Parties ont convenu – par la Décision 14.24 d) – que le Secrétariat devait « </w:t>
      </w:r>
      <w:r w:rsidRPr="00E34332">
        <w:rPr>
          <w:rFonts w:cs="Arial"/>
          <w:i/>
          <w:lang w:val="fr-FR"/>
        </w:rPr>
        <w:t>pendant la période intersessions avant la COP15, [d’]identifier tout développement majeur concernant l'état de conservation des espèces migratrices, y compris les tendances émergentes ou les menaces, et [de] préparer un résumé pour la 8e Réunion du Comité de session et à l'attention de la COP15</w:t>
      </w:r>
      <w:r w:rsidRPr="00E34332">
        <w:rPr>
          <w:rFonts w:cs="Arial"/>
          <w:lang w:val="fr-FR"/>
        </w:rPr>
        <w:t> ».</w:t>
      </w:r>
    </w:p>
    <w:p w14:paraId="6001C307" w14:textId="77777777" w:rsidR="00AF1989" w:rsidRPr="00E34332" w:rsidRDefault="00AF1989">
      <w:pPr>
        <w:spacing w:after="0" w:line="240" w:lineRule="auto"/>
        <w:jc w:val="both"/>
        <w:rPr>
          <w:rFonts w:cs="Arial"/>
          <w:lang w:val="fr-FR"/>
        </w:rPr>
      </w:pPr>
    </w:p>
    <w:p w14:paraId="3EA3D04D" w14:textId="77777777" w:rsidR="00AF1989" w:rsidRPr="00E34332" w:rsidRDefault="0020159F">
      <w:pPr>
        <w:spacing w:after="0" w:line="240" w:lineRule="auto"/>
        <w:jc w:val="both"/>
        <w:rPr>
          <w:rFonts w:cs="Arial"/>
          <w:lang w:val="fr-FR"/>
        </w:rPr>
      </w:pPr>
      <w:r w:rsidRPr="00E34332">
        <w:rPr>
          <w:rFonts w:cs="Arial"/>
          <w:lang w:val="fr-FR"/>
        </w:rPr>
        <w:t xml:space="preserve">Ce bref rapport intérimaire, élaboré pour la COP15 de la CMS, fournit une mise à jour sur les changements récemment signalés concernant l’état de conservation, les tendances des populations et la répartition des espèces inscrites aux Annexes de la CMS (sections 1 et 2). Il résume également les efforts récents visant à identifier et à protéger les habitats importants pour les espèces migratrices (section 3), ainsi que les efforts récents visant à cartographier les voies de migration (section 4). Un groupe de travail intersessions sur l'état des espèces migratrices dans le monde a fourni des orientations sur le contenu du rapport intérimaire pour la COP15. Dans le cadre de son travail, le groupe a examiné et formulé des commentaires sur l’approche proposée pour ce rapport par le PNUE-WCMC et a assuré une relecture experte du rapport au fur et à mesure de son élaboration. </w:t>
      </w:r>
    </w:p>
    <w:p w14:paraId="2D7AE2A8" w14:textId="77777777" w:rsidR="00AF1989" w:rsidRPr="00E34332" w:rsidRDefault="00AF1989">
      <w:pPr>
        <w:rPr>
          <w:rFonts w:cs="Arial"/>
          <w:lang w:val="fr-FR"/>
        </w:rPr>
      </w:pPr>
    </w:p>
    <w:p w14:paraId="5E5601D9" w14:textId="77777777" w:rsidR="00AF1989" w:rsidRPr="00E34332" w:rsidRDefault="00AF1989">
      <w:pPr>
        <w:rPr>
          <w:rFonts w:cs="Arial"/>
          <w:lang w:val="fr-FR"/>
        </w:rPr>
      </w:pPr>
    </w:p>
    <w:p w14:paraId="2491D23A" w14:textId="77777777" w:rsidR="00AF1989" w:rsidRPr="00E34332" w:rsidRDefault="0020159F">
      <w:pPr>
        <w:pStyle w:val="Heading1"/>
        <w:spacing w:before="0" w:after="240"/>
        <w:rPr>
          <w:rFonts w:ascii="Roboto" w:hAnsi="Roboto"/>
          <w:b/>
          <w:color w:val="003870"/>
          <w:lang w:val="fr-FR"/>
        </w:rPr>
      </w:pPr>
      <w:r w:rsidRPr="00E34332">
        <w:rPr>
          <w:rFonts w:ascii="Roboto" w:hAnsi="Roboto"/>
          <w:b/>
          <w:color w:val="003870"/>
          <w:lang w:val="fr-FR"/>
        </w:rPr>
        <w:br w:type="page"/>
      </w:r>
    </w:p>
    <w:p w14:paraId="093AC03C" w14:textId="77777777" w:rsidR="00AF1989" w:rsidRPr="00E34332" w:rsidRDefault="0020159F">
      <w:pPr>
        <w:pStyle w:val="Heading1"/>
        <w:numPr>
          <w:ilvl w:val="0"/>
          <w:numId w:val="40"/>
        </w:numPr>
        <w:spacing w:before="0" w:line="240" w:lineRule="auto"/>
        <w:ind w:left="357" w:hanging="357"/>
        <w:jc w:val="both"/>
        <w:rPr>
          <w:rFonts w:ascii="Arial" w:hAnsi="Arial" w:cs="Arial"/>
          <w:b/>
          <w:color w:val="auto"/>
          <w:sz w:val="22"/>
          <w:szCs w:val="22"/>
          <w:lang w:val="fr-FR"/>
        </w:rPr>
      </w:pPr>
      <w:bookmarkStart w:id="6" w:name="_Toc210914220"/>
      <w:r w:rsidRPr="00E34332">
        <w:rPr>
          <w:rFonts w:ascii="Arial" w:hAnsi="Arial" w:cs="Arial"/>
          <w:b/>
          <w:color w:val="auto"/>
          <w:sz w:val="22"/>
          <w:szCs w:val="22"/>
          <w:lang w:val="fr-FR"/>
        </w:rPr>
        <w:lastRenderedPageBreak/>
        <w:t>Changements de l'état de conservation des espèces inscrites aux Annexes de la CMS</w:t>
      </w:r>
      <w:bookmarkEnd w:id="6"/>
    </w:p>
    <w:p w14:paraId="2DED6403" w14:textId="77777777" w:rsidR="00AF1989" w:rsidRPr="00E34332" w:rsidRDefault="00AF1989">
      <w:pPr>
        <w:rPr>
          <w:lang w:val="fr-FR"/>
        </w:rPr>
      </w:pPr>
    </w:p>
    <w:p w14:paraId="072292FF" w14:textId="77777777" w:rsidR="00AF1989" w:rsidRPr="00E34332" w:rsidRDefault="0020159F">
      <w:pPr>
        <w:spacing w:after="0" w:line="240" w:lineRule="auto"/>
        <w:jc w:val="both"/>
        <w:rPr>
          <w:rFonts w:cs="Arial"/>
          <w:lang w:val="fr-FR"/>
        </w:rPr>
      </w:pPr>
      <w:r w:rsidRPr="00E34332">
        <w:rPr>
          <w:rFonts w:cs="Arial"/>
          <w:lang w:val="fr-FR"/>
        </w:rPr>
        <w:t xml:space="preserve">Le premier </w:t>
      </w:r>
      <w:hyperlink r:id="rId30" w:history="1">
        <w:r w:rsidRPr="00E34332">
          <w:rPr>
            <w:rStyle w:val="Hyperlink"/>
            <w:rFonts w:cs="Arial"/>
            <w:i/>
            <w:lang w:val="fr-FR"/>
          </w:rPr>
          <w:t>Rapport sur l’état des espèces migratrices dans le monde</w:t>
        </w:r>
      </w:hyperlink>
      <w:r w:rsidRPr="00E34332">
        <w:rPr>
          <w:rFonts w:cs="Arial"/>
          <w:i/>
          <w:lang w:val="fr-FR"/>
        </w:rPr>
        <w:t xml:space="preserve"> </w:t>
      </w:r>
      <w:r w:rsidRPr="00E34332">
        <w:rPr>
          <w:rFonts w:cs="Arial"/>
          <w:lang w:val="fr-FR"/>
        </w:rPr>
        <w:t>présentait un aperçu de l’état de conservation des espèces inscrites aux Annexes de la CMS, incluant une analyse des données de la Liste rouge des espèces menacées de l’UICN</w:t>
      </w:r>
      <w:r w:rsidRPr="00E34332">
        <w:rPr>
          <w:rFonts w:cs="Arial"/>
          <w:vertAlign w:val="superscript"/>
          <w:lang w:val="fr-FR"/>
        </w:rPr>
        <w:t xml:space="preserve">TM </w:t>
      </w:r>
      <w:r w:rsidRPr="00E34332">
        <w:rPr>
          <w:rFonts w:cs="Arial"/>
          <w:lang w:val="fr-FR"/>
        </w:rPr>
        <w:t>disponibles au moment de la rédaction (septembre 2025)</w:t>
      </w:r>
      <w:r w:rsidRPr="00E34332">
        <w:rPr>
          <w:rStyle w:val="FootnoteReference"/>
          <w:rFonts w:cs="Arial"/>
          <w:lang w:val="fr-FR"/>
        </w:rPr>
        <w:footnoteReference w:id="2"/>
      </w:r>
      <w:r w:rsidRPr="00E34332">
        <w:rPr>
          <w:rFonts w:cs="Arial"/>
          <w:lang w:val="fr-FR"/>
        </w:rPr>
        <w:t xml:space="preserve">. La Liste rouge de l’UICN classe les espèces en grandes catégories de risque d’extinction, sur la base d’un ensemble de </w:t>
      </w:r>
      <w:hyperlink r:id="rId31" w:history="1">
        <w:r w:rsidRPr="00E34332">
          <w:rPr>
            <w:rStyle w:val="Hyperlink"/>
            <w:rFonts w:cs="Arial"/>
            <w:lang w:val="fr-FR"/>
          </w:rPr>
          <w:t>critères</w:t>
        </w:r>
      </w:hyperlink>
      <w:r w:rsidRPr="00E34332">
        <w:rPr>
          <w:rFonts w:cs="Arial"/>
          <w:lang w:val="fr-FR"/>
        </w:rPr>
        <w:t xml:space="preserve"> scientifiques rigoureux et normalisés. </w:t>
      </w:r>
    </w:p>
    <w:p w14:paraId="546DF430" w14:textId="77777777" w:rsidR="00AF1989" w:rsidRPr="00E34332" w:rsidRDefault="00AF1989">
      <w:pPr>
        <w:spacing w:after="0" w:line="240" w:lineRule="auto"/>
        <w:jc w:val="both"/>
        <w:rPr>
          <w:rFonts w:cs="Arial"/>
          <w:lang w:val="fr-FR"/>
        </w:rPr>
      </w:pPr>
    </w:p>
    <w:p w14:paraId="193DAE15" w14:textId="77777777" w:rsidR="00AF1989" w:rsidRPr="00E34332" w:rsidRDefault="0020159F">
      <w:pPr>
        <w:spacing w:after="0" w:line="240" w:lineRule="auto"/>
        <w:jc w:val="both"/>
        <w:rPr>
          <w:rFonts w:cs="Arial"/>
          <w:lang w:val="fr-FR"/>
        </w:rPr>
      </w:pPr>
      <w:r w:rsidRPr="00E34332">
        <w:rPr>
          <w:rFonts w:cs="Arial"/>
          <w:lang w:val="fr-FR"/>
        </w:rPr>
        <w:t>Depuis l’analyse précédente, qui utilisait la version 2022-2 de la Liste rouge de l’UICN, 386 des 1 200 espèces inscrites aux Annexes de la CMS</w:t>
      </w:r>
      <w:r w:rsidRPr="00E34332">
        <w:rPr>
          <w:rStyle w:val="FootnoteReference"/>
          <w:rFonts w:cs="Arial"/>
          <w:lang w:val="fr-FR"/>
        </w:rPr>
        <w:footnoteReference w:id="3"/>
      </w:r>
      <w:r w:rsidRPr="00E34332">
        <w:rPr>
          <w:rFonts w:cs="Arial"/>
          <w:lang w:val="fr-FR"/>
        </w:rPr>
        <w:t xml:space="preserve"> ont été réévaluées, à l’exclusion des espèces inscrites lors de la COP14. Un examen plus approfondi des changements survenus au sein de ce groupe d’espèces réévaluées peut fournir des informations précieuses sur l’évolution de leur état de conservation. Les évaluations mondiales de la Liste rouge de l'UICN ayant été utilisées comme source d'information pour la majorité (97 %) des espèces inscrites aux Annexes de la CMS, les catégories de la Liste rouge de l'UICN présentées dans cette analyse reflètent principalement le risque d'extinction à l'échelle mondiale</w:t>
      </w:r>
      <w:r w:rsidRPr="00E34332">
        <w:rPr>
          <w:rStyle w:val="FootnoteReference"/>
          <w:rFonts w:cs="Arial"/>
          <w:lang w:val="fr-FR"/>
        </w:rPr>
        <w:footnoteReference w:id="4"/>
      </w:r>
      <w:r w:rsidRPr="00E34332">
        <w:rPr>
          <w:rFonts w:cs="Arial"/>
          <w:lang w:val="fr-FR"/>
        </w:rPr>
        <w:t>.</w:t>
      </w:r>
    </w:p>
    <w:p w14:paraId="6E4C0A88" w14:textId="77777777" w:rsidR="00AF1989" w:rsidRPr="00E34332" w:rsidRDefault="00AF1989">
      <w:pPr>
        <w:spacing w:after="0" w:line="240" w:lineRule="auto"/>
        <w:jc w:val="both"/>
        <w:rPr>
          <w:rFonts w:cs="Arial"/>
          <w:b/>
          <w:color w:val="003870"/>
          <w:lang w:val="fr-FR"/>
        </w:rPr>
      </w:pPr>
    </w:p>
    <w:p w14:paraId="763CF85E" w14:textId="77777777" w:rsidR="00AF1989" w:rsidRPr="00E34332" w:rsidRDefault="0020159F">
      <w:pPr>
        <w:spacing w:after="0" w:line="240" w:lineRule="auto"/>
        <w:jc w:val="both"/>
        <w:rPr>
          <w:rFonts w:cs="Arial"/>
          <w:b/>
          <w:lang w:val="fr-FR"/>
        </w:rPr>
      </w:pPr>
      <w:r w:rsidRPr="00E34332">
        <w:rPr>
          <w:rFonts w:cs="Arial"/>
          <w:b/>
          <w:lang w:val="fr-FR"/>
        </w:rPr>
        <w:t>Changements de catégorie sur la Liste rouge de l’UICN des espèces inscrites aux Annexes de la CMS</w:t>
      </w:r>
    </w:p>
    <w:p w14:paraId="1C111CD2" w14:textId="77777777" w:rsidR="00AF1989" w:rsidRPr="00E34332" w:rsidRDefault="00AF1989">
      <w:pPr>
        <w:spacing w:after="0" w:line="240" w:lineRule="auto"/>
        <w:jc w:val="both"/>
        <w:rPr>
          <w:rFonts w:cs="Arial"/>
          <w:b/>
          <w:color w:val="003870"/>
          <w:lang w:val="fr-FR"/>
        </w:rPr>
      </w:pPr>
    </w:p>
    <w:p w14:paraId="578B62B4" w14:textId="77777777" w:rsidR="00AF1989" w:rsidRPr="00E34332" w:rsidRDefault="0020159F">
      <w:pPr>
        <w:spacing w:after="0" w:line="240" w:lineRule="auto"/>
        <w:jc w:val="both"/>
        <w:rPr>
          <w:rFonts w:cs="Arial"/>
          <w:lang w:val="fr-FR"/>
        </w:rPr>
      </w:pPr>
      <w:r w:rsidRPr="00E34332">
        <w:rPr>
          <w:rFonts w:cs="Arial"/>
          <w:lang w:val="fr-FR"/>
        </w:rPr>
        <w:t xml:space="preserve">Trente-quatre (9 %) des 392 espèces inscrites aux Annexes de la CMS réévaluées ont été reclassées dans une catégorie différente de la Liste rouge de l’UICN depuis 2022. Vingt-six de ces espèces ont été déplacées vers une catégorie plus menacée, tandis que sept espèces ont été reclassées dans une catégorie moins menacée (voir le </w:t>
      </w:r>
      <w:r w:rsidRPr="00E34332">
        <w:rPr>
          <w:rFonts w:cs="Arial"/>
          <w:b/>
          <w:lang w:val="fr-FR"/>
        </w:rPr>
        <w:t>Tableau 1 en annexe</w:t>
      </w:r>
      <w:r w:rsidRPr="00E34332">
        <w:rPr>
          <w:rFonts w:cs="Arial"/>
          <w:lang w:val="fr-FR"/>
        </w:rPr>
        <w:t xml:space="preserve"> pour plus de détails)</w:t>
      </w:r>
      <w:r w:rsidRPr="00E34332">
        <w:rPr>
          <w:rStyle w:val="FootnoteReference"/>
          <w:rFonts w:cs="Arial"/>
          <w:lang w:val="fr-FR"/>
        </w:rPr>
        <w:footnoteReference w:id="5"/>
      </w:r>
      <w:r w:rsidRPr="00E34332">
        <w:rPr>
          <w:rFonts w:cs="Arial"/>
          <w:lang w:val="fr-FR"/>
        </w:rPr>
        <w:t>. Le nombre total d’espèces inscrites aux Annexes de la CMS menacées</w:t>
      </w:r>
      <w:r w:rsidRPr="00E34332">
        <w:rPr>
          <w:rStyle w:val="FootnoteReference"/>
          <w:rFonts w:cs="Arial"/>
          <w:lang w:val="fr-FR"/>
        </w:rPr>
        <w:footnoteReference w:id="6"/>
      </w:r>
      <w:r w:rsidRPr="00E34332">
        <w:rPr>
          <w:rFonts w:cs="Arial"/>
          <w:lang w:val="fr-FR"/>
        </w:rPr>
        <w:t xml:space="preserve"> à l’échelle mondiale s’élève désormais à 284, soit 24 % de l’ensemble des espèces inscrites aux Annexes de la CMS (</w:t>
      </w:r>
      <w:r w:rsidRPr="00E34332">
        <w:rPr>
          <w:rFonts w:cs="Arial"/>
          <w:b/>
          <w:lang w:val="fr-FR"/>
        </w:rPr>
        <w:t>Figure 1.1a</w:t>
      </w:r>
      <w:r w:rsidRPr="00E34332">
        <w:rPr>
          <w:rFonts w:cs="Arial"/>
          <w:lang w:val="fr-FR"/>
        </w:rPr>
        <w:t xml:space="preserve">), en légère augmentation par rapport aux 22 % rapportés dans le premier </w:t>
      </w:r>
      <w:r w:rsidRPr="00E34332">
        <w:rPr>
          <w:rFonts w:cs="Arial"/>
          <w:i/>
          <w:lang w:val="fr-FR"/>
        </w:rPr>
        <w:t>Rapport sur l’état des espèces migratrices dans le monde</w:t>
      </w:r>
      <w:r w:rsidRPr="00E34332">
        <w:rPr>
          <w:rStyle w:val="FootnoteReference"/>
          <w:rFonts w:cs="Arial"/>
          <w:lang w:val="fr-FR"/>
        </w:rPr>
        <w:footnoteReference w:id="7"/>
      </w:r>
      <w:r w:rsidRPr="00E34332">
        <w:rPr>
          <w:rFonts w:cs="Arial"/>
          <w:lang w:val="fr-FR"/>
        </w:rPr>
        <w:t xml:space="preserve">. </w:t>
      </w:r>
    </w:p>
    <w:p w14:paraId="195678FF" w14:textId="77777777" w:rsidR="00AF1989" w:rsidRPr="00E34332" w:rsidRDefault="00AF1989">
      <w:pPr>
        <w:spacing w:after="0" w:line="240" w:lineRule="auto"/>
        <w:jc w:val="both"/>
        <w:rPr>
          <w:rFonts w:cs="Arial"/>
          <w:lang w:val="fr-FR"/>
        </w:rPr>
      </w:pPr>
    </w:p>
    <w:p w14:paraId="256C8DCE" w14:textId="77777777" w:rsidR="00AF1989" w:rsidRPr="00E34332" w:rsidRDefault="0020159F">
      <w:pPr>
        <w:spacing w:after="0"/>
        <w:rPr>
          <w:rFonts w:ascii="Roboto" w:hAnsi="Roboto"/>
          <w:lang w:val="fr-FR"/>
        </w:rPr>
      </w:pPr>
      <w:r w:rsidRPr="00E34332">
        <w:rPr>
          <w:rFonts w:ascii="Roboto" w:hAnsi="Roboto"/>
          <w:noProof/>
          <w:lang w:val="fr-FR" w:eastAsia="fr-FR"/>
        </w:rPr>
        <w:lastRenderedPageBreak/>
        <w:drawing>
          <wp:inline distT="0" distB="0" distL="0" distR="0" wp14:anchorId="463F1D5D" wp14:editId="7E566427">
            <wp:extent cx="5731510" cy="3726180"/>
            <wp:effectExtent l="0" t="0" r="2540" b="7620"/>
            <wp:docPr id="436220583"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20583" name="Picture 3" descr="A screenshot of a graph&#10;&#10;AI-generated content may be incorrect."/>
                    <pic:cNvPicPr/>
                  </pic:nvPicPr>
                  <pic:blipFill rotWithShape="1">
                    <a:blip r:embed="rId32" cstate="print">
                      <a:extLst>
                        <a:ext uri="{28A0092B-C50C-407E-A947-70E740481C1C}">
                          <a14:useLocalDpi xmlns:a14="http://schemas.microsoft.com/office/drawing/2010/main" val="0"/>
                        </a:ext>
                      </a:extLst>
                    </a:blip>
                    <a:srcRect t="2820" b="5219"/>
                    <a:stretch/>
                  </pic:blipFill>
                  <pic:spPr bwMode="auto">
                    <a:xfrm>
                      <a:off x="0" y="0"/>
                      <a:ext cx="5731510" cy="3726180"/>
                    </a:xfrm>
                    <a:prstGeom prst="rect">
                      <a:avLst/>
                    </a:prstGeom>
                    <a:ln>
                      <a:noFill/>
                    </a:ln>
                    <a:extLst>
                      <a:ext uri="{53640926-AAD7-44D8-BBD7-CCE9431645EC}">
                        <a14:shadowObscured xmlns:a14="http://schemas.microsoft.com/office/drawing/2010/main"/>
                      </a:ext>
                    </a:extLst>
                  </pic:spPr>
                </pic:pic>
              </a:graphicData>
            </a:graphic>
          </wp:inline>
        </w:drawing>
      </w:r>
    </w:p>
    <w:p w14:paraId="5088D008" w14:textId="77777777" w:rsidR="00AF1989" w:rsidRPr="00E34332" w:rsidRDefault="0020159F">
      <w:pPr>
        <w:spacing w:after="0" w:line="240" w:lineRule="auto"/>
        <w:jc w:val="both"/>
        <w:rPr>
          <w:rFonts w:cs="Arial"/>
          <w:sz w:val="20"/>
          <w:szCs w:val="20"/>
          <w:lang w:val="fr-FR"/>
        </w:rPr>
      </w:pPr>
      <w:r w:rsidRPr="00E34332">
        <w:rPr>
          <w:rFonts w:cs="Arial"/>
          <w:b/>
          <w:sz w:val="20"/>
          <w:szCs w:val="20"/>
          <w:lang w:val="fr-FR"/>
        </w:rPr>
        <w:t>Figure 1.1 :</w:t>
      </w:r>
      <w:r w:rsidRPr="00E34332">
        <w:rPr>
          <w:rFonts w:cs="Arial"/>
          <w:sz w:val="20"/>
          <w:szCs w:val="20"/>
          <w:lang w:val="fr-FR"/>
        </w:rPr>
        <w:t xml:space="preserve"> </w:t>
      </w:r>
      <w:r w:rsidRPr="00E34332">
        <w:rPr>
          <w:rFonts w:cs="Arial"/>
          <w:b/>
          <w:sz w:val="20"/>
          <w:szCs w:val="20"/>
          <w:lang w:val="fr-FR"/>
        </w:rPr>
        <w:t>a) Proportion et nombre d’espèces inscrites aux Annexes de la CMS dans chaque catégorie de la Liste rouge de l’UICN.</w:t>
      </w:r>
      <w:r w:rsidRPr="00E34332">
        <w:rPr>
          <w:rFonts w:cs="Arial"/>
          <w:sz w:val="20"/>
          <w:szCs w:val="20"/>
          <w:lang w:val="fr-FR"/>
        </w:rPr>
        <w:t xml:space="preserve"> Dans le graphique principal, chaque cercle représente 1 % des 1 200 espèces inscrites aux Annexes de la CMS. La légende ci-dessous indique le nombre total d’espèces inscrites aux Annexes de la CMS actuellement dans chaque catégorie. Les chiffres et flèches rouges indiquent le </w:t>
      </w:r>
      <w:r w:rsidRPr="00E34332">
        <w:rPr>
          <w:rFonts w:cs="Arial"/>
          <w:b/>
          <w:sz w:val="20"/>
          <w:szCs w:val="20"/>
          <w:lang w:val="fr-FR"/>
        </w:rPr>
        <w:t>changement net</w:t>
      </w:r>
      <w:r w:rsidRPr="00E34332">
        <w:rPr>
          <w:rFonts w:cs="Arial"/>
          <w:sz w:val="20"/>
          <w:szCs w:val="20"/>
          <w:lang w:val="fr-FR"/>
        </w:rPr>
        <w:t xml:space="preserve"> entre le </w:t>
      </w:r>
      <w:r w:rsidRPr="00E34332">
        <w:rPr>
          <w:rFonts w:cs="Arial"/>
          <w:i/>
          <w:sz w:val="20"/>
          <w:szCs w:val="20"/>
          <w:lang w:val="fr-FR"/>
        </w:rPr>
        <w:t>Rapport sur l’état des espèces migratrices dans le monde</w:t>
      </w:r>
      <w:r w:rsidRPr="00E34332">
        <w:rPr>
          <w:rFonts w:cs="Arial"/>
          <w:sz w:val="20"/>
          <w:szCs w:val="20"/>
          <w:lang w:val="fr-FR"/>
        </w:rPr>
        <w:t xml:space="preserve"> et le présent rapport</w:t>
      </w:r>
      <w:r w:rsidRPr="00E34332">
        <w:rPr>
          <w:rFonts w:cs="Arial"/>
          <w:b/>
          <w:sz w:val="20"/>
          <w:szCs w:val="20"/>
          <w:lang w:val="fr-FR"/>
        </w:rPr>
        <w:t>*</w:t>
      </w:r>
      <w:r w:rsidRPr="00E34332">
        <w:rPr>
          <w:rFonts w:cs="Arial"/>
          <w:sz w:val="20"/>
          <w:szCs w:val="20"/>
          <w:lang w:val="fr-FR"/>
        </w:rPr>
        <w:t xml:space="preserve">. Les changements nets excluent les espèces inscrites lors de la COP14 ainsi que les espèces inscrites au niveau des populations pour lesquelles des évaluations pertinentes à l’échelle régionale sont devenues disponibles depuis le </w:t>
      </w:r>
      <w:r w:rsidRPr="00E34332">
        <w:rPr>
          <w:rFonts w:cs="Arial"/>
          <w:i/>
          <w:sz w:val="20"/>
          <w:szCs w:val="20"/>
          <w:lang w:val="fr-FR"/>
        </w:rPr>
        <w:t>Rapport sur l’état des espèces migratrices dans le monde</w:t>
      </w:r>
      <w:r w:rsidRPr="00E34332">
        <w:rPr>
          <w:rFonts w:cs="Arial"/>
          <w:sz w:val="20"/>
          <w:szCs w:val="20"/>
          <w:lang w:val="fr-FR"/>
        </w:rPr>
        <w:t xml:space="preserve">. Les changements nets peuvent refléter à la fois des détériorations ou améliorations de l’état de conservation liées à l’intensification ou la réduction des menaces, ou des modifications de catégorie résultant d’une meilleure connaissance des données. </w:t>
      </w:r>
      <w:r w:rsidRPr="00E34332">
        <w:rPr>
          <w:rFonts w:cs="Arial"/>
          <w:b/>
          <w:sz w:val="20"/>
          <w:szCs w:val="20"/>
          <w:lang w:val="fr-FR"/>
        </w:rPr>
        <w:t xml:space="preserve">b) Évolution des tendances des populations des espèces inscrites aux Annexes de la CMS entre le </w:t>
      </w:r>
      <w:r w:rsidRPr="00E34332">
        <w:rPr>
          <w:rFonts w:cs="Arial"/>
          <w:b/>
          <w:i/>
          <w:sz w:val="20"/>
          <w:szCs w:val="20"/>
          <w:lang w:val="fr-FR"/>
        </w:rPr>
        <w:t>Rapport sur l’état des espèces migratrices dans le monde</w:t>
      </w:r>
      <w:r w:rsidRPr="00E34332">
        <w:rPr>
          <w:rFonts w:cs="Arial"/>
          <w:b/>
          <w:sz w:val="20"/>
          <w:szCs w:val="20"/>
          <w:lang w:val="fr-FR"/>
        </w:rPr>
        <w:t xml:space="preserve"> et le présent rapport*. </w:t>
      </w:r>
      <w:r w:rsidRPr="00E34332">
        <w:rPr>
          <w:rFonts w:cs="Arial"/>
          <w:sz w:val="20"/>
          <w:szCs w:val="20"/>
          <w:lang w:val="fr-FR"/>
        </w:rPr>
        <w:t xml:space="preserve">La légende indique le nombre total d’espèces inscrites aux Annexes de la CMS dans chaque catégorie de tendance des populations ; les taxons ajoutés aux Annexes de la CMS lors de la COP14 sont exclus du graphique. </w:t>
      </w:r>
    </w:p>
    <w:p w14:paraId="2BA1A597" w14:textId="77777777" w:rsidR="00AF1989" w:rsidRPr="00E34332" w:rsidRDefault="00AF1989">
      <w:pPr>
        <w:spacing w:after="0" w:line="240" w:lineRule="auto"/>
        <w:jc w:val="both"/>
        <w:rPr>
          <w:rFonts w:cs="Arial"/>
          <w:sz w:val="20"/>
          <w:szCs w:val="20"/>
          <w:lang w:val="fr-FR"/>
        </w:rPr>
      </w:pPr>
    </w:p>
    <w:p w14:paraId="735A4DCC" w14:textId="77777777" w:rsidR="00AF1989" w:rsidRPr="00E34332" w:rsidRDefault="0020159F">
      <w:pPr>
        <w:rPr>
          <w:rFonts w:cs="Arial"/>
          <w:i/>
          <w:sz w:val="20"/>
          <w:szCs w:val="20"/>
          <w:lang w:val="fr-FR"/>
        </w:rPr>
      </w:pPr>
      <w:r w:rsidRPr="00E34332">
        <w:rPr>
          <w:rFonts w:cs="Arial"/>
          <w:b/>
          <w:sz w:val="20"/>
          <w:szCs w:val="20"/>
          <w:lang w:val="fr-FR"/>
        </w:rPr>
        <w:t>*</w:t>
      </w:r>
      <w:r w:rsidRPr="00E34332">
        <w:rPr>
          <w:rFonts w:cs="Arial"/>
          <w:i/>
          <w:sz w:val="20"/>
          <w:szCs w:val="20"/>
          <w:lang w:val="fr-FR"/>
        </w:rPr>
        <w:t xml:space="preserve">Le Rapport sur l’état des espèces migratrices dans le monde utilisait les données des évaluations de la Liste rouge de l’UICN publiées jusqu’en 2022 (version 2022-2) ; le présent rapport utilise les dernières données de la Liste rouge de l’UICN (version 2025-1, publiée en mars 2025) disponibles au moment de la rédaction (septembre 2025). Une espèce inscrite aux Annexes de la CMS, </w:t>
      </w:r>
      <w:proofErr w:type="spellStart"/>
      <w:r w:rsidRPr="00E34332">
        <w:rPr>
          <w:rFonts w:cs="Arial"/>
          <w:sz w:val="20"/>
          <w:szCs w:val="20"/>
          <w:lang w:val="fr-FR"/>
        </w:rPr>
        <w:t>Gazella</w:t>
      </w:r>
      <w:proofErr w:type="spellEnd"/>
      <w:r w:rsidRPr="00E34332">
        <w:rPr>
          <w:rFonts w:cs="Arial"/>
          <w:sz w:val="20"/>
          <w:szCs w:val="20"/>
          <w:lang w:val="fr-FR"/>
        </w:rPr>
        <w:t xml:space="preserve"> </w:t>
      </w:r>
      <w:proofErr w:type="spellStart"/>
      <w:r w:rsidRPr="00E34332">
        <w:rPr>
          <w:rFonts w:cs="Arial"/>
          <w:sz w:val="20"/>
          <w:szCs w:val="20"/>
          <w:lang w:val="fr-FR"/>
        </w:rPr>
        <w:t>erlangeri</w:t>
      </w:r>
      <w:proofErr w:type="spellEnd"/>
      <w:r w:rsidRPr="00E34332">
        <w:rPr>
          <w:rFonts w:cs="Arial"/>
          <w:i/>
          <w:sz w:val="20"/>
          <w:szCs w:val="20"/>
          <w:lang w:val="fr-FR"/>
        </w:rPr>
        <w:t>, n'a pas été évaluée par la Liste rouge de l'UICN.</w:t>
      </w:r>
    </w:p>
    <w:p w14:paraId="6A6770EF" w14:textId="77777777" w:rsidR="00AF1989" w:rsidRPr="00E34332" w:rsidRDefault="0020159F">
      <w:pPr>
        <w:spacing w:line="240" w:lineRule="auto"/>
        <w:jc w:val="both"/>
        <w:rPr>
          <w:rFonts w:cs="Arial"/>
          <w:color w:val="000000" w:themeColor="text1"/>
          <w:sz w:val="20"/>
          <w:szCs w:val="20"/>
          <w:lang w:val="fr-FR"/>
        </w:rPr>
      </w:pPr>
      <w:r w:rsidRPr="00E34332">
        <w:rPr>
          <w:rFonts w:cs="Arial"/>
          <w:noProof/>
          <w:color w:val="000000" w:themeColor="text1"/>
          <w:sz w:val="20"/>
          <w:szCs w:val="20"/>
          <w:lang w:val="fr-FR" w:eastAsia="fr-FR"/>
        </w:rPr>
        <w:drawing>
          <wp:anchor distT="0" distB="0" distL="114300" distR="114300" simplePos="0" relativeHeight="251658752" behindDoc="0" locked="0" layoutInCell="1" allowOverlap="1" wp14:anchorId="534D3789" wp14:editId="545856EA">
            <wp:simplePos x="0" y="0"/>
            <wp:positionH relativeFrom="margin">
              <wp:align>left</wp:align>
            </wp:positionH>
            <wp:positionV relativeFrom="paragraph">
              <wp:posOffset>44904</wp:posOffset>
            </wp:positionV>
            <wp:extent cx="3221990" cy="2148840"/>
            <wp:effectExtent l="0" t="0" r="0" b="3810"/>
            <wp:wrapSquare wrapText="bothSides"/>
            <wp:docPr id="479173149" name="Picture 2" descr="A bird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73149" name="Picture 2" descr="A bird standing in a fiel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1990" cy="2148840"/>
                    </a:xfrm>
                    <a:prstGeom prst="rect">
                      <a:avLst/>
                    </a:prstGeom>
                  </pic:spPr>
                </pic:pic>
              </a:graphicData>
            </a:graphic>
          </wp:anchor>
        </w:drawing>
      </w:r>
      <w:r w:rsidRPr="00E34332">
        <w:rPr>
          <w:rFonts w:cs="Arial"/>
          <w:i/>
          <w:color w:val="000000" w:themeColor="text1"/>
          <w:sz w:val="20"/>
          <w:szCs w:val="20"/>
          <w:lang w:val="fr-FR"/>
        </w:rPr>
        <w:t>Légende de la photo</w:t>
      </w:r>
      <w:r w:rsidRPr="00E34332">
        <w:rPr>
          <w:rFonts w:cs="Arial"/>
          <w:color w:val="000000" w:themeColor="text1"/>
          <w:sz w:val="20"/>
          <w:szCs w:val="20"/>
          <w:lang w:val="fr-FR"/>
        </w:rPr>
        <w:t xml:space="preserve"> : La grande outarde (</w:t>
      </w:r>
      <w:r w:rsidRPr="00E34332">
        <w:rPr>
          <w:rFonts w:cs="Arial"/>
          <w:i/>
          <w:color w:val="000000" w:themeColor="text1"/>
          <w:sz w:val="20"/>
          <w:szCs w:val="20"/>
          <w:lang w:val="fr-FR"/>
        </w:rPr>
        <w:t>Otis tarda</w:t>
      </w:r>
      <w:r w:rsidRPr="00E34332">
        <w:rPr>
          <w:rFonts w:cs="Arial"/>
          <w:color w:val="000000" w:themeColor="text1"/>
          <w:sz w:val="20"/>
          <w:szCs w:val="20"/>
          <w:lang w:val="fr-FR"/>
        </w:rPr>
        <w:t>), inscrite à l’Annexe I de la CMS et classée « vulnérable » en 2017, a été reclassée « en danger » en 2023. Les grandes outardes sont confrontées à diverses pressions, notamment la perte et la fragmentation de leur habitat (causées par l’intensification de l’agriculture et le développement des infrastructures), le prélèvement illégal et les perturbations</w:t>
      </w:r>
      <w:r w:rsidRPr="00E34332">
        <w:rPr>
          <w:rFonts w:cs="Arial"/>
          <w:color w:val="000000" w:themeColor="text1"/>
          <w:sz w:val="20"/>
          <w:szCs w:val="20"/>
          <w:vertAlign w:val="superscript"/>
          <w:lang w:val="fr-FR"/>
        </w:rPr>
        <w:t>1</w:t>
      </w:r>
      <w:r w:rsidRPr="00E34332">
        <w:rPr>
          <w:rFonts w:cs="Arial"/>
          <w:color w:val="000000" w:themeColor="text1"/>
          <w:sz w:val="20"/>
          <w:szCs w:val="20"/>
          <w:lang w:val="fr-FR"/>
        </w:rPr>
        <w:t xml:space="preserve">. </w:t>
      </w:r>
      <w:r w:rsidRPr="00E34332">
        <w:rPr>
          <w:rFonts w:cs="Arial"/>
          <w:i/>
          <w:color w:val="000000" w:themeColor="text1"/>
          <w:sz w:val="20"/>
          <w:szCs w:val="20"/>
          <w:lang w:val="fr-FR"/>
        </w:rPr>
        <w:t>Crédit photo</w:t>
      </w:r>
      <w:r w:rsidRPr="00E34332">
        <w:rPr>
          <w:rFonts w:cs="Arial"/>
          <w:color w:val="000000" w:themeColor="text1"/>
          <w:sz w:val="20"/>
          <w:szCs w:val="20"/>
          <w:lang w:val="fr-FR"/>
        </w:rPr>
        <w:t xml:space="preserve"> : </w:t>
      </w:r>
      <w:hyperlink r:id="rId34" w:history="1">
        <w:r w:rsidRPr="00E34332">
          <w:rPr>
            <w:rStyle w:val="Hyperlink"/>
            <w:rFonts w:cs="Arial"/>
            <w:sz w:val="20"/>
            <w:szCs w:val="20"/>
            <w:lang w:val="fr-FR"/>
          </w:rPr>
          <w:t>Adobe Stock | #536283277</w:t>
        </w:r>
      </w:hyperlink>
      <w:r w:rsidRPr="00E34332">
        <w:rPr>
          <w:rFonts w:cs="Arial"/>
          <w:color w:val="000000" w:themeColor="text1"/>
          <w:sz w:val="20"/>
          <w:szCs w:val="20"/>
          <w:lang w:val="fr-FR"/>
        </w:rPr>
        <w:t>.</w:t>
      </w:r>
    </w:p>
    <w:p w14:paraId="200E6954" w14:textId="77777777" w:rsidR="00AF1989" w:rsidRPr="00E34332" w:rsidRDefault="0020159F">
      <w:pPr>
        <w:pStyle w:val="Heading2"/>
        <w:spacing w:before="0" w:line="240" w:lineRule="auto"/>
        <w:jc w:val="both"/>
        <w:rPr>
          <w:rFonts w:ascii="Arial" w:hAnsi="Arial" w:cs="Arial"/>
          <w:i/>
          <w:color w:val="auto"/>
          <w:sz w:val="22"/>
          <w:szCs w:val="22"/>
          <w:lang w:val="fr-FR"/>
        </w:rPr>
      </w:pPr>
      <w:r w:rsidRPr="00E34332">
        <w:rPr>
          <w:rFonts w:ascii="Arial" w:hAnsi="Arial" w:cs="Arial"/>
          <w:i/>
          <w:color w:val="auto"/>
          <w:sz w:val="22"/>
          <w:szCs w:val="22"/>
          <w:lang w:val="fr-FR"/>
        </w:rPr>
        <w:lastRenderedPageBreak/>
        <w:t>Espèces déplacées vers une catégorie moins menacée</w:t>
      </w:r>
    </w:p>
    <w:p w14:paraId="63EB865E" w14:textId="77777777" w:rsidR="00AF1989" w:rsidRPr="00E34332" w:rsidRDefault="00AF1989">
      <w:pPr>
        <w:spacing w:after="0" w:line="240" w:lineRule="auto"/>
        <w:rPr>
          <w:lang w:val="fr-FR"/>
        </w:rPr>
      </w:pPr>
    </w:p>
    <w:p w14:paraId="5D8EAF98" w14:textId="77777777" w:rsidR="00AF1989" w:rsidRPr="00E34332" w:rsidRDefault="0020159F">
      <w:pPr>
        <w:spacing w:after="0" w:line="240" w:lineRule="auto"/>
        <w:jc w:val="both"/>
        <w:rPr>
          <w:rFonts w:cs="Arial"/>
          <w:lang w:val="fr-FR"/>
        </w:rPr>
      </w:pPr>
      <w:r w:rsidRPr="00E34332">
        <w:rPr>
          <w:rFonts w:cs="Arial"/>
          <w:lang w:val="fr-FR"/>
        </w:rPr>
        <w:t xml:space="preserve">Dix-neuf (73 %) des 26 espèces récemment déplacées vers une catégorie plus menacée sont désormais classées comme « vulnérables », « en danger » ou « en danger critique d’extinction » (voir le </w:t>
      </w:r>
      <w:r w:rsidRPr="00E34332">
        <w:rPr>
          <w:rFonts w:cs="Arial"/>
          <w:b/>
          <w:lang w:val="fr-FR"/>
        </w:rPr>
        <w:t>tableau 1 en annexe</w:t>
      </w:r>
      <w:r w:rsidRPr="00E34332">
        <w:rPr>
          <w:rFonts w:cs="Arial"/>
          <w:lang w:val="fr-FR"/>
        </w:rPr>
        <w:t xml:space="preserve">). Parmi ces 19 espèces menacées à l’échelle mondiale, 12 étaient précédemment classées comme préoccupation mineure ou quasi menacées lors de l’évaluation précédente. Sept autres espèces étaient auparavant classées comme menacées à l’échelle mondiale mais ont été déplacées vers une catégorie encore plus préoccupante : quatre de ces espèces sont désormais en danger et trois en danger critique d’extinction. </w:t>
      </w:r>
    </w:p>
    <w:p w14:paraId="45F34631" w14:textId="77777777" w:rsidR="00AF1989" w:rsidRPr="00E34332" w:rsidRDefault="00AF1989">
      <w:pPr>
        <w:spacing w:after="0" w:line="240" w:lineRule="auto"/>
        <w:jc w:val="both"/>
        <w:rPr>
          <w:rFonts w:cs="Arial"/>
          <w:lang w:val="fr-FR"/>
        </w:rPr>
      </w:pPr>
    </w:p>
    <w:p w14:paraId="20D895D4" w14:textId="77777777" w:rsidR="00AF1989" w:rsidRPr="00E34332" w:rsidRDefault="0020159F">
      <w:pPr>
        <w:widowControl w:val="0"/>
        <w:spacing w:after="0" w:line="240" w:lineRule="auto"/>
        <w:jc w:val="both"/>
        <w:rPr>
          <w:rFonts w:cs="Arial"/>
          <w:lang w:val="fr-FR"/>
        </w:rPr>
      </w:pPr>
      <w:r w:rsidRPr="00E34332">
        <w:rPr>
          <w:rFonts w:cs="Arial"/>
          <w:lang w:val="fr-FR"/>
        </w:rPr>
        <w:t>Dix-huit (69 %) des 26 espèces inscrites aux Annexes de la CMS déplacées vers une catégorie plus menacée sont des oiseaux de rivage migrateurs, dont neuf sont désormais évalués comme « vulnérables ». Au moins 14 de ces espèces ont été confirmées comme ayant subi une détérioration de leur état de conservation mondial depuis 1988, attribuable à l’intensification des menaces, et non à une meilleure connaissance des données</w:t>
      </w:r>
      <w:r w:rsidRPr="00E34332">
        <w:rPr>
          <w:rFonts w:cs="Arial"/>
          <w:vertAlign w:val="superscript"/>
          <w:lang w:val="fr-FR"/>
        </w:rPr>
        <w:t>2</w:t>
      </w:r>
      <w:r w:rsidRPr="00E34332">
        <w:rPr>
          <w:rFonts w:cs="Arial"/>
          <w:lang w:val="fr-FR"/>
        </w:rPr>
        <w:t>.</w:t>
      </w:r>
    </w:p>
    <w:p w14:paraId="2FF89931" w14:textId="77777777" w:rsidR="00AF1989" w:rsidRPr="00E34332" w:rsidRDefault="00AF1989">
      <w:pPr>
        <w:widowControl w:val="0"/>
        <w:spacing w:after="0" w:line="240" w:lineRule="auto"/>
        <w:jc w:val="both"/>
        <w:rPr>
          <w:rFonts w:cs="Arial"/>
          <w:lang w:val="fr-FR"/>
        </w:rPr>
      </w:pPr>
    </w:p>
    <w:p w14:paraId="6F19C8F6" w14:textId="77777777" w:rsidR="00AF1989" w:rsidRPr="00E34332" w:rsidRDefault="0020159F">
      <w:pPr>
        <w:spacing w:after="0"/>
        <w:jc w:val="both"/>
        <w:rPr>
          <w:rFonts w:cs="Arial"/>
          <w:i/>
          <w:sz w:val="20"/>
          <w:szCs w:val="20"/>
          <w:lang w:val="fr-FR"/>
        </w:rPr>
      </w:pPr>
      <w:r w:rsidRPr="00E34332">
        <w:rPr>
          <w:rFonts w:cs="Arial"/>
          <w:noProof/>
          <w:sz w:val="20"/>
          <w:szCs w:val="20"/>
          <w:lang w:val="fr-FR" w:eastAsia="fr-FR"/>
        </w:rPr>
        <w:drawing>
          <wp:anchor distT="0" distB="0" distL="114300" distR="114300" simplePos="0" relativeHeight="251657728" behindDoc="0" locked="0" layoutInCell="1" allowOverlap="1" wp14:anchorId="5C0B282C" wp14:editId="3310FFAB">
            <wp:simplePos x="0" y="0"/>
            <wp:positionH relativeFrom="margin">
              <wp:posOffset>7620</wp:posOffset>
            </wp:positionH>
            <wp:positionV relativeFrom="paragraph">
              <wp:posOffset>10795</wp:posOffset>
            </wp:positionV>
            <wp:extent cx="2632075" cy="2920365"/>
            <wp:effectExtent l="0" t="0" r="0" b="0"/>
            <wp:wrapSquare wrapText="bothSides"/>
            <wp:docPr id="1984474495" name="Picture 4" descr="A bird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4495" name="Picture 4" descr="A bird standing on the ground&#10;&#10;Description automatically generated"/>
                    <pic:cNvPicPr/>
                  </pic:nvPicPr>
                  <pic:blipFill rotWithShape="1">
                    <a:blip r:embed="rId35" cstate="print">
                      <a:extLst>
                        <a:ext uri="{28A0092B-C50C-407E-A947-70E740481C1C}">
                          <a14:useLocalDpi xmlns:a14="http://schemas.microsoft.com/office/drawing/2010/main" val="0"/>
                        </a:ext>
                      </a:extLst>
                    </a:blip>
                    <a:srcRect l="20075" r="19837"/>
                    <a:stretch/>
                  </pic:blipFill>
                  <pic:spPr bwMode="auto">
                    <a:xfrm flipH="1">
                      <a:off x="0" y="0"/>
                      <a:ext cx="2632075" cy="2920365"/>
                    </a:xfrm>
                    <a:prstGeom prst="rect">
                      <a:avLst/>
                    </a:prstGeom>
                    <a:ln>
                      <a:noFill/>
                    </a:ln>
                    <a:extLst>
                      <a:ext uri="{53640926-AAD7-44D8-BBD7-CCE9431645EC}">
                        <a14:shadowObscured xmlns:a14="http://schemas.microsoft.com/office/drawing/2010/main"/>
                      </a:ext>
                    </a:extLst>
                  </pic:spPr>
                </pic:pic>
              </a:graphicData>
            </a:graphic>
          </wp:anchor>
        </w:drawing>
      </w:r>
      <w:r w:rsidRPr="00E34332">
        <w:rPr>
          <w:rFonts w:cs="Arial"/>
          <w:i/>
          <w:sz w:val="20"/>
          <w:szCs w:val="20"/>
          <w:lang w:val="fr-FR"/>
        </w:rPr>
        <w:t>Légende de la photo</w:t>
      </w:r>
      <w:r w:rsidRPr="00E34332">
        <w:rPr>
          <w:rFonts w:cs="Arial"/>
          <w:sz w:val="20"/>
          <w:szCs w:val="20"/>
          <w:lang w:val="fr-FR"/>
        </w:rPr>
        <w:t> : Comme plusieurs autres oiseaux de rivage inscrits aux Annexes de la CMS, le bécasseau roussâtre (</w:t>
      </w:r>
      <w:proofErr w:type="spellStart"/>
      <w:r w:rsidRPr="00E34332">
        <w:rPr>
          <w:rFonts w:cs="Arial"/>
          <w:i/>
          <w:sz w:val="20"/>
          <w:szCs w:val="20"/>
          <w:lang w:val="fr-FR"/>
        </w:rPr>
        <w:t>Calidris</w:t>
      </w:r>
      <w:proofErr w:type="spellEnd"/>
      <w:r w:rsidRPr="00E34332">
        <w:rPr>
          <w:rFonts w:cs="Arial"/>
          <w:i/>
          <w:sz w:val="20"/>
          <w:szCs w:val="20"/>
          <w:lang w:val="fr-FR"/>
        </w:rPr>
        <w:t xml:space="preserve"> </w:t>
      </w:r>
      <w:proofErr w:type="spellStart"/>
      <w:r w:rsidRPr="00E34332">
        <w:rPr>
          <w:rFonts w:cs="Arial"/>
          <w:i/>
          <w:sz w:val="20"/>
          <w:szCs w:val="20"/>
          <w:lang w:val="fr-FR"/>
        </w:rPr>
        <w:t>subruficollis</w:t>
      </w:r>
      <w:proofErr w:type="spellEnd"/>
      <w:r w:rsidRPr="00E34332">
        <w:rPr>
          <w:rFonts w:cs="Arial"/>
          <w:sz w:val="20"/>
          <w:szCs w:val="20"/>
          <w:lang w:val="fr-FR"/>
        </w:rPr>
        <w:t>), inscrit à l’Annexe I de la CMS, a récemment été reclassé de quasi menacé à vulnérable, à la suite de la publication en 2024 d’une évaluation mise à jour sur la Liste rouge de l’UICN pour cette espèce. Cette espèce effectue une migration aller-retour de 30 000 km depuis ses zones de reproduction arctiques jusqu’aux zones d’hivernage dans le sud de l’Amérique du Sud, mais son avenir reste incertain en raison de la perte d’habitats et du changement climatique</w:t>
      </w:r>
      <w:r w:rsidRPr="00E34332">
        <w:rPr>
          <w:rFonts w:cs="Arial"/>
          <w:sz w:val="20"/>
          <w:szCs w:val="20"/>
          <w:vertAlign w:val="superscript"/>
          <w:lang w:val="fr-FR"/>
        </w:rPr>
        <w:t>3</w:t>
      </w:r>
      <w:r w:rsidRPr="00E34332">
        <w:rPr>
          <w:rFonts w:cs="Arial"/>
          <w:sz w:val="20"/>
          <w:szCs w:val="20"/>
          <w:lang w:val="fr-FR"/>
        </w:rPr>
        <w:t xml:space="preserve">. </w:t>
      </w:r>
      <w:r w:rsidRPr="00E34332">
        <w:rPr>
          <w:rFonts w:cs="Arial"/>
          <w:i/>
          <w:sz w:val="20"/>
          <w:szCs w:val="20"/>
          <w:lang w:val="fr-FR"/>
        </w:rPr>
        <w:t>Crédit photo</w:t>
      </w:r>
      <w:r w:rsidRPr="00E34332">
        <w:rPr>
          <w:rFonts w:cs="Arial"/>
          <w:sz w:val="20"/>
          <w:szCs w:val="20"/>
          <w:lang w:val="fr-FR"/>
        </w:rPr>
        <w:t xml:space="preserve"> : </w:t>
      </w:r>
      <w:hyperlink r:id="rId36" w:history="1">
        <w:r w:rsidRPr="00E34332">
          <w:rPr>
            <w:rStyle w:val="Hyperlink"/>
            <w:rFonts w:cs="Arial"/>
            <w:sz w:val="20"/>
            <w:szCs w:val="20"/>
            <w:lang w:val="fr-FR"/>
          </w:rPr>
          <w:t>Adobe Stock | #402858055</w:t>
        </w:r>
      </w:hyperlink>
      <w:r w:rsidRPr="00E34332">
        <w:rPr>
          <w:rFonts w:cs="Arial"/>
          <w:sz w:val="20"/>
          <w:szCs w:val="20"/>
          <w:lang w:val="fr-FR"/>
        </w:rPr>
        <w:t>.</w:t>
      </w:r>
    </w:p>
    <w:p w14:paraId="4B3F6F3E" w14:textId="77777777" w:rsidR="00AF1989" w:rsidRPr="00E34332" w:rsidRDefault="00AF1989">
      <w:pPr>
        <w:spacing w:after="0"/>
        <w:rPr>
          <w:rFonts w:ascii="Roboto" w:hAnsi="Roboto"/>
          <w:sz w:val="20"/>
          <w:szCs w:val="20"/>
          <w:lang w:val="fr-FR"/>
        </w:rPr>
      </w:pPr>
    </w:p>
    <w:p w14:paraId="5B9B6A53" w14:textId="77777777" w:rsidR="00AF1989" w:rsidRPr="00E34332" w:rsidRDefault="00AF1989">
      <w:pPr>
        <w:pStyle w:val="Heading2"/>
        <w:spacing w:before="0" w:after="240"/>
        <w:rPr>
          <w:rFonts w:ascii="Roboto" w:hAnsi="Roboto"/>
          <w:i/>
          <w:color w:val="003870"/>
          <w:sz w:val="22"/>
          <w:szCs w:val="22"/>
          <w:lang w:val="fr-FR"/>
        </w:rPr>
      </w:pPr>
    </w:p>
    <w:p w14:paraId="744AD2F5" w14:textId="77777777" w:rsidR="00AF1989" w:rsidRPr="00E34332" w:rsidRDefault="00AF1989">
      <w:pPr>
        <w:rPr>
          <w:lang w:val="fr-FR"/>
        </w:rPr>
      </w:pPr>
    </w:p>
    <w:p w14:paraId="758BF4EA" w14:textId="77777777" w:rsidR="00AF1989" w:rsidRPr="00E34332" w:rsidRDefault="00AF1989">
      <w:pPr>
        <w:rPr>
          <w:lang w:val="fr-FR"/>
        </w:rPr>
      </w:pPr>
    </w:p>
    <w:p w14:paraId="4817AA5D" w14:textId="77777777" w:rsidR="00AF1989" w:rsidRPr="00E34332" w:rsidRDefault="0020159F">
      <w:pPr>
        <w:pStyle w:val="Heading2"/>
        <w:spacing w:before="0" w:line="240" w:lineRule="auto"/>
        <w:jc w:val="both"/>
        <w:rPr>
          <w:rFonts w:ascii="Arial" w:hAnsi="Arial" w:cs="Arial"/>
          <w:i/>
          <w:color w:val="auto"/>
          <w:sz w:val="22"/>
          <w:szCs w:val="22"/>
          <w:lang w:val="fr-FR"/>
        </w:rPr>
      </w:pPr>
      <w:r w:rsidRPr="00E34332">
        <w:rPr>
          <w:rFonts w:ascii="Arial" w:hAnsi="Arial" w:cs="Arial"/>
          <w:i/>
          <w:color w:val="auto"/>
          <w:sz w:val="22"/>
          <w:szCs w:val="22"/>
          <w:lang w:val="fr-FR"/>
        </w:rPr>
        <w:t>Espèces déplacées vers une catégorie moins menacée</w:t>
      </w:r>
    </w:p>
    <w:p w14:paraId="4EEF9224" w14:textId="77777777" w:rsidR="00AF1989" w:rsidRPr="00E34332" w:rsidRDefault="00AF1989">
      <w:pPr>
        <w:spacing w:after="0" w:line="240" w:lineRule="auto"/>
        <w:rPr>
          <w:lang w:val="fr-FR"/>
        </w:rPr>
      </w:pPr>
    </w:p>
    <w:p w14:paraId="57C65F8B" w14:textId="77777777" w:rsidR="00AF1989" w:rsidRPr="00E34332" w:rsidRDefault="0020159F">
      <w:pPr>
        <w:spacing w:after="80" w:line="240" w:lineRule="auto"/>
        <w:jc w:val="both"/>
        <w:rPr>
          <w:rFonts w:cs="Arial"/>
          <w:lang w:val="fr-FR"/>
        </w:rPr>
      </w:pPr>
      <w:r w:rsidRPr="00E34332">
        <w:rPr>
          <w:rFonts w:cs="Arial"/>
          <w:lang w:val="fr-FR"/>
        </w:rPr>
        <w:t xml:space="preserve">Sept espèces inscrites aux Annexes de la CMS ont vu leur état de conservation s'améliorer depuis 2022. Ceci inclut quatre espèces d’oiseaux qui sont passées de quasi menacées à préoccupation mineure (voir le </w:t>
      </w:r>
      <w:r w:rsidRPr="00E34332">
        <w:rPr>
          <w:rFonts w:cs="Arial"/>
          <w:b/>
          <w:lang w:val="fr-FR"/>
        </w:rPr>
        <w:t>tableau 1 en annexe</w:t>
      </w:r>
      <w:r w:rsidRPr="00E34332">
        <w:rPr>
          <w:rFonts w:cs="Arial"/>
          <w:lang w:val="fr-FR"/>
        </w:rPr>
        <w:t>), ainsi que les exemples suivants de succès en matière de conservation :</w:t>
      </w:r>
    </w:p>
    <w:p w14:paraId="704C49FC" w14:textId="77777777" w:rsidR="00AF1989" w:rsidRPr="00E34332" w:rsidRDefault="0020159F">
      <w:pPr>
        <w:pStyle w:val="ListParagraph"/>
        <w:numPr>
          <w:ilvl w:val="0"/>
          <w:numId w:val="6"/>
        </w:numPr>
        <w:spacing w:after="80" w:line="240" w:lineRule="auto"/>
        <w:ind w:left="567" w:hanging="567"/>
        <w:contextualSpacing w:val="0"/>
        <w:jc w:val="both"/>
        <w:rPr>
          <w:rFonts w:cs="Arial"/>
          <w:lang w:val="fr-FR"/>
        </w:rPr>
      </w:pPr>
      <w:r w:rsidRPr="00E34332">
        <w:rPr>
          <w:rFonts w:cs="Arial"/>
          <w:lang w:val="fr-FR"/>
        </w:rPr>
        <w:t>À la suite d’un projet de réintroduction réussi au Tchad, l’oryx algazelle (</w:t>
      </w:r>
      <w:r w:rsidRPr="00E34332">
        <w:rPr>
          <w:rFonts w:cs="Arial"/>
          <w:i/>
          <w:lang w:val="fr-FR"/>
        </w:rPr>
        <w:t xml:space="preserve">Oryx </w:t>
      </w:r>
      <w:proofErr w:type="spellStart"/>
      <w:r w:rsidRPr="00E34332">
        <w:rPr>
          <w:rFonts w:cs="Arial"/>
          <w:i/>
          <w:lang w:val="fr-FR"/>
        </w:rPr>
        <w:t>dammah</w:t>
      </w:r>
      <w:proofErr w:type="spellEnd"/>
      <w:r w:rsidRPr="00E34332">
        <w:rPr>
          <w:rFonts w:cs="Arial"/>
          <w:lang w:val="fr-FR"/>
        </w:rPr>
        <w:t>) a été reclassé de « éteint à l’état sauvage » à « en danger ». La réintroduction a permis la formation d’une population sauvage viable, qui comptait environ 575 individus en 2022</w:t>
      </w:r>
      <w:r w:rsidRPr="00E34332">
        <w:rPr>
          <w:rFonts w:cs="Arial"/>
          <w:vertAlign w:val="superscript"/>
          <w:lang w:val="fr-FR"/>
        </w:rPr>
        <w:t>4</w:t>
      </w:r>
      <w:r w:rsidRPr="00E34332">
        <w:rPr>
          <w:rFonts w:cs="Arial"/>
          <w:lang w:val="fr-FR"/>
        </w:rPr>
        <w:t>.</w:t>
      </w:r>
    </w:p>
    <w:p w14:paraId="39BF375E" w14:textId="77777777" w:rsidR="00AF1989" w:rsidRPr="00E34332" w:rsidRDefault="0020159F">
      <w:pPr>
        <w:pStyle w:val="ListParagraph"/>
        <w:numPr>
          <w:ilvl w:val="0"/>
          <w:numId w:val="6"/>
        </w:numPr>
        <w:spacing w:after="80" w:line="240" w:lineRule="auto"/>
        <w:ind w:left="567" w:hanging="567"/>
        <w:contextualSpacing w:val="0"/>
        <w:jc w:val="both"/>
        <w:rPr>
          <w:rFonts w:cs="Arial"/>
          <w:lang w:val="fr-FR"/>
        </w:rPr>
      </w:pPr>
      <w:r w:rsidRPr="00E34332">
        <w:rPr>
          <w:rFonts w:cs="Arial"/>
          <w:lang w:val="fr-FR"/>
        </w:rPr>
        <w:t>La croissance récente de la population et l’expansion de l’aire de répartition ont conduit à reclasser le phoque-moine méditerranéen (</w:t>
      </w:r>
      <w:proofErr w:type="spellStart"/>
      <w:r w:rsidRPr="00E34332">
        <w:rPr>
          <w:rFonts w:cs="Arial"/>
          <w:i/>
          <w:lang w:val="fr-FR"/>
        </w:rPr>
        <w:t>Monachus</w:t>
      </w:r>
      <w:proofErr w:type="spellEnd"/>
      <w:r w:rsidRPr="00E34332">
        <w:rPr>
          <w:rFonts w:cs="Arial"/>
          <w:i/>
          <w:lang w:val="fr-FR"/>
        </w:rPr>
        <w:t xml:space="preserve"> </w:t>
      </w:r>
      <w:proofErr w:type="spellStart"/>
      <w:r w:rsidRPr="00E34332">
        <w:rPr>
          <w:rFonts w:cs="Arial"/>
          <w:i/>
          <w:lang w:val="fr-FR"/>
        </w:rPr>
        <w:t>monachus</w:t>
      </w:r>
      <w:proofErr w:type="spellEnd"/>
      <w:r w:rsidRPr="00E34332">
        <w:rPr>
          <w:rFonts w:cs="Arial"/>
          <w:lang w:val="fr-FR"/>
        </w:rPr>
        <w:t>) de « en danger » à « vulnérable »</w:t>
      </w:r>
      <w:r w:rsidRPr="00E34332">
        <w:rPr>
          <w:rFonts w:cs="Arial"/>
          <w:vertAlign w:val="superscript"/>
          <w:lang w:val="fr-FR"/>
        </w:rPr>
        <w:t>5</w:t>
      </w:r>
      <w:r w:rsidRPr="00E34332">
        <w:rPr>
          <w:rFonts w:cs="Arial"/>
          <w:lang w:val="fr-FR"/>
        </w:rPr>
        <w:t>. Cependant, la population mondiale reste encore faible, avec moins de 1 000 individus, et continue de subir des pressions, notamment la perte des habitats optimaux de mise bas et d’alimentation ainsi que des interactions négatives avec les pêcheries</w:t>
      </w:r>
      <w:r w:rsidRPr="00E34332">
        <w:rPr>
          <w:rFonts w:cs="Arial"/>
          <w:vertAlign w:val="superscript"/>
          <w:lang w:val="fr-FR"/>
        </w:rPr>
        <w:t>6</w:t>
      </w:r>
      <w:r w:rsidRPr="00E34332">
        <w:rPr>
          <w:rFonts w:cs="Arial"/>
          <w:lang w:val="fr-FR"/>
        </w:rPr>
        <w:t>.</w:t>
      </w:r>
    </w:p>
    <w:p w14:paraId="77BBDD7F" w14:textId="77777777" w:rsidR="00AF1989" w:rsidRPr="00E34332" w:rsidRDefault="0020159F">
      <w:pPr>
        <w:pStyle w:val="ListParagraph"/>
        <w:numPr>
          <w:ilvl w:val="0"/>
          <w:numId w:val="6"/>
        </w:numPr>
        <w:spacing w:after="80" w:line="240" w:lineRule="auto"/>
        <w:ind w:left="567" w:hanging="567"/>
        <w:contextualSpacing w:val="0"/>
        <w:jc w:val="both"/>
        <w:rPr>
          <w:rFonts w:cs="Arial"/>
          <w:lang w:val="fr-FR"/>
        </w:rPr>
      </w:pPr>
      <w:r w:rsidRPr="00E34332">
        <w:rPr>
          <w:rFonts w:cs="Arial"/>
          <w:lang w:val="fr-FR"/>
        </w:rPr>
        <w:lastRenderedPageBreak/>
        <w:t>Les populations de saïgas (</w:t>
      </w:r>
      <w:proofErr w:type="spellStart"/>
      <w:r w:rsidRPr="00E34332">
        <w:rPr>
          <w:rFonts w:cs="Arial"/>
          <w:i/>
          <w:lang w:val="fr-FR"/>
        </w:rPr>
        <w:t>Saiga</w:t>
      </w:r>
      <w:proofErr w:type="spellEnd"/>
      <w:r w:rsidRPr="00E34332">
        <w:rPr>
          <w:rFonts w:cs="Arial"/>
          <w:i/>
          <w:lang w:val="fr-FR"/>
        </w:rPr>
        <w:t xml:space="preserve"> </w:t>
      </w:r>
      <w:proofErr w:type="spellStart"/>
      <w:r w:rsidRPr="00E34332">
        <w:rPr>
          <w:rFonts w:cs="Arial"/>
          <w:i/>
          <w:lang w:val="fr-FR"/>
        </w:rPr>
        <w:t>tatarica</w:t>
      </w:r>
      <w:proofErr w:type="spellEnd"/>
      <w:r w:rsidRPr="00E34332">
        <w:rPr>
          <w:rFonts w:cs="Arial"/>
          <w:lang w:val="fr-FR"/>
        </w:rPr>
        <w:t>) ont rebondi de manière spectaculaire dans certaines parties de leur aire de répartition après les épidémies des années 2010, ce qui a conduit à reclasser l’espèce de « en danger » à « quasi menacée ». Ce rétablissement reflète le renforcement des efforts de conservation au Kazakhstan, notamment l’intensification des initiatives de lutte contre le braconnage, la protection des habitats clés et la mobilisation des communautés locales</w:t>
      </w:r>
      <w:r w:rsidRPr="00E34332">
        <w:rPr>
          <w:rFonts w:cs="Arial"/>
          <w:vertAlign w:val="superscript"/>
          <w:lang w:val="fr-FR"/>
        </w:rPr>
        <w:t>7</w:t>
      </w:r>
      <w:r w:rsidRPr="00E34332">
        <w:rPr>
          <w:rFonts w:cs="Arial"/>
          <w:lang w:val="fr-FR"/>
        </w:rPr>
        <w:t>. Les saïgas restent menacées dans certaines zones et dans certains États de l’aire de répartition, et sont absentes d’autres parties de leur aire historique ; le rétablissement à long terme de l’espèce dépend du maintien des mesures de conservation</w:t>
      </w:r>
      <w:r w:rsidRPr="00E34332">
        <w:rPr>
          <w:rFonts w:cs="Arial"/>
          <w:vertAlign w:val="superscript"/>
          <w:lang w:val="fr-FR"/>
        </w:rPr>
        <w:t>8</w:t>
      </w:r>
      <w:r w:rsidRPr="00E34332">
        <w:rPr>
          <w:rFonts w:cs="Arial"/>
          <w:lang w:val="fr-FR"/>
        </w:rPr>
        <w:t>.</w:t>
      </w:r>
    </w:p>
    <w:p w14:paraId="7D2D54DB" w14:textId="77777777" w:rsidR="00AF1989" w:rsidRPr="00E34332" w:rsidRDefault="0020159F">
      <w:pPr>
        <w:pStyle w:val="NormalWeb"/>
        <w:spacing w:after="0" w:afterAutospacing="0"/>
        <w:rPr>
          <w:lang w:val="fr-FR"/>
        </w:rPr>
      </w:pPr>
      <w:r w:rsidRPr="00E34332">
        <w:rPr>
          <w:noProof/>
          <w:lang w:val="fr-FR" w:eastAsia="fr-FR"/>
        </w:rPr>
        <w:drawing>
          <wp:inline distT="0" distB="0" distL="0" distR="0" wp14:anchorId="2E2D1B3D" wp14:editId="137ABE04">
            <wp:extent cx="5651500" cy="3675965"/>
            <wp:effectExtent l="0" t="0" r="6350" b="1270"/>
            <wp:docPr id="1874729332" name="Picture 2" descr="A group of people in a c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9332" name="Picture 2" descr="A group of people in a cage&#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680" t="9147" r="3268" b="10473"/>
                    <a:stretch/>
                  </pic:blipFill>
                  <pic:spPr bwMode="auto">
                    <a:xfrm>
                      <a:off x="0" y="0"/>
                      <a:ext cx="5666744" cy="3685881"/>
                    </a:xfrm>
                    <a:prstGeom prst="rect">
                      <a:avLst/>
                    </a:prstGeom>
                    <a:noFill/>
                    <a:ln>
                      <a:noFill/>
                    </a:ln>
                    <a:extLst>
                      <a:ext uri="{53640926-AAD7-44D8-BBD7-CCE9431645EC}">
                        <a14:shadowObscured xmlns:a14="http://schemas.microsoft.com/office/drawing/2010/main"/>
                      </a:ext>
                    </a:extLst>
                  </pic:spPr>
                </pic:pic>
              </a:graphicData>
            </a:graphic>
          </wp:inline>
        </w:drawing>
      </w:r>
    </w:p>
    <w:p w14:paraId="4F1D6259" w14:textId="77777777" w:rsidR="00AF1989" w:rsidRPr="00E34332" w:rsidRDefault="0020159F">
      <w:pPr>
        <w:spacing w:before="40" w:after="0" w:line="240" w:lineRule="auto"/>
        <w:jc w:val="both"/>
        <w:rPr>
          <w:rFonts w:cs="Arial"/>
          <w:sz w:val="20"/>
          <w:szCs w:val="20"/>
          <w:lang w:val="fr-FR"/>
        </w:rPr>
      </w:pPr>
      <w:r w:rsidRPr="00E34332">
        <w:rPr>
          <w:rFonts w:cs="Arial"/>
          <w:i/>
          <w:sz w:val="20"/>
          <w:szCs w:val="20"/>
          <w:lang w:val="fr-FR"/>
        </w:rPr>
        <w:t>Légende de la photo</w:t>
      </w:r>
      <w:r w:rsidRPr="00E34332">
        <w:rPr>
          <w:rFonts w:cs="Arial"/>
          <w:sz w:val="20"/>
          <w:szCs w:val="20"/>
          <w:lang w:val="fr-FR"/>
        </w:rPr>
        <w:t xml:space="preserve"> : Oryx algazelle (</w:t>
      </w:r>
      <w:r w:rsidRPr="00E34332">
        <w:rPr>
          <w:rFonts w:cs="Arial"/>
          <w:i/>
          <w:sz w:val="20"/>
          <w:szCs w:val="20"/>
          <w:lang w:val="fr-FR"/>
        </w:rPr>
        <w:t xml:space="preserve">Oryx </w:t>
      </w:r>
      <w:proofErr w:type="spellStart"/>
      <w:r w:rsidRPr="00E34332">
        <w:rPr>
          <w:rFonts w:cs="Arial"/>
          <w:i/>
          <w:sz w:val="20"/>
          <w:szCs w:val="20"/>
          <w:lang w:val="fr-FR"/>
        </w:rPr>
        <w:t>dammah</w:t>
      </w:r>
      <w:proofErr w:type="spellEnd"/>
      <w:r w:rsidRPr="00E34332">
        <w:rPr>
          <w:rFonts w:cs="Arial"/>
          <w:sz w:val="20"/>
          <w:szCs w:val="20"/>
          <w:lang w:val="fr-FR"/>
        </w:rPr>
        <w:t xml:space="preserve">) relâché dans le cadre d'un projet de réintroduction réussi au Tchad en 2016. L’espèce avait été classée comme « éteinte à l’état sauvage » par la Liste rouge de l’UICN en 2000, mais a récemment été reclassée comme « en danger » à la suite d’efforts de réintroduction réussis. </w:t>
      </w:r>
      <w:r w:rsidRPr="00E34332">
        <w:rPr>
          <w:rFonts w:cs="Arial"/>
          <w:i/>
          <w:sz w:val="20"/>
          <w:szCs w:val="20"/>
          <w:lang w:val="fr-FR"/>
        </w:rPr>
        <w:t>Crédit photo</w:t>
      </w:r>
      <w:r w:rsidRPr="00E34332">
        <w:rPr>
          <w:rFonts w:cs="Arial"/>
          <w:sz w:val="20"/>
          <w:szCs w:val="20"/>
          <w:lang w:val="fr-FR"/>
        </w:rPr>
        <w:t xml:space="preserve"> : </w:t>
      </w:r>
      <w:hyperlink r:id="rId38" w:history="1">
        <w:proofErr w:type="spellStart"/>
        <w:r w:rsidRPr="00E34332">
          <w:rPr>
            <w:rStyle w:val="Hyperlink"/>
            <w:rFonts w:cs="Arial"/>
            <w:sz w:val="20"/>
            <w:szCs w:val="20"/>
            <w:lang w:val="fr-FR"/>
          </w:rPr>
          <w:t>Smithsonian's</w:t>
        </w:r>
        <w:proofErr w:type="spellEnd"/>
        <w:r w:rsidRPr="00E34332">
          <w:rPr>
            <w:rStyle w:val="Hyperlink"/>
            <w:rFonts w:cs="Arial"/>
            <w:sz w:val="20"/>
            <w:szCs w:val="20"/>
            <w:lang w:val="fr-FR"/>
          </w:rPr>
          <w:t xml:space="preserve"> National Zoo</w:t>
        </w:r>
      </w:hyperlink>
      <w:r w:rsidRPr="00E34332">
        <w:rPr>
          <w:rFonts w:cs="Arial"/>
          <w:sz w:val="20"/>
          <w:szCs w:val="20"/>
          <w:lang w:val="fr-FR"/>
        </w:rPr>
        <w:t xml:space="preserve"> / </w:t>
      </w:r>
      <w:proofErr w:type="spellStart"/>
      <w:r w:rsidRPr="00E34332">
        <w:rPr>
          <w:rFonts w:cs="Arial"/>
          <w:sz w:val="20"/>
          <w:szCs w:val="20"/>
          <w:lang w:val="fr-FR"/>
        </w:rPr>
        <w:t>Environmental</w:t>
      </w:r>
      <w:proofErr w:type="spellEnd"/>
      <w:r w:rsidRPr="00E34332">
        <w:rPr>
          <w:rFonts w:cs="Arial"/>
          <w:sz w:val="20"/>
          <w:szCs w:val="20"/>
          <w:lang w:val="fr-FR"/>
        </w:rPr>
        <w:t xml:space="preserve"> Agency—Abu Dhabi (EAD), sous licence </w:t>
      </w:r>
      <w:hyperlink r:id="rId39" w:history="1">
        <w:r w:rsidRPr="00E34332">
          <w:rPr>
            <w:rStyle w:val="Hyperlink"/>
            <w:rFonts w:cs="Arial"/>
            <w:sz w:val="20"/>
            <w:szCs w:val="20"/>
            <w:lang w:val="fr-FR"/>
          </w:rPr>
          <w:t>CC BY-NC-ND 2.0</w:t>
        </w:r>
      </w:hyperlink>
      <w:r w:rsidRPr="00E34332">
        <w:rPr>
          <w:rFonts w:cs="Arial"/>
          <w:sz w:val="20"/>
          <w:szCs w:val="20"/>
          <w:lang w:val="fr-FR"/>
        </w:rPr>
        <w:t xml:space="preserve">. </w:t>
      </w:r>
    </w:p>
    <w:p w14:paraId="3552D5DC" w14:textId="77777777" w:rsidR="00AF1989" w:rsidRPr="00E34332" w:rsidRDefault="00AF1989">
      <w:pPr>
        <w:spacing w:after="0" w:line="240" w:lineRule="auto"/>
        <w:jc w:val="both"/>
        <w:rPr>
          <w:rFonts w:cs="Arial"/>
          <w:b/>
          <w:color w:val="003870"/>
          <w:sz w:val="20"/>
          <w:szCs w:val="20"/>
          <w:lang w:val="fr-FR"/>
        </w:rPr>
      </w:pPr>
    </w:p>
    <w:p w14:paraId="45E3377B" w14:textId="77777777" w:rsidR="00AF1989" w:rsidRPr="00E34332" w:rsidRDefault="0020159F">
      <w:pPr>
        <w:spacing w:after="0" w:line="240" w:lineRule="auto"/>
        <w:jc w:val="both"/>
        <w:rPr>
          <w:rFonts w:cs="Arial"/>
          <w:b/>
          <w:lang w:val="fr-FR"/>
        </w:rPr>
      </w:pPr>
      <w:r w:rsidRPr="00E34332">
        <w:rPr>
          <w:rFonts w:cs="Arial"/>
          <w:b/>
          <w:lang w:val="fr-FR"/>
        </w:rPr>
        <w:t>Changements dans les tendances de la population</w:t>
      </w:r>
    </w:p>
    <w:p w14:paraId="38D44C5D" w14:textId="77777777" w:rsidR="00AF1989" w:rsidRPr="00E34332" w:rsidRDefault="00AF1989">
      <w:pPr>
        <w:spacing w:after="0" w:line="240" w:lineRule="auto"/>
        <w:jc w:val="both"/>
        <w:rPr>
          <w:rFonts w:cs="Arial"/>
          <w:b/>
          <w:lang w:val="fr-FR"/>
        </w:rPr>
      </w:pPr>
    </w:p>
    <w:p w14:paraId="43826E17" w14:textId="77777777" w:rsidR="00AF1989" w:rsidRPr="00E34332" w:rsidRDefault="0020159F">
      <w:pPr>
        <w:spacing w:after="0" w:line="240" w:lineRule="auto"/>
        <w:jc w:val="both"/>
        <w:rPr>
          <w:rFonts w:cs="Arial"/>
          <w:lang w:val="fr-FR"/>
        </w:rPr>
      </w:pPr>
      <w:r w:rsidRPr="00E34332">
        <w:rPr>
          <w:rFonts w:cs="Arial"/>
          <w:lang w:val="fr-FR"/>
        </w:rPr>
        <w:t>Les mises à jour de la Liste rouge de l’UICN ont également entraîné des changements dans les tendances des populations des espèces inscrites aux Annexes de la CMS. En excluant les dix nouvelles espèces et sous-espèces ajoutées aux Annexes de la CMS lors de la COP14</w:t>
      </w:r>
      <w:r w:rsidRPr="00E34332">
        <w:rPr>
          <w:rStyle w:val="FootnoteReference"/>
          <w:rFonts w:cs="Arial"/>
          <w:lang w:val="fr-FR"/>
        </w:rPr>
        <w:footnoteReference w:id="8"/>
      </w:r>
      <w:r w:rsidRPr="00E34332">
        <w:rPr>
          <w:rFonts w:cs="Arial"/>
          <w:lang w:val="fr-FR"/>
        </w:rPr>
        <w:t xml:space="preserve">, la proportion totale d’espèces inscrites aux Annexes de la CMS présentant une tendance de population stable ou en augmentation est passée de 43 % (520 espèces) à 38 % (459 espèces). Cette évolution est principalement due aux 67 oiseaux inscrits à l’Annexe II qui ont été reclassés de la catégorie « stable » à la catégorie « en diminution », comme l’illustrent les transitions présentées à la </w:t>
      </w:r>
      <w:r w:rsidRPr="00E34332">
        <w:rPr>
          <w:rFonts w:cs="Arial"/>
          <w:b/>
          <w:lang w:val="fr-FR"/>
        </w:rPr>
        <w:t>figure 1.1b</w:t>
      </w:r>
      <w:r w:rsidRPr="00E34332">
        <w:rPr>
          <w:rFonts w:cs="Arial"/>
          <w:lang w:val="fr-FR"/>
        </w:rPr>
        <w:t xml:space="preserve">. En revanche, concernant les tendances positives, un mammifère terrestre (la saïga, </w:t>
      </w:r>
      <w:proofErr w:type="spellStart"/>
      <w:r w:rsidRPr="00E34332">
        <w:rPr>
          <w:rFonts w:cs="Arial"/>
          <w:i/>
          <w:lang w:val="fr-FR"/>
        </w:rPr>
        <w:t>Saiga</w:t>
      </w:r>
      <w:proofErr w:type="spellEnd"/>
      <w:r w:rsidRPr="00E34332">
        <w:rPr>
          <w:rFonts w:cs="Arial"/>
          <w:i/>
          <w:lang w:val="fr-FR"/>
        </w:rPr>
        <w:t xml:space="preserve"> </w:t>
      </w:r>
      <w:proofErr w:type="spellStart"/>
      <w:r w:rsidRPr="00E34332">
        <w:rPr>
          <w:rFonts w:cs="Arial"/>
          <w:i/>
          <w:lang w:val="fr-FR"/>
        </w:rPr>
        <w:t>tatarica</w:t>
      </w:r>
      <w:proofErr w:type="spellEnd"/>
      <w:r w:rsidRPr="00E34332">
        <w:rPr>
          <w:rFonts w:cs="Arial"/>
          <w:lang w:val="fr-FR"/>
        </w:rPr>
        <w:t>) et quatorze oiseaux précédemment classés comme « en diminution » présentent désormais des tendances de population « en augmentation » ou « stables ».</w:t>
      </w:r>
    </w:p>
    <w:p w14:paraId="2191FCDE" w14:textId="77777777" w:rsidR="008A6C17" w:rsidRDefault="0020159F">
      <w:pPr>
        <w:spacing w:after="0" w:line="240" w:lineRule="auto"/>
        <w:jc w:val="both"/>
        <w:rPr>
          <w:rFonts w:cs="Arial"/>
          <w:lang w:val="fr-FR"/>
        </w:rPr>
      </w:pPr>
      <w:r w:rsidRPr="00E34332">
        <w:rPr>
          <w:rFonts w:cs="Arial"/>
          <w:lang w:val="fr-FR"/>
        </w:rPr>
        <w:lastRenderedPageBreak/>
        <w:t xml:space="preserve">L’augmentation du nombre d’espèces dont les populations sont en déclin reflète probablement l’intégration de données supplémentaires sur les tendances à long terme dans les évaluations de la Liste rouge de l’UICN, plutôt que des baisses soudaines survenues depuis la COP14. Cette mise à jour présente néanmoins un tableau préoccupant : le nombre total d’espèces inscrites aux Annexes de la CMS dont les populations sont en déclin s’élève désormais à 592, soit </w:t>
      </w:r>
      <w:r w:rsidRPr="00E34332">
        <w:rPr>
          <w:rFonts w:cs="Arial"/>
          <w:b/>
          <w:lang w:val="fr-FR"/>
        </w:rPr>
        <w:t>près de la moitié (49 %) de l’ensemble des espèces inscrites aux Annexes de la CMS</w:t>
      </w:r>
      <w:r w:rsidRPr="00E34332">
        <w:rPr>
          <w:rFonts w:cs="Arial"/>
          <w:lang w:val="fr-FR"/>
        </w:rPr>
        <w:t xml:space="preserve">, contre 44 % dans le </w:t>
      </w:r>
      <w:r w:rsidRPr="00E34332">
        <w:rPr>
          <w:rFonts w:cs="Arial"/>
          <w:i/>
          <w:lang w:val="fr-FR"/>
        </w:rPr>
        <w:t>Rapport sur l’état des espèces migratrices dans le monde</w:t>
      </w:r>
      <w:r w:rsidRPr="00E34332">
        <w:rPr>
          <w:rFonts w:cs="Arial"/>
          <w:lang w:val="fr-FR"/>
        </w:rPr>
        <w:t>.</w:t>
      </w:r>
    </w:p>
    <w:p w14:paraId="3BB23525" w14:textId="789E877E" w:rsidR="00AF1989" w:rsidRPr="00E34332" w:rsidRDefault="00AF1989">
      <w:pPr>
        <w:spacing w:after="0" w:line="240" w:lineRule="auto"/>
        <w:jc w:val="both"/>
        <w:rPr>
          <w:rFonts w:cs="Arial"/>
          <w:lang w:val="fr-FR"/>
        </w:rPr>
      </w:pPr>
    </w:p>
    <w:p w14:paraId="3EAD9ECA" w14:textId="77777777" w:rsidR="00AF1989" w:rsidRPr="00E34332" w:rsidRDefault="0020159F">
      <w:pPr>
        <w:pStyle w:val="Heading1"/>
        <w:numPr>
          <w:ilvl w:val="0"/>
          <w:numId w:val="40"/>
        </w:numPr>
        <w:spacing w:before="0" w:line="240" w:lineRule="auto"/>
        <w:ind w:left="357" w:hanging="357"/>
        <w:jc w:val="both"/>
        <w:rPr>
          <w:rFonts w:ascii="Arial" w:hAnsi="Arial" w:cs="Arial"/>
          <w:b/>
          <w:bCs/>
          <w:color w:val="auto"/>
          <w:sz w:val="22"/>
          <w:szCs w:val="22"/>
          <w:lang w:val="fr-FR"/>
        </w:rPr>
      </w:pPr>
      <w:bookmarkStart w:id="7" w:name="_Toc210914221"/>
      <w:r w:rsidRPr="00E34332">
        <w:rPr>
          <w:rFonts w:ascii="Arial" w:hAnsi="Arial" w:cs="Arial"/>
          <w:b/>
          <w:color w:val="auto"/>
          <w:sz w:val="22"/>
          <w:szCs w:val="22"/>
          <w:lang w:val="fr-FR"/>
        </w:rPr>
        <w:t>Focus sur les changements</w:t>
      </w:r>
      <w:r w:rsidRPr="00E34332">
        <w:rPr>
          <w:rFonts w:ascii="Arial" w:hAnsi="Arial" w:cs="Arial"/>
          <w:b/>
          <w:bCs/>
          <w:color w:val="auto"/>
          <w:sz w:val="22"/>
          <w:szCs w:val="22"/>
          <w:lang w:val="fr-FR"/>
        </w:rPr>
        <w:t xml:space="preserve"> de population récemment signalés</w:t>
      </w:r>
      <w:bookmarkEnd w:id="7"/>
    </w:p>
    <w:p w14:paraId="25B176C3" w14:textId="77777777" w:rsidR="00AF1989" w:rsidRPr="00E34332" w:rsidRDefault="00AF1989">
      <w:pPr>
        <w:spacing w:after="0" w:line="240" w:lineRule="auto"/>
        <w:rPr>
          <w:lang w:val="fr-FR"/>
        </w:rPr>
      </w:pPr>
    </w:p>
    <w:p w14:paraId="2425E657" w14:textId="77777777" w:rsidR="00AF1989" w:rsidRPr="00E34332" w:rsidRDefault="0020159F">
      <w:pPr>
        <w:spacing w:after="0" w:line="240" w:lineRule="auto"/>
        <w:jc w:val="both"/>
        <w:rPr>
          <w:rFonts w:cs="Arial"/>
          <w:lang w:val="fr-FR"/>
        </w:rPr>
      </w:pPr>
      <w:r w:rsidRPr="00E34332">
        <w:rPr>
          <w:rFonts w:cs="Arial"/>
          <w:lang w:val="fr-FR"/>
        </w:rPr>
        <w:t>Depuis la COP14 de la CMS, plusieurs articles scientifiques, évaluations et rapports ont été publiés, fournissant des informations actualisées sur les tendances de l’abondance des populations et les changements de répartition des espèces migratrices à l’échelle mondiale. Cette section présente une synthèse succincte des principaux résultats issus de publications et évaluations sélectionnées, publiées entre la fin 2023</w:t>
      </w:r>
      <w:r w:rsidRPr="00E34332">
        <w:rPr>
          <w:rStyle w:val="FootnoteReference"/>
          <w:rFonts w:cs="Arial"/>
          <w:lang w:val="fr-FR"/>
        </w:rPr>
        <w:footnoteReference w:id="9"/>
      </w:r>
      <w:r w:rsidRPr="00E34332">
        <w:rPr>
          <w:rFonts w:cs="Arial"/>
          <w:lang w:val="fr-FR"/>
        </w:rPr>
        <w:t xml:space="preserve"> et la date de rédaction (septembre 2025)</w:t>
      </w:r>
      <w:r w:rsidRPr="00E34332">
        <w:rPr>
          <w:rStyle w:val="FootnoteReference"/>
          <w:rFonts w:cs="Arial"/>
          <w:lang w:val="fr-FR"/>
        </w:rPr>
        <w:footnoteReference w:id="10"/>
      </w:r>
      <w:r w:rsidRPr="00E34332">
        <w:rPr>
          <w:rFonts w:cs="Arial"/>
          <w:lang w:val="fr-FR"/>
        </w:rPr>
        <w:t>. L’objectif de cette section est de fournir des mises à jour sur les principales tendances mondiales ou régionales concernant certaines espèces migratrices inscrites aux Annexes de la CMS ou non, plutôt que de présenter un examen systématique ou une analyse de l’ensemble des publications et données pertinentes.</w:t>
      </w:r>
    </w:p>
    <w:p w14:paraId="5D0266BA" w14:textId="77777777" w:rsidR="00AF1989" w:rsidRPr="00E34332" w:rsidRDefault="00AF1989">
      <w:pPr>
        <w:spacing w:after="0" w:line="240" w:lineRule="auto"/>
        <w:jc w:val="both"/>
        <w:rPr>
          <w:rFonts w:cs="Arial"/>
          <w:b/>
          <w:bCs/>
          <w:color w:val="003870"/>
          <w:lang w:val="fr-FR"/>
        </w:rPr>
      </w:pPr>
    </w:p>
    <w:p w14:paraId="402BE694" w14:textId="77777777" w:rsidR="00AF1989" w:rsidRPr="00E34332" w:rsidRDefault="0020159F">
      <w:pPr>
        <w:spacing w:after="0" w:line="240" w:lineRule="auto"/>
        <w:jc w:val="both"/>
        <w:rPr>
          <w:rFonts w:cs="Arial"/>
          <w:b/>
          <w:lang w:val="fr-FR"/>
        </w:rPr>
      </w:pPr>
      <w:r w:rsidRPr="00E34332">
        <w:rPr>
          <w:rFonts w:cs="Arial"/>
          <w:b/>
          <w:lang w:val="fr-FR"/>
        </w:rPr>
        <w:t>Changements de population rapportés dans plusieurs groupes taxonomiques</w:t>
      </w:r>
    </w:p>
    <w:p w14:paraId="6F39A304" w14:textId="77777777" w:rsidR="00AF1989" w:rsidRPr="00E34332" w:rsidRDefault="00AF1989">
      <w:pPr>
        <w:spacing w:after="0" w:line="240" w:lineRule="auto"/>
        <w:jc w:val="both"/>
        <w:rPr>
          <w:rFonts w:cs="Arial"/>
          <w:b/>
          <w:lang w:val="fr-FR"/>
        </w:rPr>
      </w:pPr>
    </w:p>
    <w:p w14:paraId="112FB5D6" w14:textId="77777777" w:rsidR="00AF1989" w:rsidRPr="00E34332" w:rsidRDefault="0020159F">
      <w:pPr>
        <w:spacing w:after="0" w:line="240" w:lineRule="auto"/>
        <w:jc w:val="both"/>
        <w:rPr>
          <w:rFonts w:cs="Arial"/>
          <w:i/>
          <w:lang w:val="fr-FR"/>
        </w:rPr>
      </w:pPr>
      <w:r w:rsidRPr="00E34332">
        <w:rPr>
          <w:rFonts w:cs="Arial"/>
          <w:i/>
          <w:lang w:val="fr-FR"/>
        </w:rPr>
        <w:t>Impacts de la grippe aviaire</w:t>
      </w:r>
    </w:p>
    <w:p w14:paraId="6E5F7D13" w14:textId="77777777" w:rsidR="00AF1989" w:rsidRPr="00E34332" w:rsidRDefault="00AF1989">
      <w:pPr>
        <w:spacing w:after="0" w:line="240" w:lineRule="auto"/>
        <w:jc w:val="both"/>
        <w:rPr>
          <w:rFonts w:cs="Arial"/>
          <w:i/>
          <w:lang w:val="fr-FR"/>
        </w:rPr>
      </w:pPr>
    </w:p>
    <w:p w14:paraId="604E33CB" w14:textId="77777777" w:rsidR="00AF1989" w:rsidRPr="00E34332" w:rsidRDefault="0020159F">
      <w:pPr>
        <w:pStyle w:val="ListParagraph"/>
        <w:numPr>
          <w:ilvl w:val="0"/>
          <w:numId w:val="7"/>
        </w:numPr>
        <w:spacing w:after="80" w:line="240" w:lineRule="auto"/>
        <w:ind w:left="567" w:hanging="567"/>
        <w:contextualSpacing w:val="0"/>
        <w:jc w:val="both"/>
        <w:rPr>
          <w:rFonts w:cs="Arial"/>
          <w:color w:val="000000" w:themeColor="text1"/>
          <w:lang w:val="fr-FR"/>
        </w:rPr>
      </w:pPr>
      <w:r w:rsidRPr="00E34332">
        <w:rPr>
          <w:rFonts w:cs="Arial"/>
          <w:color w:val="000000" w:themeColor="text1"/>
          <w:lang w:val="fr-FR"/>
        </w:rPr>
        <w:t>Depuis 2021, l’influenza aviaire hautement pathogène (IAHP) H5N1 a été détectée chez un éventail d’hôtes exceptionnellement large, comprenant oiseaux et mammifères, et a entraîné une mortalité importante dans de nombreuses populations d’oiseaux et de mammifères aquatiques sur plusieurs continents</w:t>
      </w:r>
      <w:r w:rsidRPr="00E34332">
        <w:rPr>
          <w:rFonts w:cs="Arial"/>
          <w:color w:val="000000" w:themeColor="text1"/>
          <w:vertAlign w:val="superscript"/>
          <w:lang w:val="fr-FR"/>
        </w:rPr>
        <w:t>1,2</w:t>
      </w:r>
      <w:r w:rsidRPr="00E34332">
        <w:rPr>
          <w:rFonts w:cs="Arial"/>
          <w:color w:val="000000" w:themeColor="text1"/>
          <w:lang w:val="fr-FR"/>
        </w:rPr>
        <w:t>. Des épisodes de mortalité massive rapportés ont touché plusieurs espèces d’oiseaux inscrites aux Annexes de la CMS, notamment le manchot du Cap (</w:t>
      </w:r>
      <w:proofErr w:type="spellStart"/>
      <w:r w:rsidRPr="00E34332">
        <w:rPr>
          <w:rFonts w:cs="Arial"/>
          <w:i/>
          <w:color w:val="000000" w:themeColor="text1"/>
          <w:lang w:val="fr-FR"/>
        </w:rPr>
        <w:t>Spheniscus</w:t>
      </w:r>
      <w:proofErr w:type="spellEnd"/>
      <w:r w:rsidRPr="00E34332">
        <w:rPr>
          <w:rFonts w:cs="Arial"/>
          <w:i/>
          <w:color w:val="000000" w:themeColor="text1"/>
          <w:lang w:val="fr-FR"/>
        </w:rPr>
        <w:t xml:space="preserve"> </w:t>
      </w:r>
      <w:proofErr w:type="spellStart"/>
      <w:r w:rsidRPr="00E34332">
        <w:rPr>
          <w:rFonts w:cs="Arial"/>
          <w:i/>
          <w:color w:val="000000" w:themeColor="text1"/>
          <w:lang w:val="fr-FR"/>
        </w:rPr>
        <w:t>demersus</w:t>
      </w:r>
      <w:proofErr w:type="spellEnd"/>
      <w:r w:rsidRPr="00E34332">
        <w:rPr>
          <w:rFonts w:cs="Arial"/>
          <w:color w:val="000000" w:themeColor="text1"/>
          <w:lang w:val="fr-FR"/>
        </w:rPr>
        <w:t>), classé « en danger critique d’extinction », le manchot de Humboldt (</w:t>
      </w:r>
      <w:proofErr w:type="spellStart"/>
      <w:r w:rsidRPr="00E34332">
        <w:rPr>
          <w:rFonts w:cs="Arial"/>
          <w:i/>
          <w:color w:val="000000" w:themeColor="text1"/>
          <w:lang w:val="fr-FR"/>
        </w:rPr>
        <w:t>Spheniscus</w:t>
      </w:r>
      <w:proofErr w:type="spellEnd"/>
      <w:r w:rsidRPr="00E34332">
        <w:rPr>
          <w:rFonts w:cs="Arial"/>
          <w:i/>
          <w:color w:val="000000" w:themeColor="text1"/>
          <w:lang w:val="fr-FR"/>
        </w:rPr>
        <w:t xml:space="preserve"> </w:t>
      </w:r>
      <w:proofErr w:type="spellStart"/>
      <w:r w:rsidRPr="00E34332">
        <w:rPr>
          <w:rFonts w:cs="Arial"/>
          <w:i/>
          <w:color w:val="000000" w:themeColor="text1"/>
          <w:lang w:val="fr-FR"/>
        </w:rPr>
        <w:t>humboldti</w:t>
      </w:r>
      <w:proofErr w:type="spellEnd"/>
      <w:r w:rsidRPr="00E34332">
        <w:rPr>
          <w:rFonts w:cs="Arial"/>
          <w:color w:val="000000" w:themeColor="text1"/>
          <w:lang w:val="fr-FR"/>
        </w:rPr>
        <w:t xml:space="preserve">), « vulnérable », et le pélican </w:t>
      </w:r>
      <w:proofErr w:type="spellStart"/>
      <w:r w:rsidRPr="00E34332">
        <w:rPr>
          <w:rFonts w:cs="Arial"/>
          <w:color w:val="000000" w:themeColor="text1"/>
          <w:lang w:val="fr-FR"/>
        </w:rPr>
        <w:t>thage</w:t>
      </w:r>
      <w:proofErr w:type="spellEnd"/>
      <w:r w:rsidRPr="00E34332">
        <w:rPr>
          <w:rFonts w:cs="Arial"/>
          <w:color w:val="000000" w:themeColor="text1"/>
          <w:lang w:val="fr-FR"/>
        </w:rPr>
        <w:t xml:space="preserve"> (</w:t>
      </w:r>
      <w:proofErr w:type="spellStart"/>
      <w:r w:rsidRPr="00E34332">
        <w:rPr>
          <w:rFonts w:cs="Arial"/>
          <w:i/>
          <w:color w:val="000000" w:themeColor="text1"/>
          <w:lang w:val="fr-FR"/>
        </w:rPr>
        <w:t>Pelecanus</w:t>
      </w:r>
      <w:proofErr w:type="spellEnd"/>
      <w:r w:rsidRPr="00E34332">
        <w:rPr>
          <w:rFonts w:cs="Arial"/>
          <w:i/>
          <w:color w:val="000000" w:themeColor="text1"/>
          <w:lang w:val="fr-FR"/>
        </w:rPr>
        <w:t xml:space="preserve"> </w:t>
      </w:r>
      <w:proofErr w:type="spellStart"/>
      <w:r w:rsidRPr="00E34332">
        <w:rPr>
          <w:rFonts w:cs="Arial"/>
          <w:i/>
          <w:color w:val="000000" w:themeColor="text1"/>
          <w:lang w:val="fr-FR"/>
        </w:rPr>
        <w:t>thagus</w:t>
      </w:r>
      <w:proofErr w:type="spellEnd"/>
      <w:r w:rsidRPr="00E34332">
        <w:rPr>
          <w:rFonts w:cs="Arial"/>
          <w:color w:val="000000" w:themeColor="text1"/>
          <w:lang w:val="fr-FR"/>
        </w:rPr>
        <w:t>), « quasi menacé », en Amérique du Sud ; le pélican dalmate (</w:t>
      </w:r>
      <w:proofErr w:type="spellStart"/>
      <w:r w:rsidRPr="00E34332">
        <w:rPr>
          <w:rFonts w:cs="Arial"/>
          <w:i/>
          <w:color w:val="000000" w:themeColor="text1"/>
          <w:lang w:val="fr-FR"/>
        </w:rPr>
        <w:t>Pelecanus</w:t>
      </w:r>
      <w:proofErr w:type="spellEnd"/>
      <w:r w:rsidRPr="00E34332">
        <w:rPr>
          <w:rFonts w:cs="Arial"/>
          <w:i/>
          <w:color w:val="000000" w:themeColor="text1"/>
          <w:lang w:val="fr-FR"/>
        </w:rPr>
        <w:t xml:space="preserve"> </w:t>
      </w:r>
      <w:proofErr w:type="spellStart"/>
      <w:r w:rsidRPr="00E34332">
        <w:rPr>
          <w:rFonts w:cs="Arial"/>
          <w:i/>
          <w:color w:val="000000" w:themeColor="text1"/>
          <w:lang w:val="fr-FR"/>
        </w:rPr>
        <w:t>crispus</w:t>
      </w:r>
      <w:proofErr w:type="spellEnd"/>
      <w:r w:rsidRPr="00E34332">
        <w:rPr>
          <w:rFonts w:cs="Arial"/>
          <w:color w:val="000000" w:themeColor="text1"/>
          <w:lang w:val="fr-FR"/>
        </w:rPr>
        <w:t>), « quasi menacé », en Europe ; ainsi que la grue moine (</w:t>
      </w:r>
      <w:r w:rsidRPr="00E34332">
        <w:rPr>
          <w:rFonts w:cs="Arial"/>
          <w:i/>
          <w:color w:val="000000" w:themeColor="text1"/>
          <w:lang w:val="fr-FR"/>
        </w:rPr>
        <w:t xml:space="preserve">Grus </w:t>
      </w:r>
      <w:proofErr w:type="spellStart"/>
      <w:r w:rsidRPr="00E34332">
        <w:rPr>
          <w:rFonts w:cs="Arial"/>
          <w:i/>
          <w:color w:val="000000" w:themeColor="text1"/>
          <w:lang w:val="fr-FR"/>
        </w:rPr>
        <w:t>monacha</w:t>
      </w:r>
      <w:proofErr w:type="spellEnd"/>
      <w:r w:rsidRPr="00E34332">
        <w:rPr>
          <w:rFonts w:cs="Arial"/>
          <w:color w:val="000000" w:themeColor="text1"/>
          <w:lang w:val="fr-FR"/>
        </w:rPr>
        <w:t>) et la grue du Japon (</w:t>
      </w:r>
      <w:r w:rsidRPr="00E34332">
        <w:rPr>
          <w:rFonts w:cs="Arial"/>
          <w:i/>
          <w:color w:val="000000" w:themeColor="text1"/>
          <w:lang w:val="fr-FR"/>
        </w:rPr>
        <w:t xml:space="preserve">Grus </w:t>
      </w:r>
      <w:proofErr w:type="spellStart"/>
      <w:r w:rsidRPr="00E34332">
        <w:rPr>
          <w:rFonts w:cs="Arial"/>
          <w:i/>
          <w:color w:val="000000" w:themeColor="text1"/>
          <w:lang w:val="fr-FR"/>
        </w:rPr>
        <w:t>japonensis</w:t>
      </w:r>
      <w:proofErr w:type="spellEnd"/>
      <w:r w:rsidRPr="00E34332">
        <w:rPr>
          <w:rFonts w:cs="Arial"/>
          <w:color w:val="000000" w:themeColor="text1"/>
          <w:lang w:val="fr-FR"/>
        </w:rPr>
        <w:t>), « vulnérables », en Asie</w:t>
      </w:r>
      <w:r w:rsidRPr="00E34332">
        <w:rPr>
          <w:rFonts w:cs="Arial"/>
          <w:color w:val="000000" w:themeColor="text1"/>
          <w:vertAlign w:val="superscript"/>
          <w:lang w:val="fr-FR"/>
        </w:rPr>
        <w:t>3-6-44</w:t>
      </w:r>
      <w:r w:rsidRPr="00E34332">
        <w:rPr>
          <w:rFonts w:cs="Arial"/>
          <w:color w:val="000000" w:themeColor="text1"/>
          <w:lang w:val="fr-FR"/>
        </w:rPr>
        <w:t>. Des épisodes de mortalité massive ont également été enregistrés chez des mammifères aquatiques inscrits aux Annexes de la CMS, tels que le lion de mer d'Amérique du Sud (</w:t>
      </w:r>
      <w:proofErr w:type="spellStart"/>
      <w:r w:rsidRPr="00E34332">
        <w:rPr>
          <w:rFonts w:cs="Arial"/>
          <w:i/>
          <w:color w:val="000000" w:themeColor="text1"/>
          <w:lang w:val="fr-FR"/>
        </w:rPr>
        <w:t>Otaria</w:t>
      </w:r>
      <w:proofErr w:type="spellEnd"/>
      <w:r w:rsidRPr="00E34332">
        <w:rPr>
          <w:rFonts w:cs="Arial"/>
          <w:i/>
          <w:color w:val="000000" w:themeColor="text1"/>
          <w:lang w:val="fr-FR"/>
        </w:rPr>
        <w:t xml:space="preserve"> </w:t>
      </w:r>
      <w:proofErr w:type="spellStart"/>
      <w:r w:rsidRPr="00E34332">
        <w:rPr>
          <w:rFonts w:cs="Arial"/>
          <w:i/>
          <w:color w:val="000000" w:themeColor="text1"/>
          <w:lang w:val="fr-FR"/>
        </w:rPr>
        <w:t>byronia</w:t>
      </w:r>
      <w:proofErr w:type="spellEnd"/>
      <w:r w:rsidRPr="00E34332">
        <w:rPr>
          <w:rFonts w:cs="Arial"/>
          <w:color w:val="000000" w:themeColor="text1"/>
          <w:lang w:val="fr-FR"/>
        </w:rPr>
        <w:t>) et l'otarie à fourrure australe (</w:t>
      </w:r>
      <w:proofErr w:type="spellStart"/>
      <w:r w:rsidRPr="00E34332">
        <w:rPr>
          <w:rFonts w:cs="Arial"/>
          <w:i/>
          <w:color w:val="000000" w:themeColor="text1"/>
          <w:lang w:val="fr-FR"/>
        </w:rPr>
        <w:t>Arctocephalus</w:t>
      </w:r>
      <w:proofErr w:type="spellEnd"/>
      <w:r w:rsidRPr="00E34332">
        <w:rPr>
          <w:rFonts w:cs="Arial"/>
          <w:i/>
          <w:color w:val="000000" w:themeColor="text1"/>
          <w:lang w:val="fr-FR"/>
        </w:rPr>
        <w:t xml:space="preserve"> australis</w:t>
      </w:r>
      <w:r w:rsidRPr="00E34332">
        <w:rPr>
          <w:rFonts w:cs="Arial"/>
          <w:color w:val="000000" w:themeColor="text1"/>
          <w:lang w:val="fr-FR"/>
        </w:rPr>
        <w:t>)</w:t>
      </w:r>
      <w:r w:rsidRPr="00E34332">
        <w:rPr>
          <w:rFonts w:cs="Arial"/>
          <w:color w:val="000000" w:themeColor="text1"/>
          <w:vertAlign w:val="superscript"/>
          <w:lang w:val="fr-FR"/>
        </w:rPr>
        <w:t>3</w:t>
      </w:r>
      <w:r w:rsidRPr="00E34332">
        <w:rPr>
          <w:rFonts w:cs="Arial"/>
          <w:color w:val="000000" w:themeColor="text1"/>
          <w:lang w:val="fr-FR"/>
        </w:rPr>
        <w:t>.</w:t>
      </w:r>
    </w:p>
    <w:p w14:paraId="3325D02F" w14:textId="77777777" w:rsidR="00AF1989" w:rsidRPr="00E34332" w:rsidRDefault="0020159F">
      <w:pPr>
        <w:pStyle w:val="ListParagraph"/>
        <w:numPr>
          <w:ilvl w:val="0"/>
          <w:numId w:val="7"/>
        </w:numPr>
        <w:spacing w:after="0" w:line="240" w:lineRule="auto"/>
        <w:ind w:left="567" w:hanging="567"/>
        <w:contextualSpacing w:val="0"/>
        <w:jc w:val="both"/>
        <w:rPr>
          <w:rFonts w:cs="Arial"/>
          <w:color w:val="000000" w:themeColor="text1"/>
          <w:lang w:val="fr-FR"/>
        </w:rPr>
      </w:pPr>
      <w:r w:rsidRPr="00E34332">
        <w:rPr>
          <w:rFonts w:cs="Arial"/>
          <w:color w:val="000000" w:themeColor="text1"/>
          <w:lang w:val="fr-FR"/>
        </w:rPr>
        <w:t>Bien que les impacts à long terme de l’IAHP restent incertains, ces épidémies ont accru les pressions déjà subies par les espèces migratrices. L’apparition de l’IAHP est particulièrement préoccupante pour les espèces migratrices à longue durée de vie, sensibles à toute augmentation de la mortalité</w:t>
      </w:r>
      <w:r w:rsidRPr="00E34332">
        <w:rPr>
          <w:rFonts w:cs="Arial"/>
          <w:color w:val="000000" w:themeColor="text1"/>
          <w:vertAlign w:val="superscript"/>
          <w:lang w:val="fr-FR"/>
        </w:rPr>
        <w:t>1</w:t>
      </w:r>
      <w:r w:rsidRPr="00E34332">
        <w:rPr>
          <w:rFonts w:cs="Arial"/>
          <w:color w:val="000000" w:themeColor="text1"/>
          <w:lang w:val="fr-FR"/>
        </w:rPr>
        <w:t xml:space="preserve">. </w:t>
      </w:r>
    </w:p>
    <w:p w14:paraId="4CB061F5" w14:textId="28168728" w:rsidR="008A6C17" w:rsidRDefault="008A6C17">
      <w:pPr>
        <w:spacing w:after="0" w:line="240" w:lineRule="auto"/>
        <w:jc w:val="both"/>
        <w:rPr>
          <w:rFonts w:cs="Arial"/>
          <w:b/>
          <w:lang w:val="fr-FR"/>
        </w:rPr>
      </w:pPr>
      <w:r>
        <w:rPr>
          <w:rFonts w:cs="Arial"/>
          <w:b/>
          <w:lang w:val="fr-FR"/>
        </w:rPr>
        <w:br w:type="page"/>
      </w:r>
    </w:p>
    <w:p w14:paraId="25AAC767" w14:textId="77777777" w:rsidR="00AF1989" w:rsidRPr="00E34332" w:rsidRDefault="0020159F">
      <w:pPr>
        <w:spacing w:after="0" w:line="240" w:lineRule="auto"/>
        <w:jc w:val="both"/>
        <w:rPr>
          <w:rFonts w:cs="Arial"/>
          <w:b/>
          <w:lang w:val="fr-FR"/>
        </w:rPr>
      </w:pPr>
      <w:r w:rsidRPr="00E34332">
        <w:rPr>
          <w:rFonts w:cs="Arial"/>
          <w:b/>
          <w:lang w:val="fr-FR"/>
        </w:rPr>
        <w:lastRenderedPageBreak/>
        <w:t>Mammifères terrestres</w:t>
      </w:r>
    </w:p>
    <w:p w14:paraId="23B07444" w14:textId="77777777" w:rsidR="00AF1989" w:rsidRPr="00E34332" w:rsidRDefault="00AF1989">
      <w:pPr>
        <w:spacing w:after="0" w:line="240" w:lineRule="auto"/>
        <w:jc w:val="both"/>
        <w:rPr>
          <w:rFonts w:cs="Arial"/>
          <w:b/>
          <w:lang w:val="fr-FR"/>
        </w:rPr>
      </w:pPr>
    </w:p>
    <w:p w14:paraId="436910DF" w14:textId="77777777" w:rsidR="00AF1989" w:rsidRPr="00E34332" w:rsidRDefault="0020159F">
      <w:pPr>
        <w:spacing w:after="0" w:line="240" w:lineRule="auto"/>
        <w:jc w:val="both"/>
        <w:rPr>
          <w:rFonts w:cs="Arial"/>
          <w:i/>
          <w:lang w:val="fr-FR"/>
        </w:rPr>
      </w:pPr>
      <w:r w:rsidRPr="00E34332">
        <w:rPr>
          <w:rFonts w:cs="Arial"/>
          <w:i/>
          <w:lang w:val="fr-FR"/>
        </w:rPr>
        <w:t>Ongulés</w:t>
      </w:r>
    </w:p>
    <w:p w14:paraId="30B90F62" w14:textId="77777777" w:rsidR="00AF1989" w:rsidRPr="00E34332" w:rsidRDefault="00AF1989">
      <w:pPr>
        <w:spacing w:after="0" w:line="240" w:lineRule="auto"/>
        <w:jc w:val="both"/>
        <w:rPr>
          <w:rFonts w:cs="Arial"/>
          <w:i/>
          <w:lang w:val="fr-FR"/>
        </w:rPr>
      </w:pPr>
    </w:p>
    <w:p w14:paraId="468FEA4F" w14:textId="77777777" w:rsidR="00AF1989" w:rsidRPr="00E34332" w:rsidRDefault="0020159F">
      <w:pPr>
        <w:pStyle w:val="ListParagraph"/>
        <w:numPr>
          <w:ilvl w:val="0"/>
          <w:numId w:val="8"/>
        </w:numPr>
        <w:spacing w:after="80" w:line="240" w:lineRule="auto"/>
        <w:ind w:left="567" w:hanging="567"/>
        <w:contextualSpacing w:val="0"/>
        <w:jc w:val="both"/>
        <w:rPr>
          <w:rFonts w:cs="Arial"/>
          <w:lang w:val="fr-FR"/>
        </w:rPr>
      </w:pPr>
      <w:r w:rsidRPr="00E34332">
        <w:rPr>
          <w:rFonts w:cs="Arial"/>
          <w:lang w:val="fr-FR"/>
        </w:rPr>
        <w:t>L’expansion des infrastructures, telles que les routes, les voies ferrées, les clôtures et les pipelines, constitue un défi majeur pour les ongulés migrateurs</w:t>
      </w:r>
      <w:r w:rsidRPr="00E34332">
        <w:rPr>
          <w:rFonts w:cs="Arial"/>
          <w:vertAlign w:val="superscript"/>
          <w:lang w:val="fr-FR"/>
        </w:rPr>
        <w:t>7</w:t>
      </w:r>
      <w:r w:rsidRPr="00E34332">
        <w:rPr>
          <w:rFonts w:cs="Arial"/>
          <w:lang w:val="fr-FR"/>
        </w:rPr>
        <w:t>. Ces obstacles limitent de plus en plus les déplacements des ongulés inscrits aux Annexes de la CMS, en particulier dans des régions comme l’Asie centrale</w:t>
      </w:r>
      <w:r w:rsidRPr="00E34332">
        <w:rPr>
          <w:rFonts w:cs="Arial"/>
          <w:vertAlign w:val="superscript"/>
          <w:lang w:val="fr-FR"/>
        </w:rPr>
        <w:t>8</w:t>
      </w:r>
      <w:r w:rsidRPr="00E34332">
        <w:rPr>
          <w:rFonts w:cs="Arial"/>
          <w:lang w:val="fr-FR"/>
        </w:rPr>
        <w:t xml:space="preserve"> (voir la </w:t>
      </w:r>
      <w:r w:rsidRPr="00E34332">
        <w:rPr>
          <w:rFonts w:cs="Arial"/>
          <w:b/>
          <w:lang w:val="fr-FR"/>
        </w:rPr>
        <w:t>section 4</w:t>
      </w:r>
      <w:r w:rsidRPr="00E34332">
        <w:rPr>
          <w:rFonts w:cs="Arial"/>
          <w:lang w:val="fr-FR"/>
        </w:rPr>
        <w:t xml:space="preserve"> – </w:t>
      </w:r>
      <w:r w:rsidRPr="00E34332">
        <w:rPr>
          <w:rFonts w:cs="Arial"/>
          <w:i/>
          <w:lang w:val="fr-FR"/>
        </w:rPr>
        <w:t>Cartographie des migrations mondiales des ongulés</w:t>
      </w:r>
      <w:r w:rsidRPr="00E34332">
        <w:rPr>
          <w:rFonts w:cs="Arial"/>
          <w:lang w:val="fr-FR"/>
        </w:rPr>
        <w:t xml:space="preserve"> pour plus d’informations). Par exemple, entre 2002 et 2021, la mobilité de la gazelle de Mongolie (</w:t>
      </w:r>
      <w:proofErr w:type="spellStart"/>
      <w:r w:rsidRPr="00E34332">
        <w:rPr>
          <w:rFonts w:cs="Arial"/>
          <w:i/>
          <w:lang w:val="fr-FR"/>
        </w:rPr>
        <w:t>Procapra</w:t>
      </w:r>
      <w:proofErr w:type="spellEnd"/>
      <w:r w:rsidRPr="00E34332">
        <w:rPr>
          <w:rFonts w:cs="Arial"/>
          <w:i/>
          <w:lang w:val="fr-FR"/>
        </w:rPr>
        <w:t xml:space="preserve"> </w:t>
      </w:r>
      <w:proofErr w:type="spellStart"/>
      <w:r w:rsidRPr="00E34332">
        <w:rPr>
          <w:rFonts w:cs="Arial"/>
          <w:i/>
          <w:lang w:val="fr-FR"/>
        </w:rPr>
        <w:t>gutturosa</w:t>
      </w:r>
      <w:proofErr w:type="spellEnd"/>
      <w:r w:rsidRPr="00E34332">
        <w:rPr>
          <w:rFonts w:cs="Arial"/>
          <w:lang w:val="fr-FR"/>
        </w:rPr>
        <w:t>), une espèce nomade effectuant certains des déplacements les plus longs jamais enregistrés, a fortement diminué</w:t>
      </w:r>
      <w:r w:rsidRPr="00E34332">
        <w:rPr>
          <w:rFonts w:cs="Arial"/>
          <w:vertAlign w:val="superscript"/>
          <w:lang w:val="fr-FR"/>
        </w:rPr>
        <w:t>9</w:t>
      </w:r>
      <w:r w:rsidRPr="00E34332">
        <w:rPr>
          <w:rFonts w:cs="Arial"/>
          <w:lang w:val="fr-FR"/>
        </w:rPr>
        <w:t>. L’augmentation du trafic, entraînant une perte de connectivité, semble être un facteur clé de ce déclin</w:t>
      </w:r>
      <w:r w:rsidRPr="00E34332">
        <w:rPr>
          <w:rFonts w:cs="Arial"/>
          <w:vertAlign w:val="superscript"/>
          <w:lang w:val="fr-FR"/>
        </w:rPr>
        <w:t>9</w:t>
      </w:r>
      <w:r w:rsidRPr="00E34332">
        <w:rPr>
          <w:rFonts w:cs="Arial"/>
          <w:lang w:val="fr-FR"/>
        </w:rPr>
        <w:t xml:space="preserve">. </w:t>
      </w:r>
    </w:p>
    <w:p w14:paraId="1A1CAC06" w14:textId="77777777" w:rsidR="00AF1989" w:rsidRPr="00E34332" w:rsidRDefault="0020159F">
      <w:pPr>
        <w:pStyle w:val="ListParagraph"/>
        <w:numPr>
          <w:ilvl w:val="0"/>
          <w:numId w:val="8"/>
        </w:numPr>
        <w:spacing w:after="0" w:line="240" w:lineRule="auto"/>
        <w:ind w:left="567" w:hanging="567"/>
        <w:contextualSpacing w:val="0"/>
        <w:jc w:val="both"/>
        <w:rPr>
          <w:rFonts w:cs="Arial"/>
          <w:lang w:val="fr-FR"/>
        </w:rPr>
      </w:pPr>
      <w:r w:rsidRPr="00E34332">
        <w:rPr>
          <w:rFonts w:cs="Arial"/>
          <w:lang w:val="fr-FR"/>
        </w:rPr>
        <w:t xml:space="preserve">La prolifération rapide des clôtures a eu un impact profond sur de nombreuses espèces d’ongulés à travers le monde. Par exemple, la population de gnous bleus de </w:t>
      </w:r>
      <w:proofErr w:type="spellStart"/>
      <w:r w:rsidRPr="00E34332">
        <w:rPr>
          <w:rFonts w:cs="Arial"/>
          <w:lang w:val="fr-FR"/>
        </w:rPr>
        <w:t>Mara-Loita</w:t>
      </w:r>
      <w:proofErr w:type="spellEnd"/>
      <w:r w:rsidRPr="00E34332">
        <w:rPr>
          <w:rFonts w:cs="Arial"/>
          <w:lang w:val="fr-FR"/>
        </w:rPr>
        <w:t xml:space="preserve"> (</w:t>
      </w:r>
      <w:proofErr w:type="spellStart"/>
      <w:r w:rsidRPr="00E34332">
        <w:rPr>
          <w:rFonts w:cs="Arial"/>
          <w:i/>
          <w:lang w:val="fr-FR"/>
        </w:rPr>
        <w:t>Connochaetus</w:t>
      </w:r>
      <w:proofErr w:type="spellEnd"/>
      <w:r w:rsidRPr="00E34332">
        <w:rPr>
          <w:rFonts w:cs="Arial"/>
          <w:i/>
          <w:lang w:val="fr-FR"/>
        </w:rPr>
        <w:t xml:space="preserve"> </w:t>
      </w:r>
      <w:proofErr w:type="spellStart"/>
      <w:r w:rsidRPr="00E34332">
        <w:rPr>
          <w:rFonts w:cs="Arial"/>
          <w:i/>
          <w:lang w:val="fr-FR"/>
        </w:rPr>
        <w:t>taurinus</w:t>
      </w:r>
      <w:proofErr w:type="spellEnd"/>
      <w:r w:rsidRPr="00E34332">
        <w:rPr>
          <w:rFonts w:cs="Arial"/>
          <w:lang w:val="fr-FR"/>
        </w:rPr>
        <w:t>) a diminué de 75 % depuis la fin des années 1970, à la suite des changements d’usage des terres autorisés dans l’ensemble de leur aire de répartition</w:t>
      </w:r>
      <w:r w:rsidRPr="00E34332">
        <w:rPr>
          <w:rFonts w:cs="Arial"/>
          <w:vertAlign w:val="superscript"/>
          <w:lang w:val="fr-FR"/>
        </w:rPr>
        <w:t>10</w:t>
      </w:r>
      <w:r w:rsidRPr="00E34332">
        <w:rPr>
          <w:rFonts w:cs="Arial"/>
          <w:lang w:val="fr-FR"/>
        </w:rPr>
        <w:t>. La population a continué à décliner depuis 2021, ce qui coïncide avec l'expansion rapide des clôtures</w:t>
      </w:r>
      <w:r w:rsidRPr="00E34332">
        <w:rPr>
          <w:rFonts w:cs="Arial"/>
          <w:vertAlign w:val="superscript"/>
          <w:lang w:val="fr-FR"/>
        </w:rPr>
        <w:t>11</w:t>
      </w:r>
      <w:r w:rsidRPr="00E34332">
        <w:rPr>
          <w:rFonts w:cs="Arial"/>
          <w:lang w:val="fr-FR"/>
        </w:rPr>
        <w:t>. Cela contraste avec la population du Serengeti-</w:t>
      </w:r>
      <w:proofErr w:type="spellStart"/>
      <w:r w:rsidRPr="00E34332">
        <w:rPr>
          <w:rFonts w:cs="Arial"/>
          <w:lang w:val="fr-FR"/>
        </w:rPr>
        <w:t>Mara</w:t>
      </w:r>
      <w:proofErr w:type="spellEnd"/>
      <w:r w:rsidRPr="00E34332">
        <w:rPr>
          <w:rFonts w:cs="Arial"/>
          <w:lang w:val="fr-FR"/>
        </w:rPr>
        <w:t>, qui est restée stable car l’ensemble de son aire migratoire bénéficie d’une protection sous une forme ou une autre des deux côtés de la frontière Kenya-Tanzanie</w:t>
      </w:r>
      <w:r w:rsidRPr="00E34332">
        <w:rPr>
          <w:rFonts w:cs="Arial"/>
          <w:vertAlign w:val="superscript"/>
          <w:lang w:val="fr-FR"/>
        </w:rPr>
        <w:t>10</w:t>
      </w:r>
      <w:r w:rsidRPr="00E34332">
        <w:rPr>
          <w:rFonts w:cs="Arial"/>
          <w:lang w:val="fr-FR"/>
        </w:rPr>
        <w:t xml:space="preserve">. </w:t>
      </w:r>
    </w:p>
    <w:p w14:paraId="5900150E" w14:textId="77777777" w:rsidR="00AF1989" w:rsidRPr="00E34332" w:rsidRDefault="0020159F">
      <w:pPr>
        <w:pStyle w:val="ListParagraph"/>
        <w:numPr>
          <w:ilvl w:val="0"/>
          <w:numId w:val="8"/>
        </w:numPr>
        <w:spacing w:after="0" w:line="240" w:lineRule="auto"/>
        <w:ind w:left="567" w:hanging="567"/>
        <w:contextualSpacing w:val="0"/>
        <w:jc w:val="both"/>
        <w:rPr>
          <w:rFonts w:cs="Arial"/>
          <w:lang w:val="fr-FR"/>
        </w:rPr>
      </w:pPr>
      <w:r w:rsidRPr="00E34332">
        <w:rPr>
          <w:rFonts w:cs="Arial"/>
          <w:lang w:val="fr-FR"/>
        </w:rPr>
        <w:t>Dans tout l'Arctique, les populations de rennes (</w:t>
      </w:r>
      <w:proofErr w:type="spellStart"/>
      <w:r w:rsidRPr="00E34332">
        <w:rPr>
          <w:rFonts w:cs="Arial"/>
          <w:i/>
          <w:lang w:val="fr-FR"/>
        </w:rPr>
        <w:t>Rangifer</w:t>
      </w:r>
      <w:proofErr w:type="spellEnd"/>
      <w:r w:rsidRPr="00E34332">
        <w:rPr>
          <w:rFonts w:cs="Arial"/>
          <w:i/>
          <w:lang w:val="fr-FR"/>
        </w:rPr>
        <w:t xml:space="preserve"> </w:t>
      </w:r>
      <w:proofErr w:type="spellStart"/>
      <w:r w:rsidRPr="00E34332">
        <w:rPr>
          <w:rFonts w:cs="Arial"/>
          <w:i/>
          <w:lang w:val="fr-FR"/>
        </w:rPr>
        <w:t>tarandus</w:t>
      </w:r>
      <w:proofErr w:type="spellEnd"/>
      <w:r w:rsidRPr="00E34332">
        <w:rPr>
          <w:rFonts w:cs="Arial"/>
          <w:lang w:val="fr-FR"/>
        </w:rPr>
        <w:t>) ont globalement diminué de 65 % au cours des 20 à 30 dernières années, avec des indications selon lesquelles ces populations sont de plus en plus affectées par le changement climatique et l’expansion des infrastructures humaines, telles que les mines et les routes</w:t>
      </w:r>
      <w:r w:rsidRPr="00E34332">
        <w:rPr>
          <w:rFonts w:cs="Arial"/>
          <w:vertAlign w:val="superscript"/>
          <w:lang w:val="fr-FR"/>
        </w:rPr>
        <w:t>12</w:t>
      </w:r>
      <w:r w:rsidRPr="00E34332">
        <w:rPr>
          <w:rFonts w:cs="Arial"/>
          <w:lang w:val="fr-FR"/>
        </w:rPr>
        <w:t>. De nombreuses populations de rennes et de rennes sauvages situées plus au sud sont également menacées en raison de la perte et de la fragmentation des habitats forestiers importants</w:t>
      </w:r>
      <w:r w:rsidRPr="00E34332">
        <w:rPr>
          <w:rFonts w:cs="Arial"/>
          <w:vertAlign w:val="superscript"/>
          <w:lang w:val="fr-FR"/>
        </w:rPr>
        <w:t>13</w:t>
      </w:r>
      <w:r w:rsidRPr="00E34332">
        <w:rPr>
          <w:rFonts w:cs="Arial"/>
          <w:lang w:val="fr-FR"/>
        </w:rPr>
        <w:t>. Bien que les rennes ne soient pas inscrits aux Annexes de la CMS, leurs migrations jouent un rôle central dans l’écosystème de la toundra et revêtent une importance considérable pour les cultures autochtones de l’Arctique</w:t>
      </w:r>
      <w:r w:rsidRPr="00E34332">
        <w:rPr>
          <w:rFonts w:cs="Arial"/>
          <w:vertAlign w:val="superscript"/>
          <w:lang w:val="fr-FR"/>
        </w:rPr>
        <w:t>12</w:t>
      </w:r>
      <w:r w:rsidRPr="00E34332">
        <w:rPr>
          <w:rFonts w:cs="Arial"/>
          <w:lang w:val="fr-FR"/>
        </w:rPr>
        <w:t>.</w:t>
      </w:r>
    </w:p>
    <w:p w14:paraId="7334A0BC" w14:textId="77777777" w:rsidR="00AF1989" w:rsidRPr="00E34332" w:rsidRDefault="00AF1989">
      <w:pPr>
        <w:spacing w:after="0" w:line="240" w:lineRule="auto"/>
        <w:jc w:val="both"/>
        <w:rPr>
          <w:rFonts w:cs="Arial"/>
          <w:i/>
          <w:sz w:val="20"/>
          <w:szCs w:val="20"/>
          <w:lang w:val="fr-FR"/>
        </w:rPr>
      </w:pPr>
    </w:p>
    <w:p w14:paraId="450746A8" w14:textId="77777777" w:rsidR="00AF1989" w:rsidRPr="00E34332" w:rsidRDefault="0020159F">
      <w:pPr>
        <w:spacing w:after="0" w:line="240" w:lineRule="auto"/>
        <w:jc w:val="both"/>
        <w:rPr>
          <w:rFonts w:cs="Arial"/>
          <w:lang w:val="fr-FR"/>
        </w:rPr>
      </w:pPr>
      <w:r w:rsidRPr="00E34332">
        <w:rPr>
          <w:rFonts w:cs="Arial"/>
          <w:noProof/>
          <w:sz w:val="20"/>
          <w:szCs w:val="20"/>
          <w:lang w:val="fr-FR" w:eastAsia="fr-FR"/>
        </w:rPr>
        <w:drawing>
          <wp:anchor distT="0" distB="0" distL="114300" distR="114300" simplePos="0" relativeHeight="251659776" behindDoc="0" locked="0" layoutInCell="1" allowOverlap="1" wp14:anchorId="66D86489" wp14:editId="1695C7BE">
            <wp:simplePos x="0" y="0"/>
            <wp:positionH relativeFrom="column">
              <wp:posOffset>0</wp:posOffset>
            </wp:positionH>
            <wp:positionV relativeFrom="paragraph">
              <wp:posOffset>-2540</wp:posOffset>
            </wp:positionV>
            <wp:extent cx="3520635" cy="2346960"/>
            <wp:effectExtent l="0" t="0" r="3810" b="0"/>
            <wp:wrapSquare wrapText="bothSides"/>
            <wp:docPr id="365658233" name="Picture 1" descr="A llama standing in a field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8233" name="Picture 1" descr="A llama standing in a field with mountains in the backgroun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0635" cy="2346960"/>
                    </a:xfrm>
                    <a:prstGeom prst="rect">
                      <a:avLst/>
                    </a:prstGeom>
                  </pic:spPr>
                </pic:pic>
              </a:graphicData>
            </a:graphic>
          </wp:anchor>
        </w:drawing>
      </w:r>
      <w:r w:rsidRPr="00E34332">
        <w:rPr>
          <w:rFonts w:cs="Arial"/>
          <w:i/>
          <w:sz w:val="20"/>
          <w:szCs w:val="20"/>
          <w:lang w:val="fr-FR"/>
        </w:rPr>
        <w:t>Légende de la photo</w:t>
      </w:r>
      <w:r w:rsidRPr="00E34332">
        <w:rPr>
          <w:rFonts w:cs="Arial"/>
          <w:sz w:val="20"/>
          <w:szCs w:val="20"/>
          <w:lang w:val="fr-FR"/>
        </w:rPr>
        <w:t xml:space="preserve"> : Inscrits à l'Annexe II de la CMS lors de la COP14, les guanacos (</w:t>
      </w:r>
      <w:proofErr w:type="spellStart"/>
      <w:r w:rsidRPr="00E34332">
        <w:rPr>
          <w:rFonts w:cs="Arial"/>
          <w:i/>
          <w:sz w:val="20"/>
          <w:szCs w:val="20"/>
          <w:lang w:val="fr-FR"/>
        </w:rPr>
        <w:t>Llama</w:t>
      </w:r>
      <w:proofErr w:type="spellEnd"/>
      <w:r w:rsidRPr="00E34332">
        <w:rPr>
          <w:rFonts w:cs="Arial"/>
          <w:i/>
          <w:sz w:val="20"/>
          <w:szCs w:val="20"/>
          <w:lang w:val="fr-FR"/>
        </w:rPr>
        <w:t xml:space="preserve"> </w:t>
      </w:r>
      <w:proofErr w:type="spellStart"/>
      <w:r w:rsidRPr="00E34332">
        <w:rPr>
          <w:rFonts w:cs="Arial"/>
          <w:i/>
          <w:sz w:val="20"/>
          <w:szCs w:val="20"/>
          <w:lang w:val="fr-FR"/>
        </w:rPr>
        <w:t>guanicoe</w:t>
      </w:r>
      <w:proofErr w:type="spellEnd"/>
      <w:r w:rsidRPr="00E34332">
        <w:rPr>
          <w:rFonts w:cs="Arial"/>
          <w:sz w:val="20"/>
          <w:szCs w:val="20"/>
          <w:lang w:val="fr-FR"/>
        </w:rPr>
        <w:t>) existent sous forme de populations isolées dans l’ensemble de leur aire de répartition, qui couvre plusieurs pays d’Amérique du Sud. L’enchevêtrement dans les clôtures constitue la principale menace pour les migrations des guanacos en Patagonie, lesquelles impliquent généralement des déplacements de courte distance entre les zones estivales d’altitude et les zones hivernales de basse altitude</w:t>
      </w:r>
      <w:r w:rsidRPr="00E34332">
        <w:rPr>
          <w:rFonts w:cs="Arial"/>
          <w:sz w:val="20"/>
          <w:szCs w:val="20"/>
          <w:vertAlign w:val="superscript"/>
          <w:lang w:val="fr-FR"/>
        </w:rPr>
        <w:t>14</w:t>
      </w:r>
      <w:r w:rsidRPr="00E34332">
        <w:rPr>
          <w:rFonts w:cs="Arial"/>
          <w:sz w:val="20"/>
          <w:szCs w:val="20"/>
          <w:lang w:val="fr-FR"/>
        </w:rPr>
        <w:t>.</w:t>
      </w:r>
      <w:r w:rsidRPr="00E34332">
        <w:rPr>
          <w:rFonts w:cs="Arial"/>
          <w:i/>
          <w:sz w:val="20"/>
          <w:szCs w:val="20"/>
          <w:lang w:val="fr-FR"/>
        </w:rPr>
        <w:t xml:space="preserve"> </w:t>
      </w:r>
      <w:r w:rsidRPr="00E34332">
        <w:rPr>
          <w:rFonts w:cs="Arial"/>
          <w:i/>
          <w:iCs/>
          <w:sz w:val="20"/>
          <w:szCs w:val="20"/>
          <w:lang w:val="fr-FR"/>
        </w:rPr>
        <w:t>Crédit photo</w:t>
      </w:r>
      <w:r w:rsidRPr="00E34332">
        <w:rPr>
          <w:rFonts w:cs="Arial"/>
          <w:sz w:val="20"/>
          <w:szCs w:val="20"/>
          <w:lang w:val="fr-FR"/>
        </w:rPr>
        <w:t xml:space="preserve"> : </w:t>
      </w:r>
      <w:hyperlink r:id="rId41" w:history="1">
        <w:r w:rsidRPr="00E34332">
          <w:rPr>
            <w:rStyle w:val="Hyperlink"/>
            <w:rFonts w:cs="Arial"/>
            <w:sz w:val="20"/>
            <w:szCs w:val="20"/>
            <w:lang w:val="fr-FR"/>
          </w:rPr>
          <w:t>Adobe Stock | #83783149</w:t>
        </w:r>
      </w:hyperlink>
      <w:r w:rsidRPr="00E34332">
        <w:rPr>
          <w:rFonts w:cs="Arial"/>
          <w:sz w:val="20"/>
          <w:szCs w:val="20"/>
          <w:lang w:val="fr-FR"/>
        </w:rPr>
        <w:t>.</w:t>
      </w:r>
    </w:p>
    <w:p w14:paraId="432E6656" w14:textId="77777777" w:rsidR="00AF1989" w:rsidRPr="00E34332" w:rsidRDefault="00AF1989">
      <w:pPr>
        <w:spacing w:after="0" w:line="240" w:lineRule="auto"/>
        <w:jc w:val="both"/>
        <w:rPr>
          <w:rFonts w:cs="Arial"/>
          <w:b/>
          <w:color w:val="003870"/>
          <w:lang w:val="fr-FR"/>
        </w:rPr>
      </w:pPr>
    </w:p>
    <w:p w14:paraId="395BF49F" w14:textId="62FE1B0E" w:rsidR="008A6C17" w:rsidRDefault="008A6C17">
      <w:pPr>
        <w:spacing w:after="0" w:line="240" w:lineRule="auto"/>
        <w:jc w:val="both"/>
        <w:rPr>
          <w:rFonts w:cs="Arial"/>
          <w:b/>
          <w:color w:val="003870"/>
          <w:lang w:val="fr-FR"/>
        </w:rPr>
      </w:pPr>
      <w:r>
        <w:rPr>
          <w:rFonts w:cs="Arial"/>
          <w:b/>
          <w:color w:val="003870"/>
          <w:lang w:val="fr-FR"/>
        </w:rPr>
        <w:br w:type="page"/>
      </w:r>
    </w:p>
    <w:p w14:paraId="17C43C2D" w14:textId="77777777" w:rsidR="00AF1989" w:rsidRPr="00E34332" w:rsidRDefault="0020159F">
      <w:pPr>
        <w:spacing w:after="0" w:line="240" w:lineRule="auto"/>
        <w:jc w:val="both"/>
        <w:rPr>
          <w:rFonts w:cs="Arial"/>
          <w:b/>
          <w:lang w:val="fr-FR"/>
        </w:rPr>
      </w:pPr>
      <w:r w:rsidRPr="00E34332">
        <w:rPr>
          <w:rFonts w:cs="Arial"/>
          <w:b/>
          <w:lang w:val="fr-FR"/>
        </w:rPr>
        <w:lastRenderedPageBreak/>
        <w:t>Oiseaux</w:t>
      </w:r>
    </w:p>
    <w:p w14:paraId="5E45379A" w14:textId="77777777" w:rsidR="00AF1989" w:rsidRPr="00E34332" w:rsidRDefault="00AF1989">
      <w:pPr>
        <w:spacing w:after="0" w:line="240" w:lineRule="auto"/>
        <w:jc w:val="both"/>
        <w:rPr>
          <w:rFonts w:cs="Arial"/>
          <w:b/>
          <w:lang w:val="fr-FR"/>
        </w:rPr>
      </w:pPr>
    </w:p>
    <w:p w14:paraId="2073040F" w14:textId="77777777" w:rsidR="00AF1989" w:rsidRPr="00E34332" w:rsidRDefault="0020159F">
      <w:pPr>
        <w:spacing w:after="0" w:line="240" w:lineRule="auto"/>
        <w:jc w:val="both"/>
        <w:rPr>
          <w:rFonts w:cs="Arial"/>
          <w:i/>
          <w:lang w:val="fr-FR"/>
        </w:rPr>
      </w:pPr>
      <w:r w:rsidRPr="00E34332">
        <w:rPr>
          <w:rFonts w:cs="Arial"/>
          <w:i/>
          <w:lang w:val="fr-FR"/>
        </w:rPr>
        <w:t>Rapaces d'Afrique-Eurasie et autres oiseaux terrestres</w:t>
      </w:r>
    </w:p>
    <w:p w14:paraId="776F899D" w14:textId="77777777" w:rsidR="00AF1989" w:rsidRPr="00E34332" w:rsidRDefault="00AF1989">
      <w:pPr>
        <w:spacing w:after="0" w:line="240" w:lineRule="auto"/>
        <w:jc w:val="both"/>
        <w:rPr>
          <w:rFonts w:cs="Arial"/>
          <w:i/>
          <w:lang w:val="fr-FR"/>
        </w:rPr>
      </w:pPr>
    </w:p>
    <w:p w14:paraId="0CFF47E5" w14:textId="77777777" w:rsidR="00AF1989" w:rsidRPr="00E34332" w:rsidRDefault="0020159F" w:rsidP="008A6C17">
      <w:pPr>
        <w:pStyle w:val="ListParagraph"/>
        <w:numPr>
          <w:ilvl w:val="0"/>
          <w:numId w:val="9"/>
        </w:numPr>
        <w:spacing w:after="40" w:line="240" w:lineRule="auto"/>
        <w:ind w:left="567" w:hanging="567"/>
        <w:contextualSpacing w:val="0"/>
        <w:jc w:val="both"/>
        <w:rPr>
          <w:rFonts w:cs="Arial"/>
          <w:lang w:val="fr-FR"/>
        </w:rPr>
      </w:pPr>
      <w:r w:rsidRPr="00E34332">
        <w:rPr>
          <w:rFonts w:cs="Arial"/>
          <w:lang w:val="fr-FR"/>
        </w:rPr>
        <w:t xml:space="preserve">Selon le récent </w:t>
      </w:r>
      <w:hyperlink r:id="rId42" w:history="1">
        <w:r w:rsidRPr="00E34332">
          <w:rPr>
            <w:rStyle w:val="Hyperlink"/>
            <w:rFonts w:cs="Arial"/>
            <w:lang w:val="fr-FR"/>
          </w:rPr>
          <w:t>Rapport d’évaluation de l’état de conservation du Mémorandum d’entente sur les rapaces (</w:t>
        </w:r>
        <w:proofErr w:type="spellStart"/>
        <w:r w:rsidRPr="00E34332">
          <w:rPr>
            <w:rStyle w:val="Hyperlink"/>
            <w:rFonts w:cs="Arial"/>
            <w:lang w:val="fr-FR"/>
          </w:rPr>
          <w:t>MdE</w:t>
        </w:r>
        <w:proofErr w:type="spellEnd"/>
        <w:r w:rsidRPr="00E34332">
          <w:rPr>
            <w:rStyle w:val="Hyperlink"/>
            <w:rFonts w:cs="Arial"/>
            <w:lang w:val="fr-FR"/>
          </w:rPr>
          <w:t xml:space="preserve"> Rapaces)</w:t>
        </w:r>
      </w:hyperlink>
      <w:r w:rsidRPr="00E34332">
        <w:rPr>
          <w:rFonts w:cs="Arial"/>
          <w:lang w:val="fr-FR"/>
        </w:rPr>
        <w:t>, les populations mondiales de plus de la moitié (53 %) des 93 espèces inscrites à l’Annexe 1 du Mémorandum sont en déclin, avec une proportion particulièrement élevée de vautours et d’aigles présentant des tendances démographiques à la baisse</w:t>
      </w:r>
      <w:r w:rsidRPr="00E34332">
        <w:rPr>
          <w:rFonts w:cs="Arial"/>
          <w:vertAlign w:val="superscript"/>
          <w:lang w:val="fr-FR"/>
        </w:rPr>
        <w:t>15</w:t>
      </w:r>
      <w:r w:rsidRPr="00E34332">
        <w:rPr>
          <w:rFonts w:cs="Arial"/>
          <w:lang w:val="fr-FR"/>
        </w:rPr>
        <w:t xml:space="preserve"> Par exemple, une étude récente a révélé que les espèces de rapaces africains associées aux habitats de savane ont connu un </w:t>
      </w:r>
      <w:hyperlink r:id="rId43" w:history="1">
        <w:r w:rsidRPr="00E34332">
          <w:rPr>
            <w:rStyle w:val="Hyperlink"/>
            <w:rFonts w:cs="Arial"/>
            <w:lang w:val="fr-FR"/>
          </w:rPr>
          <w:t>déclin généralisé</w:t>
        </w:r>
      </w:hyperlink>
      <w:r w:rsidRPr="00E34332">
        <w:rPr>
          <w:rFonts w:cs="Arial"/>
          <w:lang w:val="fr-FR"/>
        </w:rPr>
        <w:t xml:space="preserve"> au cours des 20 à 40 dernières années, sur la base de relevés effectués le long de transects routiers à travers le continent</w:t>
      </w:r>
      <w:r w:rsidRPr="00E34332">
        <w:rPr>
          <w:rFonts w:cs="Arial"/>
          <w:vertAlign w:val="superscript"/>
          <w:lang w:val="fr-FR"/>
        </w:rPr>
        <w:t>16</w:t>
      </w:r>
      <w:r w:rsidRPr="00E34332">
        <w:rPr>
          <w:rFonts w:cs="Arial"/>
          <w:lang w:val="fr-FR"/>
        </w:rPr>
        <w:t xml:space="preserve">. </w:t>
      </w:r>
    </w:p>
    <w:p w14:paraId="3875D969" w14:textId="77777777" w:rsidR="00AF1989" w:rsidRPr="00E34332" w:rsidRDefault="0020159F" w:rsidP="008A6C17">
      <w:pPr>
        <w:pStyle w:val="ListParagraph"/>
        <w:numPr>
          <w:ilvl w:val="0"/>
          <w:numId w:val="9"/>
        </w:numPr>
        <w:spacing w:after="40" w:line="240" w:lineRule="auto"/>
        <w:ind w:left="567" w:hanging="567"/>
        <w:contextualSpacing w:val="0"/>
        <w:jc w:val="both"/>
        <w:rPr>
          <w:rFonts w:cs="Arial"/>
          <w:lang w:val="fr-FR"/>
        </w:rPr>
      </w:pPr>
      <w:r w:rsidRPr="00E34332">
        <w:rPr>
          <w:rFonts w:cs="Arial"/>
          <w:lang w:val="fr-FR"/>
        </w:rPr>
        <w:t>L’</w:t>
      </w:r>
      <w:hyperlink r:id="rId44" w:history="1">
        <w:r w:rsidRPr="00E34332">
          <w:rPr>
            <w:rStyle w:val="Hyperlink"/>
            <w:rFonts w:cs="Arial"/>
            <w:lang w:val="fr-FR"/>
          </w:rPr>
          <w:t>examen à mi-parcours</w:t>
        </w:r>
      </w:hyperlink>
      <w:r w:rsidRPr="00E34332">
        <w:rPr>
          <w:rFonts w:cs="Arial"/>
          <w:lang w:val="fr-FR"/>
        </w:rPr>
        <w:t xml:space="preserve"> du Plan d’action multi-espèces pour la conservation des vautours d’Afrique-Eurasie (MSAP Vautours) fournit une mise à jour détaillée sur la situation actuelle des vautours dans cette région</w:t>
      </w:r>
      <w:r w:rsidRPr="00E34332">
        <w:rPr>
          <w:rFonts w:cs="Arial"/>
          <w:vertAlign w:val="superscript"/>
          <w:lang w:val="fr-FR"/>
        </w:rPr>
        <w:t>17</w:t>
      </w:r>
      <w:r w:rsidRPr="00E34332">
        <w:rPr>
          <w:rFonts w:cs="Arial"/>
          <w:lang w:val="fr-FR"/>
        </w:rPr>
        <w:t>. La plupart des populations de vautours européennes sont en rétablissement ou stables, et il existe également des signes de stabilisation des populations d’Asie du Sud à un faible niveau, après un effondrement historique de leurs effectifs causé par un empoisonnement involontaire</w:t>
      </w:r>
      <w:r w:rsidRPr="00E34332">
        <w:rPr>
          <w:rFonts w:cs="Arial"/>
          <w:vertAlign w:val="superscript"/>
          <w:lang w:val="fr-FR"/>
        </w:rPr>
        <w:t>17,18</w:t>
      </w:r>
      <w:r w:rsidRPr="00E34332">
        <w:rPr>
          <w:rFonts w:cs="Arial"/>
          <w:lang w:val="fr-FR"/>
        </w:rPr>
        <w:t>. Ces tendances ont été attribuées à des améliorations législatives et à une gestion active des efforts de conservation</w:t>
      </w:r>
      <w:r w:rsidRPr="00E34332">
        <w:rPr>
          <w:rFonts w:cs="Arial"/>
          <w:vertAlign w:val="superscript"/>
          <w:lang w:val="fr-FR"/>
        </w:rPr>
        <w:t>17,19</w:t>
      </w:r>
      <w:r w:rsidRPr="00E34332">
        <w:rPr>
          <w:rFonts w:cs="Arial"/>
          <w:lang w:val="fr-FR"/>
        </w:rPr>
        <w:t>. Cependant, de nombreuses populations de vautours continuent de décliner rapidement, en particulier en Afrique</w:t>
      </w:r>
      <w:r w:rsidRPr="00E34332">
        <w:rPr>
          <w:rFonts w:cs="Arial"/>
          <w:vertAlign w:val="superscript"/>
          <w:lang w:val="fr-FR"/>
        </w:rPr>
        <w:t>17</w:t>
      </w:r>
      <w:r w:rsidRPr="00E34332">
        <w:rPr>
          <w:rFonts w:cs="Arial"/>
          <w:lang w:val="fr-FR"/>
        </w:rPr>
        <w:t xml:space="preserve">. </w:t>
      </w:r>
    </w:p>
    <w:p w14:paraId="1C2253FC" w14:textId="77777777" w:rsidR="00AF1989" w:rsidRPr="00E34332" w:rsidRDefault="0020159F" w:rsidP="008A6C17">
      <w:pPr>
        <w:pStyle w:val="ListParagraph"/>
        <w:numPr>
          <w:ilvl w:val="0"/>
          <w:numId w:val="9"/>
        </w:numPr>
        <w:spacing w:after="40" w:line="240" w:lineRule="auto"/>
        <w:ind w:left="567" w:hanging="567"/>
        <w:contextualSpacing w:val="0"/>
        <w:jc w:val="both"/>
        <w:rPr>
          <w:rFonts w:cs="Arial"/>
          <w:i/>
          <w:lang w:val="fr-FR"/>
        </w:rPr>
      </w:pPr>
      <w:r w:rsidRPr="00E34332">
        <w:rPr>
          <w:rFonts w:cs="Arial"/>
          <w:lang w:val="fr-FR"/>
        </w:rPr>
        <w:t>Les principales pressions auxquelles les rapaces d’Afrique et d’Eurasie sont confrontés sont la perte d’habitat et la capture illégale, y compris la chasse et le piégeage, l’empoisonnement intentionnel ou accidentel, la capture à des fins de croyances traditionnelles, ainsi que l’électrocution et les collisions avec les infrastructures énergétiques</w:t>
      </w:r>
      <w:r w:rsidRPr="00E34332">
        <w:rPr>
          <w:rFonts w:cs="Arial"/>
          <w:vertAlign w:val="superscript"/>
          <w:lang w:val="fr-FR"/>
        </w:rPr>
        <w:t>15</w:t>
      </w:r>
      <w:r w:rsidRPr="00E34332">
        <w:rPr>
          <w:rFonts w:cs="Arial"/>
          <w:lang w:val="fr-FR"/>
        </w:rPr>
        <w:t xml:space="preserve">. Les informations sur les événements de mortalité issues des </w:t>
      </w:r>
      <w:hyperlink r:id="rId45" w:history="1">
        <w:r w:rsidRPr="00E34332">
          <w:rPr>
            <w:rStyle w:val="Hyperlink"/>
            <w:rFonts w:cs="Arial"/>
            <w:lang w:val="fr-FR"/>
          </w:rPr>
          <w:t>données de suivi</w:t>
        </w:r>
      </w:hyperlink>
      <w:r w:rsidRPr="00E34332">
        <w:rPr>
          <w:rFonts w:cs="Arial"/>
          <w:lang w:val="fr-FR"/>
        </w:rPr>
        <w:t xml:space="preserve"> ont confirmé que l’électrocution et les collisions avec les infrastructures énergétiques constituent une cause majeure de mortalité d’origine humaine chez les rapaces migrateurs le long de la voie de migration Afrique-Eurasie, aux côtés du braconnage et de l’empoisonnement</w:t>
      </w:r>
      <w:r w:rsidRPr="00E34332">
        <w:rPr>
          <w:rFonts w:cs="Arial"/>
          <w:vertAlign w:val="superscript"/>
          <w:lang w:val="fr-FR"/>
        </w:rPr>
        <w:t>20</w:t>
      </w:r>
      <w:r w:rsidRPr="00E34332">
        <w:rPr>
          <w:rFonts w:cs="Arial"/>
          <w:lang w:val="fr-FR"/>
        </w:rPr>
        <w:t xml:space="preserve">. </w:t>
      </w:r>
    </w:p>
    <w:p w14:paraId="55699C4C" w14:textId="691E01CA" w:rsidR="00AF1989" w:rsidRPr="008A6C17" w:rsidRDefault="0020159F" w:rsidP="008A6C17">
      <w:pPr>
        <w:pStyle w:val="ListParagraph"/>
        <w:numPr>
          <w:ilvl w:val="0"/>
          <w:numId w:val="7"/>
        </w:numPr>
        <w:spacing w:after="40" w:line="240" w:lineRule="auto"/>
        <w:ind w:left="567" w:hanging="567"/>
        <w:contextualSpacing w:val="0"/>
        <w:jc w:val="both"/>
        <w:rPr>
          <w:rFonts w:cs="Arial"/>
          <w:i/>
          <w:sz w:val="20"/>
          <w:szCs w:val="20"/>
          <w:lang w:val="fr-FR"/>
        </w:rPr>
      </w:pPr>
      <w:r w:rsidRPr="00E34332">
        <w:rPr>
          <w:rFonts w:cs="Arial"/>
          <w:lang w:val="fr-FR"/>
        </w:rPr>
        <w:t xml:space="preserve">Au-delà des rapaces, les aires de répartition d’autres migrateurs paléarctiques se sont considérablement contractées au Kenya entre 1970 et 2023, selon une </w:t>
      </w:r>
      <w:hyperlink r:id="rId46" w:history="1">
        <w:r w:rsidRPr="00E34332">
          <w:rPr>
            <w:rStyle w:val="Hyperlink"/>
            <w:rFonts w:cs="Arial"/>
            <w:lang w:val="fr-FR"/>
          </w:rPr>
          <w:t>comparaison croisée</w:t>
        </w:r>
      </w:hyperlink>
      <w:r w:rsidRPr="00E34332">
        <w:rPr>
          <w:rFonts w:cs="Arial"/>
          <w:lang w:val="fr-FR"/>
        </w:rPr>
        <w:t xml:space="preserve"> entre les cartes des premiers atlas ornithologiques et les données plus récentes issues de la science participative</w:t>
      </w:r>
      <w:r w:rsidRPr="00E34332">
        <w:rPr>
          <w:rFonts w:cs="Arial"/>
          <w:vertAlign w:val="superscript"/>
          <w:lang w:val="fr-FR"/>
        </w:rPr>
        <w:t>21</w:t>
      </w:r>
      <w:r w:rsidRPr="00E34332">
        <w:rPr>
          <w:rFonts w:cs="Arial"/>
          <w:lang w:val="fr-FR"/>
        </w:rPr>
        <w:t>. Ces pertes d’aire de répartition reflètent les déclins généraux de l’abondance des populations de migrateurs afro-paléarctiques de longue distance observés en Europe entre 1980 et 2017</w:t>
      </w:r>
      <w:r w:rsidRPr="00E34332">
        <w:rPr>
          <w:rFonts w:cs="Arial"/>
          <w:vertAlign w:val="superscript"/>
          <w:lang w:val="fr-FR"/>
        </w:rPr>
        <w:t>22</w:t>
      </w:r>
      <w:r w:rsidRPr="00E34332">
        <w:rPr>
          <w:rFonts w:cs="Arial"/>
          <w:lang w:val="fr-FR"/>
        </w:rPr>
        <w:t>. Les migrateurs de longue distance qui dépendent des systèmes agricoles semblent subir les déclins les plus importants, exacerbés par les effets du changement climatique</w:t>
      </w:r>
      <w:r w:rsidRPr="00E34332">
        <w:rPr>
          <w:rFonts w:cs="Arial"/>
          <w:vertAlign w:val="superscript"/>
          <w:lang w:val="fr-FR"/>
        </w:rPr>
        <w:t>22,23</w:t>
      </w:r>
      <w:r w:rsidRPr="00E34332">
        <w:rPr>
          <w:rFonts w:cs="Arial"/>
          <w:lang w:val="fr-FR"/>
        </w:rPr>
        <w:t xml:space="preserve">. </w:t>
      </w:r>
    </w:p>
    <w:p w14:paraId="7C1C83E3" w14:textId="21AFC67D" w:rsidR="00AF1989" w:rsidRPr="00CC6C69" w:rsidRDefault="0020159F" w:rsidP="00CC6C69">
      <w:pPr>
        <w:spacing w:line="240" w:lineRule="auto"/>
        <w:jc w:val="both"/>
        <w:rPr>
          <w:rFonts w:cs="Arial"/>
          <w:sz w:val="18"/>
          <w:szCs w:val="18"/>
          <w:lang w:val="fr-FR"/>
        </w:rPr>
      </w:pPr>
      <w:r w:rsidRPr="00CC6C69">
        <w:rPr>
          <w:rFonts w:cs="Arial"/>
          <w:noProof/>
          <w:sz w:val="18"/>
          <w:szCs w:val="18"/>
          <w:lang w:val="fr-FR" w:eastAsia="fr-FR"/>
        </w:rPr>
        <w:drawing>
          <wp:anchor distT="0" distB="0" distL="114300" distR="114300" simplePos="0" relativeHeight="251652608" behindDoc="0" locked="0" layoutInCell="1" allowOverlap="1" wp14:anchorId="0B1C940D" wp14:editId="626869E6">
            <wp:simplePos x="0" y="0"/>
            <wp:positionH relativeFrom="margin">
              <wp:posOffset>2084070</wp:posOffset>
            </wp:positionH>
            <wp:positionV relativeFrom="paragraph">
              <wp:posOffset>10795</wp:posOffset>
            </wp:positionV>
            <wp:extent cx="3901440" cy="2601595"/>
            <wp:effectExtent l="0" t="0" r="3810" b="8255"/>
            <wp:wrapSquare wrapText="bothSides"/>
            <wp:docPr id="74863425" name="Picture 3" descr="A bird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3425" name="Picture 3" descr="A bird standing on a roc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01440" cy="2601595"/>
                    </a:xfrm>
                    <a:prstGeom prst="rect">
                      <a:avLst/>
                    </a:prstGeom>
                  </pic:spPr>
                </pic:pic>
              </a:graphicData>
            </a:graphic>
          </wp:anchor>
        </w:drawing>
      </w:r>
      <w:r w:rsidRPr="00CC6C69">
        <w:rPr>
          <w:rFonts w:cs="Arial"/>
          <w:i/>
          <w:sz w:val="18"/>
          <w:szCs w:val="18"/>
          <w:lang w:val="fr-FR"/>
        </w:rPr>
        <w:t>Légende de la photo</w:t>
      </w:r>
      <w:r w:rsidRPr="00CC6C69">
        <w:rPr>
          <w:rFonts w:cs="Arial"/>
          <w:sz w:val="18"/>
          <w:szCs w:val="18"/>
          <w:lang w:val="fr-FR"/>
        </w:rPr>
        <w:t xml:space="preserve"> : Les aigles des steppes (</w:t>
      </w:r>
      <w:r w:rsidRPr="00CC6C69">
        <w:rPr>
          <w:rFonts w:cs="Arial"/>
          <w:i/>
          <w:sz w:val="18"/>
          <w:szCs w:val="18"/>
          <w:lang w:val="fr-FR"/>
        </w:rPr>
        <w:t xml:space="preserve">Aquila </w:t>
      </w:r>
      <w:proofErr w:type="spellStart"/>
      <w:r w:rsidRPr="00CC6C69">
        <w:rPr>
          <w:rFonts w:cs="Arial"/>
          <w:i/>
          <w:sz w:val="18"/>
          <w:szCs w:val="18"/>
          <w:lang w:val="fr-FR"/>
        </w:rPr>
        <w:t>nipalensis</w:t>
      </w:r>
      <w:proofErr w:type="spellEnd"/>
      <w:r w:rsidRPr="00CC6C69">
        <w:rPr>
          <w:rFonts w:cs="Arial"/>
          <w:sz w:val="18"/>
          <w:szCs w:val="18"/>
          <w:lang w:val="fr-FR"/>
        </w:rPr>
        <w:t>), inscrits à l’Annexe I de la CMS, migrent sur des milliers de kilomètres depuis leurs zones de reproduction en Chine, en Asie centrale, en Mongolie et en Russie jusqu’aux sites d’hivernage en Afrique, au Moyen-Orient et dans le sud de l’Asie. Classées « en danger » à l’échelle mondiale, ces populations sont menacées par un ensemble de pressions, notamment la conversion des habitats, le braconnage et les collisions avec les lignes électriques et les infrastructures énergétiques</w:t>
      </w:r>
      <w:r w:rsidRPr="00CC6C69">
        <w:rPr>
          <w:rFonts w:cs="Arial"/>
          <w:sz w:val="18"/>
          <w:szCs w:val="18"/>
          <w:vertAlign w:val="superscript"/>
          <w:lang w:val="fr-FR"/>
        </w:rPr>
        <w:t>25</w:t>
      </w:r>
      <w:r w:rsidRPr="00CC6C69">
        <w:rPr>
          <w:rFonts w:cs="Arial"/>
          <w:sz w:val="18"/>
          <w:szCs w:val="18"/>
          <w:lang w:val="fr-FR"/>
        </w:rPr>
        <w:t xml:space="preserve">. Un plan d'action mondial concernant les aigles des steppes sera présenté à la COP15. </w:t>
      </w:r>
      <w:r w:rsidRPr="00CC6C69">
        <w:rPr>
          <w:rFonts w:cs="Arial"/>
          <w:i/>
          <w:sz w:val="18"/>
          <w:szCs w:val="18"/>
          <w:lang w:val="fr-FR"/>
        </w:rPr>
        <w:t>Crédit photo</w:t>
      </w:r>
      <w:r w:rsidRPr="00CC6C69">
        <w:rPr>
          <w:rFonts w:cs="Arial"/>
          <w:sz w:val="18"/>
          <w:szCs w:val="18"/>
          <w:lang w:val="fr-FR"/>
        </w:rPr>
        <w:t xml:space="preserve"> : </w:t>
      </w:r>
      <w:hyperlink r:id="rId48" w:history="1">
        <w:r w:rsidRPr="00CC6C69">
          <w:rPr>
            <w:rStyle w:val="Hyperlink"/>
            <w:rFonts w:cs="Arial"/>
            <w:sz w:val="18"/>
            <w:szCs w:val="18"/>
            <w:lang w:val="fr-FR"/>
          </w:rPr>
          <w:t>Adobe Stock | #1419499617</w:t>
        </w:r>
      </w:hyperlink>
      <w:r w:rsidRPr="00CC6C69">
        <w:rPr>
          <w:rFonts w:cs="Arial"/>
          <w:sz w:val="18"/>
          <w:szCs w:val="18"/>
          <w:lang w:val="fr-FR"/>
        </w:rPr>
        <w:t>.</w:t>
      </w:r>
    </w:p>
    <w:p w14:paraId="6CFCA7CE" w14:textId="77777777" w:rsidR="00AF1989" w:rsidRPr="00E34332" w:rsidRDefault="0020159F">
      <w:pPr>
        <w:spacing w:after="0" w:line="240" w:lineRule="auto"/>
        <w:jc w:val="both"/>
        <w:rPr>
          <w:rFonts w:cs="Arial"/>
          <w:i/>
          <w:lang w:val="fr-FR"/>
        </w:rPr>
      </w:pPr>
      <w:r w:rsidRPr="00E34332">
        <w:rPr>
          <w:rFonts w:cs="Arial"/>
          <w:i/>
          <w:lang w:val="fr-FR"/>
        </w:rPr>
        <w:lastRenderedPageBreak/>
        <w:t>Oiseaux de rivage</w:t>
      </w:r>
    </w:p>
    <w:p w14:paraId="33BE6BEB" w14:textId="77777777" w:rsidR="00AF1989" w:rsidRPr="00E34332" w:rsidRDefault="00AF1989">
      <w:pPr>
        <w:spacing w:after="0" w:line="240" w:lineRule="auto"/>
        <w:jc w:val="both"/>
        <w:rPr>
          <w:rFonts w:cs="Arial"/>
          <w:i/>
          <w:lang w:val="fr-FR"/>
        </w:rPr>
      </w:pPr>
    </w:p>
    <w:p w14:paraId="2B3EE75F" w14:textId="77777777" w:rsidR="00AF1989" w:rsidRPr="00E34332" w:rsidRDefault="0020159F">
      <w:pPr>
        <w:pStyle w:val="ListParagraph"/>
        <w:numPr>
          <w:ilvl w:val="0"/>
          <w:numId w:val="10"/>
        </w:numPr>
        <w:spacing w:after="80" w:line="240" w:lineRule="auto"/>
        <w:ind w:left="567" w:hanging="567"/>
        <w:contextualSpacing w:val="0"/>
        <w:jc w:val="both"/>
        <w:rPr>
          <w:rFonts w:cs="Arial"/>
          <w:lang w:val="fr-FR"/>
        </w:rPr>
      </w:pPr>
      <w:r w:rsidRPr="00E34332">
        <w:rPr>
          <w:rFonts w:cs="Arial"/>
          <w:lang w:val="fr-FR"/>
        </w:rPr>
        <w:t>L'extinction mondiale probable du courlis à bec grêle (</w:t>
      </w:r>
      <w:r w:rsidRPr="00E34332">
        <w:rPr>
          <w:rFonts w:cs="Arial"/>
          <w:i/>
          <w:lang w:val="fr-FR"/>
        </w:rPr>
        <w:t xml:space="preserve">Numenius </w:t>
      </w:r>
      <w:proofErr w:type="spellStart"/>
      <w:r w:rsidRPr="00E34332">
        <w:rPr>
          <w:rFonts w:cs="Arial"/>
          <w:i/>
          <w:lang w:val="fr-FR"/>
        </w:rPr>
        <w:t>tenuirostris</w:t>
      </w:r>
      <w:proofErr w:type="spellEnd"/>
      <w:r w:rsidRPr="00E34332">
        <w:rPr>
          <w:rFonts w:cs="Arial"/>
          <w:lang w:val="fr-FR"/>
        </w:rPr>
        <w:t xml:space="preserve">), inscrit à l'Annexe I, a été signalée sur la base d'une </w:t>
      </w:r>
      <w:hyperlink r:id="rId49" w:history="1">
        <w:r w:rsidRPr="00E34332">
          <w:rPr>
            <w:rStyle w:val="Hyperlink"/>
            <w:rFonts w:cs="Arial"/>
            <w:lang w:val="fr-FR"/>
          </w:rPr>
          <w:t>analyse</w:t>
        </w:r>
      </w:hyperlink>
      <w:r w:rsidRPr="00E34332">
        <w:rPr>
          <w:rFonts w:cs="Arial"/>
          <w:lang w:val="fr-FR"/>
        </w:rPr>
        <w:t xml:space="preserve"> incorporant des données sur les menaces pesant sur l'espèce, des observations historiques et les efforts de prospection</w:t>
      </w:r>
      <w:r w:rsidRPr="00E34332">
        <w:rPr>
          <w:rFonts w:cs="Arial"/>
          <w:vertAlign w:val="superscript"/>
          <w:lang w:val="fr-FR"/>
        </w:rPr>
        <w:t>26</w:t>
      </w:r>
      <w:r w:rsidRPr="00E34332">
        <w:rPr>
          <w:rFonts w:cs="Arial"/>
          <w:lang w:val="fr-FR"/>
        </w:rPr>
        <w:t>. N’ayant fait l’objet d’aucune observation confirmée depuis 1995, les pressions ayant entraîné la disparition du courlis à bec grêle restent mal connues, mais ont probablement inclus la perte d’habitat et la chasse</w:t>
      </w:r>
      <w:r w:rsidRPr="00E34332">
        <w:rPr>
          <w:rFonts w:cs="Arial"/>
          <w:vertAlign w:val="superscript"/>
          <w:lang w:val="fr-FR"/>
        </w:rPr>
        <w:t>26</w:t>
      </w:r>
      <w:r w:rsidRPr="00E34332">
        <w:rPr>
          <w:rFonts w:cs="Arial"/>
          <w:lang w:val="fr-FR"/>
        </w:rPr>
        <w:t>. Le sort de cette espèce offre au monde des enseignements importants sur la nécessité d’agir rapidement dès que des déclins significatifs sont détectés.</w:t>
      </w:r>
    </w:p>
    <w:p w14:paraId="273EE88D" w14:textId="77777777" w:rsidR="00AF1989" w:rsidRPr="00E34332" w:rsidRDefault="0020159F">
      <w:pPr>
        <w:pStyle w:val="ListParagraph"/>
        <w:numPr>
          <w:ilvl w:val="0"/>
          <w:numId w:val="10"/>
        </w:numPr>
        <w:spacing w:after="80" w:line="240" w:lineRule="auto"/>
        <w:ind w:left="567" w:hanging="567"/>
        <w:contextualSpacing w:val="0"/>
        <w:jc w:val="both"/>
        <w:rPr>
          <w:rFonts w:cs="Arial"/>
          <w:lang w:val="fr-FR"/>
        </w:rPr>
      </w:pPr>
      <w:r w:rsidRPr="00E34332">
        <w:rPr>
          <w:rFonts w:cs="Arial"/>
          <w:lang w:val="fr-FR"/>
        </w:rPr>
        <w:t xml:space="preserve">Des déclins importants et accélérés ont été </w:t>
      </w:r>
      <w:hyperlink r:id="rId50" w:history="1">
        <w:r w:rsidRPr="00E34332">
          <w:rPr>
            <w:rStyle w:val="Hyperlink"/>
            <w:rFonts w:cs="Arial"/>
            <w:lang w:val="fr-FR"/>
          </w:rPr>
          <w:t>documentés</w:t>
        </w:r>
      </w:hyperlink>
      <w:r w:rsidRPr="00E34332">
        <w:rPr>
          <w:rFonts w:cs="Arial"/>
          <w:lang w:val="fr-FR"/>
        </w:rPr>
        <w:t xml:space="preserve"> chez les oiseaux de rivage utilisant la voie migratoire des Amériques, s’étendant de l’Arctique à l’Amérique du Sud</w:t>
      </w:r>
      <w:r w:rsidRPr="00E34332">
        <w:rPr>
          <w:rFonts w:cs="Arial"/>
          <w:vertAlign w:val="superscript"/>
          <w:lang w:val="fr-FR"/>
        </w:rPr>
        <w:t>27</w:t>
      </w:r>
      <w:r w:rsidRPr="00E34332">
        <w:rPr>
          <w:rFonts w:cs="Arial"/>
          <w:lang w:val="fr-FR"/>
        </w:rPr>
        <w:t>. Entre 1980 et 2019, 18 des 28 espèces d’oiseaux de rivage analysées ont présenté des preuves claires de déclin des populations, sur la base des recensements effectués sur les sites de halte aux États-Unis et dans le sud du Canada</w:t>
      </w:r>
      <w:r w:rsidRPr="00E34332">
        <w:rPr>
          <w:rFonts w:cs="Arial"/>
          <w:vertAlign w:val="superscript"/>
          <w:lang w:val="fr-FR"/>
        </w:rPr>
        <w:t>27</w:t>
      </w:r>
      <w:r w:rsidRPr="00E34332">
        <w:rPr>
          <w:rFonts w:cs="Arial"/>
          <w:lang w:val="fr-FR"/>
        </w:rPr>
        <w:t xml:space="preserve">. </w:t>
      </w:r>
    </w:p>
    <w:p w14:paraId="336C362D" w14:textId="77777777" w:rsidR="00AF1989" w:rsidRPr="00E34332" w:rsidRDefault="0020159F">
      <w:pPr>
        <w:pStyle w:val="ListParagraph"/>
        <w:numPr>
          <w:ilvl w:val="0"/>
          <w:numId w:val="10"/>
        </w:numPr>
        <w:spacing w:after="0" w:line="240" w:lineRule="auto"/>
        <w:ind w:left="567" w:hanging="567"/>
        <w:contextualSpacing w:val="0"/>
        <w:jc w:val="both"/>
        <w:rPr>
          <w:rFonts w:cs="Arial"/>
          <w:lang w:val="fr-FR"/>
        </w:rPr>
      </w:pPr>
      <w:r w:rsidRPr="00E34332">
        <w:rPr>
          <w:rFonts w:cs="Arial"/>
          <w:lang w:val="fr-FR"/>
        </w:rPr>
        <w:t>Des déclins à long terme marqués des populations de nombreux oiseaux de rivage migrateurs ont également été observés dans la voie migratoire Asie de l’Est-Australasie</w:t>
      </w:r>
      <w:r w:rsidRPr="00E34332">
        <w:rPr>
          <w:rFonts w:cs="Arial"/>
          <w:vertAlign w:val="superscript"/>
          <w:lang w:val="fr-FR"/>
        </w:rPr>
        <w:t>28</w:t>
      </w:r>
      <w:r w:rsidRPr="00E34332">
        <w:rPr>
          <w:rFonts w:cs="Arial"/>
          <w:lang w:val="fr-FR"/>
        </w:rPr>
        <w:t>, dans la voie migratoire de l’Atlantique Est (en particulier pour les espèces se reproduisant dans les régions arctiques et boréales</w:t>
      </w:r>
      <w:r w:rsidRPr="00E34332">
        <w:rPr>
          <w:rFonts w:cs="Arial"/>
          <w:vertAlign w:val="superscript"/>
          <w:lang w:val="fr-FR"/>
        </w:rPr>
        <w:t>29</w:t>
      </w:r>
      <w:r w:rsidRPr="00E34332">
        <w:rPr>
          <w:rFonts w:cs="Arial"/>
          <w:lang w:val="fr-FR"/>
        </w:rPr>
        <w:t>) ainsi que sur les sites côtiers en Inde</w:t>
      </w:r>
      <w:r w:rsidRPr="00E34332">
        <w:rPr>
          <w:rFonts w:cs="Arial"/>
          <w:vertAlign w:val="superscript"/>
          <w:lang w:val="fr-FR"/>
        </w:rPr>
        <w:t>30</w:t>
      </w:r>
      <w:r w:rsidRPr="00E34332">
        <w:rPr>
          <w:rFonts w:cs="Arial"/>
          <w:lang w:val="fr-FR"/>
        </w:rPr>
        <w:t>. Les principales menaces pesant sur les populations d’oiseaux de rivage à l’échelle mondiale incluent la perte et la dégradation des habitats clés, notamment sur les sites de halte et d’hivernage</w:t>
      </w:r>
      <w:r w:rsidRPr="00E34332">
        <w:rPr>
          <w:rFonts w:cs="Arial"/>
          <w:vertAlign w:val="superscript"/>
          <w:lang w:val="fr-FR"/>
        </w:rPr>
        <w:t>27-31,32</w:t>
      </w:r>
      <w:r w:rsidRPr="00E34332">
        <w:rPr>
          <w:rFonts w:cs="Arial"/>
          <w:lang w:val="fr-FR"/>
        </w:rPr>
        <w:t>, les prélèvements non durables</w:t>
      </w:r>
      <w:r w:rsidRPr="00E34332">
        <w:rPr>
          <w:rFonts w:cs="Arial"/>
          <w:vertAlign w:val="superscript"/>
          <w:lang w:val="fr-FR"/>
        </w:rPr>
        <w:t>33</w:t>
      </w:r>
      <w:r w:rsidRPr="00E34332">
        <w:rPr>
          <w:rFonts w:cs="Arial"/>
          <w:lang w:val="fr-FR"/>
        </w:rPr>
        <w:t>, les perturbations, ainsi que les modifications de l’adéquation des conditions sur les sites de reproduction liées au changement climatique</w:t>
      </w:r>
      <w:r w:rsidRPr="00E34332">
        <w:rPr>
          <w:rFonts w:cs="Arial"/>
          <w:vertAlign w:val="superscript"/>
          <w:lang w:val="fr-FR"/>
        </w:rPr>
        <w:t>34</w:t>
      </w:r>
      <w:r w:rsidRPr="00E34332">
        <w:rPr>
          <w:rFonts w:cs="Arial"/>
          <w:lang w:val="fr-FR"/>
        </w:rPr>
        <w:t xml:space="preserve">. </w:t>
      </w:r>
    </w:p>
    <w:p w14:paraId="596724BA" w14:textId="77777777" w:rsidR="00AF1989" w:rsidRPr="00E34332" w:rsidRDefault="0020159F">
      <w:pPr>
        <w:spacing w:after="0" w:line="240" w:lineRule="auto"/>
        <w:ind w:left="357"/>
        <w:jc w:val="both"/>
        <w:rPr>
          <w:rFonts w:cs="Arial"/>
          <w:sz w:val="20"/>
          <w:szCs w:val="20"/>
          <w:lang w:val="fr-FR"/>
        </w:rPr>
      </w:pPr>
      <w:r w:rsidRPr="00E34332">
        <w:rPr>
          <w:rFonts w:cs="Arial"/>
          <w:i/>
          <w:sz w:val="20"/>
          <w:szCs w:val="20"/>
          <w:lang w:val="fr-FR"/>
        </w:rPr>
        <w:t xml:space="preserve">Légende de la photo </w:t>
      </w:r>
      <w:r w:rsidRPr="00E34332">
        <w:rPr>
          <w:rFonts w:cs="Arial"/>
          <w:sz w:val="20"/>
          <w:szCs w:val="20"/>
          <w:lang w:val="fr-FR"/>
        </w:rPr>
        <w:t>: Une action de conservation coordonnée le long des voies de migration est essentielle pour réduire les pressions exercées sur les oiseaux de rivage migrateurs.</w:t>
      </w:r>
      <w:r w:rsidRPr="00E34332">
        <w:rPr>
          <w:rFonts w:cs="Arial"/>
          <w:noProof/>
          <w:sz w:val="20"/>
          <w:szCs w:val="20"/>
          <w:lang w:val="fr-FR" w:eastAsia="fr-FR"/>
        </w:rPr>
        <w:drawing>
          <wp:anchor distT="0" distB="0" distL="114300" distR="114300" simplePos="0" relativeHeight="251653632" behindDoc="0" locked="0" layoutInCell="1" allowOverlap="1" wp14:anchorId="5AB378B7" wp14:editId="322AEE5B">
            <wp:simplePos x="0" y="0"/>
            <wp:positionH relativeFrom="column">
              <wp:posOffset>0</wp:posOffset>
            </wp:positionH>
            <wp:positionV relativeFrom="paragraph">
              <wp:posOffset>1546</wp:posOffset>
            </wp:positionV>
            <wp:extent cx="3255698" cy="2170706"/>
            <wp:effectExtent l="0" t="0" r="1905" b="1270"/>
            <wp:wrapSquare wrapText="bothSides"/>
            <wp:docPr id="1072009515" name="Picture 7" descr="A bird stand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09515" name="Picture 7" descr="A bird standing in wate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3255698" cy="2170706"/>
                    </a:xfrm>
                    <a:prstGeom prst="rect">
                      <a:avLst/>
                    </a:prstGeom>
                  </pic:spPr>
                </pic:pic>
              </a:graphicData>
            </a:graphic>
          </wp:anchor>
        </w:drawing>
      </w:r>
      <w:r w:rsidRPr="00E34332">
        <w:rPr>
          <w:rFonts w:cs="Arial"/>
          <w:sz w:val="20"/>
          <w:szCs w:val="20"/>
          <w:lang w:val="fr-FR"/>
        </w:rPr>
        <w:t xml:space="preserve"> Bien que ce rapport mette en évidence de nouvelles informations sur les baisses de population alarmantes pour les espèces de ce groupe, de nombreux oiseaux de rivage étaient déjà connus pour avoir décliné rapidement sur le long terme, y compris le bécasseau spatule (</w:t>
      </w:r>
      <w:proofErr w:type="spellStart"/>
      <w:r w:rsidRPr="00E34332">
        <w:rPr>
          <w:rFonts w:cs="Arial"/>
          <w:i/>
          <w:sz w:val="20"/>
          <w:szCs w:val="20"/>
          <w:lang w:val="fr-FR"/>
        </w:rPr>
        <w:t>Calidris</w:t>
      </w:r>
      <w:proofErr w:type="spellEnd"/>
      <w:r w:rsidRPr="00E34332">
        <w:rPr>
          <w:rFonts w:cs="Arial"/>
          <w:i/>
          <w:sz w:val="20"/>
          <w:szCs w:val="20"/>
          <w:lang w:val="fr-FR"/>
        </w:rPr>
        <w:t xml:space="preserve"> </w:t>
      </w:r>
      <w:proofErr w:type="spellStart"/>
      <w:r w:rsidRPr="00E34332">
        <w:rPr>
          <w:rFonts w:cs="Arial"/>
          <w:i/>
          <w:sz w:val="20"/>
          <w:szCs w:val="20"/>
          <w:lang w:val="fr-FR"/>
        </w:rPr>
        <w:t>pygmaea</w:t>
      </w:r>
      <w:proofErr w:type="spellEnd"/>
      <w:r w:rsidRPr="00E34332">
        <w:rPr>
          <w:rFonts w:cs="Arial"/>
          <w:sz w:val="20"/>
          <w:szCs w:val="20"/>
          <w:lang w:val="fr-FR"/>
        </w:rPr>
        <w:t>), classé « en danger critique d’extinction »</w:t>
      </w:r>
      <w:r w:rsidRPr="00E34332">
        <w:rPr>
          <w:rFonts w:cs="Arial"/>
          <w:sz w:val="20"/>
          <w:szCs w:val="20"/>
          <w:vertAlign w:val="superscript"/>
          <w:lang w:val="fr-FR"/>
        </w:rPr>
        <w:t>35</w:t>
      </w:r>
      <w:r w:rsidRPr="00E34332">
        <w:rPr>
          <w:rFonts w:cs="Arial"/>
          <w:sz w:val="20"/>
          <w:szCs w:val="20"/>
          <w:lang w:val="fr-FR"/>
        </w:rPr>
        <w:t xml:space="preserve">. </w:t>
      </w:r>
      <w:r w:rsidRPr="00E34332">
        <w:rPr>
          <w:rFonts w:cs="Arial"/>
          <w:i/>
          <w:sz w:val="20"/>
          <w:szCs w:val="20"/>
          <w:lang w:val="fr-FR"/>
        </w:rPr>
        <w:t>Crédit photo</w:t>
      </w:r>
      <w:r w:rsidRPr="00E34332">
        <w:rPr>
          <w:rFonts w:cs="Arial"/>
          <w:sz w:val="20"/>
          <w:szCs w:val="20"/>
          <w:lang w:val="fr-FR"/>
        </w:rPr>
        <w:t xml:space="preserve"> : </w:t>
      </w:r>
      <w:hyperlink r:id="rId52" w:history="1">
        <w:r w:rsidRPr="00E34332">
          <w:rPr>
            <w:rStyle w:val="Hyperlink"/>
            <w:rFonts w:cs="Arial"/>
            <w:sz w:val="20"/>
            <w:szCs w:val="20"/>
            <w:lang w:val="fr-FR"/>
          </w:rPr>
          <w:t>Adobe Stock | #98383832</w:t>
        </w:r>
      </w:hyperlink>
      <w:r w:rsidRPr="00E34332">
        <w:rPr>
          <w:rFonts w:cs="Arial"/>
          <w:sz w:val="20"/>
          <w:szCs w:val="20"/>
          <w:lang w:val="fr-FR"/>
        </w:rPr>
        <w:t>.</w:t>
      </w:r>
    </w:p>
    <w:p w14:paraId="20A1CB4C" w14:textId="77777777" w:rsidR="00AF1989" w:rsidRPr="00E34332" w:rsidRDefault="00AF1989">
      <w:pPr>
        <w:spacing w:after="0" w:line="240" w:lineRule="auto"/>
        <w:rPr>
          <w:rFonts w:ascii="Roboto" w:hAnsi="Roboto"/>
          <w:b/>
          <w:color w:val="003870"/>
          <w:lang w:val="fr-FR"/>
        </w:rPr>
      </w:pPr>
    </w:p>
    <w:p w14:paraId="7A00D6E8" w14:textId="77777777" w:rsidR="00AF1989" w:rsidRPr="00E34332" w:rsidRDefault="0020159F">
      <w:pPr>
        <w:spacing w:after="0" w:line="240" w:lineRule="auto"/>
        <w:jc w:val="both"/>
        <w:rPr>
          <w:rFonts w:cs="Arial"/>
          <w:b/>
          <w:lang w:val="fr-FR"/>
        </w:rPr>
      </w:pPr>
      <w:r w:rsidRPr="00E34332">
        <w:rPr>
          <w:rFonts w:cs="Arial"/>
          <w:b/>
          <w:lang w:val="fr-FR"/>
        </w:rPr>
        <w:t>Poissons</w:t>
      </w:r>
    </w:p>
    <w:p w14:paraId="0D417A3F" w14:textId="77777777" w:rsidR="00AF1989" w:rsidRPr="00E34332" w:rsidRDefault="00AF1989">
      <w:pPr>
        <w:spacing w:after="0" w:line="240" w:lineRule="auto"/>
        <w:jc w:val="both"/>
        <w:rPr>
          <w:rFonts w:cs="Arial"/>
          <w:b/>
          <w:lang w:val="fr-FR"/>
        </w:rPr>
      </w:pPr>
    </w:p>
    <w:p w14:paraId="23FB6F06" w14:textId="77777777" w:rsidR="00AF1989" w:rsidRPr="00E34332" w:rsidRDefault="0020159F">
      <w:pPr>
        <w:spacing w:after="0" w:line="240" w:lineRule="auto"/>
        <w:jc w:val="both"/>
        <w:rPr>
          <w:rFonts w:cs="Arial"/>
          <w:lang w:val="fr-FR"/>
        </w:rPr>
      </w:pPr>
      <w:r w:rsidRPr="00E34332">
        <w:rPr>
          <w:rFonts w:cs="Arial"/>
          <w:lang w:val="fr-FR"/>
        </w:rPr>
        <w:t xml:space="preserve">Le premier </w:t>
      </w:r>
      <w:hyperlink r:id="rId53" w:history="1">
        <w:r w:rsidRPr="00E34332">
          <w:rPr>
            <w:rStyle w:val="Hyperlink"/>
            <w:rFonts w:cs="Arial"/>
            <w:i/>
            <w:lang w:val="fr-FR"/>
          </w:rPr>
          <w:t>Rapport sur l’état des espèces migratrices dans le monde</w:t>
        </w:r>
      </w:hyperlink>
      <w:r w:rsidRPr="00E34332">
        <w:rPr>
          <w:rFonts w:cs="Arial"/>
          <w:lang w:val="fr-FR"/>
        </w:rPr>
        <w:t xml:space="preserve"> mettait en évidence les poissons – d’eau douce et marins – comme une préoccupation particulière, près de tous (97 %) les poissons inscrits aux Annexes de la CMS étant menacés d’extinction, avec des preuves de fortes diminutions de l’abondance des populations de poissons suivies au cours des 50 dernières années. Des informations récentes tirées de la littérature confirment ces tendances négatives, soulignant la nécessité d'intensifier les actions axées sur ce groupe d'espèces. </w:t>
      </w:r>
    </w:p>
    <w:p w14:paraId="7FDEEC21" w14:textId="77777777" w:rsidR="00AF1989" w:rsidRPr="00E34332" w:rsidRDefault="00AF1989">
      <w:pPr>
        <w:spacing w:after="0" w:line="240" w:lineRule="auto"/>
        <w:jc w:val="both"/>
        <w:rPr>
          <w:rFonts w:cs="Arial"/>
          <w:lang w:val="fr-FR"/>
        </w:rPr>
      </w:pPr>
    </w:p>
    <w:p w14:paraId="26159B9C" w14:textId="77777777" w:rsidR="00AF1989" w:rsidRPr="00E34332" w:rsidRDefault="0020159F">
      <w:pPr>
        <w:spacing w:after="0" w:line="240" w:lineRule="auto"/>
        <w:jc w:val="both"/>
        <w:rPr>
          <w:rFonts w:cs="Arial"/>
          <w:i/>
          <w:lang w:val="fr-FR"/>
        </w:rPr>
      </w:pPr>
      <w:r w:rsidRPr="00E34332">
        <w:rPr>
          <w:rFonts w:cs="Arial"/>
          <w:i/>
          <w:lang w:val="fr-FR"/>
        </w:rPr>
        <w:t>Poissons d'eau douce</w:t>
      </w:r>
    </w:p>
    <w:p w14:paraId="25FF7F9F" w14:textId="77777777" w:rsidR="00AF1989" w:rsidRPr="00E34332" w:rsidRDefault="00AF1989">
      <w:pPr>
        <w:spacing w:after="0" w:line="240" w:lineRule="auto"/>
        <w:jc w:val="both"/>
        <w:rPr>
          <w:rFonts w:cs="Arial"/>
          <w:i/>
          <w:color w:val="003870"/>
          <w:lang w:val="fr-FR"/>
        </w:rPr>
      </w:pPr>
    </w:p>
    <w:p w14:paraId="55CFC955" w14:textId="77777777" w:rsidR="00AF1989" w:rsidRPr="00E34332" w:rsidRDefault="0020159F">
      <w:pPr>
        <w:pStyle w:val="ListParagraph"/>
        <w:numPr>
          <w:ilvl w:val="0"/>
          <w:numId w:val="11"/>
        </w:numPr>
        <w:spacing w:after="80" w:line="240" w:lineRule="auto"/>
        <w:ind w:left="567" w:hanging="567"/>
        <w:contextualSpacing w:val="0"/>
        <w:jc w:val="both"/>
        <w:rPr>
          <w:rFonts w:cs="Arial"/>
          <w:lang w:val="fr-FR"/>
        </w:rPr>
      </w:pPr>
      <w:r w:rsidRPr="00E34332">
        <w:rPr>
          <w:rFonts w:cs="Arial"/>
          <w:lang w:val="fr-FR"/>
        </w:rPr>
        <w:t xml:space="preserve">Selon la </w:t>
      </w:r>
      <w:hyperlink r:id="rId54" w:history="1">
        <w:r w:rsidRPr="00E34332">
          <w:rPr>
            <w:rStyle w:val="Hyperlink"/>
            <w:rFonts w:cs="Arial"/>
            <w:lang w:val="fr-FR"/>
          </w:rPr>
          <w:t>mise à jour</w:t>
        </w:r>
      </w:hyperlink>
      <w:r w:rsidRPr="00E34332">
        <w:rPr>
          <w:rFonts w:cs="Arial"/>
          <w:lang w:val="fr-FR"/>
        </w:rPr>
        <w:t xml:space="preserve"> la plus récente de l’Indice Planète Vivante (IPV), les populations suivies de poissons d’eau douce migrateurs ont décliné en moyenne de 81 % à l’échelle mondiale entre 1970 et 2020</w:t>
      </w:r>
      <w:r w:rsidRPr="00E34332">
        <w:rPr>
          <w:rFonts w:cs="Arial"/>
          <w:vertAlign w:val="superscript"/>
          <w:lang w:val="fr-FR"/>
        </w:rPr>
        <w:t>36</w:t>
      </w:r>
      <w:r w:rsidRPr="00E34332">
        <w:rPr>
          <w:rFonts w:cs="Arial"/>
          <w:lang w:val="fr-FR"/>
        </w:rPr>
        <w:t xml:space="preserve">. Les baisses moyennes de population ont été </w:t>
      </w:r>
      <w:r w:rsidRPr="00E34332">
        <w:rPr>
          <w:rFonts w:cs="Arial"/>
          <w:lang w:val="fr-FR"/>
        </w:rPr>
        <w:lastRenderedPageBreak/>
        <w:t>particulièrement marquées en Amérique latine (-91 %) et dans les Caraïbes, ainsi qu'en Europe (-75 %), mais moins prononcées en Amérique du Nord (-34 %) et en Asie-Océanie (-28 %). Les données étaient insuffisantes pour dégager une tendance pour l'Afrique</w:t>
      </w:r>
      <w:r w:rsidRPr="00E34332">
        <w:rPr>
          <w:rFonts w:cs="Arial"/>
          <w:vertAlign w:val="superscript"/>
          <w:lang w:val="fr-FR"/>
        </w:rPr>
        <w:t>36</w:t>
      </w:r>
      <w:r w:rsidRPr="00E34332">
        <w:rPr>
          <w:rFonts w:cs="Arial"/>
          <w:lang w:val="fr-FR"/>
        </w:rPr>
        <w:t xml:space="preserve">. </w:t>
      </w:r>
    </w:p>
    <w:p w14:paraId="1F6BA22A" w14:textId="77777777" w:rsidR="00AF1989" w:rsidRPr="00E34332" w:rsidRDefault="0020159F">
      <w:pPr>
        <w:pStyle w:val="ListParagraph"/>
        <w:numPr>
          <w:ilvl w:val="0"/>
          <w:numId w:val="11"/>
        </w:numPr>
        <w:spacing w:after="0" w:line="240" w:lineRule="auto"/>
        <w:ind w:left="567" w:hanging="567"/>
        <w:contextualSpacing w:val="0"/>
        <w:jc w:val="both"/>
        <w:rPr>
          <w:rFonts w:cs="Arial"/>
          <w:lang w:val="fr-FR"/>
        </w:rPr>
      </w:pPr>
      <w:r w:rsidRPr="00E34332">
        <w:rPr>
          <w:rFonts w:cs="Arial"/>
          <w:lang w:val="fr-FR"/>
        </w:rPr>
        <w:t>La perte, la dégradation et la modification des habitats – incluant les impacts des barrages et d’autres activités humaines provoquant des changements du régime d’écoulement – constituaient la pression la plus largement rapportée affectant les populations suivies dans la mise à jour de l'IPV, suivie de la surexploitation</w:t>
      </w:r>
      <w:r w:rsidRPr="00E34332">
        <w:rPr>
          <w:rFonts w:cs="Arial"/>
          <w:vertAlign w:val="superscript"/>
          <w:lang w:val="fr-FR"/>
        </w:rPr>
        <w:t>36</w:t>
      </w:r>
      <w:r w:rsidRPr="00E34332">
        <w:rPr>
          <w:rFonts w:cs="Arial"/>
          <w:lang w:val="fr-FR"/>
        </w:rPr>
        <w:t>. On prévoit que les espèces migratrices d'eau douce subiront des impacts croissants à l'avenir en raison des barrages, notamment dans les bassins de l'Amazone, du Congo, du Niger, du Mékong et de la Salween</w:t>
      </w:r>
      <w:r w:rsidRPr="00E34332">
        <w:rPr>
          <w:rFonts w:cs="Arial"/>
          <w:vertAlign w:val="superscript"/>
          <w:lang w:val="fr-FR"/>
        </w:rPr>
        <w:t>37</w:t>
      </w:r>
      <w:r w:rsidRPr="00E34332">
        <w:rPr>
          <w:rFonts w:cs="Arial"/>
          <w:lang w:val="fr-FR"/>
        </w:rPr>
        <w:t>. Dans le bassin de l'Amazone, le nombre de rivières à courant libre d’une longueur de &gt;1 000 km devrait passer de 16 à neuf si les barrages prévus sont construits</w:t>
      </w:r>
      <w:r w:rsidRPr="00E34332">
        <w:rPr>
          <w:rFonts w:cs="Arial"/>
          <w:vertAlign w:val="superscript"/>
          <w:lang w:val="fr-FR"/>
        </w:rPr>
        <w:t>38</w:t>
      </w:r>
      <w:r w:rsidRPr="00E34332">
        <w:rPr>
          <w:rFonts w:cs="Arial"/>
          <w:lang w:val="fr-FR"/>
        </w:rPr>
        <w:t>. Ces modifications devraient affecter les mammifères et reptiles aquatiques inscrits aux Annexes de la CMS qui dépendent de la connectivité des cours d’eau, tels que le dauphin de l’Amazone (</w:t>
      </w:r>
      <w:r w:rsidRPr="00E34332">
        <w:rPr>
          <w:rFonts w:cs="Arial"/>
          <w:i/>
          <w:lang w:val="fr-FR"/>
        </w:rPr>
        <w:t xml:space="preserve">Inia </w:t>
      </w:r>
      <w:proofErr w:type="spellStart"/>
      <w:r w:rsidRPr="00E34332">
        <w:rPr>
          <w:rFonts w:cs="Arial"/>
          <w:i/>
          <w:lang w:val="fr-FR"/>
        </w:rPr>
        <w:t>geoffrensis</w:t>
      </w:r>
      <w:proofErr w:type="spellEnd"/>
      <w:r w:rsidRPr="00E34332">
        <w:rPr>
          <w:rFonts w:cs="Arial"/>
          <w:lang w:val="fr-FR"/>
        </w:rPr>
        <w:t>) et la tortue d’eau douce sud-américaine (</w:t>
      </w:r>
      <w:proofErr w:type="spellStart"/>
      <w:r w:rsidRPr="00E34332">
        <w:rPr>
          <w:rFonts w:cs="Arial"/>
          <w:i/>
          <w:lang w:val="fr-FR"/>
        </w:rPr>
        <w:t>Podocnemis</w:t>
      </w:r>
      <w:proofErr w:type="spellEnd"/>
      <w:r w:rsidRPr="00E34332">
        <w:rPr>
          <w:rFonts w:cs="Arial"/>
          <w:i/>
          <w:lang w:val="fr-FR"/>
        </w:rPr>
        <w:t xml:space="preserve"> expansa</w:t>
      </w:r>
      <w:r w:rsidRPr="00E34332">
        <w:rPr>
          <w:rFonts w:cs="Arial"/>
          <w:lang w:val="fr-FR"/>
        </w:rPr>
        <w:t>)</w:t>
      </w:r>
      <w:r w:rsidRPr="00E34332">
        <w:rPr>
          <w:rFonts w:cs="Arial"/>
          <w:vertAlign w:val="superscript"/>
          <w:lang w:val="fr-FR"/>
        </w:rPr>
        <w:t>38</w:t>
      </w:r>
      <w:r w:rsidRPr="00E34332">
        <w:rPr>
          <w:rFonts w:cs="Arial"/>
          <w:lang w:val="fr-FR"/>
        </w:rPr>
        <w:t xml:space="preserve">.  </w:t>
      </w:r>
    </w:p>
    <w:p w14:paraId="7F38E864" w14:textId="77777777" w:rsidR="00AF1989" w:rsidRPr="00E34332" w:rsidRDefault="00AF1989">
      <w:pPr>
        <w:spacing w:after="0" w:line="240" w:lineRule="auto"/>
        <w:jc w:val="both"/>
        <w:rPr>
          <w:rFonts w:cs="Arial"/>
          <w:i/>
          <w:lang w:val="fr-FR"/>
        </w:rPr>
      </w:pPr>
    </w:p>
    <w:p w14:paraId="45383AF1" w14:textId="77777777" w:rsidR="00AF1989" w:rsidRPr="00E34332" w:rsidRDefault="0020159F">
      <w:pPr>
        <w:spacing w:after="0" w:line="240" w:lineRule="auto"/>
        <w:jc w:val="both"/>
        <w:rPr>
          <w:rFonts w:cs="Arial"/>
          <w:i/>
          <w:lang w:val="fr-FR"/>
        </w:rPr>
      </w:pPr>
      <w:r w:rsidRPr="00E34332">
        <w:rPr>
          <w:rFonts w:cs="Arial"/>
          <w:i/>
          <w:lang w:val="fr-FR"/>
        </w:rPr>
        <w:t>Requins et raies</w:t>
      </w:r>
    </w:p>
    <w:p w14:paraId="1939F7B6" w14:textId="77777777" w:rsidR="00AF1989" w:rsidRPr="00E34332" w:rsidRDefault="00AF1989">
      <w:pPr>
        <w:spacing w:after="0" w:line="240" w:lineRule="auto"/>
        <w:jc w:val="both"/>
        <w:rPr>
          <w:rFonts w:cs="Arial"/>
          <w:i/>
          <w:lang w:val="fr-FR"/>
        </w:rPr>
      </w:pPr>
    </w:p>
    <w:p w14:paraId="5FE0B185" w14:textId="77777777" w:rsidR="00AF1989" w:rsidRPr="00E34332" w:rsidRDefault="0020159F">
      <w:pPr>
        <w:spacing w:after="0" w:line="240" w:lineRule="auto"/>
        <w:jc w:val="both"/>
        <w:rPr>
          <w:rFonts w:cs="Arial"/>
          <w:lang w:val="fr-FR"/>
        </w:rPr>
      </w:pPr>
      <w:r w:rsidRPr="00E34332">
        <w:rPr>
          <w:rFonts w:cs="Arial"/>
          <w:lang w:val="fr-FR"/>
        </w:rPr>
        <w:t xml:space="preserve">Depuis la publication du premier </w:t>
      </w:r>
      <w:hyperlink r:id="rId55" w:history="1">
        <w:r w:rsidRPr="00E34332">
          <w:rPr>
            <w:rStyle w:val="Hyperlink"/>
            <w:rFonts w:cs="Arial"/>
            <w:i/>
            <w:lang w:val="fr-FR"/>
          </w:rPr>
          <w:t>Rapport sur l’état des espèces migratrices dans le monde</w:t>
        </w:r>
      </w:hyperlink>
      <w:r w:rsidRPr="00E34332">
        <w:rPr>
          <w:rFonts w:cs="Arial"/>
          <w:lang w:val="fr-FR"/>
        </w:rPr>
        <w:t>, plusieurs rapports et études ont été publiés, fournissant des informations actualisées sur l’état des populations de requins et de raies. Cela inclut le rapport récemment publié par le Groupe d’experts sur les requins de la Commission de la sauvegarde des espèces de l’UICN (CSE) intitulé « </w:t>
      </w:r>
      <w:hyperlink r:id="rId56">
        <w:r w:rsidRPr="00E34332">
          <w:rPr>
            <w:rStyle w:val="Hyperlink"/>
            <w:rFonts w:cs="Arial"/>
            <w:i/>
            <w:iCs/>
            <w:lang w:val="fr-FR"/>
          </w:rPr>
          <w:t>État mondial des requins, raies et chimères</w:t>
        </w:r>
      </w:hyperlink>
      <w:r w:rsidRPr="00E34332">
        <w:rPr>
          <w:rFonts w:cs="Arial"/>
          <w:lang w:val="fr-FR"/>
        </w:rPr>
        <w:t> », ainsi que d’autres articles clés</w:t>
      </w:r>
      <w:r w:rsidRPr="00E34332">
        <w:rPr>
          <w:rFonts w:cs="Arial"/>
          <w:vertAlign w:val="superscript"/>
          <w:lang w:val="fr-FR"/>
        </w:rPr>
        <w:t>39-41</w:t>
      </w:r>
      <w:r w:rsidRPr="00E34332">
        <w:rPr>
          <w:rFonts w:cs="Arial"/>
          <w:lang w:val="fr-FR"/>
        </w:rPr>
        <w:t>. Ces études ont révélé que :</w:t>
      </w:r>
    </w:p>
    <w:p w14:paraId="4A072231" w14:textId="77777777" w:rsidR="00AF1989" w:rsidRPr="00E34332" w:rsidRDefault="00AF1989">
      <w:pPr>
        <w:spacing w:after="0" w:line="240" w:lineRule="auto"/>
        <w:jc w:val="both"/>
        <w:rPr>
          <w:rFonts w:cs="Arial"/>
          <w:lang w:val="fr-FR"/>
        </w:rPr>
      </w:pPr>
    </w:p>
    <w:p w14:paraId="0EB79AB4" w14:textId="77777777" w:rsidR="00AF1989" w:rsidRPr="00E34332" w:rsidRDefault="0020159F">
      <w:pPr>
        <w:pStyle w:val="ListParagraph"/>
        <w:numPr>
          <w:ilvl w:val="0"/>
          <w:numId w:val="12"/>
        </w:numPr>
        <w:spacing w:after="80" w:line="240" w:lineRule="auto"/>
        <w:ind w:left="567" w:hanging="567"/>
        <w:contextualSpacing w:val="0"/>
        <w:jc w:val="both"/>
        <w:rPr>
          <w:rFonts w:cs="Arial"/>
          <w:lang w:val="fr-FR"/>
        </w:rPr>
      </w:pPr>
      <w:r w:rsidRPr="00E34332">
        <w:rPr>
          <w:rFonts w:cs="Arial"/>
          <w:lang w:val="fr-FR"/>
        </w:rPr>
        <w:t xml:space="preserve">Les requins et les raies ont dans l’ensemble connu </w:t>
      </w:r>
      <w:hyperlink r:id="rId57" w:history="1">
        <w:r w:rsidRPr="00E34332">
          <w:rPr>
            <w:rStyle w:val="Hyperlink"/>
            <w:rFonts w:cs="Arial"/>
            <w:lang w:val="fr-FR"/>
          </w:rPr>
          <w:t>des augmentations substantielles du risque d’extinction</w:t>
        </w:r>
      </w:hyperlink>
      <w:r w:rsidRPr="00E34332">
        <w:rPr>
          <w:rFonts w:cs="Arial"/>
          <w:lang w:val="fr-FR"/>
        </w:rPr>
        <w:t xml:space="preserve"> entre 1970 et 2020, confirmant leur statut comme l’un des groupes de vertébrés les plus menacés</w:t>
      </w:r>
      <w:r w:rsidRPr="00E34332">
        <w:rPr>
          <w:rFonts w:cs="Arial"/>
          <w:vertAlign w:val="superscript"/>
          <w:lang w:val="fr-FR"/>
        </w:rPr>
        <w:t>40</w:t>
      </w:r>
      <w:r w:rsidRPr="00E34332">
        <w:rPr>
          <w:rFonts w:cs="Arial"/>
          <w:lang w:val="fr-FR"/>
        </w:rPr>
        <w:t>. À l’échelle mondiale, les populations de ces espèces ont diminué de moitié depuis 1970 en raison de la surpêche, selon une analyse des tendances mondiales de la capture par unité d’effort</w:t>
      </w:r>
      <w:r w:rsidRPr="00E34332">
        <w:rPr>
          <w:rFonts w:cs="Arial"/>
          <w:vertAlign w:val="superscript"/>
          <w:lang w:val="fr-FR"/>
        </w:rPr>
        <w:t>40</w:t>
      </w:r>
      <w:r w:rsidRPr="00E34332">
        <w:rPr>
          <w:rFonts w:cs="Arial"/>
          <w:lang w:val="fr-FR"/>
        </w:rPr>
        <w:t xml:space="preserve">. Parmi les groupes taxonomiques qui comprennent plusieurs espèces inscrites aux Annexes de la CMS, les </w:t>
      </w:r>
      <w:proofErr w:type="spellStart"/>
      <w:r w:rsidRPr="00E34332">
        <w:rPr>
          <w:rFonts w:cs="Arial"/>
          <w:lang w:val="fr-FR"/>
        </w:rPr>
        <w:t>poissons-scies</w:t>
      </w:r>
      <w:proofErr w:type="spellEnd"/>
      <w:r w:rsidRPr="00E34332">
        <w:rPr>
          <w:rFonts w:cs="Arial"/>
          <w:lang w:val="fr-FR"/>
        </w:rPr>
        <w:t xml:space="preserve"> (</w:t>
      </w:r>
      <w:proofErr w:type="spellStart"/>
      <w:r w:rsidRPr="00E34332">
        <w:rPr>
          <w:rFonts w:cs="Arial"/>
          <w:lang w:val="fr-FR"/>
        </w:rPr>
        <w:t>Pristidae</w:t>
      </w:r>
      <w:proofErr w:type="spellEnd"/>
      <w:r w:rsidRPr="00E34332">
        <w:rPr>
          <w:rFonts w:cs="Arial"/>
          <w:lang w:val="fr-FR"/>
        </w:rPr>
        <w:t>), les mantes (</w:t>
      </w:r>
      <w:proofErr w:type="spellStart"/>
      <w:r w:rsidRPr="00E34332">
        <w:rPr>
          <w:rFonts w:cs="Arial"/>
          <w:lang w:val="fr-FR"/>
        </w:rPr>
        <w:t>Mobulidae</w:t>
      </w:r>
      <w:proofErr w:type="spellEnd"/>
      <w:r w:rsidRPr="00E34332">
        <w:rPr>
          <w:rFonts w:cs="Arial"/>
          <w:lang w:val="fr-FR"/>
        </w:rPr>
        <w:t>) et les requins-marteaux (</w:t>
      </w:r>
      <w:proofErr w:type="spellStart"/>
      <w:r w:rsidRPr="00E34332">
        <w:rPr>
          <w:rFonts w:cs="Arial"/>
          <w:lang w:val="fr-FR"/>
        </w:rPr>
        <w:t>Sphyrnidae</w:t>
      </w:r>
      <w:proofErr w:type="spellEnd"/>
      <w:r w:rsidRPr="00E34332">
        <w:rPr>
          <w:rFonts w:cs="Arial"/>
          <w:lang w:val="fr-FR"/>
        </w:rPr>
        <w:t>) sont particulièrement gravement menacés</w:t>
      </w:r>
      <w:r w:rsidRPr="00E34332">
        <w:rPr>
          <w:rFonts w:cs="Arial"/>
          <w:vertAlign w:val="superscript"/>
          <w:lang w:val="fr-FR"/>
        </w:rPr>
        <w:t>40</w:t>
      </w:r>
      <w:r w:rsidRPr="00E34332">
        <w:rPr>
          <w:rFonts w:cs="Arial"/>
          <w:lang w:val="fr-FR"/>
        </w:rPr>
        <w:t>. Le risque d’extinction a également fortement augmenté pour les requins-tigres (</w:t>
      </w:r>
      <w:proofErr w:type="spellStart"/>
      <w:r w:rsidRPr="00E34332">
        <w:rPr>
          <w:rFonts w:cs="Arial"/>
          <w:lang w:val="fr-FR"/>
        </w:rPr>
        <w:t>Carcharhinidae</w:t>
      </w:r>
      <w:proofErr w:type="spellEnd"/>
      <w:r w:rsidRPr="00E34332">
        <w:rPr>
          <w:rFonts w:cs="Arial"/>
          <w:lang w:val="fr-FR"/>
        </w:rPr>
        <w:t>), qui comprennent des espèces inscrites aux Annexes de la CMS en fort déclin, comme le requin océanique (</w:t>
      </w:r>
      <w:proofErr w:type="spellStart"/>
      <w:r w:rsidRPr="00E34332">
        <w:rPr>
          <w:rFonts w:cs="Arial"/>
          <w:i/>
          <w:lang w:val="fr-FR"/>
        </w:rPr>
        <w:t>Carcharhinus</w:t>
      </w:r>
      <w:proofErr w:type="spellEnd"/>
      <w:r w:rsidRPr="00E34332">
        <w:rPr>
          <w:rFonts w:cs="Arial"/>
          <w:i/>
          <w:lang w:val="fr-FR"/>
        </w:rPr>
        <w:t xml:space="preserve"> </w:t>
      </w:r>
      <w:proofErr w:type="spellStart"/>
      <w:r w:rsidRPr="00E34332">
        <w:rPr>
          <w:rFonts w:cs="Arial"/>
          <w:i/>
          <w:lang w:val="fr-FR"/>
        </w:rPr>
        <w:t>longimanus</w:t>
      </w:r>
      <w:proofErr w:type="spellEnd"/>
      <w:r w:rsidRPr="00E34332">
        <w:rPr>
          <w:rFonts w:cs="Arial"/>
          <w:lang w:val="fr-FR"/>
        </w:rPr>
        <w:t>), classé « en danger critique d’extinction »</w:t>
      </w:r>
      <w:r w:rsidRPr="00E34332">
        <w:rPr>
          <w:rFonts w:cs="Arial"/>
          <w:vertAlign w:val="superscript"/>
          <w:lang w:val="fr-FR"/>
        </w:rPr>
        <w:t>43</w:t>
      </w:r>
      <w:r w:rsidRPr="00E34332">
        <w:rPr>
          <w:rFonts w:cs="Arial"/>
          <w:lang w:val="fr-FR"/>
        </w:rPr>
        <w:t>.</w:t>
      </w:r>
    </w:p>
    <w:p w14:paraId="34B6AA42" w14:textId="77777777" w:rsidR="00AF1989" w:rsidRPr="00E34332" w:rsidRDefault="0020159F">
      <w:pPr>
        <w:pStyle w:val="ListParagraph"/>
        <w:numPr>
          <w:ilvl w:val="0"/>
          <w:numId w:val="12"/>
        </w:numPr>
        <w:spacing w:after="80" w:line="240" w:lineRule="auto"/>
        <w:ind w:left="567" w:hanging="567"/>
        <w:contextualSpacing w:val="0"/>
        <w:jc w:val="both"/>
        <w:rPr>
          <w:rFonts w:cs="Arial"/>
          <w:lang w:val="fr-FR"/>
        </w:rPr>
      </w:pPr>
      <w:r w:rsidRPr="00E34332">
        <w:rPr>
          <w:rFonts w:cs="Arial"/>
          <w:lang w:val="fr-FR"/>
        </w:rPr>
        <w:t>D’un point de vue régional, les augmentations les plus marquées du risque d’extinction pour les requins et les raies ont été observées dans l’océan Atlantique tropical, l’océan Indien nord, l’océan Indo-Ouest Pacifique ainsi que dans les régions de la mer Méditerranée et de la mer Noire</w:t>
      </w:r>
      <w:r w:rsidRPr="00E34332">
        <w:rPr>
          <w:rFonts w:cs="Arial"/>
          <w:vertAlign w:val="superscript"/>
          <w:lang w:val="fr-FR"/>
        </w:rPr>
        <w:t>40</w:t>
      </w:r>
      <w:r w:rsidRPr="00E34332">
        <w:rPr>
          <w:rFonts w:cs="Arial"/>
          <w:lang w:val="fr-FR"/>
        </w:rPr>
        <w:t>. Les populations régionales de requins et de raies à large aire de répartition pourraient se rétablir si des mesures de gestion de la pêche basées sur des données scientifiques sont mises en œuvre</w:t>
      </w:r>
      <w:r w:rsidRPr="00E34332">
        <w:rPr>
          <w:rFonts w:cs="Arial"/>
          <w:vertAlign w:val="superscript"/>
          <w:lang w:val="fr-FR"/>
        </w:rPr>
        <w:t>41</w:t>
      </w:r>
      <w:r w:rsidRPr="00E34332">
        <w:rPr>
          <w:rFonts w:cs="Arial"/>
          <w:lang w:val="fr-FR"/>
        </w:rPr>
        <w:t>.</w:t>
      </w:r>
    </w:p>
    <w:p w14:paraId="5EAE68A9" w14:textId="77777777" w:rsidR="00AF1989" w:rsidRPr="00E34332" w:rsidRDefault="0020159F">
      <w:pPr>
        <w:pStyle w:val="ListParagraph"/>
        <w:numPr>
          <w:ilvl w:val="0"/>
          <w:numId w:val="12"/>
        </w:numPr>
        <w:spacing w:after="80" w:line="240" w:lineRule="auto"/>
        <w:ind w:left="567" w:hanging="567"/>
        <w:contextualSpacing w:val="0"/>
        <w:jc w:val="both"/>
        <w:rPr>
          <w:rFonts w:cs="Arial"/>
          <w:lang w:val="fr-FR"/>
        </w:rPr>
      </w:pPr>
      <w:r w:rsidRPr="00E34332">
        <w:rPr>
          <w:rFonts w:cs="Arial"/>
          <w:lang w:val="fr-FR"/>
        </w:rPr>
        <w:t>La surpêche – incluant à la fois les pêches ciblées et les prises accidentelles – reste la principale menace pesant sur les requins et les raies</w:t>
      </w:r>
      <w:r w:rsidRPr="00E34332">
        <w:rPr>
          <w:rFonts w:cs="Arial"/>
          <w:vertAlign w:val="superscript"/>
          <w:lang w:val="fr-FR"/>
        </w:rPr>
        <w:t>39</w:t>
      </w:r>
      <w:r w:rsidRPr="00E34332">
        <w:rPr>
          <w:rFonts w:cs="Arial"/>
          <w:lang w:val="fr-FR"/>
        </w:rPr>
        <w:t>. La perte et la dégradation des habitats côtiers, tels que les mangroves, ont également contribué à des déclins à long terme spectaculaires et à une forte réduction de l’aire de répartition des espèces côtières comme les poissons-scies</w:t>
      </w:r>
      <w:r w:rsidRPr="00E34332">
        <w:rPr>
          <w:rFonts w:cs="Arial"/>
          <w:vertAlign w:val="superscript"/>
          <w:lang w:val="fr-FR"/>
        </w:rPr>
        <w:t>42</w:t>
      </w:r>
      <w:r w:rsidRPr="00E34332">
        <w:rPr>
          <w:rFonts w:cs="Arial"/>
          <w:lang w:val="fr-FR"/>
        </w:rPr>
        <w:t>, dont les cinq espèces sont désormais classées « en danger critique d’extinction » par la Liste rouge de l’UICN</w:t>
      </w:r>
      <w:r w:rsidRPr="00E34332">
        <w:rPr>
          <w:rFonts w:cs="Arial"/>
          <w:vertAlign w:val="superscript"/>
          <w:lang w:val="fr-FR"/>
        </w:rPr>
        <w:t>43</w:t>
      </w:r>
      <w:r w:rsidRPr="00E34332">
        <w:rPr>
          <w:rFonts w:cs="Arial"/>
          <w:lang w:val="fr-FR"/>
        </w:rPr>
        <w:t xml:space="preserve">. </w:t>
      </w:r>
    </w:p>
    <w:p w14:paraId="63F20E8F" w14:textId="77777777" w:rsidR="00AF1989" w:rsidRPr="00E34332" w:rsidRDefault="0020159F">
      <w:pPr>
        <w:pStyle w:val="ListParagraph"/>
        <w:numPr>
          <w:ilvl w:val="0"/>
          <w:numId w:val="12"/>
        </w:numPr>
        <w:spacing w:after="0" w:line="240" w:lineRule="auto"/>
        <w:ind w:left="567" w:hanging="567"/>
        <w:contextualSpacing w:val="0"/>
        <w:jc w:val="both"/>
        <w:rPr>
          <w:rFonts w:cs="Arial"/>
          <w:lang w:val="fr-FR"/>
        </w:rPr>
      </w:pPr>
      <w:r w:rsidRPr="00E34332">
        <w:rPr>
          <w:rFonts w:cs="Arial"/>
          <w:lang w:val="fr-FR"/>
        </w:rPr>
        <w:t xml:space="preserve">Le changement climatique, incluant les impacts du réchauffement des océans, de l’acidification et, potentiellement, de la désoxygénation, a également été identifié </w:t>
      </w:r>
      <w:r w:rsidRPr="00E34332">
        <w:rPr>
          <w:rFonts w:cs="Arial"/>
          <w:lang w:val="fr-FR"/>
        </w:rPr>
        <w:lastRenderedPageBreak/>
        <w:t>comme une pression supplémentaire qui devrait avoir un impact important sur les espèces côtières et pélagiques</w:t>
      </w:r>
      <w:r w:rsidRPr="00E34332">
        <w:rPr>
          <w:rFonts w:cs="Arial"/>
          <w:vertAlign w:val="superscript"/>
          <w:lang w:val="fr-FR"/>
        </w:rPr>
        <w:t>39,44-45</w:t>
      </w:r>
      <w:r w:rsidRPr="00E34332">
        <w:rPr>
          <w:rFonts w:cs="Arial"/>
          <w:lang w:val="fr-FR"/>
        </w:rPr>
        <w:t>.</w:t>
      </w:r>
    </w:p>
    <w:p w14:paraId="582564C1" w14:textId="77777777" w:rsidR="00AF1989" w:rsidRPr="00E34332" w:rsidRDefault="00AF1989">
      <w:pPr>
        <w:spacing w:after="0" w:line="240" w:lineRule="auto"/>
        <w:rPr>
          <w:rFonts w:ascii="Roboto" w:hAnsi="Roboto"/>
          <w:lang w:val="fr-FR"/>
        </w:rPr>
      </w:pPr>
    </w:p>
    <w:p w14:paraId="2D973407" w14:textId="77777777" w:rsidR="00AF1989" w:rsidRPr="00E34332" w:rsidRDefault="0020159F">
      <w:pPr>
        <w:spacing w:after="0" w:line="240" w:lineRule="auto"/>
        <w:jc w:val="both"/>
        <w:rPr>
          <w:rFonts w:cs="Arial"/>
          <w:sz w:val="20"/>
          <w:szCs w:val="20"/>
          <w:lang w:val="fr-FR"/>
        </w:rPr>
      </w:pPr>
      <w:r w:rsidRPr="00E34332">
        <w:rPr>
          <w:rFonts w:cs="Arial"/>
          <w:noProof/>
          <w:sz w:val="20"/>
          <w:szCs w:val="20"/>
          <w:lang w:val="fr-FR" w:eastAsia="fr-FR"/>
        </w:rPr>
        <w:drawing>
          <wp:anchor distT="0" distB="0" distL="114300" distR="114300" simplePos="0" relativeHeight="251656704" behindDoc="0" locked="0" layoutInCell="1" allowOverlap="1" wp14:anchorId="3406E5C9" wp14:editId="07AA29DD">
            <wp:simplePos x="0" y="0"/>
            <wp:positionH relativeFrom="column">
              <wp:posOffset>0</wp:posOffset>
            </wp:positionH>
            <wp:positionV relativeFrom="paragraph">
              <wp:posOffset>-1905</wp:posOffset>
            </wp:positionV>
            <wp:extent cx="2809875" cy="2162175"/>
            <wp:effectExtent l="0" t="0" r="9525" b="9525"/>
            <wp:wrapSquare wrapText="bothSides"/>
            <wp:docPr id="494246620" name="Picture 1" descr="A fish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46620" name="Picture 1" descr="A fish swimming in the water&#10;&#10;Description automatically generated"/>
                    <pic:cNvPicPr/>
                  </pic:nvPicPr>
                  <pic:blipFill rotWithShape="1">
                    <a:blip r:embed="rId58" cstate="print">
                      <a:extLst>
                        <a:ext uri="{28A0092B-C50C-407E-A947-70E740481C1C}">
                          <a14:useLocalDpi xmlns:a14="http://schemas.microsoft.com/office/drawing/2010/main" val="0"/>
                        </a:ext>
                      </a:extLst>
                    </a:blip>
                    <a:srcRect l="41546" r="9429" b="10606"/>
                    <a:stretch/>
                  </pic:blipFill>
                  <pic:spPr bwMode="auto">
                    <a:xfrm>
                      <a:off x="0" y="0"/>
                      <a:ext cx="2809875" cy="2162175"/>
                    </a:xfrm>
                    <a:prstGeom prst="rect">
                      <a:avLst/>
                    </a:prstGeom>
                    <a:ln>
                      <a:noFill/>
                    </a:ln>
                    <a:extLst>
                      <a:ext uri="{53640926-AAD7-44D8-BBD7-CCE9431645EC}">
                        <a14:shadowObscured xmlns:a14="http://schemas.microsoft.com/office/drawing/2010/main"/>
                      </a:ext>
                    </a:extLst>
                  </pic:spPr>
                </pic:pic>
              </a:graphicData>
            </a:graphic>
          </wp:anchor>
        </w:drawing>
      </w:r>
      <w:r w:rsidRPr="00E34332">
        <w:rPr>
          <w:rFonts w:cs="Arial"/>
          <w:i/>
          <w:sz w:val="20"/>
          <w:szCs w:val="20"/>
          <w:lang w:val="fr-FR"/>
        </w:rPr>
        <w:t>Légende de la photo</w:t>
      </w:r>
      <w:r w:rsidRPr="00E34332">
        <w:rPr>
          <w:rFonts w:cs="Arial"/>
          <w:sz w:val="20"/>
          <w:szCs w:val="20"/>
          <w:lang w:val="fr-FR"/>
        </w:rPr>
        <w:t xml:space="preserve"> : L’ange de mer commun (</w:t>
      </w:r>
      <w:r w:rsidRPr="00E34332">
        <w:rPr>
          <w:rFonts w:cs="Arial"/>
          <w:i/>
          <w:sz w:val="20"/>
          <w:szCs w:val="20"/>
          <w:lang w:val="fr-FR"/>
        </w:rPr>
        <w:t xml:space="preserve">Squatina </w:t>
      </w:r>
      <w:proofErr w:type="spellStart"/>
      <w:r w:rsidRPr="00E34332">
        <w:rPr>
          <w:rFonts w:cs="Arial"/>
          <w:i/>
          <w:sz w:val="20"/>
          <w:szCs w:val="20"/>
          <w:lang w:val="fr-FR"/>
        </w:rPr>
        <w:t>squatina</w:t>
      </w:r>
      <w:proofErr w:type="spellEnd"/>
      <w:r w:rsidRPr="00E34332">
        <w:rPr>
          <w:rFonts w:cs="Arial"/>
          <w:sz w:val="20"/>
          <w:szCs w:val="20"/>
          <w:lang w:val="fr-FR"/>
        </w:rPr>
        <w:t xml:space="preserve">), classé « en danger critique d’extinction » – inscrit aux Annexes I et II de la CMS et à l’Annexe 1 du </w:t>
      </w:r>
      <w:proofErr w:type="spellStart"/>
      <w:r w:rsidRPr="00E34332">
        <w:rPr>
          <w:rFonts w:cs="Arial"/>
          <w:sz w:val="20"/>
          <w:szCs w:val="20"/>
          <w:lang w:val="fr-FR"/>
        </w:rPr>
        <w:t>MdE</w:t>
      </w:r>
      <w:proofErr w:type="spellEnd"/>
      <w:r w:rsidRPr="00E34332">
        <w:rPr>
          <w:rFonts w:cs="Arial"/>
          <w:sz w:val="20"/>
          <w:szCs w:val="20"/>
          <w:lang w:val="fr-FR"/>
        </w:rPr>
        <w:t xml:space="preserve"> requins – était autrefois répandu dans les eaux côtières de l’Atlantique Nord-Est et de la mer Méditerranée, mais en raison de la surpêche, ses populations sont désormais de plus en plus fragmentées</w:t>
      </w:r>
      <w:r w:rsidRPr="00E34332">
        <w:rPr>
          <w:rFonts w:cs="Arial"/>
          <w:sz w:val="20"/>
          <w:szCs w:val="20"/>
          <w:vertAlign w:val="superscript"/>
          <w:lang w:val="fr-FR"/>
        </w:rPr>
        <w:t>39,46</w:t>
      </w:r>
      <w:r w:rsidRPr="00E34332">
        <w:rPr>
          <w:rFonts w:cs="Arial"/>
          <w:sz w:val="20"/>
          <w:szCs w:val="20"/>
          <w:lang w:val="fr-FR"/>
        </w:rPr>
        <w:t xml:space="preserve">. Un Plan d’action par espèce de la CMS concernant l’ange de mer commun dans la mer Méditerranée a été adopté lors de la COP14. </w:t>
      </w:r>
      <w:r w:rsidRPr="00E34332">
        <w:rPr>
          <w:rFonts w:cs="Arial"/>
          <w:i/>
          <w:sz w:val="20"/>
          <w:szCs w:val="20"/>
          <w:lang w:val="fr-FR"/>
        </w:rPr>
        <w:t>Crédit photo</w:t>
      </w:r>
      <w:r w:rsidRPr="00E34332">
        <w:rPr>
          <w:rFonts w:cs="Arial"/>
          <w:sz w:val="20"/>
          <w:szCs w:val="20"/>
          <w:lang w:val="fr-FR"/>
        </w:rPr>
        <w:t xml:space="preserve"> : </w:t>
      </w:r>
      <w:hyperlink r:id="rId59" w:history="1">
        <w:r w:rsidRPr="00E34332">
          <w:rPr>
            <w:rStyle w:val="Hyperlink"/>
            <w:rFonts w:cs="Arial"/>
            <w:sz w:val="20"/>
            <w:szCs w:val="20"/>
            <w:lang w:val="fr-FR"/>
          </w:rPr>
          <w:t>Adobe Stock | #220283534</w:t>
        </w:r>
      </w:hyperlink>
      <w:r w:rsidRPr="00E34332">
        <w:rPr>
          <w:rFonts w:cs="Arial"/>
          <w:sz w:val="20"/>
          <w:szCs w:val="20"/>
          <w:lang w:val="fr-FR"/>
        </w:rPr>
        <w:t>.</w:t>
      </w:r>
    </w:p>
    <w:p w14:paraId="1CB3CA4F" w14:textId="77777777" w:rsidR="00AF1989" w:rsidRPr="00E34332" w:rsidRDefault="00AF1989">
      <w:pPr>
        <w:spacing w:after="0" w:line="240" w:lineRule="auto"/>
        <w:rPr>
          <w:rFonts w:ascii="Roboto" w:hAnsi="Roboto"/>
          <w:sz w:val="20"/>
          <w:szCs w:val="20"/>
          <w:lang w:val="fr-FR"/>
        </w:rPr>
      </w:pPr>
    </w:p>
    <w:p w14:paraId="38650367" w14:textId="77777777" w:rsidR="00AF1989" w:rsidRPr="00E34332" w:rsidRDefault="00AF1989">
      <w:pPr>
        <w:spacing w:line="240" w:lineRule="auto"/>
        <w:rPr>
          <w:rFonts w:ascii="Roboto" w:hAnsi="Roboto"/>
          <w:lang w:val="fr-FR"/>
        </w:rPr>
      </w:pPr>
    </w:p>
    <w:p w14:paraId="164063EE" w14:textId="77777777" w:rsidR="00AF1989" w:rsidRPr="00E34332" w:rsidRDefault="00AF1989">
      <w:pPr>
        <w:spacing w:line="240" w:lineRule="auto"/>
        <w:rPr>
          <w:rFonts w:ascii="Roboto" w:hAnsi="Roboto"/>
          <w:b/>
          <w:color w:val="003870"/>
          <w:lang w:val="fr-FR"/>
        </w:rPr>
      </w:pPr>
    </w:p>
    <w:p w14:paraId="0C291F57" w14:textId="77777777" w:rsidR="00AF1989" w:rsidRPr="00E34332" w:rsidRDefault="0020159F">
      <w:pPr>
        <w:spacing w:after="0" w:line="240" w:lineRule="auto"/>
        <w:rPr>
          <w:rFonts w:cs="Arial"/>
          <w:b/>
          <w:lang w:val="es-ES"/>
        </w:rPr>
      </w:pPr>
      <w:r w:rsidRPr="00E34332">
        <w:rPr>
          <w:rFonts w:cs="Arial"/>
          <w:b/>
          <w:lang w:val="es-ES"/>
        </w:rPr>
        <w:t>Reptiles</w:t>
      </w:r>
    </w:p>
    <w:p w14:paraId="20A406D4" w14:textId="77777777" w:rsidR="00AF1989" w:rsidRPr="00E34332" w:rsidRDefault="00AF1989">
      <w:pPr>
        <w:spacing w:after="0" w:line="240" w:lineRule="auto"/>
        <w:rPr>
          <w:rFonts w:cs="Arial"/>
          <w:b/>
          <w:lang w:val="fr-FR"/>
        </w:rPr>
      </w:pPr>
    </w:p>
    <w:p w14:paraId="4FA6ABA9" w14:textId="77777777" w:rsidR="00AF1989" w:rsidRPr="00E34332" w:rsidRDefault="0020159F">
      <w:pPr>
        <w:spacing w:after="0" w:line="240" w:lineRule="auto"/>
        <w:rPr>
          <w:rFonts w:cs="Arial"/>
          <w:i/>
          <w:lang w:val="fr-FR"/>
        </w:rPr>
      </w:pPr>
      <w:r w:rsidRPr="00E34332">
        <w:rPr>
          <w:rFonts w:cs="Arial"/>
          <w:i/>
          <w:lang w:val="fr-FR"/>
        </w:rPr>
        <w:t>Tortues marines</w:t>
      </w:r>
    </w:p>
    <w:p w14:paraId="48145886" w14:textId="77777777" w:rsidR="00AF1989" w:rsidRPr="00E34332" w:rsidRDefault="00AF1989">
      <w:pPr>
        <w:spacing w:after="0" w:line="240" w:lineRule="auto"/>
        <w:rPr>
          <w:rFonts w:cs="Arial"/>
          <w:lang w:val="fr-FR"/>
        </w:rPr>
      </w:pPr>
    </w:p>
    <w:p w14:paraId="4F94D642" w14:textId="77777777" w:rsidR="00AF1989" w:rsidRPr="00E34332" w:rsidRDefault="0020159F">
      <w:pPr>
        <w:pStyle w:val="ListParagraph"/>
        <w:numPr>
          <w:ilvl w:val="0"/>
          <w:numId w:val="13"/>
        </w:numPr>
        <w:spacing w:after="80" w:line="240" w:lineRule="auto"/>
        <w:ind w:left="567" w:hanging="567"/>
        <w:contextualSpacing w:val="0"/>
        <w:jc w:val="both"/>
        <w:rPr>
          <w:rFonts w:cs="Arial"/>
          <w:lang w:val="fr-FR"/>
        </w:rPr>
      </w:pPr>
      <w:r w:rsidRPr="00E34332">
        <w:rPr>
          <w:rFonts w:cs="Arial"/>
          <w:lang w:val="fr-FR"/>
        </w:rPr>
        <w:t xml:space="preserve">L'état de conservation des tortues marines semble s'améliorer dans l'ensemble. Dans une récente </w:t>
      </w:r>
      <w:hyperlink r:id="rId60" w:history="1">
        <w:r w:rsidRPr="00E34332">
          <w:rPr>
            <w:rStyle w:val="Hyperlink"/>
            <w:rFonts w:cs="Arial"/>
            <w:lang w:val="fr-FR"/>
          </w:rPr>
          <w:t>évaluation exhaustive</w:t>
        </w:r>
      </w:hyperlink>
      <w:r w:rsidRPr="00E34332">
        <w:rPr>
          <w:rFonts w:cs="Arial"/>
          <w:lang w:val="fr-FR"/>
        </w:rPr>
        <w:t xml:space="preserve"> réalisée par le groupe d’experts sur les tortues marines de la Commission de sauvegarde des espèces de l’UICN (MTSG), la proportion des unités de gestion régionales (UGR) de tortues marines classées « risque faible – menace faible » est passée de 23 % en 2011 à 40 % en 2024</w:t>
      </w:r>
      <w:r w:rsidRPr="00E34332">
        <w:rPr>
          <w:rFonts w:cs="Arial"/>
          <w:vertAlign w:val="superscript"/>
          <w:lang w:val="fr-FR"/>
        </w:rPr>
        <w:t>47</w:t>
      </w:r>
      <w:r w:rsidRPr="00E34332">
        <w:rPr>
          <w:rFonts w:cs="Arial"/>
          <w:lang w:val="fr-FR"/>
        </w:rPr>
        <w:t>. Sur la même période, les catégories risque-menace se sont améliorées pour 54 % des UGR et se sont détériorées pour 15 % d’entre elles</w:t>
      </w:r>
      <w:r w:rsidRPr="00E34332">
        <w:rPr>
          <w:rFonts w:cs="Arial"/>
          <w:vertAlign w:val="superscript"/>
          <w:lang w:val="fr-FR"/>
        </w:rPr>
        <w:t>47</w:t>
      </w:r>
      <w:r w:rsidRPr="00E34332">
        <w:rPr>
          <w:rFonts w:cs="Arial"/>
          <w:lang w:val="fr-FR"/>
        </w:rPr>
        <w:t>.</w:t>
      </w:r>
    </w:p>
    <w:p w14:paraId="1BEC8A0E" w14:textId="4D824620" w:rsidR="00AF1989" w:rsidRPr="00E34332" w:rsidRDefault="0020159F">
      <w:pPr>
        <w:pStyle w:val="ListParagraph"/>
        <w:numPr>
          <w:ilvl w:val="0"/>
          <w:numId w:val="13"/>
        </w:numPr>
        <w:spacing w:after="80" w:line="240" w:lineRule="auto"/>
        <w:ind w:left="567" w:hanging="567"/>
        <w:contextualSpacing w:val="0"/>
        <w:jc w:val="both"/>
        <w:rPr>
          <w:rFonts w:cs="Arial"/>
          <w:lang w:val="fr-FR"/>
        </w:rPr>
      </w:pPr>
      <w:r w:rsidRPr="00E34332">
        <w:rPr>
          <w:rFonts w:cs="Arial"/>
          <w:lang w:val="fr-FR"/>
        </w:rPr>
        <w:t xml:space="preserve">Les résultats de cette évaluation mise à jour – consultables en ligne via un </w:t>
      </w:r>
      <w:hyperlink r:id="rId61" w:history="1">
        <w:r w:rsidRPr="00E34332">
          <w:rPr>
            <w:rStyle w:val="Hyperlink"/>
            <w:rFonts w:cs="Arial"/>
            <w:lang w:val="fr-FR"/>
          </w:rPr>
          <w:t>tableau de bord interactif</w:t>
        </w:r>
      </w:hyperlink>
      <w:r w:rsidRPr="00E34332">
        <w:rPr>
          <w:rFonts w:cs="Arial"/>
          <w:lang w:val="fr-FR"/>
        </w:rPr>
        <w:t xml:space="preserve"> – confirment les conclusions d’une </w:t>
      </w:r>
      <w:hyperlink r:id="rId62" w:history="1">
        <w:r w:rsidRPr="00E34332">
          <w:rPr>
            <w:rStyle w:val="Hyperlink"/>
            <w:rFonts w:cs="Arial"/>
            <w:lang w:val="fr-FR"/>
          </w:rPr>
          <w:t>synthèse</w:t>
        </w:r>
      </w:hyperlink>
      <w:r w:rsidRPr="00E34332">
        <w:rPr>
          <w:rFonts w:cs="Arial"/>
          <w:lang w:val="fr-FR"/>
        </w:rPr>
        <w:t xml:space="preserve"> récente des tendances du nombre de nids annuels, qui montre des tendances à la hausse ou stables pour la plupart des populations suivies</w:t>
      </w:r>
      <w:r w:rsidRPr="00E34332">
        <w:rPr>
          <w:rFonts w:cs="Arial"/>
          <w:vertAlign w:val="superscript"/>
          <w:lang w:val="fr-FR"/>
        </w:rPr>
        <w:t>48</w:t>
      </w:r>
      <w:r w:rsidRPr="00E34332">
        <w:rPr>
          <w:rFonts w:cs="Arial"/>
          <w:lang w:val="fr-FR"/>
        </w:rPr>
        <w:t>. Dans certains cas, les tendances positives ont été attribuées aux mesures de conservation, notamment les efforts visant à réduire les prélèvements et la création de zones protégées</w:t>
      </w:r>
      <w:r w:rsidRPr="00E34332">
        <w:rPr>
          <w:rFonts w:cs="Arial"/>
          <w:vertAlign w:val="superscript"/>
          <w:lang w:val="fr-FR"/>
        </w:rPr>
        <w:t>49</w:t>
      </w:r>
      <w:r w:rsidRPr="00E34332">
        <w:rPr>
          <w:rFonts w:cs="Arial"/>
          <w:lang w:val="fr-FR"/>
        </w:rPr>
        <w:t>.</w:t>
      </w:r>
    </w:p>
    <w:p w14:paraId="5C78FA06" w14:textId="77777777" w:rsidR="00AF1989" w:rsidRPr="00E34332" w:rsidRDefault="0020159F">
      <w:pPr>
        <w:pStyle w:val="ListParagraph"/>
        <w:numPr>
          <w:ilvl w:val="0"/>
          <w:numId w:val="14"/>
        </w:numPr>
        <w:spacing w:after="80" w:line="240" w:lineRule="auto"/>
        <w:ind w:left="567" w:hanging="567"/>
        <w:contextualSpacing w:val="0"/>
        <w:jc w:val="both"/>
        <w:rPr>
          <w:rFonts w:cs="Arial"/>
          <w:lang w:val="fr-FR"/>
        </w:rPr>
      </w:pPr>
      <w:r w:rsidRPr="00E34332">
        <w:rPr>
          <w:rFonts w:cs="Arial"/>
          <w:lang w:val="fr-FR"/>
        </w:rPr>
        <w:t>De nombreuses populations de tortues marines restent néanmoins menacées</w:t>
      </w:r>
      <w:r w:rsidRPr="00E34332">
        <w:rPr>
          <w:rFonts w:cs="Arial"/>
          <w:vertAlign w:val="superscript"/>
          <w:lang w:val="fr-FR"/>
        </w:rPr>
        <w:t>47</w:t>
      </w:r>
      <w:r w:rsidRPr="00E34332">
        <w:rPr>
          <w:rFonts w:cs="Arial"/>
          <w:lang w:val="fr-FR"/>
        </w:rPr>
        <w:t>. D’un point de vue régional, bien que les améliorations de l’état de conservation aient été plus fréquentes dans les UGR de l’océan Atlantique, la plupart des UGR « risque élevé – menace élevée » se concentraient dans l’océan Pacifique</w:t>
      </w:r>
      <w:r w:rsidRPr="00E34332">
        <w:rPr>
          <w:rFonts w:cs="Arial"/>
          <w:vertAlign w:val="superscript"/>
          <w:lang w:val="fr-FR"/>
        </w:rPr>
        <w:t>47</w:t>
      </w:r>
      <w:r w:rsidRPr="00E34332">
        <w:rPr>
          <w:rFonts w:cs="Arial"/>
          <w:lang w:val="fr-FR"/>
        </w:rPr>
        <w:t>. Parmi les neuf UGR « risque élevé – menace élevée », quatre concernaient la tortue luth (</w:t>
      </w:r>
      <w:proofErr w:type="spellStart"/>
      <w:r w:rsidRPr="00E34332">
        <w:rPr>
          <w:rFonts w:cs="Arial"/>
          <w:i/>
          <w:lang w:val="fr-FR"/>
        </w:rPr>
        <w:t>Dermochelys</w:t>
      </w:r>
      <w:proofErr w:type="spellEnd"/>
      <w:r w:rsidRPr="00E34332">
        <w:rPr>
          <w:rFonts w:cs="Arial"/>
          <w:i/>
          <w:lang w:val="fr-FR"/>
        </w:rPr>
        <w:t xml:space="preserve"> </w:t>
      </w:r>
      <w:proofErr w:type="spellStart"/>
      <w:r w:rsidRPr="00E34332">
        <w:rPr>
          <w:rFonts w:cs="Arial"/>
          <w:i/>
          <w:lang w:val="fr-FR"/>
        </w:rPr>
        <w:t>coriacea</w:t>
      </w:r>
      <w:proofErr w:type="spellEnd"/>
      <w:r w:rsidRPr="00E34332">
        <w:rPr>
          <w:rFonts w:cs="Arial"/>
          <w:lang w:val="fr-FR"/>
        </w:rPr>
        <w:t>) et trois la caouanne (</w:t>
      </w:r>
      <w:proofErr w:type="spellStart"/>
      <w:r w:rsidRPr="00E34332">
        <w:rPr>
          <w:rFonts w:cs="Arial"/>
          <w:i/>
          <w:lang w:val="fr-FR"/>
        </w:rPr>
        <w:t>Caretta</w:t>
      </w:r>
      <w:proofErr w:type="spellEnd"/>
      <w:r w:rsidRPr="00E34332">
        <w:rPr>
          <w:rFonts w:cs="Arial"/>
          <w:i/>
          <w:lang w:val="fr-FR"/>
        </w:rPr>
        <w:t xml:space="preserve"> </w:t>
      </w:r>
      <w:proofErr w:type="spellStart"/>
      <w:r w:rsidRPr="00E34332">
        <w:rPr>
          <w:rFonts w:cs="Arial"/>
          <w:i/>
          <w:lang w:val="fr-FR"/>
        </w:rPr>
        <w:t>caretta</w:t>
      </w:r>
      <w:proofErr w:type="spellEnd"/>
      <w:r w:rsidRPr="00E34332">
        <w:rPr>
          <w:rFonts w:cs="Arial"/>
          <w:lang w:val="fr-FR"/>
        </w:rPr>
        <w:t>)</w:t>
      </w:r>
      <w:r w:rsidRPr="00E34332">
        <w:rPr>
          <w:rFonts w:cs="Arial"/>
          <w:vertAlign w:val="superscript"/>
          <w:lang w:val="fr-FR"/>
        </w:rPr>
        <w:t>47</w:t>
      </w:r>
      <w:r w:rsidRPr="00E34332">
        <w:rPr>
          <w:rFonts w:cs="Arial"/>
          <w:lang w:val="fr-FR"/>
        </w:rPr>
        <w:t xml:space="preserve">.  </w:t>
      </w:r>
    </w:p>
    <w:p w14:paraId="281CA833" w14:textId="77777777" w:rsidR="00AF1989" w:rsidRPr="00E34332" w:rsidRDefault="0020159F">
      <w:pPr>
        <w:pStyle w:val="ListParagraph"/>
        <w:numPr>
          <w:ilvl w:val="0"/>
          <w:numId w:val="14"/>
        </w:numPr>
        <w:spacing w:after="0" w:line="240" w:lineRule="auto"/>
        <w:ind w:left="567" w:hanging="567"/>
        <w:contextualSpacing w:val="0"/>
        <w:jc w:val="both"/>
        <w:rPr>
          <w:rFonts w:cs="Arial"/>
          <w:lang w:val="fr-FR"/>
        </w:rPr>
      </w:pPr>
      <w:r w:rsidRPr="00E34332">
        <w:rPr>
          <w:rFonts w:cs="Arial"/>
          <w:lang w:val="fr-FR"/>
        </w:rPr>
        <w:t>Malgré les signes généraux de rétablissement mentionnés ci-dessus, les tortues marines continuent de faire face à de graves menaces</w:t>
      </w:r>
      <w:r w:rsidRPr="00E34332">
        <w:rPr>
          <w:rFonts w:cs="Arial"/>
          <w:vertAlign w:val="superscript"/>
          <w:lang w:val="fr-FR"/>
        </w:rPr>
        <w:t>49</w:t>
      </w:r>
      <w:r w:rsidRPr="00E34332">
        <w:rPr>
          <w:rFonts w:cs="Arial"/>
          <w:lang w:val="fr-FR"/>
        </w:rPr>
        <w:t>. Selon l’évaluation du Groupe d’experts sur les tortues marines de la Commission de sauvegarde des espèces de l’UICN (MTSG), les prises accidentelles par les pêcheries ont été considérées comme la pression la plus sévère sur l’ensemble des UGR de tortues marines, avec peu de signes d’amélioration depuis 2011</w:t>
      </w:r>
      <w:r w:rsidRPr="00E34332">
        <w:rPr>
          <w:rFonts w:cs="Arial"/>
          <w:vertAlign w:val="superscript"/>
          <w:lang w:val="fr-FR"/>
        </w:rPr>
        <w:t>47</w:t>
      </w:r>
      <w:r w:rsidRPr="00E34332">
        <w:rPr>
          <w:rFonts w:cs="Arial"/>
          <w:lang w:val="fr-FR"/>
        </w:rPr>
        <w:t>. Les tortues marines sont confrontées à d'autres pressions constantes et émergentes, telles que le développement côtier, la pollution plastique, le changement climatique et la capture directe</w:t>
      </w:r>
      <w:r w:rsidRPr="00E34332">
        <w:rPr>
          <w:rFonts w:cs="Arial"/>
          <w:vertAlign w:val="superscript"/>
          <w:lang w:val="fr-FR"/>
        </w:rPr>
        <w:t>49</w:t>
      </w:r>
      <w:r w:rsidRPr="00E34332">
        <w:rPr>
          <w:rFonts w:cs="Arial"/>
          <w:lang w:val="fr-FR"/>
        </w:rPr>
        <w:t>.</w:t>
      </w:r>
    </w:p>
    <w:p w14:paraId="7836536F" w14:textId="77777777" w:rsidR="00AF1989" w:rsidRPr="00E34332" w:rsidRDefault="0020159F">
      <w:pPr>
        <w:spacing w:after="0" w:line="240" w:lineRule="auto"/>
        <w:rPr>
          <w:rFonts w:ascii="Roboto" w:hAnsi="Roboto"/>
          <w:lang w:val="fr-FR"/>
        </w:rPr>
      </w:pPr>
      <w:r w:rsidRPr="00E34332">
        <w:rPr>
          <w:rFonts w:ascii="Roboto" w:hAnsi="Roboto"/>
          <w:noProof/>
          <w:lang w:val="fr-FR" w:eastAsia="fr-FR"/>
        </w:rPr>
        <w:lastRenderedPageBreak/>
        <w:drawing>
          <wp:inline distT="0" distB="0" distL="0" distR="0" wp14:anchorId="2614AE98" wp14:editId="027AD69D">
            <wp:extent cx="5731510" cy="3989070"/>
            <wp:effectExtent l="0" t="0" r="2540" b="0"/>
            <wp:docPr id="1282673742" name="Picture 5" descr="A turtle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73742" name="Picture 5" descr="A turtle swimming in the wate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989070"/>
                    </a:xfrm>
                    <a:prstGeom prst="rect">
                      <a:avLst/>
                    </a:prstGeom>
                  </pic:spPr>
                </pic:pic>
              </a:graphicData>
            </a:graphic>
          </wp:inline>
        </w:drawing>
      </w:r>
    </w:p>
    <w:p w14:paraId="572BB9CA" w14:textId="77777777" w:rsidR="00AF1989" w:rsidRPr="00E34332" w:rsidRDefault="0020159F">
      <w:pPr>
        <w:spacing w:after="0" w:line="240" w:lineRule="auto"/>
        <w:jc w:val="both"/>
        <w:rPr>
          <w:rFonts w:cs="Arial"/>
          <w:sz w:val="20"/>
          <w:szCs w:val="20"/>
          <w:lang w:val="fr-FR"/>
        </w:rPr>
      </w:pPr>
      <w:r w:rsidRPr="00E34332">
        <w:rPr>
          <w:rFonts w:cs="Arial"/>
          <w:i/>
          <w:sz w:val="20"/>
          <w:szCs w:val="20"/>
          <w:lang w:val="fr-FR"/>
        </w:rPr>
        <w:t>Légende de la photo</w:t>
      </w:r>
      <w:r w:rsidRPr="00E34332">
        <w:rPr>
          <w:rFonts w:cs="Arial"/>
          <w:sz w:val="20"/>
          <w:szCs w:val="20"/>
          <w:lang w:val="fr-FR"/>
        </w:rPr>
        <w:t xml:space="preserve"> : Sur les plages de nidification surveillées, les tendances de l'abondance de la population de tortues vertes (</w:t>
      </w:r>
      <w:proofErr w:type="spellStart"/>
      <w:r w:rsidRPr="00E34332">
        <w:rPr>
          <w:rFonts w:cs="Arial"/>
          <w:i/>
          <w:sz w:val="20"/>
          <w:szCs w:val="20"/>
          <w:lang w:val="fr-FR"/>
        </w:rPr>
        <w:t>Chelonia</w:t>
      </w:r>
      <w:proofErr w:type="spellEnd"/>
      <w:r w:rsidRPr="00E34332">
        <w:rPr>
          <w:rFonts w:cs="Arial"/>
          <w:i/>
          <w:sz w:val="20"/>
          <w:szCs w:val="20"/>
          <w:lang w:val="fr-FR"/>
        </w:rPr>
        <w:t xml:space="preserve"> </w:t>
      </w:r>
      <w:proofErr w:type="spellStart"/>
      <w:r w:rsidRPr="00E34332">
        <w:rPr>
          <w:rFonts w:cs="Arial"/>
          <w:i/>
          <w:sz w:val="20"/>
          <w:szCs w:val="20"/>
          <w:lang w:val="fr-FR"/>
        </w:rPr>
        <w:t>mydas</w:t>
      </w:r>
      <w:proofErr w:type="spellEnd"/>
      <w:r w:rsidRPr="00E34332">
        <w:rPr>
          <w:rFonts w:cs="Arial"/>
          <w:sz w:val="20"/>
          <w:szCs w:val="20"/>
          <w:lang w:val="fr-FR"/>
        </w:rPr>
        <w:t>) sont généralement à la hausse ou stables</w:t>
      </w:r>
      <w:r w:rsidRPr="00E34332">
        <w:rPr>
          <w:rFonts w:cs="Arial"/>
          <w:sz w:val="20"/>
          <w:szCs w:val="20"/>
          <w:vertAlign w:val="superscript"/>
          <w:lang w:val="fr-FR"/>
        </w:rPr>
        <w:t>48</w:t>
      </w:r>
      <w:r w:rsidRPr="00E34332">
        <w:rPr>
          <w:rFonts w:cs="Arial"/>
          <w:sz w:val="20"/>
          <w:szCs w:val="20"/>
          <w:lang w:val="fr-FR"/>
        </w:rPr>
        <w:t>, bien que des déclins spectaculaires aient été signalés dans l'une des plus grandes colonies de nidification du monde</w:t>
      </w:r>
      <w:r w:rsidRPr="00E34332">
        <w:rPr>
          <w:rFonts w:cs="Arial"/>
          <w:sz w:val="20"/>
          <w:szCs w:val="20"/>
          <w:vertAlign w:val="superscript"/>
          <w:lang w:val="fr-FR"/>
        </w:rPr>
        <w:t>50</w:t>
      </w:r>
      <w:r w:rsidRPr="00E34332">
        <w:rPr>
          <w:rFonts w:cs="Arial"/>
          <w:sz w:val="20"/>
          <w:szCs w:val="20"/>
          <w:lang w:val="fr-FR"/>
        </w:rPr>
        <w:t>. Des mesures demeurent nécessaires pour faire face aux menaces persistantes qui pèsent sur cette espèce, telles que les prises accidentelles, la pollution et la perte des herbiers marins, qui constituent des habitats essentiels pour son alimentation</w:t>
      </w:r>
      <w:r w:rsidRPr="00E34332">
        <w:rPr>
          <w:rFonts w:cs="Arial"/>
          <w:sz w:val="20"/>
          <w:szCs w:val="20"/>
          <w:vertAlign w:val="superscript"/>
          <w:lang w:val="fr-FR"/>
        </w:rPr>
        <w:t>49</w:t>
      </w:r>
      <w:r w:rsidRPr="00E34332">
        <w:rPr>
          <w:rFonts w:cs="Arial"/>
          <w:sz w:val="20"/>
          <w:szCs w:val="20"/>
          <w:lang w:val="fr-FR"/>
        </w:rPr>
        <w:t xml:space="preserve">. </w:t>
      </w:r>
      <w:r w:rsidRPr="00E34332">
        <w:rPr>
          <w:rFonts w:cs="Arial"/>
          <w:i/>
          <w:sz w:val="20"/>
          <w:szCs w:val="20"/>
          <w:lang w:val="fr-FR"/>
        </w:rPr>
        <w:t>Crédit photo</w:t>
      </w:r>
      <w:r w:rsidRPr="00E34332">
        <w:rPr>
          <w:rFonts w:cs="Arial"/>
          <w:sz w:val="20"/>
          <w:szCs w:val="20"/>
          <w:lang w:val="fr-FR"/>
        </w:rPr>
        <w:t xml:space="preserve"> : </w:t>
      </w:r>
      <w:hyperlink r:id="rId64" w:history="1">
        <w:r w:rsidRPr="00E34332">
          <w:rPr>
            <w:rStyle w:val="Hyperlink"/>
            <w:rFonts w:cs="Arial"/>
            <w:sz w:val="20"/>
            <w:szCs w:val="20"/>
            <w:lang w:val="fr-FR"/>
          </w:rPr>
          <w:t>Adobe Stock | #536146467</w:t>
        </w:r>
      </w:hyperlink>
      <w:r w:rsidRPr="00E34332">
        <w:rPr>
          <w:rFonts w:cs="Arial"/>
          <w:sz w:val="20"/>
          <w:szCs w:val="20"/>
          <w:lang w:val="fr-FR"/>
        </w:rPr>
        <w:t>.</w:t>
      </w:r>
    </w:p>
    <w:p w14:paraId="43836CF3" w14:textId="77777777" w:rsidR="00AF1989" w:rsidRPr="00E34332" w:rsidRDefault="00AF1989">
      <w:pPr>
        <w:spacing w:line="240" w:lineRule="auto"/>
        <w:rPr>
          <w:rFonts w:ascii="Roboto" w:hAnsi="Roboto"/>
          <w:color w:val="000000" w:themeColor="text1"/>
          <w:lang w:val="fr-FR"/>
        </w:rPr>
      </w:pPr>
    </w:p>
    <w:p w14:paraId="18E4CBA1" w14:textId="77777777" w:rsidR="00AF1989" w:rsidRPr="00E34332" w:rsidRDefault="0020159F">
      <w:pPr>
        <w:pStyle w:val="Heading1"/>
        <w:numPr>
          <w:ilvl w:val="0"/>
          <w:numId w:val="41"/>
        </w:numPr>
        <w:spacing w:before="0" w:line="240" w:lineRule="auto"/>
        <w:ind w:left="357" w:hanging="357"/>
        <w:jc w:val="both"/>
        <w:rPr>
          <w:rFonts w:ascii="Arial" w:hAnsi="Arial" w:cs="Arial"/>
          <w:b/>
          <w:color w:val="auto"/>
          <w:sz w:val="22"/>
          <w:szCs w:val="22"/>
          <w:lang w:val="fr-FR"/>
        </w:rPr>
      </w:pPr>
      <w:bookmarkStart w:id="8" w:name="_Toc210914222"/>
      <w:bookmarkStart w:id="9" w:name="_Hlk206419374"/>
      <w:r w:rsidRPr="00E34332">
        <w:rPr>
          <w:rFonts w:ascii="Arial" w:hAnsi="Arial" w:cs="Arial"/>
          <w:b/>
          <w:color w:val="auto"/>
          <w:sz w:val="22"/>
          <w:szCs w:val="22"/>
          <w:lang w:val="fr-FR"/>
        </w:rPr>
        <w:t>Progrès dans l'identification et la protection des habitats importants pour les espèces inscrites aux Annexes de la CMS</w:t>
      </w:r>
      <w:bookmarkEnd w:id="8"/>
    </w:p>
    <w:p w14:paraId="1C64A001" w14:textId="77777777" w:rsidR="00AF1989" w:rsidRPr="00E34332" w:rsidRDefault="00AF1989">
      <w:pPr>
        <w:spacing w:after="0" w:line="240" w:lineRule="auto"/>
        <w:jc w:val="both"/>
        <w:rPr>
          <w:lang w:val="fr-FR"/>
        </w:rPr>
      </w:pPr>
    </w:p>
    <w:bookmarkEnd w:id="9"/>
    <w:p w14:paraId="5B5B08E6" w14:textId="77777777" w:rsidR="00AF1989" w:rsidRPr="00E34332" w:rsidRDefault="0020159F">
      <w:pPr>
        <w:spacing w:after="0" w:line="240" w:lineRule="auto"/>
        <w:jc w:val="both"/>
        <w:rPr>
          <w:rFonts w:cs="Arial"/>
          <w:lang w:val="fr-FR"/>
        </w:rPr>
      </w:pPr>
      <w:r w:rsidRPr="00E34332">
        <w:rPr>
          <w:rFonts w:cs="Arial"/>
          <w:lang w:val="fr-FR"/>
        </w:rPr>
        <w:t xml:space="preserve">De nombreuses espèces migratrices dépendent d’un réseau de zones et de sites distincts qui offrent des habitats essentiels pour la reproduction, l’hivernage, l’alimentation ou les haltes migratoires. Cette section présente un résumé des progrès récents réalisés dans l’identification et la protection des sites essentiels pour les espèces inscrites aux Annexes de la CMS à l’échelle mondiale, en s’appuyant sur une analyse menée pour le premier </w:t>
      </w:r>
      <w:hyperlink r:id="rId65" w:history="1">
        <w:r w:rsidRPr="00E34332">
          <w:rPr>
            <w:rStyle w:val="Hyperlink"/>
            <w:rFonts w:cs="Arial"/>
            <w:i/>
            <w:lang w:val="fr-FR"/>
          </w:rPr>
          <w:t>Rapport sur l’état des espèces migratrices dans le monde</w:t>
        </w:r>
      </w:hyperlink>
      <w:r w:rsidRPr="00E34332">
        <w:rPr>
          <w:rFonts w:cs="Arial"/>
          <w:lang w:val="fr-FR"/>
        </w:rPr>
        <w:t xml:space="preserve">. L’action visant à identifier et à protéger les habitats importants pour les espèces inscrites aux Annexes de la CMS constitue non seulement un élément essentiel du </w:t>
      </w:r>
      <w:hyperlink r:id="rId66" w:history="1">
        <w:r w:rsidRPr="00E34332">
          <w:rPr>
            <w:rStyle w:val="Hyperlink"/>
            <w:rFonts w:cs="Arial"/>
            <w:lang w:val="fr-FR"/>
          </w:rPr>
          <w:t>Plan stratégique de Samarcande pour les espèces migratrices 2024–2032</w:t>
        </w:r>
      </w:hyperlink>
      <w:r w:rsidRPr="00E34332">
        <w:rPr>
          <w:rFonts w:cs="Arial"/>
          <w:lang w:val="fr-FR"/>
        </w:rPr>
        <w:t xml:space="preserve">, mais elle contribuera également de manière significative aux efforts déployés à l’échelle mondiale pour maintenir et renforcer la connectivité écologique. La lutte contre la perte, la dégradation et la fragmentation des habitats importants pour les espèces migratrices est également cruciale pour atteindre plusieurs objectifs inclus dans le cadre mondial de la biodiversité de Kunming-Montréal. </w:t>
      </w:r>
    </w:p>
    <w:p w14:paraId="4E7144C8" w14:textId="77777777" w:rsidR="00AF1989" w:rsidRPr="00E34332" w:rsidRDefault="00AF1989">
      <w:pPr>
        <w:spacing w:after="0" w:line="240" w:lineRule="auto"/>
        <w:jc w:val="both"/>
        <w:rPr>
          <w:rFonts w:cs="Arial"/>
          <w:b/>
          <w:lang w:val="fr-FR"/>
        </w:rPr>
      </w:pPr>
    </w:p>
    <w:p w14:paraId="6A6895B4" w14:textId="77777777" w:rsidR="00AF1989" w:rsidRPr="00E34332" w:rsidRDefault="0020159F">
      <w:pPr>
        <w:spacing w:after="0" w:line="240" w:lineRule="auto"/>
        <w:jc w:val="both"/>
        <w:rPr>
          <w:rFonts w:cs="Arial"/>
          <w:b/>
          <w:lang w:val="fr-FR"/>
        </w:rPr>
      </w:pPr>
      <w:r w:rsidRPr="00E34332">
        <w:rPr>
          <w:rFonts w:cs="Arial"/>
          <w:b/>
          <w:lang w:val="fr-FR"/>
        </w:rPr>
        <w:t>Identifier les habitats importants</w:t>
      </w:r>
    </w:p>
    <w:p w14:paraId="49440D8E" w14:textId="77777777" w:rsidR="00AF1989" w:rsidRPr="00E34332" w:rsidRDefault="00AF1989">
      <w:pPr>
        <w:spacing w:after="0" w:line="240" w:lineRule="auto"/>
        <w:jc w:val="both"/>
        <w:rPr>
          <w:rFonts w:cs="Arial"/>
          <w:b/>
          <w:lang w:val="fr-FR"/>
        </w:rPr>
      </w:pPr>
    </w:p>
    <w:p w14:paraId="52C8E164" w14:textId="77777777" w:rsidR="00AF1989" w:rsidRPr="00E34332" w:rsidRDefault="0020159F">
      <w:pPr>
        <w:spacing w:after="0" w:line="240" w:lineRule="auto"/>
        <w:jc w:val="both"/>
        <w:rPr>
          <w:rFonts w:cs="Arial"/>
          <w:lang w:val="fr-FR"/>
        </w:rPr>
      </w:pPr>
      <w:r w:rsidRPr="00E34332">
        <w:rPr>
          <w:rFonts w:cs="Arial"/>
          <w:lang w:val="fr-FR"/>
        </w:rPr>
        <w:t>De multiples approches ont été développées pour identifier les zones importantes pour la biodiversité à l'échelle mondiale</w:t>
      </w:r>
      <w:r w:rsidRPr="00E34332">
        <w:rPr>
          <w:rFonts w:cs="Arial"/>
          <w:vertAlign w:val="superscript"/>
          <w:lang w:val="fr-FR"/>
        </w:rPr>
        <w:t>1</w:t>
      </w:r>
      <w:r w:rsidRPr="00E34332">
        <w:rPr>
          <w:rFonts w:cs="Arial"/>
          <w:lang w:val="fr-FR"/>
        </w:rPr>
        <w:t xml:space="preserve">. Celles-ci incluent les zones clés pour la biodiversité (ZCB), développées comme une approche globale pour identifier les sites importants pour tous les groupes taxonomiques, les écosystèmes, l’intégrité écologique, les processus biologiques et </w:t>
      </w:r>
      <w:r w:rsidRPr="00E34332">
        <w:rPr>
          <w:rFonts w:cs="Arial"/>
          <w:lang w:val="fr-FR"/>
        </w:rPr>
        <w:lastRenderedPageBreak/>
        <w:t>leur caractère irremplaçable</w:t>
      </w:r>
      <w:r w:rsidRPr="00E34332">
        <w:rPr>
          <w:rFonts w:cs="Arial"/>
          <w:vertAlign w:val="superscript"/>
          <w:lang w:val="fr-FR"/>
        </w:rPr>
        <w:t>2</w:t>
      </w:r>
      <w:r w:rsidRPr="00E34332">
        <w:rPr>
          <w:rFonts w:cs="Arial"/>
          <w:lang w:val="fr-FR"/>
        </w:rPr>
        <w:t>. Les ZCB sont identifiées au niveau national à l’aide d’un ensemble de critères quantitatifs</w:t>
      </w:r>
      <w:r w:rsidRPr="00E34332">
        <w:rPr>
          <w:rFonts w:cs="Arial"/>
          <w:vertAlign w:val="superscript"/>
          <w:lang w:val="fr-FR"/>
        </w:rPr>
        <w:t>2</w:t>
      </w:r>
      <w:r w:rsidRPr="00E34332">
        <w:rPr>
          <w:rFonts w:cs="Arial"/>
          <w:lang w:val="fr-FR"/>
        </w:rPr>
        <w:t xml:space="preserve">. Par exemple, des sites peuvent être identifiés comme ZCB s’ils hébergent une proportion significative de la population mondiale d’une espèce menacée à l’échelle mondiale, ou s’ils abritent des regroupements démographiques importants d’une espèce lors d’une ou plusieurs étapes clés de son cycle de vie, entre autres critères. </w:t>
      </w:r>
    </w:p>
    <w:p w14:paraId="7F7BAD3D" w14:textId="77777777" w:rsidR="00AF1989" w:rsidRPr="00E34332" w:rsidRDefault="00AF1989">
      <w:pPr>
        <w:spacing w:after="0" w:line="240" w:lineRule="auto"/>
        <w:jc w:val="both"/>
        <w:rPr>
          <w:rFonts w:cs="Arial"/>
          <w:lang w:val="fr-FR"/>
        </w:rPr>
      </w:pPr>
    </w:p>
    <w:p w14:paraId="46B1FD4A" w14:textId="77777777" w:rsidR="00AF1989" w:rsidRPr="00E34332" w:rsidRDefault="0020159F">
      <w:pPr>
        <w:spacing w:after="0" w:line="240" w:lineRule="auto"/>
        <w:jc w:val="both"/>
        <w:rPr>
          <w:rFonts w:cs="Arial"/>
          <w:lang w:val="fr-FR"/>
        </w:rPr>
      </w:pPr>
      <w:r w:rsidRPr="00E34332">
        <w:rPr>
          <w:rFonts w:cs="Arial"/>
          <w:lang w:val="fr-FR"/>
        </w:rPr>
        <w:t>En plus des ZCB, d’autres initiatives spécifiques à certains taxons et de portée mondiale</w:t>
      </w:r>
      <w:r w:rsidRPr="00E34332">
        <w:rPr>
          <w:rStyle w:val="FootnoteReference"/>
          <w:rFonts w:cs="Arial"/>
          <w:lang w:val="fr-FR"/>
        </w:rPr>
        <w:footnoteReference w:id="11"/>
      </w:r>
      <w:r w:rsidRPr="00E34332">
        <w:rPr>
          <w:rFonts w:cs="Arial"/>
          <w:lang w:val="fr-FR"/>
        </w:rPr>
        <w:t xml:space="preserve">, telles que les </w:t>
      </w:r>
      <w:hyperlink r:id="rId67" w:history="1">
        <w:r w:rsidRPr="00E34332">
          <w:rPr>
            <w:rStyle w:val="Hyperlink"/>
            <w:rFonts w:cs="Arial"/>
            <w:lang w:val="fr-FR"/>
          </w:rPr>
          <w:t>aires importantes pour les mammifères marins</w:t>
        </w:r>
      </w:hyperlink>
      <w:r w:rsidRPr="00E34332">
        <w:rPr>
          <w:rFonts w:cs="Arial"/>
          <w:lang w:val="fr-FR"/>
        </w:rPr>
        <w:t xml:space="preserve"> (AIMM), les </w:t>
      </w:r>
      <w:hyperlink r:id="rId68" w:history="1">
        <w:r w:rsidRPr="00E34332">
          <w:rPr>
            <w:rStyle w:val="Hyperlink"/>
            <w:rFonts w:cs="Arial"/>
            <w:lang w:val="fr-FR"/>
          </w:rPr>
          <w:t>aires importantes pour les requins et les raies</w:t>
        </w:r>
      </w:hyperlink>
      <w:r w:rsidRPr="00E34332">
        <w:rPr>
          <w:rFonts w:cs="Arial"/>
          <w:lang w:val="fr-FR"/>
        </w:rPr>
        <w:t xml:space="preserve"> (AIRR) et les </w:t>
      </w:r>
      <w:hyperlink r:id="rId69" w:history="1">
        <w:r w:rsidRPr="00E34332">
          <w:rPr>
            <w:rStyle w:val="Hyperlink"/>
            <w:rFonts w:cs="Arial"/>
            <w:lang w:val="fr-FR"/>
          </w:rPr>
          <w:t>aires importantes pour les tortues marines</w:t>
        </w:r>
      </w:hyperlink>
      <w:r w:rsidRPr="00E34332">
        <w:rPr>
          <w:rFonts w:cs="Arial"/>
          <w:lang w:val="fr-FR"/>
        </w:rPr>
        <w:t xml:space="preserve"> (AITM), sont également particulièrement pertinentes pour la CMS (voir </w:t>
      </w:r>
      <w:r w:rsidRPr="00E34332">
        <w:rPr>
          <w:rFonts w:cs="Arial"/>
          <w:b/>
          <w:lang w:val="fr-FR"/>
        </w:rPr>
        <w:t>encadré 1</w:t>
      </w:r>
      <w:r w:rsidRPr="00E34332">
        <w:rPr>
          <w:rFonts w:cs="Arial"/>
          <w:lang w:val="fr-FR"/>
        </w:rPr>
        <w:t>). Il existe des différences entre les approches utilisées pour identifier les sites importants dans le cadre de ces programmes</w:t>
      </w:r>
      <w:r w:rsidRPr="00E34332">
        <w:rPr>
          <w:rFonts w:cs="Arial"/>
          <w:vertAlign w:val="superscript"/>
          <w:lang w:val="fr-FR"/>
        </w:rPr>
        <w:t>2-3</w:t>
      </w:r>
      <w:r w:rsidRPr="00E34332">
        <w:rPr>
          <w:rFonts w:cs="Arial"/>
          <w:lang w:val="fr-FR"/>
        </w:rPr>
        <w:t>, y compris des différences d’échelle. Alors que les ZCB sont définies comme des sites pouvant être effectivement ou potentiellement gérés en tant qu’unité</w:t>
      </w:r>
      <w:r w:rsidRPr="00E34332">
        <w:rPr>
          <w:rFonts w:cs="Arial"/>
          <w:vertAlign w:val="superscript"/>
          <w:lang w:val="fr-FR"/>
        </w:rPr>
        <w:t>1</w:t>
      </w:r>
      <w:r w:rsidRPr="00E34332">
        <w:rPr>
          <w:rFonts w:cs="Arial"/>
          <w:lang w:val="fr-FR"/>
        </w:rPr>
        <w:t>, les AIMM et les AIRR peuvent inclure des zones plus vastes, telles que des corridors migratoires côtiers ou transocéaniques</w:t>
      </w:r>
      <w:r w:rsidRPr="00E34332">
        <w:rPr>
          <w:rFonts w:cs="Arial"/>
          <w:vertAlign w:val="superscript"/>
          <w:lang w:val="fr-FR"/>
        </w:rPr>
        <w:t>3</w:t>
      </w:r>
      <w:r w:rsidRPr="00E34332">
        <w:rPr>
          <w:rFonts w:cs="Arial"/>
          <w:lang w:val="fr-FR"/>
        </w:rPr>
        <w:t>. Les initiatives AIMM, AIRR et AITM utilisent également des critères standardisés à l’échelle mondiale pour identifier des portions spécifiques d’habitats susceptibles d’être gérées en vue de la conservation</w:t>
      </w:r>
      <w:r w:rsidRPr="00E34332">
        <w:rPr>
          <w:rFonts w:cs="Arial"/>
          <w:vertAlign w:val="superscript"/>
          <w:lang w:val="fr-FR"/>
        </w:rPr>
        <w:t>4-6</w:t>
      </w:r>
      <w:r w:rsidRPr="00E34332">
        <w:rPr>
          <w:rFonts w:cs="Arial"/>
          <w:lang w:val="fr-FR"/>
        </w:rPr>
        <w:t>.</w:t>
      </w:r>
    </w:p>
    <w:p w14:paraId="354ECABD" w14:textId="77777777" w:rsidR="00AF1989" w:rsidRPr="00E34332" w:rsidRDefault="00AF1989">
      <w:pPr>
        <w:spacing w:after="0" w:line="240" w:lineRule="auto"/>
        <w:jc w:val="both"/>
        <w:rPr>
          <w:rFonts w:cs="Arial"/>
          <w:lang w:val="fr-FR"/>
        </w:rPr>
      </w:pPr>
    </w:p>
    <w:p w14:paraId="2AC479BF" w14:textId="77777777" w:rsidR="00AF1989" w:rsidRPr="00E34332" w:rsidRDefault="0020159F">
      <w:pPr>
        <w:spacing w:after="0" w:line="240" w:lineRule="auto"/>
        <w:jc w:val="both"/>
        <w:rPr>
          <w:rFonts w:cs="Arial"/>
          <w:lang w:val="fr-FR"/>
        </w:rPr>
      </w:pPr>
      <w:r w:rsidRPr="00E34332">
        <w:rPr>
          <w:rFonts w:cs="Arial"/>
          <w:lang w:val="fr-FR"/>
        </w:rPr>
        <w:t>De nombreux habitats importants pour les espèces inscrites aux Annexes de la CMS ont été identifiés et reconnus comme ZCB, AIMM et/ou AIRR, mais des lacunes géographiques et taxonomiques considérables subsistent encore (</w:t>
      </w:r>
      <w:r w:rsidRPr="00E34332">
        <w:rPr>
          <w:rFonts w:cs="Arial"/>
          <w:b/>
          <w:lang w:val="fr-FR"/>
        </w:rPr>
        <w:t>figure 3.1</w:t>
      </w:r>
      <w:r w:rsidRPr="00E34332">
        <w:rPr>
          <w:rFonts w:cs="Arial"/>
          <w:lang w:val="fr-FR"/>
        </w:rPr>
        <w:t xml:space="preserve">). Sur les 1 200 espèces inscrites aux Annexes de la CMS, 782 (63 %) avaient, au moment de la rédaction (septembre 2025), au moins un site important reconnu par le biais d’une ou plusieurs de ces initiatives. Sur les 16 589 ZCB reconnues à ce jour à l’échelle mondiale, 9 372 ont été identifiées comme importantes pour 718 (60 %) des 1 200 espèces inscrites aux Annexes de la CMS. Cela signifie que le site abrite des populations d’une ou plusieurs espèces inscrites aux Annexes de la CMS dont les effectifs dépassent les seuils fixés pour au moins un critère de ZCB. </w:t>
      </w:r>
    </w:p>
    <w:p w14:paraId="4E7F59FF" w14:textId="77777777" w:rsidR="00AF1989" w:rsidRPr="00E34332" w:rsidRDefault="00AF1989">
      <w:pPr>
        <w:spacing w:after="0" w:line="240" w:lineRule="auto"/>
        <w:jc w:val="both"/>
        <w:rPr>
          <w:rFonts w:cs="Arial"/>
          <w:lang w:val="fr-FR"/>
        </w:rPr>
      </w:pPr>
    </w:p>
    <w:p w14:paraId="06AC5BAA" w14:textId="77777777" w:rsidR="00AF1989" w:rsidRPr="00E34332" w:rsidRDefault="0020159F">
      <w:pPr>
        <w:spacing w:after="0" w:line="240" w:lineRule="auto"/>
        <w:jc w:val="both"/>
        <w:rPr>
          <w:rFonts w:cs="Arial"/>
          <w:lang w:val="fr-FR"/>
        </w:rPr>
      </w:pPr>
      <w:r w:rsidRPr="00E34332">
        <w:rPr>
          <w:rFonts w:cs="Arial"/>
          <w:lang w:val="fr-FR"/>
        </w:rPr>
        <w:t>Des ZCB ou des AIMM ont également été identifiées pour 57 (86 %) des 66 mammifères aquatiques inscrits aux Annexes de la CMS (</w:t>
      </w:r>
      <w:r w:rsidRPr="00E34332">
        <w:rPr>
          <w:rFonts w:cs="Arial"/>
          <w:b/>
          <w:lang w:val="fr-FR"/>
        </w:rPr>
        <w:t>figure 3.1</w:t>
      </w:r>
      <w:r w:rsidRPr="00E34332">
        <w:rPr>
          <w:rFonts w:cs="Arial"/>
          <w:lang w:val="fr-FR"/>
        </w:rPr>
        <w:t>). De même, des ZCB ou des AIRR ont été délimitées pour 48 (76 %) des 63 poissons inscrits aux Annexes de la CMS (</w:t>
      </w:r>
      <w:r w:rsidRPr="00E34332">
        <w:rPr>
          <w:rFonts w:cs="Arial"/>
          <w:b/>
          <w:lang w:val="fr-FR"/>
        </w:rPr>
        <w:t>figure 3.1</w:t>
      </w:r>
      <w:r w:rsidRPr="00E34332">
        <w:rPr>
          <w:rFonts w:cs="Arial"/>
          <w:lang w:val="fr-FR"/>
        </w:rPr>
        <w:t>), dont 39 (98 %) des 40 requins inscrits aux Annexes de la CMS</w:t>
      </w:r>
      <w:r w:rsidRPr="00E34332">
        <w:rPr>
          <w:rFonts w:cs="Arial"/>
          <w:vertAlign w:val="superscript"/>
          <w:lang w:val="fr-FR"/>
        </w:rPr>
        <w:t>7</w:t>
      </w:r>
      <w:r w:rsidRPr="00E34332">
        <w:rPr>
          <w:rFonts w:cs="Arial"/>
          <w:lang w:val="fr-FR"/>
        </w:rPr>
        <w:t>. Ces chiffres reflètent les progrès considérables réalisés ces dernières années dans l’identification des AIMM et des AIRR par le groupe de travail sur les aires protégées des mammifères marins de l’UICN et le groupe de spécialistes des requins du SSC de l’UICN (</w:t>
      </w:r>
      <w:r w:rsidRPr="00E34332">
        <w:rPr>
          <w:rFonts w:cs="Arial"/>
          <w:b/>
          <w:lang w:val="fr-FR"/>
        </w:rPr>
        <w:t>encadré 1</w:t>
      </w:r>
      <w:r w:rsidRPr="00E34332">
        <w:rPr>
          <w:rFonts w:cs="Arial"/>
          <w:lang w:val="fr-FR"/>
        </w:rPr>
        <w:t>).</w:t>
      </w:r>
    </w:p>
    <w:p w14:paraId="1D453BF0" w14:textId="77777777" w:rsidR="00AF1989" w:rsidRPr="00E34332" w:rsidRDefault="0020159F">
      <w:pPr>
        <w:spacing w:after="0" w:line="240" w:lineRule="auto"/>
        <w:jc w:val="both"/>
        <w:rPr>
          <w:rFonts w:cs="Arial"/>
          <w:lang w:val="fr-FR"/>
        </w:rPr>
      </w:pPr>
      <w:r w:rsidRPr="00E34332">
        <w:rPr>
          <w:rFonts w:cs="Arial"/>
          <w:noProof/>
          <w:lang w:val="fr-FR" w:eastAsia="fr-FR"/>
        </w:rPr>
        <w:lastRenderedPageBreak/>
        <w:drawing>
          <wp:inline distT="0" distB="0" distL="0" distR="0" wp14:anchorId="3D87ECE6" wp14:editId="7D108757">
            <wp:extent cx="3303904" cy="3028950"/>
            <wp:effectExtent l="0" t="0" r="0" b="0"/>
            <wp:docPr id="1440377716"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7716" name="Picture 1" descr="A pie chart with different colored circles&#10;&#10;Description automatically generated"/>
                    <pic:cNvPicPr/>
                  </pic:nvPicPr>
                  <pic:blipFill rotWithShape="1">
                    <a:blip r:embed="rId70" cstate="print">
                      <a:extLst>
                        <a:ext uri="{28A0092B-C50C-407E-A947-70E740481C1C}">
                          <a14:useLocalDpi xmlns:a14="http://schemas.microsoft.com/office/drawing/2010/main" val="0"/>
                        </a:ext>
                      </a:extLst>
                    </a:blip>
                    <a:srcRect l="8204" t="12752" b="10736"/>
                    <a:stretch/>
                  </pic:blipFill>
                  <pic:spPr bwMode="auto">
                    <a:xfrm>
                      <a:off x="0" y="0"/>
                      <a:ext cx="3303904" cy="3028950"/>
                    </a:xfrm>
                    <a:prstGeom prst="rect">
                      <a:avLst/>
                    </a:prstGeom>
                    <a:ln>
                      <a:noFill/>
                    </a:ln>
                    <a:extLst>
                      <a:ext uri="{53640926-AAD7-44D8-BBD7-CCE9431645EC}">
                        <a14:shadowObscured xmlns:a14="http://schemas.microsoft.com/office/drawing/2010/main"/>
                      </a:ext>
                    </a:extLst>
                  </pic:spPr>
                </pic:pic>
              </a:graphicData>
            </a:graphic>
          </wp:inline>
        </w:drawing>
      </w:r>
    </w:p>
    <w:p w14:paraId="04191BFD" w14:textId="77777777" w:rsidR="00AF1989" w:rsidRDefault="0020159F">
      <w:pPr>
        <w:spacing w:after="0" w:line="240" w:lineRule="auto"/>
        <w:jc w:val="both"/>
        <w:rPr>
          <w:rFonts w:cs="Arial"/>
          <w:sz w:val="20"/>
          <w:szCs w:val="20"/>
          <w:lang w:val="fr-FR"/>
        </w:rPr>
      </w:pPr>
      <w:r w:rsidRPr="00E34332">
        <w:rPr>
          <w:rFonts w:cs="Arial"/>
          <w:b/>
          <w:sz w:val="20"/>
          <w:szCs w:val="20"/>
          <w:lang w:val="fr-FR"/>
        </w:rPr>
        <w:t>Figure 3.1 :</w:t>
      </w:r>
      <w:r w:rsidRPr="00E34332">
        <w:rPr>
          <w:rFonts w:cs="Arial"/>
          <w:sz w:val="20"/>
          <w:szCs w:val="20"/>
          <w:lang w:val="fr-FR"/>
        </w:rPr>
        <w:t xml:space="preserve"> Proportion des espèces inscrites aux Annexes de la CMS (n = 1 200) pour lesquelles au moins une zone clé pour la biodiversité (ZCB), une aire importante pour les mammifères marins (AIMM) ou une aire importante pour les requins et les raies (AIRR) a été identifiée (n = 782), par groupe taxonomique, comme indiqué par les zones ombrées dans chaque segment du graphique. La largeur des segments est proportionnelle au nombre d’espèces inscrites aux Annexes de la CMS dans chaque groupe taxonomique (c’est-à-dire que le segment des oiseaux terrestres est le plus large, car 49 % des espèces inscrites aux Annexes de la CMS sont des oiseaux terrestres). Sources des données : Base de données mondiale des zones clés pour la biodiversité (2025) ; </w:t>
      </w:r>
      <w:hyperlink r:id="rId71" w:history="1">
        <w:r w:rsidRPr="00E34332">
          <w:rPr>
            <w:rStyle w:val="Hyperlink"/>
            <w:rFonts w:cs="Arial"/>
            <w:sz w:val="20"/>
            <w:szCs w:val="20"/>
            <w:lang w:val="fr-FR"/>
          </w:rPr>
          <w:t>base de données</w:t>
        </w:r>
      </w:hyperlink>
      <w:r w:rsidRPr="00E34332">
        <w:rPr>
          <w:rFonts w:cs="Arial"/>
          <w:sz w:val="20"/>
          <w:szCs w:val="20"/>
          <w:lang w:val="fr-FR"/>
        </w:rPr>
        <w:t xml:space="preserve"> consultable des aires importantes pour les mammifères marins (2025) ; groupe de spécialistes des requins de la CSE de l’UICN (2025)</w:t>
      </w:r>
      <w:r w:rsidRPr="00E34332">
        <w:rPr>
          <w:rFonts w:cs="Arial"/>
          <w:sz w:val="20"/>
          <w:szCs w:val="20"/>
          <w:vertAlign w:val="superscript"/>
          <w:lang w:val="fr-FR"/>
        </w:rPr>
        <w:t>7</w:t>
      </w:r>
      <w:r w:rsidRPr="00E34332">
        <w:rPr>
          <w:rFonts w:cs="Arial"/>
          <w:sz w:val="20"/>
          <w:szCs w:val="20"/>
          <w:lang w:val="fr-FR"/>
        </w:rPr>
        <w:t>.</w:t>
      </w:r>
    </w:p>
    <w:p w14:paraId="6CEFF9B9" w14:textId="77777777" w:rsidR="007116CE" w:rsidRPr="00E34332" w:rsidRDefault="007116CE">
      <w:pPr>
        <w:spacing w:after="0" w:line="240" w:lineRule="auto"/>
        <w:jc w:val="both"/>
        <w:rPr>
          <w:rFonts w:cs="Arial"/>
          <w:sz w:val="20"/>
          <w:szCs w:val="20"/>
          <w:lang w:val="fr-FR"/>
        </w:rPr>
      </w:pPr>
    </w:p>
    <w:p w14:paraId="67D907F5" w14:textId="77777777" w:rsidR="00AF1989" w:rsidRPr="007116CE" w:rsidRDefault="0020159F" w:rsidP="004269F9">
      <w:pPr>
        <w:pBdr>
          <w:top w:val="single" w:sz="4" w:space="1" w:color="auto"/>
          <w:left w:val="single" w:sz="4" w:space="4" w:color="auto"/>
          <w:bottom w:val="single" w:sz="4" w:space="1" w:color="auto"/>
          <w:right w:val="single" w:sz="4" w:space="4" w:color="auto"/>
        </w:pBdr>
        <w:spacing w:after="0" w:line="240" w:lineRule="auto"/>
        <w:jc w:val="both"/>
        <w:rPr>
          <w:rFonts w:cs="Arial"/>
          <w:b/>
          <w:sz w:val="18"/>
          <w:szCs w:val="18"/>
          <w:lang w:val="fr-FR"/>
        </w:rPr>
      </w:pPr>
      <w:r w:rsidRPr="007116CE">
        <w:rPr>
          <w:rFonts w:cs="Arial"/>
          <w:b/>
          <w:sz w:val="18"/>
          <w:szCs w:val="18"/>
          <w:lang w:val="fr-FR"/>
        </w:rPr>
        <w:t>Encadré 1 : Identification des AIMM, AIRR et AITM pour les espèces marines migratrices inscrites aux Annexes de la CMS</w:t>
      </w:r>
    </w:p>
    <w:p w14:paraId="0C134236" w14:textId="77777777" w:rsidR="00AF1989" w:rsidRPr="007116CE" w:rsidRDefault="00AF1989" w:rsidP="004269F9">
      <w:pPr>
        <w:pBdr>
          <w:top w:val="single" w:sz="4" w:space="1" w:color="auto"/>
          <w:left w:val="single" w:sz="4" w:space="4" w:color="auto"/>
          <w:bottom w:val="single" w:sz="4" w:space="1" w:color="auto"/>
          <w:right w:val="single" w:sz="4" w:space="4" w:color="auto"/>
        </w:pBdr>
        <w:spacing w:after="0" w:line="240" w:lineRule="auto"/>
        <w:jc w:val="both"/>
        <w:rPr>
          <w:rFonts w:cs="Arial"/>
          <w:b/>
          <w:color w:val="003870"/>
          <w:sz w:val="18"/>
          <w:szCs w:val="18"/>
          <w:lang w:val="fr-FR"/>
        </w:rPr>
      </w:pPr>
    </w:p>
    <w:p w14:paraId="59DFBCED" w14:textId="77777777" w:rsidR="00AF1989" w:rsidRPr="007116CE" w:rsidRDefault="0020159F" w:rsidP="004269F9">
      <w:pPr>
        <w:pBdr>
          <w:top w:val="single" w:sz="4" w:space="1" w:color="auto"/>
          <w:left w:val="single" w:sz="4" w:space="4" w:color="auto"/>
          <w:bottom w:val="single" w:sz="4" w:space="1" w:color="auto"/>
          <w:right w:val="single" w:sz="4" w:space="4" w:color="auto"/>
        </w:pBdr>
        <w:spacing w:after="0" w:line="240" w:lineRule="auto"/>
        <w:jc w:val="both"/>
        <w:rPr>
          <w:rFonts w:cs="Arial"/>
          <w:sz w:val="18"/>
          <w:szCs w:val="18"/>
          <w:lang w:val="fr-FR"/>
        </w:rPr>
      </w:pPr>
      <w:r w:rsidRPr="007116CE">
        <w:rPr>
          <w:rFonts w:cs="Arial"/>
          <w:sz w:val="18"/>
          <w:szCs w:val="18"/>
          <w:lang w:val="fr-FR"/>
        </w:rPr>
        <w:t xml:space="preserve">En juillet 2025, 323 </w:t>
      </w:r>
      <w:r w:rsidRPr="007116CE">
        <w:rPr>
          <w:rFonts w:cs="Arial"/>
          <w:b/>
          <w:sz w:val="18"/>
          <w:szCs w:val="18"/>
          <w:lang w:val="fr-FR"/>
        </w:rPr>
        <w:t>aires importantes pour les mammifères marins (AIMM)</w:t>
      </w:r>
      <w:r w:rsidRPr="007116CE">
        <w:rPr>
          <w:rFonts w:cs="Arial"/>
          <w:sz w:val="18"/>
          <w:szCs w:val="18"/>
          <w:lang w:val="fr-FR"/>
        </w:rPr>
        <w:t xml:space="preserve"> ont été identifiées pour 100 espèces de mammifères aquatiques, dont 46 espèces inscrites aux Annexes de la CMS, dans le cadre d’un processus impliquant des ateliers régionaux d’identification organisés par le groupe de travail sur les aires protégées des mammifères marins de l’UICN</w:t>
      </w:r>
      <w:r w:rsidRPr="007116CE">
        <w:rPr>
          <w:rFonts w:cs="Arial"/>
          <w:sz w:val="18"/>
          <w:szCs w:val="18"/>
          <w:vertAlign w:val="superscript"/>
          <w:lang w:val="fr-FR"/>
        </w:rPr>
        <w:t>8</w:t>
      </w:r>
      <w:r w:rsidRPr="007116CE">
        <w:rPr>
          <w:rFonts w:cs="Arial"/>
          <w:sz w:val="18"/>
          <w:szCs w:val="18"/>
          <w:lang w:val="fr-FR"/>
        </w:rPr>
        <w:t xml:space="preserve">. La superficie totale de ces AIMM – consultable en ligne via l’IMMA </w:t>
      </w:r>
      <w:hyperlink r:id="rId72" w:history="1">
        <w:r w:rsidRPr="007116CE">
          <w:rPr>
            <w:rStyle w:val="Hyperlink"/>
            <w:rFonts w:cs="Arial"/>
            <w:sz w:val="18"/>
            <w:szCs w:val="18"/>
            <w:lang w:val="fr-FR"/>
          </w:rPr>
          <w:t>e-Atlas</w:t>
        </w:r>
      </w:hyperlink>
      <w:r w:rsidRPr="007116CE">
        <w:rPr>
          <w:rFonts w:cs="Arial"/>
          <w:sz w:val="18"/>
          <w:szCs w:val="18"/>
          <w:lang w:val="fr-FR"/>
        </w:rPr>
        <w:t xml:space="preserve"> – équivaut à 17,8 % de l’océan mondial</w:t>
      </w:r>
      <w:r w:rsidRPr="007116CE">
        <w:rPr>
          <w:rFonts w:cs="Arial"/>
          <w:sz w:val="18"/>
          <w:szCs w:val="18"/>
          <w:vertAlign w:val="superscript"/>
          <w:lang w:val="fr-FR"/>
        </w:rPr>
        <w:t>8</w:t>
      </w:r>
      <w:r w:rsidRPr="007116CE">
        <w:rPr>
          <w:rFonts w:cs="Arial"/>
          <w:sz w:val="18"/>
          <w:szCs w:val="18"/>
          <w:lang w:val="fr-FR"/>
        </w:rPr>
        <w:t>. Depuis mars 2023, des ateliers régionaux sur les AIMM ont été organisés dans les régions de l’océan Atlantique Nord-Est, de l’océan Atlantique Nord-Ouest et des Antilles élargies, dans le but d’identifier de nouveaux sites</w:t>
      </w:r>
      <w:r w:rsidRPr="007116CE">
        <w:rPr>
          <w:rFonts w:cs="Arial"/>
          <w:sz w:val="18"/>
          <w:szCs w:val="18"/>
          <w:vertAlign w:val="superscript"/>
          <w:lang w:val="fr-FR"/>
        </w:rPr>
        <w:t>8</w:t>
      </w:r>
      <w:r w:rsidRPr="007116CE">
        <w:rPr>
          <w:rFonts w:cs="Arial"/>
          <w:sz w:val="18"/>
          <w:szCs w:val="18"/>
          <w:lang w:val="fr-FR"/>
        </w:rPr>
        <w:t>. Une étude a également été menée pour explorer les moyens de surveiller et d’évaluer l’état des AIMM, en se concentrant sur des sites pilotes dans six pays différents</w:t>
      </w:r>
      <w:r w:rsidRPr="007116CE">
        <w:rPr>
          <w:rFonts w:cs="Arial"/>
          <w:sz w:val="18"/>
          <w:szCs w:val="18"/>
          <w:vertAlign w:val="superscript"/>
          <w:lang w:val="fr-FR"/>
        </w:rPr>
        <w:t>9</w:t>
      </w:r>
      <w:r w:rsidRPr="007116CE">
        <w:rPr>
          <w:rFonts w:cs="Arial"/>
          <w:sz w:val="18"/>
          <w:szCs w:val="18"/>
          <w:lang w:val="fr-FR"/>
        </w:rPr>
        <w:t xml:space="preserve">. </w:t>
      </w:r>
    </w:p>
    <w:p w14:paraId="775FA97C" w14:textId="77777777" w:rsidR="00AF1989" w:rsidRPr="007116CE" w:rsidRDefault="00AF1989" w:rsidP="004269F9">
      <w:pPr>
        <w:pBdr>
          <w:top w:val="single" w:sz="4" w:space="1" w:color="auto"/>
          <w:left w:val="single" w:sz="4" w:space="4" w:color="auto"/>
          <w:bottom w:val="single" w:sz="4" w:space="1" w:color="auto"/>
          <w:right w:val="single" w:sz="4" w:space="4" w:color="auto"/>
        </w:pBdr>
        <w:spacing w:after="0" w:line="240" w:lineRule="auto"/>
        <w:jc w:val="both"/>
        <w:rPr>
          <w:rFonts w:cs="Arial"/>
          <w:sz w:val="18"/>
          <w:szCs w:val="18"/>
          <w:lang w:val="fr-FR"/>
        </w:rPr>
      </w:pPr>
    </w:p>
    <w:p w14:paraId="2BF5EEA3" w14:textId="77777777" w:rsidR="00AF1989" w:rsidRPr="007116CE" w:rsidRDefault="0020159F" w:rsidP="004269F9">
      <w:pPr>
        <w:pBdr>
          <w:top w:val="single" w:sz="4" w:space="1" w:color="auto"/>
          <w:left w:val="single" w:sz="4" w:space="4" w:color="auto"/>
          <w:bottom w:val="single" w:sz="4" w:space="1" w:color="auto"/>
          <w:right w:val="single" w:sz="4" w:space="4" w:color="auto"/>
        </w:pBdr>
        <w:spacing w:after="0" w:line="240" w:lineRule="auto"/>
        <w:jc w:val="both"/>
        <w:rPr>
          <w:rFonts w:cs="Arial"/>
          <w:sz w:val="18"/>
          <w:szCs w:val="18"/>
          <w:lang w:val="fr-FR"/>
        </w:rPr>
      </w:pPr>
      <w:r w:rsidRPr="007116CE">
        <w:rPr>
          <w:rFonts w:cs="Arial"/>
          <w:sz w:val="18"/>
          <w:szCs w:val="18"/>
          <w:lang w:val="fr-FR"/>
        </w:rPr>
        <w:t xml:space="preserve">Le projet </w:t>
      </w:r>
      <w:r w:rsidRPr="007116CE">
        <w:rPr>
          <w:rFonts w:cs="Arial"/>
          <w:b/>
          <w:sz w:val="18"/>
          <w:szCs w:val="18"/>
          <w:lang w:val="fr-FR"/>
        </w:rPr>
        <w:t>aires importantes pour les requins et les raies (AIRR)</w:t>
      </w:r>
      <w:r w:rsidRPr="007116CE">
        <w:rPr>
          <w:rFonts w:cs="Arial"/>
          <w:sz w:val="18"/>
          <w:szCs w:val="18"/>
          <w:lang w:val="fr-FR"/>
        </w:rPr>
        <w:t xml:space="preserve"> a été créé par le groupe de spécialistes des requins de la CSE de l’UICN en 2022. L’identification mondiale des AIRR est réalisée régionalement à travers un processus dirigé par des experts, et en janvier 2025, environ deux tiers (63,8 %) des eaux marines mondiales avaient été prospectés pour les AIRR</w:t>
      </w:r>
      <w:r w:rsidRPr="007116CE">
        <w:rPr>
          <w:rFonts w:cs="Arial"/>
          <w:sz w:val="18"/>
          <w:szCs w:val="18"/>
          <w:vertAlign w:val="superscript"/>
          <w:lang w:val="fr-FR"/>
        </w:rPr>
        <w:t>10</w:t>
      </w:r>
      <w:r w:rsidRPr="007116CE">
        <w:rPr>
          <w:rFonts w:cs="Arial"/>
          <w:sz w:val="18"/>
          <w:szCs w:val="18"/>
          <w:lang w:val="fr-FR"/>
        </w:rPr>
        <w:t>. Il est prévu que les évaluations dans les cinq régions restantes (Atlantique européen, Atlantique nord-américain et Caraïbes, Atlantique africain, Australie et sud-est de l’océan Indien, et Pacifique nord-américain) soient achevées d’ici 2027</w:t>
      </w:r>
      <w:r w:rsidRPr="007116CE">
        <w:rPr>
          <w:rFonts w:cs="Arial"/>
          <w:sz w:val="18"/>
          <w:szCs w:val="18"/>
          <w:vertAlign w:val="superscript"/>
          <w:lang w:val="fr-FR"/>
        </w:rPr>
        <w:t>10</w:t>
      </w:r>
      <w:r w:rsidRPr="007116CE">
        <w:rPr>
          <w:rFonts w:cs="Arial"/>
          <w:sz w:val="18"/>
          <w:szCs w:val="18"/>
          <w:lang w:val="fr-FR"/>
        </w:rPr>
        <w:t xml:space="preserve">. </w:t>
      </w:r>
    </w:p>
    <w:p w14:paraId="14D0AEF8" w14:textId="77777777" w:rsidR="00AF1989" w:rsidRPr="007116CE" w:rsidRDefault="00AF1989" w:rsidP="004269F9">
      <w:pPr>
        <w:pBdr>
          <w:top w:val="single" w:sz="4" w:space="1" w:color="auto"/>
          <w:left w:val="single" w:sz="4" w:space="4" w:color="auto"/>
          <w:bottom w:val="single" w:sz="4" w:space="1" w:color="auto"/>
          <w:right w:val="single" w:sz="4" w:space="4" w:color="auto"/>
        </w:pBdr>
        <w:spacing w:after="0" w:line="240" w:lineRule="auto"/>
        <w:jc w:val="both"/>
        <w:rPr>
          <w:rFonts w:cs="Arial"/>
          <w:sz w:val="18"/>
          <w:szCs w:val="18"/>
          <w:lang w:val="fr-FR"/>
        </w:rPr>
      </w:pPr>
    </w:p>
    <w:p w14:paraId="24D52C13" w14:textId="333CC0E4" w:rsidR="00AF1989" w:rsidRPr="007116CE" w:rsidRDefault="0020159F" w:rsidP="004269F9">
      <w:pPr>
        <w:pBdr>
          <w:top w:val="single" w:sz="4" w:space="1" w:color="auto"/>
          <w:left w:val="single" w:sz="4" w:space="4" w:color="auto"/>
          <w:bottom w:val="single" w:sz="4" w:space="1" w:color="auto"/>
          <w:right w:val="single" w:sz="4" w:space="4" w:color="auto"/>
        </w:pBdr>
        <w:spacing w:after="0" w:line="240" w:lineRule="auto"/>
        <w:jc w:val="both"/>
        <w:rPr>
          <w:rFonts w:ascii="Roboto" w:hAnsi="Roboto"/>
          <w:sz w:val="18"/>
          <w:szCs w:val="18"/>
          <w:lang w:val="fr-FR"/>
        </w:rPr>
      </w:pPr>
      <w:r w:rsidRPr="007116CE">
        <w:rPr>
          <w:rFonts w:cs="Arial"/>
          <w:sz w:val="18"/>
          <w:szCs w:val="18"/>
          <w:lang w:val="fr-FR"/>
        </w:rPr>
        <w:t xml:space="preserve">De plus, bien que le groupe de spécialistes des tortues marines de l’UICN ait établi en 2021 des critères et des lignes directrices pour les </w:t>
      </w:r>
      <w:r w:rsidRPr="007116CE">
        <w:rPr>
          <w:rFonts w:cs="Arial"/>
          <w:b/>
          <w:sz w:val="18"/>
          <w:szCs w:val="18"/>
          <w:lang w:val="fr-FR"/>
        </w:rPr>
        <w:t>aires importantes pour les tortues marines (AITM)</w:t>
      </w:r>
      <w:r w:rsidRPr="007116CE">
        <w:rPr>
          <w:rFonts w:cs="Arial"/>
          <w:sz w:val="18"/>
          <w:szCs w:val="18"/>
          <w:lang w:val="fr-FR"/>
        </w:rPr>
        <w:t xml:space="preserve">, aucune AITM n’a encore été formellement identifiée à ce jour. Pour combler cette lacune, le partenariat </w:t>
      </w:r>
      <w:hyperlink r:id="rId73" w:history="1">
        <w:r w:rsidRPr="007116CE">
          <w:rPr>
            <w:rStyle w:val="Hyperlink"/>
            <w:rFonts w:cs="Arial"/>
            <w:sz w:val="18"/>
            <w:szCs w:val="18"/>
            <w:lang w:val="fr-FR"/>
          </w:rPr>
          <w:t xml:space="preserve">Blue Corridors for </w:t>
        </w:r>
        <w:proofErr w:type="spellStart"/>
        <w:r w:rsidRPr="007116CE">
          <w:rPr>
            <w:rStyle w:val="Hyperlink"/>
            <w:rFonts w:cs="Arial"/>
            <w:sz w:val="18"/>
            <w:szCs w:val="18"/>
            <w:lang w:val="fr-FR"/>
          </w:rPr>
          <w:t>Turtles</w:t>
        </w:r>
        <w:proofErr w:type="spellEnd"/>
      </w:hyperlink>
      <w:r w:rsidRPr="007116CE">
        <w:rPr>
          <w:rFonts w:cs="Arial"/>
          <w:sz w:val="18"/>
          <w:szCs w:val="18"/>
          <w:lang w:val="fr-FR"/>
        </w:rPr>
        <w:t xml:space="preserve"> cherche à synthétiser et à évaluer les données de connectivité à l’échelle mondiale et à soutenir l’identification des AITM par le biais d’ateliers régionaux (sous l’égide du groupe de spécialistes des tortues marines de l’UICN). Blue Corridors for </w:t>
      </w:r>
      <w:proofErr w:type="spellStart"/>
      <w:r w:rsidRPr="007116CE">
        <w:rPr>
          <w:rFonts w:cs="Arial"/>
          <w:sz w:val="18"/>
          <w:szCs w:val="18"/>
          <w:lang w:val="fr-FR"/>
        </w:rPr>
        <w:t>Turtles</w:t>
      </w:r>
      <w:proofErr w:type="spellEnd"/>
      <w:r w:rsidRPr="007116CE">
        <w:rPr>
          <w:rFonts w:cs="Arial"/>
          <w:sz w:val="18"/>
          <w:szCs w:val="18"/>
          <w:lang w:val="fr-FR"/>
        </w:rPr>
        <w:t xml:space="preserve"> est un partenariat mondial, coordonné par le WWF et le Secrétariat de la CMS, avec la participation de l’</w:t>
      </w:r>
      <w:r w:rsidRPr="007116CE">
        <w:rPr>
          <w:rFonts w:ascii="Roboto" w:hAnsi="Roboto"/>
          <w:sz w:val="18"/>
          <w:szCs w:val="18"/>
          <w:lang w:val="fr-FR"/>
        </w:rPr>
        <w:t>Université du Queensland, du Rapport sur l’état des tortues de mer dans le monde (SWOT) et du Collecte Localisation Satellites - système Argos (CLS-Argos).</w:t>
      </w:r>
    </w:p>
    <w:p w14:paraId="47D8C1BA" w14:textId="2BEFA4C6" w:rsidR="00B47CEB" w:rsidRDefault="00B47CEB">
      <w:pPr>
        <w:spacing w:after="0" w:line="240" w:lineRule="auto"/>
        <w:jc w:val="both"/>
        <w:rPr>
          <w:rFonts w:ascii="Roboto" w:hAnsi="Roboto"/>
          <w:lang w:val="fr-FR"/>
        </w:rPr>
      </w:pPr>
      <w:r>
        <w:rPr>
          <w:rFonts w:ascii="Roboto" w:hAnsi="Roboto"/>
          <w:lang w:val="fr-FR"/>
        </w:rPr>
        <w:br w:type="page"/>
      </w:r>
    </w:p>
    <w:p w14:paraId="21088F6C" w14:textId="77777777" w:rsidR="00AF1989" w:rsidRPr="00E34332" w:rsidRDefault="0020159F">
      <w:pPr>
        <w:spacing w:after="0" w:line="240" w:lineRule="auto"/>
        <w:jc w:val="both"/>
        <w:rPr>
          <w:rFonts w:cs="Arial"/>
          <w:lang w:val="fr-FR"/>
        </w:rPr>
      </w:pPr>
      <w:r w:rsidRPr="00E34332">
        <w:rPr>
          <w:rFonts w:cs="Arial"/>
          <w:lang w:val="fr-FR"/>
        </w:rPr>
        <w:lastRenderedPageBreak/>
        <w:t xml:space="preserve">Les statistiques sommaires présentées ci-dessus (voir </w:t>
      </w:r>
      <w:r w:rsidRPr="00E34332">
        <w:rPr>
          <w:rFonts w:cs="Arial"/>
          <w:b/>
          <w:lang w:val="fr-FR"/>
        </w:rPr>
        <w:t>figure 3.1</w:t>
      </w:r>
      <w:r w:rsidRPr="00E34332">
        <w:rPr>
          <w:rFonts w:cs="Arial"/>
          <w:lang w:val="fr-FR"/>
        </w:rPr>
        <w:t xml:space="preserve">) ne constituent qu’une </w:t>
      </w:r>
      <w:r w:rsidRPr="00E34332">
        <w:rPr>
          <w:rFonts w:cs="Arial"/>
          <w:b/>
          <w:lang w:val="fr-FR"/>
        </w:rPr>
        <w:t>première étape</w:t>
      </w:r>
      <w:r w:rsidRPr="00E34332">
        <w:rPr>
          <w:rFonts w:cs="Arial"/>
          <w:lang w:val="fr-FR"/>
        </w:rPr>
        <w:t xml:space="preserve"> vers une compréhension plus complète des progrès réalisés dans l’identification des zones importantes pour les espèces inscrites aux Annexes de la CMS. Étant donné que les espèces migratrices inscrites à la CMS se trouvent par définition dans plusieurs pays et dépendent généralement de plusieurs sites, utilisés à différentes étapes de leur cycle annuel et souvent répartis sur plusieurs juridictions, des analyses plus sophistiquées – prenant en compte la connectivité entre les sites – seront nécessaires pour évaluer l’ampleur réelle des lacunes existantes en matière de connaissances. Certaines espèces migratrices inscrites aux Annexes de la CMS se trouvent à faibles densités sur de vastes zones géographiques</w:t>
      </w:r>
      <w:r w:rsidRPr="00E34332">
        <w:rPr>
          <w:rFonts w:cs="Arial"/>
          <w:vertAlign w:val="superscript"/>
          <w:lang w:val="fr-FR"/>
        </w:rPr>
        <w:t>11-12</w:t>
      </w:r>
      <w:r w:rsidRPr="00E34332">
        <w:rPr>
          <w:rFonts w:cs="Arial"/>
          <w:lang w:val="fr-FR"/>
        </w:rPr>
        <w:t xml:space="preserve"> ; les approches se limitant à l’identification de sites précis risquent d’être moins pertinentes pour ces espèces. </w:t>
      </w:r>
    </w:p>
    <w:p w14:paraId="6072F6C0" w14:textId="77777777" w:rsidR="00AF1989" w:rsidRPr="00E34332" w:rsidRDefault="00AF1989">
      <w:pPr>
        <w:spacing w:after="0" w:line="240" w:lineRule="auto"/>
        <w:jc w:val="both"/>
        <w:rPr>
          <w:rFonts w:cs="Arial"/>
          <w:lang w:val="fr-FR"/>
        </w:rPr>
      </w:pPr>
    </w:p>
    <w:p w14:paraId="35711FC2" w14:textId="77777777" w:rsidR="00AF1989" w:rsidRPr="00E34332" w:rsidRDefault="0020159F">
      <w:pPr>
        <w:spacing w:after="0" w:line="240" w:lineRule="auto"/>
        <w:jc w:val="both"/>
        <w:rPr>
          <w:rFonts w:cs="Arial"/>
          <w:lang w:val="fr-FR"/>
        </w:rPr>
      </w:pPr>
      <w:r w:rsidRPr="00E34332">
        <w:rPr>
          <w:rFonts w:cs="Arial"/>
          <w:lang w:val="fr-FR"/>
        </w:rPr>
        <w:t xml:space="preserve">L'identification des habitats d'importance mondiale pour les espèces migratrices est également un </w:t>
      </w:r>
      <w:r w:rsidRPr="00E34332">
        <w:rPr>
          <w:rFonts w:cs="Arial"/>
          <w:b/>
          <w:lang w:val="fr-FR"/>
        </w:rPr>
        <w:t>processus en cours</w:t>
      </w:r>
      <w:r w:rsidRPr="00E34332">
        <w:rPr>
          <w:rFonts w:cs="Arial"/>
          <w:lang w:val="fr-FR"/>
        </w:rPr>
        <w:t>. Par exemple, alors que des ZCB ont été identifiées dans 99 % des pays et territoires, seule une petite minorité a procédé à l’identification complète des sites en utilisant la nouvelle norme mondiale pour les ZCB</w:t>
      </w:r>
      <w:r w:rsidRPr="00E34332">
        <w:rPr>
          <w:rFonts w:cs="Arial"/>
          <w:vertAlign w:val="superscript"/>
          <w:lang w:val="fr-FR"/>
        </w:rPr>
        <w:t>1</w:t>
      </w:r>
      <w:r w:rsidRPr="00E34332">
        <w:rPr>
          <w:rFonts w:cs="Arial"/>
          <w:lang w:val="fr-FR"/>
        </w:rPr>
        <w:t xml:space="preserve">.  D’importantes lacunes de connaissances continuent d’exister concernant les sites utilisés par de nombreuses espèces migratrices au cours de leur cycle de vie et de leur cycle annuel. </w:t>
      </w:r>
    </w:p>
    <w:p w14:paraId="4FDC208E" w14:textId="77777777" w:rsidR="00AF1989" w:rsidRPr="00E34332" w:rsidRDefault="00AF1989">
      <w:pPr>
        <w:spacing w:after="0" w:line="240" w:lineRule="auto"/>
        <w:jc w:val="both"/>
        <w:rPr>
          <w:rFonts w:cs="Arial"/>
          <w:lang w:val="fr-FR"/>
        </w:rPr>
      </w:pPr>
    </w:p>
    <w:p w14:paraId="4AD9C193" w14:textId="77777777" w:rsidR="00AF1989" w:rsidRPr="00E34332" w:rsidRDefault="0020159F">
      <w:pPr>
        <w:spacing w:after="0" w:line="240" w:lineRule="auto"/>
        <w:jc w:val="both"/>
        <w:rPr>
          <w:rFonts w:cs="Arial"/>
          <w:lang w:val="fr-FR"/>
        </w:rPr>
      </w:pPr>
      <w:r w:rsidRPr="00E34332">
        <w:rPr>
          <w:rFonts w:cs="Arial"/>
          <w:lang w:val="fr-FR"/>
        </w:rPr>
        <w:t>Une façon de combler les lacunes en matière d’informations sur les sites consiste à utiliser les données sur les déplacements des animaux. Des synthèses récentes de données de suivi ont permis d’identifier des sites importants pour des taxons très mobiles se déplaçant sur de vastes distances dans des zones isolées, tels que les oiseaux de mer et les mammifères marins</w:t>
      </w:r>
      <w:r w:rsidRPr="00E34332">
        <w:rPr>
          <w:rFonts w:cs="Arial"/>
          <w:vertAlign w:val="superscript"/>
          <w:lang w:val="fr-FR"/>
        </w:rPr>
        <w:t>13</w:t>
      </w:r>
      <w:r w:rsidRPr="00E34332">
        <w:rPr>
          <w:rFonts w:cs="Arial"/>
          <w:lang w:val="fr-FR"/>
        </w:rPr>
        <w:t>. Malgré les améliorations technologiques des dispositifs de suivi, qui ont permis de collecter des volumes croissants de données sur les déplacements, des informations détaillées sur les mouvements migratoires font encore défaut pour de nombreuses espèces migratrices</w:t>
      </w:r>
      <w:r w:rsidRPr="00E34332">
        <w:rPr>
          <w:rFonts w:cs="Arial"/>
          <w:vertAlign w:val="superscript"/>
          <w:lang w:val="fr-FR"/>
        </w:rPr>
        <w:t>14-16</w:t>
      </w:r>
      <w:r w:rsidRPr="00E34332">
        <w:rPr>
          <w:rFonts w:cs="Arial"/>
          <w:lang w:val="fr-FR"/>
        </w:rPr>
        <w:t>. Par exemple, les études de suivi des oiseaux ont été biaisées en faveur des espèces de grande taille et de certaines régions géographiques, reflétant probablement à la fois des contraintes technologiques et des disparités géographiques dans le financement disponible pour la recherche</w:t>
      </w:r>
      <w:r w:rsidRPr="00E34332">
        <w:rPr>
          <w:rFonts w:cs="Arial"/>
          <w:vertAlign w:val="superscript"/>
          <w:lang w:val="fr-FR"/>
        </w:rPr>
        <w:t>14-16</w:t>
      </w:r>
      <w:r w:rsidRPr="00E34332">
        <w:rPr>
          <w:rFonts w:cs="Arial"/>
          <w:lang w:val="fr-FR"/>
        </w:rPr>
        <w:t xml:space="preserve">. Les initiatives visant à promouvoir la mobilisation des données sur les déplacements animaux pour des objectifs de conservation mondiaux, telles que la récente proposition d’un Réseau d’observation de la biodiversité basé sur les déplacements animaux (Move BON), intégré dans le cadre de </w:t>
      </w:r>
      <w:hyperlink r:id="rId74" w:history="1">
        <w:r w:rsidRPr="00E34332">
          <w:rPr>
            <w:rStyle w:val="Hyperlink"/>
            <w:rFonts w:cs="Arial"/>
            <w:lang w:val="fr-FR"/>
          </w:rPr>
          <w:t>GEO BON</w:t>
        </w:r>
      </w:hyperlink>
      <w:r w:rsidRPr="00E34332">
        <w:rPr>
          <w:rFonts w:cs="Arial"/>
          <w:lang w:val="fr-FR"/>
        </w:rPr>
        <w:t>, peuvent potentiellement contribuer à résoudre ces problèmes</w:t>
      </w:r>
      <w:r w:rsidRPr="00E34332">
        <w:rPr>
          <w:rFonts w:cs="Arial"/>
          <w:vertAlign w:val="superscript"/>
          <w:lang w:val="fr-FR"/>
        </w:rPr>
        <w:t>17</w:t>
      </w:r>
      <w:r w:rsidRPr="00E34332">
        <w:rPr>
          <w:rFonts w:cs="Arial"/>
          <w:lang w:val="fr-FR"/>
        </w:rPr>
        <w:t xml:space="preserve">. L’un des principaux objectifs de Move BON est d’améliorer le niveau de coordination entre les initiatives de suivi existantes, afin de combler les lacunes spatiales et taxonomiques et d’accroître l’accès aux données sur les déplacements. </w:t>
      </w:r>
    </w:p>
    <w:p w14:paraId="1EE40403" w14:textId="77777777" w:rsidR="00AF1989" w:rsidRPr="00E34332" w:rsidRDefault="00AF1989">
      <w:pPr>
        <w:spacing w:after="0" w:line="240" w:lineRule="auto"/>
        <w:jc w:val="both"/>
        <w:rPr>
          <w:rFonts w:cs="Arial"/>
          <w:lang w:val="fr-FR"/>
        </w:rPr>
      </w:pPr>
    </w:p>
    <w:p w14:paraId="2C7AB83D" w14:textId="77777777" w:rsidR="00AF1989" w:rsidRPr="00E34332" w:rsidRDefault="0020159F">
      <w:pPr>
        <w:spacing w:after="0" w:line="240" w:lineRule="auto"/>
        <w:jc w:val="both"/>
        <w:rPr>
          <w:rFonts w:cs="Arial"/>
          <w:lang w:val="fr-FR"/>
        </w:rPr>
      </w:pPr>
      <w:r w:rsidRPr="00E34332">
        <w:rPr>
          <w:rFonts w:cs="Arial"/>
          <w:lang w:val="fr-FR"/>
        </w:rPr>
        <w:t xml:space="preserve">En fin de compte, bien que des progrès aient été réalisés depuis la COP14, davantage d’efforts d’enquête, de suivi et de surveillance sont nécessaires pour identifier des réseaux complets de sites pour les espèces migratrices à l’échelle mondiale. </w:t>
      </w:r>
    </w:p>
    <w:p w14:paraId="7AFACB22" w14:textId="77777777" w:rsidR="00AF1989" w:rsidRPr="00E34332" w:rsidRDefault="00AF1989">
      <w:pPr>
        <w:spacing w:after="0" w:line="240" w:lineRule="auto"/>
        <w:jc w:val="both"/>
        <w:rPr>
          <w:rFonts w:cs="Arial"/>
          <w:lang w:val="fr-FR"/>
        </w:rPr>
      </w:pPr>
    </w:p>
    <w:p w14:paraId="024FC26E" w14:textId="77777777" w:rsidR="00AF1989" w:rsidRPr="00E34332" w:rsidRDefault="0020159F">
      <w:pPr>
        <w:spacing w:after="0" w:line="240" w:lineRule="auto"/>
        <w:jc w:val="both"/>
        <w:rPr>
          <w:rFonts w:cs="Arial"/>
          <w:b/>
          <w:lang w:val="fr-FR"/>
        </w:rPr>
      </w:pPr>
      <w:r w:rsidRPr="00E34332">
        <w:rPr>
          <w:rFonts w:cs="Arial"/>
          <w:b/>
          <w:lang w:val="fr-FR"/>
        </w:rPr>
        <w:t>Couverture des ZCB par les aires protégées et conservées</w:t>
      </w:r>
    </w:p>
    <w:p w14:paraId="48E298CD" w14:textId="77777777" w:rsidR="00AF1989" w:rsidRPr="00E34332" w:rsidRDefault="00AF1989">
      <w:pPr>
        <w:spacing w:after="0" w:line="240" w:lineRule="auto"/>
        <w:jc w:val="both"/>
        <w:rPr>
          <w:rFonts w:cs="Arial"/>
          <w:lang w:val="fr-FR"/>
        </w:rPr>
      </w:pPr>
    </w:p>
    <w:p w14:paraId="380CDC13" w14:textId="77777777" w:rsidR="00AF1989" w:rsidRPr="00E34332" w:rsidRDefault="0020159F">
      <w:pPr>
        <w:spacing w:after="0" w:line="240" w:lineRule="auto"/>
        <w:jc w:val="both"/>
        <w:rPr>
          <w:rFonts w:cs="Arial"/>
          <w:lang w:val="fr-FR"/>
        </w:rPr>
      </w:pPr>
      <w:r w:rsidRPr="00E34332">
        <w:rPr>
          <w:rFonts w:cs="Arial"/>
          <w:lang w:val="fr-FR"/>
        </w:rPr>
        <w:t>Les initiatives d’identification des sites fournissent des informations cruciales qui peuvent aider à orienter les efforts de conservation fondés sur les zones vers les sites les plus importants pour la persistance mondiale de la biodiversité</w:t>
      </w:r>
      <w:r w:rsidRPr="00E34332">
        <w:rPr>
          <w:rFonts w:cs="Arial"/>
          <w:vertAlign w:val="superscript"/>
          <w:lang w:val="fr-FR"/>
        </w:rPr>
        <w:t>1</w:t>
      </w:r>
      <w:r w:rsidRPr="00E34332">
        <w:rPr>
          <w:rFonts w:cs="Arial"/>
          <w:lang w:val="fr-FR"/>
        </w:rPr>
        <w:t>. À l’échelle mondiale, en moyenne, un peu plus de la moitié (52,6 %) de la superficie de chaque ZCB identifiée comme importante pour les espèces inscrites aux Annexes de la CMS était couverte par des aires protégées et conservées en 2025 (</w:t>
      </w:r>
      <w:r w:rsidRPr="00E34332">
        <w:rPr>
          <w:rFonts w:cs="Arial"/>
          <w:b/>
          <w:lang w:val="fr-FR"/>
        </w:rPr>
        <w:t>figure 3.2</w:t>
      </w:r>
      <w:r w:rsidRPr="00E34332">
        <w:rPr>
          <w:rFonts w:cs="Arial"/>
          <w:lang w:val="fr-FR"/>
        </w:rPr>
        <w:t>). Bien que les niveaux de couverture aient augmenté depuis les années 1980, le rythme des progrès semble avoir ralenti ces dernières années (</w:t>
      </w:r>
      <w:r w:rsidRPr="00E34332">
        <w:rPr>
          <w:rFonts w:cs="Arial"/>
          <w:b/>
          <w:lang w:val="fr-FR"/>
        </w:rPr>
        <w:t>figure 3.3</w:t>
      </w:r>
      <w:r w:rsidRPr="00E34332">
        <w:rPr>
          <w:rFonts w:cs="Arial"/>
          <w:lang w:val="fr-FR"/>
        </w:rPr>
        <w:t xml:space="preserve">). L’Europe affiche actuellement le pourcentage de couverture le plus élevé (65,5 %), suivie de l’Afrique (50,7 %). L’Asie présente le pourcentage de couverture le plus faible (35,5 %), juste en dessous de l’Amérique du Nord (37,6 %), de l’Océanie (41,3 %) et de l’Amérique centrale et du Sud et des Caraïbes (41,7 %). </w:t>
      </w:r>
    </w:p>
    <w:p w14:paraId="658EF612" w14:textId="77777777" w:rsidR="00AF1989" w:rsidRDefault="0020159F">
      <w:pPr>
        <w:spacing w:after="0" w:line="240" w:lineRule="auto"/>
        <w:jc w:val="both"/>
        <w:rPr>
          <w:rFonts w:cs="Arial"/>
          <w:lang w:val="fr-FR"/>
        </w:rPr>
      </w:pPr>
      <w:r w:rsidRPr="00E34332">
        <w:rPr>
          <w:rFonts w:cs="Arial"/>
          <w:lang w:val="fr-FR"/>
        </w:rPr>
        <w:lastRenderedPageBreak/>
        <w:t>En examinant les différents groupes taxonomiques d’espèces inscrites aux Annexes de la CMS, la couverture moyenne des ZCB par des aires protégées et conservées était la plus élevée pour certains groupes d’oiseaux (oiseaux de mer/oiseaux d’eau : 61,8 % ; oiseaux d’eau : 58,6 % ; oiseaux terrestres : 58,2 %) et pour les mammifères terrestres (60,6 %) ; intermédiaire pour les mammifères aquatiques (43,8 %) ; et la plus faible pour les poissons et les reptiles (36,7 % pour les deux). Vingt-six espèces inscrites aux Annexes de la CMS et menacées à l’échelle mondiale présentaient une couverture moyenne de leurs ZCB par des aires protégées et conservées inférieure à 25 %, dont trois espèces en danger critique : le guitare de mer commune (</w:t>
      </w:r>
      <w:proofErr w:type="spellStart"/>
      <w:r w:rsidRPr="00E34332">
        <w:rPr>
          <w:rFonts w:cs="Arial"/>
          <w:i/>
          <w:lang w:val="fr-FR"/>
        </w:rPr>
        <w:t>Rhinobatos</w:t>
      </w:r>
      <w:proofErr w:type="spellEnd"/>
      <w:r w:rsidRPr="00E34332">
        <w:rPr>
          <w:rFonts w:cs="Arial"/>
          <w:i/>
          <w:lang w:val="fr-FR"/>
        </w:rPr>
        <w:t xml:space="preserve"> </w:t>
      </w:r>
      <w:proofErr w:type="spellStart"/>
      <w:r w:rsidRPr="00E34332">
        <w:rPr>
          <w:rFonts w:cs="Arial"/>
          <w:i/>
          <w:lang w:val="fr-FR"/>
        </w:rPr>
        <w:t>rhinobatos</w:t>
      </w:r>
      <w:proofErr w:type="spellEnd"/>
      <w:r w:rsidRPr="00E34332">
        <w:rPr>
          <w:rFonts w:cs="Arial"/>
          <w:lang w:val="fr-FR"/>
        </w:rPr>
        <w:t>), le râle à miroir (</w:t>
      </w:r>
      <w:proofErr w:type="spellStart"/>
      <w:r w:rsidRPr="00E34332">
        <w:rPr>
          <w:rFonts w:cs="Arial"/>
          <w:i/>
          <w:lang w:val="fr-FR"/>
        </w:rPr>
        <w:t>Sarothrura</w:t>
      </w:r>
      <w:proofErr w:type="spellEnd"/>
      <w:r w:rsidRPr="00E34332">
        <w:rPr>
          <w:rFonts w:cs="Arial"/>
          <w:i/>
          <w:lang w:val="fr-FR"/>
        </w:rPr>
        <w:t xml:space="preserve"> </w:t>
      </w:r>
      <w:proofErr w:type="spellStart"/>
      <w:r w:rsidRPr="00E34332">
        <w:rPr>
          <w:rFonts w:cs="Arial"/>
          <w:i/>
          <w:lang w:val="fr-FR"/>
        </w:rPr>
        <w:t>ayresi</w:t>
      </w:r>
      <w:proofErr w:type="spellEnd"/>
      <w:r w:rsidRPr="00E34332">
        <w:rPr>
          <w:rFonts w:cs="Arial"/>
          <w:lang w:val="fr-FR"/>
        </w:rPr>
        <w:t>) et le bécasseau spatule (</w:t>
      </w:r>
      <w:proofErr w:type="spellStart"/>
      <w:r w:rsidRPr="00E34332">
        <w:rPr>
          <w:rFonts w:cs="Arial"/>
          <w:i/>
          <w:lang w:val="fr-FR"/>
        </w:rPr>
        <w:t>Calidris</w:t>
      </w:r>
      <w:proofErr w:type="spellEnd"/>
      <w:r w:rsidRPr="00E34332">
        <w:rPr>
          <w:rFonts w:cs="Arial"/>
          <w:i/>
          <w:lang w:val="fr-FR"/>
        </w:rPr>
        <w:t xml:space="preserve"> </w:t>
      </w:r>
      <w:proofErr w:type="spellStart"/>
      <w:r w:rsidRPr="00E34332">
        <w:rPr>
          <w:rFonts w:cs="Arial"/>
          <w:i/>
          <w:lang w:val="fr-FR"/>
        </w:rPr>
        <w:t>pygmaea</w:t>
      </w:r>
      <w:proofErr w:type="spellEnd"/>
      <w:r w:rsidRPr="00E34332">
        <w:rPr>
          <w:rFonts w:cs="Arial"/>
          <w:lang w:val="fr-FR"/>
        </w:rPr>
        <w:t xml:space="preserve">). </w:t>
      </w:r>
    </w:p>
    <w:p w14:paraId="652119BC" w14:textId="77777777" w:rsidR="00B47CEB" w:rsidRPr="00E34332" w:rsidRDefault="00B47CEB">
      <w:pPr>
        <w:spacing w:after="0" w:line="240" w:lineRule="auto"/>
        <w:jc w:val="both"/>
        <w:rPr>
          <w:rFonts w:cs="Arial"/>
          <w:lang w:val="fr-FR"/>
        </w:rPr>
      </w:pPr>
    </w:p>
    <w:p w14:paraId="3882EBA7" w14:textId="77777777" w:rsidR="00AF1989" w:rsidRPr="00E34332" w:rsidRDefault="0020159F">
      <w:pPr>
        <w:spacing w:after="0" w:line="240" w:lineRule="auto"/>
        <w:jc w:val="both"/>
        <w:rPr>
          <w:rFonts w:cs="Arial"/>
          <w:lang w:val="fr-FR"/>
        </w:rPr>
      </w:pPr>
      <w:r w:rsidRPr="00E34332">
        <w:rPr>
          <w:rFonts w:cs="Arial"/>
          <w:lang w:val="fr-FR"/>
        </w:rPr>
        <w:t>Pris dans leur ensemble,</w:t>
      </w:r>
      <w:bookmarkStart w:id="10" w:name="_Hlk210913928"/>
      <w:r w:rsidRPr="00E34332">
        <w:rPr>
          <w:rFonts w:cs="Arial"/>
          <w:lang w:val="fr-FR"/>
        </w:rPr>
        <w:t xml:space="preserve"> ces résultats indiquent qu’il existe potentiellement des lacunes importantes dans la protection des habitats essentiels pour les espèces inscrites aux Annexes de la CMS à l’échelle mondiale. L’identification des sites non protégés importants pour la persistance mondiale des espèces inscrites aux Annexes de la CMS constitue une ressource utile permettant aux pays de planifier, de hiérarchiser et de prendre des décisions concernant ces sites, </w:t>
      </w:r>
      <w:bookmarkEnd w:id="10"/>
      <w:r w:rsidRPr="00E34332">
        <w:rPr>
          <w:rFonts w:cs="Arial"/>
          <w:lang w:val="fr-FR"/>
        </w:rPr>
        <w:t>tout en tenant compte de l’ensemble des parties prenantes concernées et en garantissant leur participation au processus décisionnel.</w:t>
      </w:r>
    </w:p>
    <w:p w14:paraId="11973AB7" w14:textId="77777777" w:rsidR="00AF1989" w:rsidRPr="00E34332" w:rsidRDefault="0020159F">
      <w:pPr>
        <w:spacing w:after="0" w:line="240" w:lineRule="auto"/>
        <w:jc w:val="both"/>
        <w:rPr>
          <w:rFonts w:cs="Arial"/>
          <w:lang w:val="fr-FR"/>
        </w:rPr>
      </w:pPr>
      <w:r w:rsidRPr="00E34332">
        <w:rPr>
          <w:rFonts w:cs="Arial"/>
          <w:noProof/>
          <w:lang w:val="fr-FR" w:eastAsia="fr-FR"/>
        </w:rPr>
        <w:drawing>
          <wp:inline distT="0" distB="0" distL="0" distR="0" wp14:anchorId="3C2A5CAE" wp14:editId="0435986B">
            <wp:extent cx="5113606" cy="3131842"/>
            <wp:effectExtent l="0" t="0" r="0" b="0"/>
            <wp:docPr id="502611816"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1816" name="Picture 1" descr="A map of the world&#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27410" cy="3140296"/>
                    </a:xfrm>
                    <a:prstGeom prst="rect">
                      <a:avLst/>
                    </a:prstGeom>
                  </pic:spPr>
                </pic:pic>
              </a:graphicData>
            </a:graphic>
          </wp:inline>
        </w:drawing>
      </w:r>
    </w:p>
    <w:p w14:paraId="71B4382C" w14:textId="77777777" w:rsidR="00AF1989" w:rsidRPr="00E34332" w:rsidRDefault="0020159F">
      <w:pPr>
        <w:spacing w:after="0" w:line="240" w:lineRule="auto"/>
        <w:jc w:val="both"/>
        <w:rPr>
          <w:rFonts w:cs="Arial"/>
          <w:sz w:val="20"/>
          <w:szCs w:val="20"/>
          <w:lang w:val="fr-FR"/>
        </w:rPr>
      </w:pPr>
      <w:r w:rsidRPr="00E34332">
        <w:rPr>
          <w:rFonts w:cs="Arial"/>
          <w:b/>
          <w:sz w:val="20"/>
          <w:szCs w:val="20"/>
          <w:lang w:val="fr-FR"/>
        </w:rPr>
        <w:t xml:space="preserve">Figure 3.2 : </w:t>
      </w:r>
      <w:r w:rsidRPr="00E34332">
        <w:rPr>
          <w:rFonts w:cs="Arial"/>
          <w:sz w:val="20"/>
          <w:szCs w:val="20"/>
          <w:lang w:val="fr-FR"/>
        </w:rPr>
        <w:t xml:space="preserve">Carte mondiale indiquant la mesure dans laquelle les zones clés pour la biodiversité (ZCB) identifiées comme importantes pour les espèces inscrites aux Annexes de la CMS sont couvertes par des aires protégées et autres mesures de conservation efficaces (AMCE), présentées comme couverture complète (≥ 98 %), partielle (98 % - 2 %) ou nulle (≤ 2 %). Sources des données : Base de données mondiale sur les zones protégées (WDPA) et Base de données mondiale sur les autres mesures de conservation efficaces fondées sur les zones (WD-OECM) (2025) ; Base de données mondiale des zones clés pour la biodiversité (2025). Calculé par </w:t>
      </w:r>
      <w:proofErr w:type="spellStart"/>
      <w:r w:rsidRPr="00E34332">
        <w:rPr>
          <w:rFonts w:cs="Arial"/>
          <w:sz w:val="20"/>
          <w:szCs w:val="20"/>
          <w:lang w:val="fr-FR"/>
        </w:rPr>
        <w:t>BirdLife</w:t>
      </w:r>
      <w:proofErr w:type="spellEnd"/>
      <w:r w:rsidRPr="00E34332">
        <w:rPr>
          <w:rFonts w:cs="Arial"/>
          <w:sz w:val="20"/>
          <w:szCs w:val="20"/>
          <w:lang w:val="fr-FR"/>
        </w:rPr>
        <w:t xml:space="preserve"> International (2025). </w:t>
      </w:r>
    </w:p>
    <w:p w14:paraId="29DBEAF2" w14:textId="77777777" w:rsidR="00AF1989" w:rsidRPr="00E34332" w:rsidRDefault="00AF1989">
      <w:pPr>
        <w:spacing w:after="0" w:line="240" w:lineRule="auto"/>
        <w:jc w:val="both"/>
        <w:rPr>
          <w:rFonts w:cs="Arial"/>
          <w:sz w:val="20"/>
          <w:szCs w:val="20"/>
          <w:lang w:val="fr-FR"/>
        </w:rPr>
      </w:pPr>
    </w:p>
    <w:p w14:paraId="74D0FC3C" w14:textId="77777777" w:rsidR="00AF1989" w:rsidRPr="00B47CEB" w:rsidRDefault="0020159F">
      <w:pPr>
        <w:spacing w:after="0"/>
        <w:rPr>
          <w:rFonts w:cs="Arial"/>
          <w:b/>
          <w:sz w:val="16"/>
          <w:szCs w:val="16"/>
          <w:lang w:val="fr-FR"/>
        </w:rPr>
      </w:pPr>
      <w:r w:rsidRPr="00E34332">
        <w:rPr>
          <w:rFonts w:ascii="Roboto" w:hAnsi="Roboto"/>
          <w:b/>
          <w:bCs/>
          <w:noProof/>
          <w:sz w:val="24"/>
          <w:szCs w:val="24"/>
          <w:lang w:val="fr-FR" w:eastAsia="fr-FR"/>
        </w:rPr>
        <w:lastRenderedPageBreak/>
        <w:drawing>
          <wp:inline distT="0" distB="0" distL="0" distR="0" wp14:anchorId="66417CE2" wp14:editId="7960E608">
            <wp:extent cx="5731510" cy="2378710"/>
            <wp:effectExtent l="0" t="0" r="2540" b="2540"/>
            <wp:docPr id="1832303668" name="Picture 6" descr="A river flow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3668" name="Picture 6" descr="A river flowing through a fores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2378710"/>
                    </a:xfrm>
                    <a:prstGeom prst="rect">
                      <a:avLst/>
                    </a:prstGeom>
                  </pic:spPr>
                </pic:pic>
              </a:graphicData>
            </a:graphic>
          </wp:inline>
        </w:drawing>
      </w:r>
      <w:r w:rsidRPr="00E34332">
        <w:rPr>
          <w:rFonts w:ascii="Roboto" w:hAnsi="Roboto"/>
          <w:b/>
          <w:sz w:val="24"/>
          <w:szCs w:val="24"/>
          <w:lang w:val="fr-FR"/>
        </w:rPr>
        <w:t xml:space="preserve"> </w:t>
      </w:r>
    </w:p>
    <w:p w14:paraId="3A16E83C" w14:textId="6B4B8296" w:rsidR="00AF1989" w:rsidRPr="00B47CEB" w:rsidRDefault="0020159F" w:rsidP="00B47CEB">
      <w:pPr>
        <w:spacing w:after="0" w:line="240" w:lineRule="auto"/>
        <w:jc w:val="both"/>
        <w:rPr>
          <w:rFonts w:cs="Arial"/>
          <w:sz w:val="20"/>
          <w:szCs w:val="20"/>
          <w:lang w:val="fr-FR"/>
        </w:rPr>
      </w:pPr>
      <w:r w:rsidRPr="00E34332">
        <w:rPr>
          <w:rFonts w:cs="Arial"/>
          <w:i/>
          <w:sz w:val="20"/>
          <w:szCs w:val="20"/>
          <w:lang w:val="fr-FR"/>
        </w:rPr>
        <w:t>Légende de la photo</w:t>
      </w:r>
      <w:r w:rsidRPr="00E34332">
        <w:rPr>
          <w:rFonts w:cs="Arial"/>
          <w:sz w:val="20"/>
          <w:szCs w:val="20"/>
          <w:lang w:val="fr-FR"/>
        </w:rPr>
        <w:t xml:space="preserve"> : Les zones humides, comme le </w:t>
      </w:r>
      <w:proofErr w:type="spellStart"/>
      <w:r w:rsidRPr="00E34332">
        <w:rPr>
          <w:rFonts w:cs="Arial"/>
          <w:sz w:val="20"/>
          <w:szCs w:val="20"/>
          <w:lang w:val="fr-FR"/>
        </w:rPr>
        <w:t>Pantanal</w:t>
      </w:r>
      <w:proofErr w:type="spellEnd"/>
      <w:r w:rsidRPr="00E34332">
        <w:rPr>
          <w:rFonts w:cs="Arial"/>
          <w:sz w:val="20"/>
          <w:szCs w:val="20"/>
          <w:lang w:val="fr-FR"/>
        </w:rPr>
        <w:t xml:space="preserve"> en Amérique du Sud, constituent des habitats essentiels pour une grande diversité d’espèces migratrices. Selon le </w:t>
      </w:r>
      <w:hyperlink r:id="rId77" w:history="1">
        <w:r w:rsidRPr="00E34332">
          <w:rPr>
            <w:rStyle w:val="Hyperlink"/>
            <w:rFonts w:cs="Arial"/>
            <w:sz w:val="20"/>
            <w:szCs w:val="20"/>
            <w:lang w:val="fr-FR"/>
          </w:rPr>
          <w:t xml:space="preserve">Global </w:t>
        </w:r>
        <w:proofErr w:type="spellStart"/>
        <w:r w:rsidRPr="00E34332">
          <w:rPr>
            <w:rStyle w:val="Hyperlink"/>
            <w:rFonts w:cs="Arial"/>
            <w:sz w:val="20"/>
            <w:szCs w:val="20"/>
            <w:lang w:val="fr-FR"/>
          </w:rPr>
          <w:t>Wetland</w:t>
        </w:r>
        <w:proofErr w:type="spellEnd"/>
        <w:r w:rsidRPr="00E34332">
          <w:rPr>
            <w:rStyle w:val="Hyperlink"/>
            <w:rFonts w:cs="Arial"/>
            <w:sz w:val="20"/>
            <w:szCs w:val="20"/>
            <w:lang w:val="fr-FR"/>
          </w:rPr>
          <w:t xml:space="preserve"> Outlook 2025</w:t>
        </w:r>
      </w:hyperlink>
      <w:r w:rsidRPr="00E34332">
        <w:rPr>
          <w:rFonts w:cs="Arial"/>
          <w:sz w:val="20"/>
          <w:szCs w:val="20"/>
          <w:lang w:val="fr-FR"/>
        </w:rPr>
        <w:t>, un peu plus d’un cinquième des zones humides mondiales sont signalées comme étant dans un état mauvais, et un nombre croissant de Parties à la Convention de Ramsar rapportent une détérioration de leur condition entre 2011 et 2021</w:t>
      </w:r>
      <w:r w:rsidRPr="00E34332">
        <w:rPr>
          <w:rFonts w:cs="Arial"/>
          <w:sz w:val="20"/>
          <w:szCs w:val="20"/>
          <w:vertAlign w:val="superscript"/>
          <w:lang w:val="fr-FR"/>
        </w:rPr>
        <w:t>18</w:t>
      </w:r>
      <w:r w:rsidRPr="00E34332">
        <w:rPr>
          <w:rFonts w:cs="Arial"/>
          <w:sz w:val="20"/>
          <w:szCs w:val="20"/>
          <w:lang w:val="fr-FR"/>
        </w:rPr>
        <w:t>. Les principaux facteurs négatifs signalés comme responsables des changements dans l’état des zones humides incluent la pollution, l’urbanisation et le développement industriel ou des infrastructures, bien que la sécheresse ait été soulignée comme un problème en Europe</w:t>
      </w:r>
      <w:r w:rsidRPr="00E34332">
        <w:rPr>
          <w:rFonts w:cs="Arial"/>
          <w:sz w:val="20"/>
          <w:szCs w:val="20"/>
          <w:vertAlign w:val="superscript"/>
          <w:lang w:val="fr-FR"/>
        </w:rPr>
        <w:t>18</w:t>
      </w:r>
      <w:r w:rsidRPr="00E34332">
        <w:rPr>
          <w:rFonts w:cs="Arial"/>
          <w:sz w:val="20"/>
          <w:szCs w:val="20"/>
          <w:lang w:val="fr-FR"/>
        </w:rPr>
        <w:t xml:space="preserve">. Des actions supplémentaires sont nécessaires pour conserver, gérer et restaurer efficacement les zones humides restantes dans le monde, afin de garantir que leur valeur pour la biodiversité ne soit pas diminuée. </w:t>
      </w:r>
      <w:r w:rsidRPr="00E34332">
        <w:rPr>
          <w:rFonts w:cs="Arial"/>
          <w:i/>
          <w:sz w:val="20"/>
          <w:szCs w:val="20"/>
          <w:lang w:val="fr-FR"/>
        </w:rPr>
        <w:t>Crédit photo</w:t>
      </w:r>
      <w:r w:rsidRPr="00E34332">
        <w:rPr>
          <w:rFonts w:cs="Arial"/>
          <w:sz w:val="20"/>
          <w:szCs w:val="20"/>
          <w:lang w:val="fr-FR"/>
        </w:rPr>
        <w:t xml:space="preserve"> : </w:t>
      </w:r>
      <w:hyperlink r:id="rId78" w:history="1">
        <w:r w:rsidRPr="00E34332">
          <w:rPr>
            <w:rStyle w:val="Hyperlink"/>
            <w:rFonts w:cs="Arial"/>
            <w:sz w:val="20"/>
            <w:szCs w:val="20"/>
            <w:lang w:val="fr-FR"/>
          </w:rPr>
          <w:t>Adobe Stock | #301916260</w:t>
        </w:r>
      </w:hyperlink>
      <w:r w:rsidRPr="00E34332">
        <w:rPr>
          <w:rFonts w:cs="Arial"/>
          <w:sz w:val="20"/>
          <w:szCs w:val="20"/>
          <w:lang w:val="fr-FR"/>
        </w:rPr>
        <w:t>.</w:t>
      </w:r>
    </w:p>
    <w:p w14:paraId="1BD82243" w14:textId="77777777" w:rsidR="00AF1989" w:rsidRPr="00E34332" w:rsidRDefault="0020159F">
      <w:pPr>
        <w:rPr>
          <w:rFonts w:ascii="Roboto" w:hAnsi="Roboto"/>
          <w:sz w:val="20"/>
          <w:szCs w:val="20"/>
          <w:lang w:val="fr-FR"/>
        </w:rPr>
      </w:pPr>
      <w:r w:rsidRPr="00E34332">
        <w:rPr>
          <w:rFonts w:ascii="Roboto" w:hAnsi="Roboto"/>
          <w:noProof/>
          <w:sz w:val="20"/>
          <w:szCs w:val="20"/>
          <w:lang w:val="fr-FR" w:eastAsia="fr-FR"/>
        </w:rPr>
        <w:drawing>
          <wp:inline distT="0" distB="0" distL="0" distR="0" wp14:anchorId="1565AB62" wp14:editId="786C866C">
            <wp:extent cx="5730918" cy="3967259"/>
            <wp:effectExtent l="0" t="0" r="3175" b="0"/>
            <wp:docPr id="177031622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6226" name="Picture 2" descr="A graph of different colored lines&#10;&#10;AI-generated content may be incorrect."/>
                    <pic:cNvPicPr/>
                  </pic:nvPicPr>
                  <pic:blipFill rotWithShape="1">
                    <a:blip r:embed="rId79" cstate="print">
                      <a:extLst>
                        <a:ext uri="{28A0092B-C50C-407E-A947-70E740481C1C}">
                          <a14:useLocalDpi xmlns:a14="http://schemas.microsoft.com/office/drawing/2010/main" val="0"/>
                        </a:ext>
                      </a:extLst>
                    </a:blip>
                    <a:srcRect t="6645" b="8332"/>
                    <a:stretch/>
                  </pic:blipFill>
                  <pic:spPr bwMode="auto">
                    <a:xfrm>
                      <a:off x="0" y="0"/>
                      <a:ext cx="5731510" cy="3967669"/>
                    </a:xfrm>
                    <a:prstGeom prst="rect">
                      <a:avLst/>
                    </a:prstGeom>
                    <a:ln>
                      <a:noFill/>
                    </a:ln>
                    <a:extLst>
                      <a:ext uri="{53640926-AAD7-44D8-BBD7-CCE9431645EC}">
                        <a14:shadowObscured xmlns:a14="http://schemas.microsoft.com/office/drawing/2010/main"/>
                      </a:ext>
                    </a:extLst>
                  </pic:spPr>
                </pic:pic>
              </a:graphicData>
            </a:graphic>
          </wp:inline>
        </w:drawing>
      </w:r>
    </w:p>
    <w:p w14:paraId="4DA71D5C" w14:textId="77777777" w:rsidR="00AF1989" w:rsidRPr="00B47CEB" w:rsidRDefault="0020159F">
      <w:pPr>
        <w:spacing w:after="0" w:line="240" w:lineRule="auto"/>
        <w:jc w:val="both"/>
        <w:rPr>
          <w:rFonts w:cs="Arial"/>
          <w:sz w:val="18"/>
          <w:szCs w:val="18"/>
          <w:lang w:val="fr-FR"/>
        </w:rPr>
      </w:pPr>
      <w:r w:rsidRPr="00B47CEB">
        <w:rPr>
          <w:rFonts w:cs="Arial"/>
          <w:b/>
          <w:sz w:val="18"/>
          <w:szCs w:val="18"/>
          <w:lang w:val="fr-FR"/>
        </w:rPr>
        <w:t xml:space="preserve">Figure 3.3 : </w:t>
      </w:r>
      <w:r w:rsidRPr="00B47CEB">
        <w:rPr>
          <w:rFonts w:cs="Arial"/>
          <w:sz w:val="18"/>
          <w:szCs w:val="18"/>
          <w:lang w:val="fr-FR"/>
        </w:rPr>
        <w:t xml:space="preserve">Tendances régionales de la couverture moyenne, en pourcentage, des zones clés pour la biodiversité (ZCB) identifiées comme importantes pour les espèces inscrites aux Annexes de la CMS par des aires protégées et autres mesures de conservation efficaces (AMCE), entre 1980 et 2025. Sources des données : Base de données mondiale sur les zones protégées (WDPA) et Base de données mondiale sur les autres mesures de conservation efficaces fondées sur les zones (WD-OECM) (2025) ; Base de données mondiale des zones clés pour la biodiversité (2025). Calculé par </w:t>
      </w:r>
      <w:proofErr w:type="spellStart"/>
      <w:r w:rsidRPr="00B47CEB">
        <w:rPr>
          <w:rFonts w:cs="Arial"/>
          <w:sz w:val="18"/>
          <w:szCs w:val="18"/>
          <w:lang w:val="fr-FR"/>
        </w:rPr>
        <w:t>BirdLife</w:t>
      </w:r>
      <w:proofErr w:type="spellEnd"/>
      <w:r w:rsidRPr="00B47CEB">
        <w:rPr>
          <w:rFonts w:cs="Arial"/>
          <w:sz w:val="18"/>
          <w:szCs w:val="18"/>
          <w:lang w:val="fr-FR"/>
        </w:rPr>
        <w:t xml:space="preserve"> International (2025).</w:t>
      </w:r>
    </w:p>
    <w:p w14:paraId="64E528E1" w14:textId="06FB272D" w:rsidR="00AF1989" w:rsidRDefault="0020159F">
      <w:pPr>
        <w:spacing w:after="0" w:line="240" w:lineRule="auto"/>
        <w:jc w:val="both"/>
        <w:rPr>
          <w:rFonts w:cs="Arial"/>
          <w:lang w:val="fr-FR"/>
        </w:rPr>
      </w:pPr>
      <w:r w:rsidRPr="00E34332">
        <w:rPr>
          <w:rFonts w:cs="Arial"/>
          <w:lang w:val="fr-FR"/>
        </w:rPr>
        <w:lastRenderedPageBreak/>
        <w:t xml:space="preserve">Des analyses futures évaluant la couverture des AIMM, AIRR et AITM par des aires protégées et conservées seraient également instructives. Une analyse récente à grande échelle des données mondiales de suivi compilées par le projet </w:t>
      </w:r>
      <w:hyperlink r:id="rId80" w:history="1">
        <w:proofErr w:type="spellStart"/>
        <w:r w:rsidRPr="00E34332">
          <w:rPr>
            <w:rStyle w:val="Hyperlink"/>
            <w:rFonts w:cs="Arial"/>
            <w:b/>
            <w:lang w:val="fr-FR"/>
          </w:rPr>
          <w:t>MegaMove</w:t>
        </w:r>
        <w:proofErr w:type="spellEnd"/>
      </w:hyperlink>
      <w:r w:rsidRPr="00E34332">
        <w:rPr>
          <w:rFonts w:cs="Arial"/>
          <w:lang w:val="fr-FR"/>
        </w:rPr>
        <w:t xml:space="preserve"> a révélé que même en augmentant la couverture des aires marines protégées à 30 %, environ 60 % des zones importantes utilisées par la mégafaune marine très mobile pour se reproduire, se nourrir ou migrer resteraient non protégées</w:t>
      </w:r>
      <w:r w:rsidRPr="00E34332">
        <w:rPr>
          <w:rFonts w:cs="Arial"/>
          <w:vertAlign w:val="superscript"/>
          <w:lang w:val="fr-FR"/>
        </w:rPr>
        <w:t>19</w:t>
      </w:r>
      <w:r w:rsidRPr="00E34332">
        <w:rPr>
          <w:rFonts w:cs="Arial"/>
          <w:lang w:val="fr-FR"/>
        </w:rPr>
        <w:t>. Des formes plus larges de gestion des océans, visant à atténuer des pressions spécifiques sur de vastes zones, telles que des restrictions de navigation (par exemple, réduction de la vitesse des navires ou modification des routes maritimes) ou des politiques visant à réduire les prises accessoires, seront également nécessaires pour diminuer les impacts négatifs sur ces espèces</w:t>
      </w:r>
      <w:r w:rsidRPr="00E34332">
        <w:rPr>
          <w:rFonts w:cs="Arial"/>
          <w:vertAlign w:val="superscript"/>
          <w:lang w:val="fr-FR"/>
        </w:rPr>
        <w:t>19-20</w:t>
      </w:r>
      <w:r w:rsidRPr="00E34332">
        <w:rPr>
          <w:rFonts w:cs="Arial"/>
          <w:lang w:val="fr-FR"/>
        </w:rPr>
        <w:t>. La compréhension de l’état de protection des espèces migratrices marines a été identifiée comme un objectif de recherche clé dans le cadre de l’initiative Connectivité migratoire dans l’océan (</w:t>
      </w:r>
      <w:proofErr w:type="spellStart"/>
      <w:r w:rsidRPr="00E34332">
        <w:rPr>
          <w:rFonts w:cs="Arial"/>
          <w:lang w:val="fr-FR"/>
        </w:rPr>
        <w:t>MiCO</w:t>
      </w:r>
      <w:proofErr w:type="spellEnd"/>
      <w:r w:rsidRPr="00E34332">
        <w:rPr>
          <w:rFonts w:cs="Arial"/>
          <w:lang w:val="fr-FR"/>
        </w:rPr>
        <w:t xml:space="preserve">) (voir </w:t>
      </w:r>
      <w:r w:rsidRPr="00E34332">
        <w:rPr>
          <w:rFonts w:cs="Arial"/>
          <w:b/>
          <w:lang w:val="fr-FR"/>
        </w:rPr>
        <w:t>section 4</w:t>
      </w:r>
      <w:r w:rsidRPr="00E34332">
        <w:rPr>
          <w:rFonts w:cs="Arial"/>
          <w:lang w:val="fr-FR"/>
        </w:rPr>
        <w:t xml:space="preserve">). </w:t>
      </w:r>
    </w:p>
    <w:p w14:paraId="56777FDF" w14:textId="77777777" w:rsidR="00B47CEB" w:rsidRPr="00E34332" w:rsidRDefault="00B47CEB">
      <w:pPr>
        <w:spacing w:after="0" w:line="240" w:lineRule="auto"/>
        <w:jc w:val="both"/>
        <w:rPr>
          <w:rFonts w:cs="Arial"/>
          <w:b/>
          <w:lang w:val="fr-FR"/>
        </w:rPr>
      </w:pPr>
    </w:p>
    <w:p w14:paraId="465E29B0" w14:textId="77777777" w:rsidR="00AF1989" w:rsidRPr="00E34332" w:rsidRDefault="0020159F">
      <w:pPr>
        <w:pStyle w:val="Heading1"/>
        <w:numPr>
          <w:ilvl w:val="0"/>
          <w:numId w:val="41"/>
        </w:numPr>
        <w:spacing w:before="0" w:line="240" w:lineRule="auto"/>
        <w:ind w:left="357" w:hanging="357"/>
        <w:jc w:val="both"/>
        <w:rPr>
          <w:rFonts w:ascii="Arial" w:hAnsi="Arial" w:cs="Arial"/>
          <w:b/>
          <w:color w:val="auto"/>
          <w:sz w:val="22"/>
          <w:szCs w:val="22"/>
          <w:lang w:val="fr-FR"/>
        </w:rPr>
      </w:pPr>
      <w:bookmarkStart w:id="11" w:name="_Toc210914223"/>
      <w:r w:rsidRPr="00E34332">
        <w:rPr>
          <w:rFonts w:ascii="Arial" w:hAnsi="Arial" w:cs="Arial"/>
          <w:b/>
          <w:color w:val="auto"/>
          <w:sz w:val="22"/>
          <w:szCs w:val="22"/>
          <w:lang w:val="fr-FR"/>
        </w:rPr>
        <w:t>Progrès récents dans la cartographie des voies migratoires</w:t>
      </w:r>
      <w:bookmarkEnd w:id="11"/>
    </w:p>
    <w:p w14:paraId="257218A2" w14:textId="77777777" w:rsidR="00AF1989" w:rsidRPr="00E34332" w:rsidRDefault="00AF1989">
      <w:pPr>
        <w:spacing w:after="0" w:line="240" w:lineRule="auto"/>
        <w:rPr>
          <w:lang w:val="fr-FR"/>
        </w:rPr>
      </w:pPr>
    </w:p>
    <w:p w14:paraId="2527D492" w14:textId="77777777" w:rsidR="00AF1989" w:rsidRPr="00E34332" w:rsidRDefault="0020159F">
      <w:pPr>
        <w:spacing w:after="0" w:line="240" w:lineRule="auto"/>
        <w:jc w:val="both"/>
        <w:rPr>
          <w:rFonts w:cs="Arial"/>
          <w:lang w:val="fr-FR"/>
        </w:rPr>
      </w:pPr>
      <w:r w:rsidRPr="00E34332">
        <w:rPr>
          <w:rFonts w:cs="Arial"/>
          <w:lang w:val="fr-FR"/>
        </w:rPr>
        <w:t xml:space="preserve">Cartographier les voies migratoires mondiales constitue une étape cruciale pour garantir que les populations migratrices puissent continuer à accéder en toute sécurité aux zones vitales de reproduction, d’alimentation et de repos dont elles ont besoin pour survivre. Les cartes migratoires établies à partir de données de suivi empiriques permettent aux animaux migrateurs eux-mêmes de nous indiquer quelles zones saisonnières ou quels corridors sont les plus essentiels au cours de leur cycle de vie. La croissance récente de la recherche sur le suivi des animaux a considérablement amélioré l’état des connaissances dans ce domaine, en permettant de cartographier les routes migratoires avec un niveau de détail sans précédent et en facilitant la découverte de voies migratoires jusqu’alors inconnues. </w:t>
      </w:r>
    </w:p>
    <w:p w14:paraId="0412B717" w14:textId="77777777" w:rsidR="00AF1989" w:rsidRPr="00E34332" w:rsidRDefault="00AF1989">
      <w:pPr>
        <w:spacing w:after="0" w:line="240" w:lineRule="auto"/>
        <w:jc w:val="both"/>
        <w:rPr>
          <w:rFonts w:cs="Arial"/>
          <w:lang w:val="fr-FR"/>
        </w:rPr>
      </w:pPr>
    </w:p>
    <w:p w14:paraId="5D069CDC" w14:textId="77777777" w:rsidR="00AF1989" w:rsidRPr="00E34332" w:rsidRDefault="0020159F">
      <w:pPr>
        <w:spacing w:after="0" w:line="240" w:lineRule="auto"/>
        <w:jc w:val="both"/>
        <w:rPr>
          <w:rFonts w:cs="Arial"/>
          <w:lang w:val="fr-FR"/>
        </w:rPr>
      </w:pPr>
      <w:r w:rsidRPr="00E34332">
        <w:rPr>
          <w:rFonts w:cs="Arial"/>
          <w:lang w:val="fr-FR"/>
        </w:rPr>
        <w:t>Des cartes améliorées des corridors migratoires peuvent aider à orienter les efforts de conservation fondés sur les zones vers les zones critiques nécessitant une protection renforcée. Cependant, comme les déplacements des animaux couvrent souvent des distances de plusieurs ordres de grandeur supérieures à celles de toute aire protégée</w:t>
      </w:r>
      <w:r w:rsidRPr="00E34332">
        <w:rPr>
          <w:rFonts w:cs="Arial"/>
          <w:vertAlign w:val="superscript"/>
          <w:lang w:val="fr-FR"/>
        </w:rPr>
        <w:t>1-2</w:t>
      </w:r>
      <w:r w:rsidRPr="00E34332">
        <w:rPr>
          <w:rFonts w:cs="Arial"/>
          <w:lang w:val="fr-FR"/>
        </w:rPr>
        <w:t>, les espèces migratrices doivent pouvoir se déplacer librement à travers des paysages terrestres, fluviaux ou marins plus vastes, qui sont de plus en plus fragmentés par diverses infrastructures et activités humaines</w:t>
      </w:r>
      <w:r w:rsidRPr="00E34332">
        <w:rPr>
          <w:rFonts w:cs="Arial"/>
          <w:vertAlign w:val="superscript"/>
          <w:lang w:val="fr-FR"/>
        </w:rPr>
        <w:t>3-6</w:t>
      </w:r>
      <w:r w:rsidRPr="00E34332">
        <w:rPr>
          <w:rFonts w:cs="Arial"/>
          <w:lang w:val="fr-FR"/>
        </w:rPr>
        <w:t>. Les cartes migratoires – et les données de suivi qui les sous-tendent – peuvent aider à identifier les obstacles potentiels aux déplacements, à évaluer le degré d’exposition aux pressions rencontrées lors des migrations et à mettre en évidence les régions plus larges où des interventions politiques sont nécessaires pour maintenir la connectivité dans le contexte des paysages terrestres et marins exploités</w:t>
      </w:r>
      <w:r w:rsidRPr="00E34332">
        <w:rPr>
          <w:rFonts w:cs="Arial"/>
          <w:vertAlign w:val="superscript"/>
          <w:lang w:val="fr-FR"/>
        </w:rPr>
        <w:t>6-8</w:t>
      </w:r>
      <w:r w:rsidRPr="00E34332">
        <w:rPr>
          <w:rFonts w:cs="Arial"/>
          <w:lang w:val="fr-FR"/>
        </w:rPr>
        <w:t>. Les efforts de cartographie peuvent également révéler les connexions migratoires reliant des pays éloignés</w:t>
      </w:r>
      <w:r w:rsidRPr="00E34332">
        <w:rPr>
          <w:rFonts w:cs="Arial"/>
          <w:vertAlign w:val="superscript"/>
          <w:lang w:val="fr-FR"/>
        </w:rPr>
        <w:t>9-11</w:t>
      </w:r>
      <w:r w:rsidRPr="00E34332">
        <w:rPr>
          <w:rFonts w:cs="Arial"/>
          <w:lang w:val="fr-FR"/>
        </w:rPr>
        <w:t xml:space="preserve">, fournissant ainsi une base scientifique solide pour des efforts de conservation internationaux collaboratifs. </w:t>
      </w:r>
    </w:p>
    <w:p w14:paraId="61BC83E7" w14:textId="77777777" w:rsidR="00AF1989" w:rsidRPr="00E34332" w:rsidRDefault="00AF1989">
      <w:pPr>
        <w:spacing w:after="0" w:line="240" w:lineRule="auto"/>
        <w:jc w:val="both"/>
        <w:rPr>
          <w:rFonts w:cs="Arial"/>
          <w:lang w:val="fr-FR"/>
        </w:rPr>
      </w:pPr>
    </w:p>
    <w:p w14:paraId="181D28E9" w14:textId="77777777" w:rsidR="00AF1989" w:rsidRPr="00E34332" w:rsidRDefault="0020159F">
      <w:pPr>
        <w:spacing w:after="0" w:line="240" w:lineRule="auto"/>
        <w:jc w:val="both"/>
        <w:rPr>
          <w:rFonts w:cs="Arial"/>
          <w:lang w:val="fr-FR"/>
        </w:rPr>
      </w:pPr>
      <w:r w:rsidRPr="00E34332">
        <w:rPr>
          <w:rFonts w:cs="Arial"/>
          <w:lang w:val="fr-FR"/>
        </w:rPr>
        <w:t>Cette section présente un aperçu des progrès récents réalisés par les initiatives consacrées à la cartographie des voies migratoires terrestres et marines. Nous présentons ici deux initiatives qui ont été à l’avant-garde des efforts récents de cartographie des migrations : l’Initiative mondiale sur la migration des ongulés (GIUM), un module de l’Atlas des migrations de la CMS</w:t>
      </w:r>
      <w:r w:rsidRPr="00E34332">
        <w:rPr>
          <w:rStyle w:val="FootnoteReference"/>
          <w:rFonts w:cs="Arial"/>
          <w:lang w:val="fr-FR"/>
        </w:rPr>
        <w:footnoteReference w:id="12"/>
      </w:r>
      <w:r w:rsidRPr="00E34332">
        <w:rPr>
          <w:rFonts w:cs="Arial"/>
          <w:lang w:val="fr-FR"/>
        </w:rPr>
        <w:t>, et le système Connectivité migratoire dans l’océan (</w:t>
      </w:r>
      <w:proofErr w:type="spellStart"/>
      <w:r w:rsidRPr="00E34332">
        <w:rPr>
          <w:rFonts w:cs="Arial"/>
          <w:lang w:val="fr-FR"/>
        </w:rPr>
        <w:t>MiCO</w:t>
      </w:r>
      <w:proofErr w:type="spellEnd"/>
      <w:r w:rsidRPr="00E34332">
        <w:rPr>
          <w:rFonts w:cs="Arial"/>
          <w:lang w:val="fr-FR"/>
        </w:rPr>
        <w:t xml:space="preserve">). </w:t>
      </w:r>
    </w:p>
    <w:p w14:paraId="31B72D04" w14:textId="38BAD012" w:rsidR="00B47CEB" w:rsidRDefault="00B47CEB">
      <w:pPr>
        <w:spacing w:after="0" w:line="240" w:lineRule="auto"/>
        <w:jc w:val="both"/>
        <w:rPr>
          <w:rFonts w:cs="Arial"/>
          <w:b/>
          <w:lang w:val="fr-FR"/>
        </w:rPr>
      </w:pPr>
      <w:r>
        <w:rPr>
          <w:rFonts w:cs="Arial"/>
          <w:b/>
          <w:lang w:val="fr-FR"/>
        </w:rPr>
        <w:br w:type="page"/>
      </w:r>
    </w:p>
    <w:p w14:paraId="5B46B909" w14:textId="77777777" w:rsidR="00AF1989" w:rsidRPr="00E34332" w:rsidRDefault="0020159F">
      <w:pPr>
        <w:spacing w:after="0" w:line="240" w:lineRule="auto"/>
        <w:jc w:val="both"/>
        <w:rPr>
          <w:rFonts w:cs="Arial"/>
          <w:b/>
          <w:lang w:val="fr-FR"/>
        </w:rPr>
      </w:pPr>
      <w:r w:rsidRPr="00E34332">
        <w:rPr>
          <w:rFonts w:cs="Arial"/>
          <w:b/>
          <w:lang w:val="fr-FR"/>
        </w:rPr>
        <w:lastRenderedPageBreak/>
        <w:t>Cartographier les migrations des ongulés dans le monde</w:t>
      </w:r>
    </w:p>
    <w:p w14:paraId="43356C28" w14:textId="77777777" w:rsidR="00AF1989" w:rsidRPr="00E34332" w:rsidRDefault="00AF1989">
      <w:pPr>
        <w:spacing w:after="0" w:line="240" w:lineRule="auto"/>
        <w:jc w:val="both"/>
        <w:rPr>
          <w:rFonts w:cs="Arial"/>
          <w:b/>
          <w:lang w:val="fr-FR"/>
        </w:rPr>
      </w:pPr>
    </w:p>
    <w:p w14:paraId="738304DB" w14:textId="77777777" w:rsidR="00AF1989" w:rsidRPr="00E34332" w:rsidRDefault="0020159F">
      <w:pPr>
        <w:spacing w:after="0" w:line="240" w:lineRule="auto"/>
        <w:jc w:val="both"/>
        <w:rPr>
          <w:rFonts w:cs="Arial"/>
          <w:i/>
          <w:lang w:val="fr-FR"/>
        </w:rPr>
      </w:pPr>
      <w:r w:rsidRPr="00E34332">
        <w:rPr>
          <w:rFonts w:cs="Arial"/>
          <w:lang w:val="fr-FR"/>
        </w:rPr>
        <w:t xml:space="preserve">Contribution de : Thomas Mueller, Janey </w:t>
      </w:r>
      <w:proofErr w:type="spellStart"/>
      <w:r w:rsidRPr="00E34332">
        <w:rPr>
          <w:rFonts w:cs="Arial"/>
          <w:lang w:val="fr-FR"/>
        </w:rPr>
        <w:t>Fugate</w:t>
      </w:r>
      <w:proofErr w:type="spellEnd"/>
      <w:r w:rsidRPr="00E34332">
        <w:rPr>
          <w:rFonts w:cs="Arial"/>
          <w:lang w:val="fr-FR"/>
        </w:rPr>
        <w:t xml:space="preserve"> et Matthew Kauffman – </w:t>
      </w:r>
      <w:r w:rsidRPr="00E34332">
        <w:rPr>
          <w:rFonts w:cs="Arial"/>
          <w:i/>
          <w:lang w:val="fr-FR"/>
        </w:rPr>
        <w:t>Initiative mondiale sur la migration des ongulés (GIUM)</w:t>
      </w:r>
    </w:p>
    <w:p w14:paraId="045E4CF5" w14:textId="77777777" w:rsidR="00AF1989" w:rsidRPr="00E34332" w:rsidRDefault="00AF1989">
      <w:pPr>
        <w:spacing w:after="0" w:line="240" w:lineRule="auto"/>
        <w:jc w:val="both"/>
        <w:rPr>
          <w:rFonts w:cs="Arial"/>
          <w:i/>
          <w:color w:val="003870"/>
          <w:lang w:val="fr-FR"/>
        </w:rPr>
      </w:pPr>
    </w:p>
    <w:p w14:paraId="30BB0F2C" w14:textId="77777777" w:rsidR="00AF1989" w:rsidRPr="00E34332" w:rsidRDefault="0020159F">
      <w:pPr>
        <w:spacing w:after="0" w:line="240" w:lineRule="auto"/>
        <w:jc w:val="both"/>
        <w:rPr>
          <w:rFonts w:cs="Arial"/>
          <w:lang w:val="fr-FR"/>
        </w:rPr>
      </w:pPr>
      <w:r w:rsidRPr="00E34332">
        <w:rPr>
          <w:rFonts w:cs="Arial"/>
          <w:lang w:val="fr-FR"/>
        </w:rPr>
        <w:t xml:space="preserve">L’Initiative mondiale sur la migration des ongulés (GIUM) rassemble une communauté internationale de chercheurs et de conservationnistes spécialisés dans la migration, afin de documenter et de protéger les principales routes migratoires des mammifères ongulés dans le monde. En s’appuyant sur des collaborations avec plus de 80 scientifiques provenant de plus de 50 institutions, l’initiative a développé le premier </w:t>
      </w:r>
      <w:hyperlink r:id="rId81" w:history="1">
        <w:r w:rsidRPr="00E34332">
          <w:rPr>
            <w:rStyle w:val="Hyperlink"/>
            <w:rFonts w:cs="Arial"/>
            <w:lang w:val="fr-FR"/>
          </w:rPr>
          <w:t>Atlas vivant de la migration des ongulés au monde</w:t>
        </w:r>
      </w:hyperlink>
      <w:r w:rsidRPr="00E34332">
        <w:rPr>
          <w:rFonts w:cs="Arial"/>
          <w:lang w:val="fr-FR"/>
        </w:rPr>
        <w:t xml:space="preserve">, cartographiant plus de 30 des principales migrations d’ongulés de la planète, couvrant 17 espèces différentes. Pour chaque migration, des fiches détaillées expliquent l’itinéraire, résument les défis spécifiques de conservation et incluent souvent des cartes supplémentaires montrant où ces déplacements croisent des menaces ou des aires protégées. Par exemple, une </w:t>
      </w:r>
      <w:hyperlink r:id="rId82" w:history="1">
        <w:r w:rsidRPr="00E34332">
          <w:rPr>
            <w:rStyle w:val="Hyperlink"/>
            <w:rFonts w:cs="Arial"/>
            <w:lang w:val="fr-FR"/>
          </w:rPr>
          <w:t>carte détaillée</w:t>
        </w:r>
      </w:hyperlink>
      <w:r w:rsidRPr="00E34332">
        <w:rPr>
          <w:rFonts w:cs="Arial"/>
          <w:lang w:val="fr-FR"/>
        </w:rPr>
        <w:t xml:space="preserve"> de la migration du cobe de Buffon (</w:t>
      </w:r>
      <w:proofErr w:type="spellStart"/>
      <w:r w:rsidRPr="00E34332">
        <w:rPr>
          <w:rFonts w:cs="Arial"/>
          <w:i/>
          <w:lang w:val="fr-FR"/>
        </w:rPr>
        <w:t>Kobus</w:t>
      </w:r>
      <w:proofErr w:type="spellEnd"/>
      <w:r w:rsidRPr="00E34332">
        <w:rPr>
          <w:rFonts w:cs="Arial"/>
          <w:i/>
          <w:lang w:val="fr-FR"/>
        </w:rPr>
        <w:t xml:space="preserve"> kob </w:t>
      </w:r>
      <w:proofErr w:type="spellStart"/>
      <w:r w:rsidRPr="00E34332">
        <w:rPr>
          <w:rFonts w:cs="Arial"/>
          <w:i/>
          <w:lang w:val="fr-FR"/>
        </w:rPr>
        <w:t>leucotis</w:t>
      </w:r>
      <w:proofErr w:type="spellEnd"/>
      <w:r w:rsidRPr="00E34332">
        <w:rPr>
          <w:rFonts w:cs="Arial"/>
          <w:lang w:val="fr-FR"/>
        </w:rPr>
        <w:t>)</w:t>
      </w:r>
      <w:r w:rsidRPr="00E34332">
        <w:rPr>
          <w:rFonts w:cs="Arial"/>
          <w:i/>
          <w:lang w:val="fr-FR"/>
        </w:rPr>
        <w:t xml:space="preserve"> </w:t>
      </w:r>
      <w:r w:rsidRPr="00E34332">
        <w:rPr>
          <w:rFonts w:cs="Arial"/>
          <w:lang w:val="fr-FR"/>
        </w:rPr>
        <w:t xml:space="preserve">et du </w:t>
      </w:r>
      <w:proofErr w:type="spellStart"/>
      <w:r w:rsidRPr="00E34332">
        <w:rPr>
          <w:rFonts w:cs="Arial"/>
          <w:lang w:val="fr-FR"/>
        </w:rPr>
        <w:t>tiang</w:t>
      </w:r>
      <w:proofErr w:type="spellEnd"/>
      <w:r w:rsidRPr="00E34332">
        <w:rPr>
          <w:rFonts w:cs="Arial"/>
          <w:lang w:val="fr-FR"/>
        </w:rPr>
        <w:t xml:space="preserve"> (</w:t>
      </w:r>
      <w:proofErr w:type="spellStart"/>
      <w:r w:rsidRPr="00E34332">
        <w:rPr>
          <w:rFonts w:cs="Arial"/>
          <w:i/>
          <w:lang w:val="fr-FR"/>
        </w:rPr>
        <w:t>Damaliscus</w:t>
      </w:r>
      <w:proofErr w:type="spellEnd"/>
      <w:r w:rsidRPr="00E34332">
        <w:rPr>
          <w:rFonts w:cs="Arial"/>
          <w:i/>
          <w:lang w:val="fr-FR"/>
        </w:rPr>
        <w:t xml:space="preserve"> </w:t>
      </w:r>
      <w:proofErr w:type="spellStart"/>
      <w:r w:rsidRPr="00E34332">
        <w:rPr>
          <w:rFonts w:cs="Arial"/>
          <w:i/>
          <w:lang w:val="fr-FR"/>
        </w:rPr>
        <w:t>lunatus</w:t>
      </w:r>
      <w:proofErr w:type="spellEnd"/>
      <w:r w:rsidRPr="00E34332">
        <w:rPr>
          <w:rFonts w:cs="Arial"/>
          <w:i/>
          <w:lang w:val="fr-FR"/>
        </w:rPr>
        <w:t xml:space="preserve"> </w:t>
      </w:r>
      <w:proofErr w:type="spellStart"/>
      <w:r w:rsidRPr="00E34332">
        <w:rPr>
          <w:rFonts w:cs="Arial"/>
          <w:i/>
          <w:lang w:val="fr-FR"/>
        </w:rPr>
        <w:t>tiang</w:t>
      </w:r>
      <w:proofErr w:type="spellEnd"/>
      <w:r w:rsidRPr="00E34332">
        <w:rPr>
          <w:rFonts w:cs="Arial"/>
          <w:lang w:val="fr-FR"/>
        </w:rPr>
        <w:t xml:space="preserve">) au Soudan du Sud et en Éthiopie a été publiée pour la première fois en avril 2025. Il s’agit de la plus grande migration d’ongulés au monde, impliquant plus de cinq millions de cobes de Buffon, mais elle subit des pressions liées à la chasse non réglementée et au développement pétrolier imminent. La cartographie est en cours dans de nombreux sites à travers le monde, et GIUM prévoit d’étendre considérablement l’Atlas d’ici la fin 2026. </w:t>
      </w:r>
    </w:p>
    <w:p w14:paraId="1341DF5B" w14:textId="77777777" w:rsidR="00AF1989" w:rsidRPr="00E34332" w:rsidRDefault="00AF1989">
      <w:pPr>
        <w:spacing w:after="0" w:line="240" w:lineRule="auto"/>
        <w:jc w:val="both"/>
        <w:rPr>
          <w:rFonts w:cs="Arial"/>
          <w:lang w:val="fr-FR"/>
        </w:rPr>
      </w:pPr>
    </w:p>
    <w:p w14:paraId="61226DC3" w14:textId="77777777" w:rsidR="00AF1989" w:rsidRPr="00E34332" w:rsidRDefault="0020159F">
      <w:pPr>
        <w:spacing w:after="0" w:line="240" w:lineRule="auto"/>
        <w:jc w:val="both"/>
        <w:rPr>
          <w:rFonts w:cs="Arial"/>
          <w:lang w:val="fr-FR"/>
        </w:rPr>
      </w:pPr>
      <w:r w:rsidRPr="00E34332">
        <w:rPr>
          <w:rFonts w:cs="Arial"/>
          <w:lang w:val="fr-FR"/>
        </w:rPr>
        <w:t>L’une des menaces les plus urgentes et récurrentes mises en évidence par les travaux de GIUM est la prolifération des infrastructures linéaires, en particulier les routes, les voies ferrées et les clôtures. Ces barrières fragmentent les habitats, entravent la migration et augmentent les risques pour les espèces migratrices dans de nombreuses régions. Cette problématique est particulièrement marquée en Asie centrale et en Afrique, où la croissance rapide des infrastructures a engendré de nouveaux obstacles pour des mammifères migrateurs emblématiques tels que les gazelles de Mongolie (</w:t>
      </w:r>
      <w:proofErr w:type="spellStart"/>
      <w:r w:rsidRPr="00E34332">
        <w:rPr>
          <w:rFonts w:cs="Arial"/>
          <w:i/>
          <w:lang w:val="fr-FR"/>
        </w:rPr>
        <w:t>Procapra</w:t>
      </w:r>
      <w:proofErr w:type="spellEnd"/>
      <w:r w:rsidRPr="00E34332">
        <w:rPr>
          <w:rFonts w:cs="Arial"/>
          <w:i/>
          <w:lang w:val="fr-FR"/>
        </w:rPr>
        <w:t xml:space="preserve"> </w:t>
      </w:r>
      <w:proofErr w:type="spellStart"/>
      <w:r w:rsidRPr="00E34332">
        <w:rPr>
          <w:rFonts w:cs="Arial"/>
          <w:i/>
          <w:lang w:val="fr-FR"/>
        </w:rPr>
        <w:t>gutturosa</w:t>
      </w:r>
      <w:proofErr w:type="spellEnd"/>
      <w:r w:rsidRPr="00E34332">
        <w:rPr>
          <w:rFonts w:cs="Arial"/>
          <w:lang w:val="fr-FR"/>
        </w:rPr>
        <w:t>), les saïgas (</w:t>
      </w:r>
      <w:proofErr w:type="spellStart"/>
      <w:r w:rsidRPr="00E34332">
        <w:rPr>
          <w:rFonts w:cs="Arial"/>
          <w:i/>
          <w:lang w:val="fr-FR"/>
        </w:rPr>
        <w:t>Saiga</w:t>
      </w:r>
      <w:proofErr w:type="spellEnd"/>
      <w:r w:rsidRPr="00E34332">
        <w:rPr>
          <w:rFonts w:cs="Arial"/>
          <w:i/>
          <w:lang w:val="fr-FR"/>
        </w:rPr>
        <w:t xml:space="preserve"> </w:t>
      </w:r>
      <w:proofErr w:type="spellStart"/>
      <w:r w:rsidRPr="00E34332">
        <w:rPr>
          <w:rFonts w:cs="Arial"/>
          <w:i/>
          <w:lang w:val="fr-FR"/>
        </w:rPr>
        <w:t>tatarica</w:t>
      </w:r>
      <w:proofErr w:type="spellEnd"/>
      <w:r w:rsidRPr="00E34332">
        <w:rPr>
          <w:rFonts w:cs="Arial"/>
          <w:lang w:val="fr-FR"/>
        </w:rPr>
        <w:t>) et les gnous bleus (</w:t>
      </w:r>
      <w:proofErr w:type="spellStart"/>
      <w:r w:rsidRPr="00E34332">
        <w:rPr>
          <w:rFonts w:cs="Arial"/>
          <w:i/>
          <w:lang w:val="fr-FR"/>
        </w:rPr>
        <w:t>Connochaetes</w:t>
      </w:r>
      <w:proofErr w:type="spellEnd"/>
      <w:r w:rsidRPr="00E34332">
        <w:rPr>
          <w:rFonts w:cs="Arial"/>
          <w:i/>
          <w:lang w:val="fr-FR"/>
        </w:rPr>
        <w:t xml:space="preserve"> </w:t>
      </w:r>
      <w:proofErr w:type="spellStart"/>
      <w:r w:rsidRPr="00E34332">
        <w:rPr>
          <w:rFonts w:cs="Arial"/>
          <w:i/>
          <w:lang w:val="fr-FR"/>
        </w:rPr>
        <w:t>taurinus</w:t>
      </w:r>
      <w:proofErr w:type="spellEnd"/>
      <w:r w:rsidRPr="00E34332">
        <w:rPr>
          <w:rFonts w:cs="Arial"/>
          <w:lang w:val="fr-FR"/>
        </w:rPr>
        <w:t>). Dans ces régions, l’expansion rapide des réseaux de clôtures et la construction de nouveaux corridors de transport perturbent de plus en plus les chemins migratoires, interrompant parfois des migrations entières (</w:t>
      </w:r>
      <w:r w:rsidRPr="00E34332">
        <w:rPr>
          <w:rFonts w:cs="Arial"/>
          <w:b/>
          <w:lang w:val="fr-FR"/>
        </w:rPr>
        <w:t>figure 4.1</w:t>
      </w:r>
      <w:r w:rsidRPr="00E34332">
        <w:rPr>
          <w:rFonts w:cs="Arial"/>
          <w:lang w:val="fr-FR"/>
        </w:rPr>
        <w:t xml:space="preserve">). Souvent, la construction intervient avant que les biologistes et les planificateurs ne disposent de cartes adéquates des voies migratoires des populations. </w:t>
      </w:r>
    </w:p>
    <w:p w14:paraId="00D9CB87" w14:textId="77777777" w:rsidR="00AF1989" w:rsidRPr="00E34332" w:rsidRDefault="00AF1989">
      <w:pPr>
        <w:spacing w:after="0" w:line="240" w:lineRule="auto"/>
        <w:jc w:val="both"/>
        <w:rPr>
          <w:rFonts w:cs="Arial"/>
          <w:lang w:val="fr-FR"/>
        </w:rPr>
      </w:pPr>
    </w:p>
    <w:p w14:paraId="3E61ACEB" w14:textId="77777777" w:rsidR="00AF1989" w:rsidRPr="00E34332" w:rsidRDefault="0020159F">
      <w:pPr>
        <w:spacing w:after="0" w:line="240" w:lineRule="auto"/>
        <w:jc w:val="both"/>
        <w:rPr>
          <w:rFonts w:cs="Arial"/>
          <w:lang w:val="fr-FR"/>
        </w:rPr>
      </w:pPr>
      <w:r w:rsidRPr="00E34332">
        <w:rPr>
          <w:rFonts w:cs="Arial"/>
          <w:noProof/>
          <w:lang w:val="fr-FR" w:eastAsia="fr-FR"/>
        </w:rPr>
        <w:lastRenderedPageBreak/>
        <w:drawing>
          <wp:inline distT="0" distB="0" distL="0" distR="0" wp14:anchorId="766DC36F" wp14:editId="6BEF703C">
            <wp:extent cx="5731510" cy="3820160"/>
            <wp:effectExtent l="0" t="0" r="2540" b="8890"/>
            <wp:docPr id="1613381904" name="Picture 3" descr="A map of the eastern part of kazakhst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81904" name="Picture 3" descr="A map of the eastern part of kazakhstan&#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44339A06" w14:textId="77777777" w:rsidR="00AF1989" w:rsidRPr="00E34332" w:rsidRDefault="00AF1989">
      <w:pPr>
        <w:spacing w:after="0" w:line="240" w:lineRule="auto"/>
        <w:jc w:val="both"/>
        <w:rPr>
          <w:rFonts w:cs="Arial"/>
          <w:b/>
          <w:lang w:val="fr-FR"/>
        </w:rPr>
      </w:pPr>
    </w:p>
    <w:p w14:paraId="0AA8B7A4" w14:textId="77777777" w:rsidR="00AF1989" w:rsidRPr="00E34332" w:rsidRDefault="0020159F">
      <w:pPr>
        <w:spacing w:after="0" w:line="240" w:lineRule="auto"/>
        <w:jc w:val="both"/>
        <w:rPr>
          <w:rFonts w:cs="Arial"/>
          <w:sz w:val="20"/>
          <w:szCs w:val="20"/>
          <w:lang w:val="fr-FR"/>
        </w:rPr>
      </w:pPr>
      <w:r w:rsidRPr="00E34332">
        <w:rPr>
          <w:rFonts w:cs="Arial"/>
          <w:b/>
          <w:sz w:val="20"/>
          <w:szCs w:val="20"/>
          <w:lang w:val="fr-FR"/>
        </w:rPr>
        <w:t xml:space="preserve">Figure 4.1 : </w:t>
      </w:r>
      <w:r w:rsidRPr="00E34332">
        <w:rPr>
          <w:rFonts w:cs="Arial"/>
          <w:sz w:val="20"/>
          <w:szCs w:val="20"/>
          <w:lang w:val="fr-FR"/>
        </w:rPr>
        <w:t>Les données de déplacement recueillies avant et après la construction d’un nouveau chemin de fer dans l’aire de répartition de la population de saïgas (</w:t>
      </w:r>
      <w:proofErr w:type="spellStart"/>
      <w:r w:rsidRPr="00E34332">
        <w:rPr>
          <w:rFonts w:cs="Arial"/>
          <w:i/>
          <w:sz w:val="20"/>
          <w:szCs w:val="20"/>
          <w:lang w:val="fr-FR"/>
        </w:rPr>
        <w:t>Saiga</w:t>
      </w:r>
      <w:proofErr w:type="spellEnd"/>
      <w:r w:rsidRPr="00E34332">
        <w:rPr>
          <w:rFonts w:cs="Arial"/>
          <w:i/>
          <w:sz w:val="20"/>
          <w:szCs w:val="20"/>
          <w:lang w:val="fr-FR"/>
        </w:rPr>
        <w:t xml:space="preserve"> </w:t>
      </w:r>
      <w:proofErr w:type="spellStart"/>
      <w:r w:rsidRPr="00E34332">
        <w:rPr>
          <w:rFonts w:cs="Arial"/>
          <w:i/>
          <w:sz w:val="20"/>
          <w:szCs w:val="20"/>
          <w:lang w:val="fr-FR"/>
        </w:rPr>
        <w:t>tatarica</w:t>
      </w:r>
      <w:proofErr w:type="spellEnd"/>
      <w:r w:rsidRPr="00E34332">
        <w:rPr>
          <w:rFonts w:cs="Arial"/>
          <w:sz w:val="20"/>
          <w:szCs w:val="20"/>
          <w:lang w:val="fr-FR"/>
        </w:rPr>
        <w:t xml:space="preserve">) montrent l’effet spectaculaire que les infrastructures linéaires peuvent avoir sur la capacité de cette espèce inscrite à l’Annexe II de la CMS à se déplacer librement sur l’ensemble de sa zone migratoire. Après la construction (traces violettes), les saïgas ne traversent plus la frontière vers l’Ouzbékistan et n’accèdent plus à la zone protégée située au sud, qui constituait auparavant un habitat hivernal essentiel (traces orange). Crédit de la carte : </w:t>
      </w:r>
      <w:proofErr w:type="spellStart"/>
      <w:r w:rsidRPr="00E34332">
        <w:rPr>
          <w:rFonts w:cs="Arial"/>
          <w:sz w:val="20"/>
          <w:szCs w:val="20"/>
          <w:lang w:val="fr-FR"/>
        </w:rPr>
        <w:t>Salemgareyev</w:t>
      </w:r>
      <w:proofErr w:type="spellEnd"/>
      <w:r w:rsidRPr="00E34332">
        <w:rPr>
          <w:rFonts w:cs="Arial"/>
          <w:sz w:val="20"/>
          <w:szCs w:val="20"/>
          <w:lang w:val="fr-FR"/>
        </w:rPr>
        <w:t xml:space="preserve">, A. &amp; S. Zuther. 2024. Saïga : Oustiourt, Kazakhstan. Initiative mondiale sur la migration des ongulés. Atlas des migrations des ongulés. Convention sur la conservation des espèces migratrices appartenant à la faune sauvage. </w:t>
      </w:r>
    </w:p>
    <w:p w14:paraId="0599D1CB" w14:textId="77777777" w:rsidR="00AF1989" w:rsidRPr="00E34332" w:rsidRDefault="00AF1989">
      <w:pPr>
        <w:spacing w:after="0" w:line="240" w:lineRule="auto"/>
        <w:jc w:val="both"/>
        <w:rPr>
          <w:rFonts w:cs="Arial"/>
          <w:i/>
          <w:lang w:val="fr-FR"/>
        </w:rPr>
      </w:pPr>
    </w:p>
    <w:p w14:paraId="79120999" w14:textId="77777777" w:rsidR="00AF1989" w:rsidRPr="00E34332" w:rsidRDefault="0020159F">
      <w:pPr>
        <w:spacing w:after="0" w:line="240" w:lineRule="auto"/>
        <w:jc w:val="both"/>
        <w:rPr>
          <w:rFonts w:cs="Arial"/>
          <w:lang w:val="fr-FR"/>
        </w:rPr>
      </w:pPr>
      <w:r w:rsidRPr="00E34332">
        <w:rPr>
          <w:rFonts w:cs="Arial"/>
          <w:lang w:val="fr-FR"/>
        </w:rPr>
        <w:t>L'Atlas des migrations des ongulés fournit aux défenseurs de l'environnement, aux gestionnaires des terres et aux décideurs politiques les données et les outils nécessaires pour donner la priorité à la connectivité des paysages et planifier les infrastructures en tenant compte des espèces sauvages migratrices. Il fournit des représentations visuelles des routes migratoires ainsi que des évaluations concrètes des menaces, afin que les aménagements futurs puissent protéger les migrations d’ongulés qui sous-tendent la biodiversité mondiale.</w:t>
      </w:r>
    </w:p>
    <w:p w14:paraId="44071CE8" w14:textId="77777777" w:rsidR="00AF1989" w:rsidRPr="00E34332" w:rsidRDefault="00AF1989">
      <w:pPr>
        <w:spacing w:after="0" w:line="240" w:lineRule="auto"/>
        <w:jc w:val="both"/>
        <w:rPr>
          <w:rFonts w:cs="Arial"/>
          <w:i/>
          <w:lang w:val="fr-FR"/>
        </w:rPr>
      </w:pPr>
    </w:p>
    <w:p w14:paraId="5FECC087" w14:textId="77777777" w:rsidR="00AF1989" w:rsidRPr="00E34332" w:rsidRDefault="0020159F">
      <w:pPr>
        <w:spacing w:after="0" w:line="240" w:lineRule="auto"/>
        <w:jc w:val="both"/>
        <w:rPr>
          <w:rFonts w:cs="Arial"/>
          <w:b/>
          <w:lang w:val="fr-FR"/>
        </w:rPr>
      </w:pPr>
      <w:r w:rsidRPr="00E34332">
        <w:rPr>
          <w:rFonts w:cs="Arial"/>
          <w:b/>
          <w:lang w:val="fr-FR"/>
        </w:rPr>
        <w:t>Améliorer notre compréhension de la connectivité des migrations marines</w:t>
      </w:r>
    </w:p>
    <w:p w14:paraId="18A2E97D" w14:textId="77777777" w:rsidR="00AF1989" w:rsidRPr="00E34332" w:rsidRDefault="00AF1989">
      <w:pPr>
        <w:spacing w:after="0" w:line="240" w:lineRule="auto"/>
        <w:jc w:val="both"/>
        <w:rPr>
          <w:rFonts w:cs="Arial"/>
          <w:b/>
          <w:lang w:val="fr-FR"/>
        </w:rPr>
      </w:pPr>
    </w:p>
    <w:p w14:paraId="3CE43036" w14:textId="77777777" w:rsidR="00AF1989" w:rsidRPr="00E34332" w:rsidRDefault="0020159F">
      <w:pPr>
        <w:spacing w:after="0" w:line="240" w:lineRule="auto"/>
        <w:jc w:val="both"/>
        <w:rPr>
          <w:rFonts w:cs="Arial"/>
          <w:i/>
          <w:lang w:val="fr-FR"/>
        </w:rPr>
      </w:pPr>
      <w:r w:rsidRPr="00E34332">
        <w:rPr>
          <w:rFonts w:cs="Arial"/>
          <w:lang w:val="fr-FR"/>
        </w:rPr>
        <w:t xml:space="preserve">Contribution de : Angela Liu, Lily Bentley et Daniel Dunn – </w:t>
      </w:r>
      <w:r w:rsidRPr="00E34332">
        <w:rPr>
          <w:rFonts w:cs="Arial"/>
          <w:i/>
          <w:lang w:val="fr-FR"/>
        </w:rPr>
        <w:t>Université du Queensland</w:t>
      </w:r>
    </w:p>
    <w:p w14:paraId="191A4C41" w14:textId="77777777" w:rsidR="00AF1989" w:rsidRPr="00E34332" w:rsidRDefault="00AF1989">
      <w:pPr>
        <w:spacing w:after="0" w:line="240" w:lineRule="auto"/>
        <w:jc w:val="both"/>
        <w:rPr>
          <w:rFonts w:cs="Arial"/>
          <w:lang w:val="fr-FR"/>
        </w:rPr>
      </w:pPr>
    </w:p>
    <w:p w14:paraId="20EC1BC7" w14:textId="77777777" w:rsidR="00AF1989" w:rsidRPr="00E34332" w:rsidRDefault="0020159F">
      <w:pPr>
        <w:spacing w:after="0" w:line="240" w:lineRule="auto"/>
        <w:jc w:val="both"/>
        <w:rPr>
          <w:rFonts w:cs="Arial"/>
          <w:lang w:val="fr-FR"/>
        </w:rPr>
      </w:pPr>
      <w:r w:rsidRPr="00E34332">
        <w:rPr>
          <w:rFonts w:cs="Arial"/>
          <w:lang w:val="fr-FR"/>
        </w:rPr>
        <w:t>Le système Connectivité migratoire dans l’océan (</w:t>
      </w:r>
      <w:proofErr w:type="spellStart"/>
      <w:r w:rsidRPr="00E34332">
        <w:fldChar w:fldCharType="begin"/>
      </w:r>
      <w:r w:rsidRPr="00E34332">
        <w:rPr>
          <w:lang w:val="fr-FR"/>
        </w:rPr>
        <w:instrText>HYPERLINK "https://mico.eco/system"</w:instrText>
      </w:r>
      <w:r w:rsidRPr="00E34332">
        <w:fldChar w:fldCharType="separate"/>
      </w:r>
      <w:r w:rsidRPr="00E34332">
        <w:rPr>
          <w:rStyle w:val="Hyperlink"/>
          <w:rFonts w:cs="Arial"/>
          <w:lang w:val="fr-FR"/>
        </w:rPr>
        <w:t>MiCO</w:t>
      </w:r>
      <w:proofErr w:type="spellEnd"/>
      <w:r w:rsidRPr="00E34332">
        <w:fldChar w:fldCharType="end"/>
      </w:r>
      <w:r w:rsidRPr="00E34332">
        <w:rPr>
          <w:rFonts w:cs="Arial"/>
          <w:lang w:val="fr-FR"/>
        </w:rPr>
        <w:t xml:space="preserve">) est un système en ligne à accès libre qui fournit des informations sur la connectivité migratoire pour plus de 100 espèces marines inscrites aux Annexes de la CMS. Il constitue un effort essentiel pour synthétiser et traduire les volumes croissants de données de suivi marines publiées en connaissances exploitables par les décideurs politiques. Établi à partir d’une revue systématique de la littérature comprenant plus de 1 200 articles publiés, </w:t>
      </w:r>
      <w:proofErr w:type="spellStart"/>
      <w:r w:rsidRPr="00E34332">
        <w:rPr>
          <w:rFonts w:cs="Arial"/>
          <w:lang w:val="fr-FR"/>
        </w:rPr>
        <w:t>MiCO</w:t>
      </w:r>
      <w:proofErr w:type="spellEnd"/>
      <w:r w:rsidRPr="00E34332">
        <w:rPr>
          <w:rFonts w:cs="Arial"/>
          <w:lang w:val="fr-FR"/>
        </w:rPr>
        <w:t xml:space="preserve"> agrège les données de déplacement en « </w:t>
      </w:r>
      <w:proofErr w:type="spellStart"/>
      <w:r w:rsidRPr="00E34332">
        <w:rPr>
          <w:rFonts w:cs="Arial"/>
          <w:lang w:val="fr-FR"/>
        </w:rPr>
        <w:t>métasites</w:t>
      </w:r>
      <w:proofErr w:type="spellEnd"/>
      <w:r w:rsidRPr="00E34332">
        <w:rPr>
          <w:rFonts w:cs="Arial"/>
          <w:lang w:val="fr-FR"/>
        </w:rPr>
        <w:t xml:space="preserve"> » clés délimitant les zones de reproduction, d’alimentation, de nidification ou de migration. Les connexions entre ces </w:t>
      </w:r>
      <w:proofErr w:type="spellStart"/>
      <w:r w:rsidRPr="00E34332">
        <w:rPr>
          <w:rFonts w:cs="Arial"/>
          <w:lang w:val="fr-FR"/>
        </w:rPr>
        <w:t>métasites</w:t>
      </w:r>
      <w:proofErr w:type="spellEnd"/>
      <w:r w:rsidRPr="00E34332">
        <w:rPr>
          <w:rFonts w:cs="Arial"/>
          <w:lang w:val="fr-FR"/>
        </w:rPr>
        <w:t xml:space="preserve"> sont représentées sous forme de réseaux interactifs dans le système en ligne (</w:t>
      </w:r>
      <w:r w:rsidRPr="00E34332">
        <w:rPr>
          <w:rFonts w:cs="Arial"/>
          <w:b/>
          <w:lang w:val="fr-FR"/>
        </w:rPr>
        <w:t>figure 4.2</w:t>
      </w:r>
      <w:r w:rsidRPr="00E34332">
        <w:rPr>
          <w:rFonts w:cs="Arial"/>
          <w:lang w:val="fr-FR"/>
        </w:rPr>
        <w:t xml:space="preserve">), affichés aux côtés </w:t>
      </w:r>
      <w:r w:rsidRPr="00E34332">
        <w:rPr>
          <w:rFonts w:cs="Arial"/>
          <w:lang w:val="fr-FR"/>
        </w:rPr>
        <w:lastRenderedPageBreak/>
        <w:t xml:space="preserve">d’informations sur la répartition mondiale des espèces, l’âge, l’activité et le sexe au sein des </w:t>
      </w:r>
      <w:proofErr w:type="spellStart"/>
      <w:r w:rsidRPr="00E34332">
        <w:rPr>
          <w:rFonts w:cs="Arial"/>
          <w:lang w:val="fr-FR"/>
        </w:rPr>
        <w:t>métasites</w:t>
      </w:r>
      <w:proofErr w:type="spellEnd"/>
      <w:r w:rsidRPr="00E34332">
        <w:rPr>
          <w:rFonts w:cs="Arial"/>
          <w:lang w:val="fr-FR"/>
        </w:rPr>
        <w:t xml:space="preserve">, ainsi que, pour certaines espèces, les zones d’utilisation principale issues des données de suivi. Un article récent publié dans </w:t>
      </w:r>
      <w:hyperlink r:id="rId84" w:history="1">
        <w:r w:rsidRPr="00E34332">
          <w:rPr>
            <w:rStyle w:val="Hyperlink"/>
            <w:rFonts w:cs="Arial"/>
            <w:lang w:val="fr-FR"/>
          </w:rPr>
          <w:t>Nature Communications</w:t>
        </w:r>
      </w:hyperlink>
      <w:r w:rsidRPr="00E34332">
        <w:rPr>
          <w:rFonts w:cs="Arial"/>
          <w:lang w:val="fr-FR"/>
        </w:rPr>
        <w:t xml:space="preserve"> résumant la base de données souligne qu’en moyenne, les pays étaient connectés à environ 28 autres territoires nationaux ou à des zones situées au-delà des limites de la juridiction nationale par des espèces marines migratrices, démontrant l’étendue transfrontalière des migrations marines et l’importance de la coopération transfrontalière dans la gestion de ces espèces</w:t>
      </w:r>
      <w:r w:rsidRPr="00E34332">
        <w:rPr>
          <w:rFonts w:cs="Arial"/>
          <w:vertAlign w:val="superscript"/>
          <w:lang w:val="fr-FR"/>
        </w:rPr>
        <w:t>12</w:t>
      </w:r>
      <w:r w:rsidRPr="00E34332">
        <w:rPr>
          <w:rFonts w:cs="Arial"/>
          <w:lang w:val="fr-FR"/>
        </w:rPr>
        <w:t>.</w:t>
      </w:r>
    </w:p>
    <w:p w14:paraId="1CF263AF" w14:textId="77777777" w:rsidR="00AF1989" w:rsidRPr="00E34332" w:rsidRDefault="00AF1989">
      <w:pPr>
        <w:spacing w:after="0" w:line="240" w:lineRule="auto"/>
        <w:jc w:val="both"/>
        <w:rPr>
          <w:rFonts w:cs="Arial"/>
          <w:lang w:val="fr-FR"/>
        </w:rPr>
      </w:pPr>
    </w:p>
    <w:p w14:paraId="19E6E181" w14:textId="77777777" w:rsidR="00AF1989" w:rsidRPr="00E34332" w:rsidRDefault="0020159F">
      <w:pPr>
        <w:spacing w:after="0" w:line="240" w:lineRule="auto"/>
        <w:jc w:val="both"/>
        <w:rPr>
          <w:rFonts w:cs="Arial"/>
          <w:b/>
          <w:lang w:val="fr-FR"/>
        </w:rPr>
      </w:pPr>
      <w:r w:rsidRPr="00E34332">
        <w:rPr>
          <w:rFonts w:cs="Arial"/>
          <w:i/>
          <w:noProof/>
          <w:lang w:val="fr-FR" w:eastAsia="fr-FR"/>
        </w:rPr>
        <w:drawing>
          <wp:inline distT="114300" distB="114300" distL="114300" distR="114300" wp14:anchorId="5BB191D3" wp14:editId="46343860">
            <wp:extent cx="5730903" cy="3642360"/>
            <wp:effectExtent l="0" t="0" r="3175" b="0"/>
            <wp:docPr id="387832638" name="image1.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387832638" name="image1.png" descr="A map of the world&#10;&#10;AI-generated content may be incorrect."/>
                    <pic:cNvPicPr preferRelativeResize="0"/>
                  </pic:nvPicPr>
                  <pic:blipFill rotWithShape="1">
                    <a:blip r:embed="rId85" cstate="print"/>
                    <a:srcRect t="521"/>
                    <a:stretch/>
                  </pic:blipFill>
                  <pic:spPr bwMode="auto">
                    <a:xfrm>
                      <a:off x="0" y="0"/>
                      <a:ext cx="5731510" cy="3642746"/>
                    </a:xfrm>
                    <a:prstGeom prst="rect">
                      <a:avLst/>
                    </a:prstGeom>
                    <a:ln>
                      <a:noFill/>
                    </a:ln>
                    <a:extLst>
                      <a:ext uri="{53640926-AAD7-44D8-BBD7-CCE9431645EC}">
                        <a14:shadowObscured xmlns:a14="http://schemas.microsoft.com/office/drawing/2010/main"/>
                      </a:ext>
                    </a:extLst>
                  </pic:spPr>
                </pic:pic>
              </a:graphicData>
            </a:graphic>
          </wp:inline>
        </w:drawing>
      </w:r>
    </w:p>
    <w:p w14:paraId="4965DCCB" w14:textId="77777777" w:rsidR="00AF1989" w:rsidRPr="00E34332" w:rsidRDefault="0020159F">
      <w:pPr>
        <w:spacing w:after="0" w:line="240" w:lineRule="auto"/>
        <w:jc w:val="both"/>
        <w:rPr>
          <w:rFonts w:cs="Arial"/>
          <w:sz w:val="20"/>
          <w:szCs w:val="20"/>
          <w:lang w:val="fr-FR"/>
        </w:rPr>
      </w:pPr>
      <w:r w:rsidRPr="00E34332">
        <w:rPr>
          <w:rFonts w:cs="Arial"/>
          <w:b/>
          <w:sz w:val="20"/>
          <w:szCs w:val="20"/>
          <w:lang w:val="fr-FR"/>
        </w:rPr>
        <w:t>Figure 4.2 :</w:t>
      </w:r>
      <w:r w:rsidRPr="00E34332">
        <w:rPr>
          <w:rFonts w:cs="Arial"/>
          <w:sz w:val="20"/>
          <w:szCs w:val="20"/>
          <w:lang w:val="fr-FR"/>
        </w:rPr>
        <w:t xml:space="preserve"> Connexions migratoires de la sterne arctique (</w:t>
      </w:r>
      <w:proofErr w:type="spellStart"/>
      <w:r w:rsidRPr="00E34332">
        <w:rPr>
          <w:rFonts w:cs="Arial"/>
          <w:i/>
          <w:sz w:val="20"/>
          <w:szCs w:val="20"/>
          <w:lang w:val="fr-FR"/>
        </w:rPr>
        <w:t>Sterna</w:t>
      </w:r>
      <w:proofErr w:type="spellEnd"/>
      <w:r w:rsidRPr="00E34332">
        <w:rPr>
          <w:rFonts w:cs="Arial"/>
          <w:i/>
          <w:sz w:val="20"/>
          <w:szCs w:val="20"/>
          <w:lang w:val="fr-FR"/>
        </w:rPr>
        <w:t xml:space="preserve"> </w:t>
      </w:r>
      <w:proofErr w:type="spellStart"/>
      <w:r w:rsidRPr="00E34332">
        <w:rPr>
          <w:rFonts w:cs="Arial"/>
          <w:i/>
          <w:sz w:val="20"/>
          <w:szCs w:val="20"/>
          <w:lang w:val="fr-FR"/>
        </w:rPr>
        <w:t>paradisaea</w:t>
      </w:r>
      <w:proofErr w:type="spellEnd"/>
      <w:r w:rsidRPr="00E34332">
        <w:rPr>
          <w:rFonts w:cs="Arial"/>
          <w:sz w:val="20"/>
          <w:szCs w:val="20"/>
          <w:lang w:val="fr-FR"/>
        </w:rPr>
        <w:t xml:space="preserve">) dans </w:t>
      </w:r>
      <w:proofErr w:type="spellStart"/>
      <w:r w:rsidRPr="00E34332">
        <w:rPr>
          <w:rFonts w:cs="Arial"/>
          <w:sz w:val="20"/>
          <w:szCs w:val="20"/>
          <w:lang w:val="fr-FR"/>
        </w:rPr>
        <w:t>MiCO</w:t>
      </w:r>
      <w:proofErr w:type="spellEnd"/>
      <w:r w:rsidRPr="00E34332">
        <w:rPr>
          <w:rFonts w:cs="Arial"/>
          <w:sz w:val="20"/>
          <w:szCs w:val="20"/>
          <w:lang w:val="fr-FR"/>
        </w:rPr>
        <w:t>.</w:t>
      </w:r>
    </w:p>
    <w:p w14:paraId="63D423CC" w14:textId="77777777" w:rsidR="00AF1989" w:rsidRPr="00E34332" w:rsidRDefault="00AF1989">
      <w:pPr>
        <w:spacing w:after="0" w:line="240" w:lineRule="auto"/>
        <w:jc w:val="both"/>
        <w:rPr>
          <w:rFonts w:cs="Arial"/>
          <w:lang w:val="fr-FR"/>
        </w:rPr>
      </w:pPr>
    </w:p>
    <w:p w14:paraId="5C6E30F5" w14:textId="77777777" w:rsidR="00AF1989" w:rsidRPr="00E34332" w:rsidRDefault="0020159F">
      <w:pPr>
        <w:spacing w:after="0" w:line="240" w:lineRule="auto"/>
        <w:jc w:val="both"/>
        <w:rPr>
          <w:rFonts w:cs="Arial"/>
          <w:b/>
          <w:lang w:val="fr-FR"/>
        </w:rPr>
      </w:pPr>
      <w:proofErr w:type="spellStart"/>
      <w:r w:rsidRPr="00E34332">
        <w:rPr>
          <w:rFonts w:cs="Arial"/>
          <w:lang w:val="fr-FR"/>
        </w:rPr>
        <w:t>MiCO</w:t>
      </w:r>
      <w:proofErr w:type="spellEnd"/>
      <w:r w:rsidRPr="00E34332">
        <w:rPr>
          <w:rFonts w:cs="Arial"/>
          <w:lang w:val="fr-FR"/>
        </w:rPr>
        <w:t xml:space="preserve"> a été spécialement développé pour contribuer à la mise en place d’un réseau « bien connecté » d’aires marines protégées afin d’atteindre l’Objectif 11 d’Aichi et, désormais, l’Objectif 3 du Cadre mondial de la biodiversité de Kunming-Montréal. Auparavant, la connectivité entre les aires protégées était calculée en fonction de la distance qui les sépare ou à l’aide de modèles de transport des larves. Cet ensemble de données ouvre une toute nouvelle manière de comprendre la connectivité et de calculer la connectivité entre les AMP – en se concentrant sur les espèces que nous cherchons le plus souvent à protéger. Les recherches actuelles visent à exploiter </w:t>
      </w:r>
      <w:proofErr w:type="spellStart"/>
      <w:r w:rsidRPr="00E34332">
        <w:rPr>
          <w:rFonts w:cs="Arial"/>
          <w:lang w:val="fr-FR"/>
        </w:rPr>
        <w:t>MiCO</w:t>
      </w:r>
      <w:proofErr w:type="spellEnd"/>
      <w:r w:rsidRPr="00E34332">
        <w:rPr>
          <w:rFonts w:cs="Arial"/>
          <w:lang w:val="fr-FR"/>
        </w:rPr>
        <w:t xml:space="preserve"> en parallèle avec des ensembles de données sur les zones importantes, tels que les zones clés pour la biodiversité (ZCB), les aires importantes pour les mammifères marins (AIMM), les aires importantes pour les requins et les raies (AIRR) et les aires marines d’importance écologique et biologique (AMIEB), afin de mieux comprendre la connectivité entre ces sites et de fournir un cadre pour évaluer l’état de protection des </w:t>
      </w:r>
      <w:proofErr w:type="spellStart"/>
      <w:r w:rsidRPr="00E34332">
        <w:rPr>
          <w:rFonts w:cs="Arial"/>
          <w:lang w:val="fr-FR"/>
        </w:rPr>
        <w:t>mégavertébrés</w:t>
      </w:r>
      <w:proofErr w:type="spellEnd"/>
      <w:r w:rsidRPr="00E34332">
        <w:rPr>
          <w:rFonts w:cs="Arial"/>
          <w:lang w:val="fr-FR"/>
        </w:rPr>
        <w:t xml:space="preserve"> marins migrateurs. Fait crucial, </w:t>
      </w:r>
      <w:proofErr w:type="spellStart"/>
      <w:r w:rsidRPr="00E34332">
        <w:rPr>
          <w:rFonts w:cs="Arial"/>
          <w:lang w:val="fr-FR"/>
        </w:rPr>
        <w:t>MiCO</w:t>
      </w:r>
      <w:proofErr w:type="spellEnd"/>
      <w:r w:rsidRPr="00E34332">
        <w:rPr>
          <w:rFonts w:cs="Arial"/>
          <w:lang w:val="fr-FR"/>
        </w:rPr>
        <w:t xml:space="preserve"> aide également à identifier les lacunes taxonomiques et géographiques dans nos connaissances sur les déplacements des espèces migratrices, permettant ainsi de concentrer les nouvelles recherches sur les domaines nécessitant une attention particulière.</w:t>
      </w:r>
      <w:r w:rsidRPr="00E34332">
        <w:rPr>
          <w:rFonts w:cs="Arial"/>
          <w:b/>
          <w:lang w:val="fr-FR"/>
        </w:rPr>
        <w:t xml:space="preserve"> </w:t>
      </w:r>
    </w:p>
    <w:p w14:paraId="0A591DC5" w14:textId="77777777" w:rsidR="00AF1989" w:rsidRPr="00E34332" w:rsidRDefault="0020159F">
      <w:pPr>
        <w:spacing w:after="0" w:line="240" w:lineRule="auto"/>
        <w:jc w:val="both"/>
        <w:rPr>
          <w:rFonts w:cs="Arial"/>
          <w:b/>
          <w:color w:val="003870"/>
          <w:lang w:val="fr-FR"/>
        </w:rPr>
      </w:pPr>
      <w:r w:rsidRPr="00E34332">
        <w:rPr>
          <w:rFonts w:cs="Arial"/>
          <w:b/>
          <w:color w:val="003870"/>
          <w:lang w:val="fr-FR"/>
        </w:rPr>
        <w:br w:type="page"/>
      </w:r>
    </w:p>
    <w:p w14:paraId="17D7BE39" w14:textId="77777777" w:rsidR="00AF1989" w:rsidRPr="00E34332" w:rsidRDefault="0020159F">
      <w:pPr>
        <w:spacing w:after="0" w:line="240" w:lineRule="auto"/>
        <w:jc w:val="both"/>
        <w:rPr>
          <w:rFonts w:cs="Arial"/>
          <w:b/>
          <w:lang w:val="fr-FR"/>
        </w:rPr>
      </w:pPr>
      <w:r w:rsidRPr="00E34332">
        <w:rPr>
          <w:rFonts w:cs="Arial"/>
          <w:b/>
          <w:lang w:val="fr-FR"/>
        </w:rPr>
        <w:lastRenderedPageBreak/>
        <w:t>Cartographier les voies migratoires marines des oiseaux de mer migrateurs</w:t>
      </w:r>
    </w:p>
    <w:p w14:paraId="4AA95843" w14:textId="77777777" w:rsidR="00AF1989" w:rsidRPr="00E34332" w:rsidRDefault="00AF1989">
      <w:pPr>
        <w:spacing w:after="0" w:line="240" w:lineRule="auto"/>
        <w:jc w:val="both"/>
        <w:rPr>
          <w:rFonts w:cs="Arial"/>
          <w:b/>
          <w:lang w:val="fr-FR"/>
        </w:rPr>
      </w:pPr>
    </w:p>
    <w:p w14:paraId="5DABEE16" w14:textId="77777777" w:rsidR="00AF1989" w:rsidRPr="00E34332" w:rsidRDefault="0020159F">
      <w:pPr>
        <w:spacing w:after="0" w:line="240" w:lineRule="auto"/>
        <w:jc w:val="both"/>
        <w:rPr>
          <w:rFonts w:cs="Arial"/>
          <w:lang w:val="fr-FR"/>
        </w:rPr>
      </w:pPr>
      <w:r w:rsidRPr="00E34332">
        <w:rPr>
          <w:rFonts w:cs="Arial"/>
          <w:lang w:val="fr-FR"/>
        </w:rPr>
        <w:t xml:space="preserve">L’identification des six principales </w:t>
      </w:r>
      <w:hyperlink r:id="rId86" w:history="1">
        <w:r w:rsidRPr="00E34332">
          <w:rPr>
            <w:rStyle w:val="Hyperlink"/>
            <w:rFonts w:cs="Arial"/>
            <w:lang w:val="fr-FR"/>
          </w:rPr>
          <w:t>voies migratoires marines</w:t>
        </w:r>
      </w:hyperlink>
      <w:r w:rsidRPr="00E34332">
        <w:rPr>
          <w:rFonts w:cs="Arial"/>
          <w:lang w:val="fr-FR"/>
        </w:rPr>
        <w:t xml:space="preserve"> à partir des données de suivi compilées dans la </w:t>
      </w:r>
      <w:hyperlink r:id="rId87" w:history="1">
        <w:r w:rsidRPr="00E34332">
          <w:rPr>
            <w:rStyle w:val="Hyperlink"/>
            <w:rFonts w:cs="Arial"/>
            <w:lang w:val="fr-FR"/>
          </w:rPr>
          <w:t>base de données de suivi des oiseaux de mer</w:t>
        </w:r>
      </w:hyperlink>
      <w:r w:rsidRPr="00E34332">
        <w:rPr>
          <w:rStyle w:val="Hyperlink"/>
          <w:rFonts w:cs="Arial"/>
          <w:lang w:val="fr-FR"/>
        </w:rPr>
        <w:t xml:space="preserve"> de </w:t>
      </w:r>
      <w:proofErr w:type="spellStart"/>
      <w:r w:rsidRPr="00E34332">
        <w:rPr>
          <w:rStyle w:val="Hyperlink"/>
          <w:rFonts w:cs="Arial"/>
          <w:lang w:val="fr-FR"/>
        </w:rPr>
        <w:t>BirdLife</w:t>
      </w:r>
      <w:proofErr w:type="spellEnd"/>
      <w:r w:rsidRPr="00E34332">
        <w:rPr>
          <w:rStyle w:val="Hyperlink"/>
          <w:rFonts w:cs="Arial"/>
          <w:lang w:val="fr-FR"/>
        </w:rPr>
        <w:t xml:space="preserve"> International constitue une autre avancée majeure récente en matière de connectivité migratoire dans le milieu marin (</w:t>
      </w:r>
      <w:r w:rsidRPr="00E34332">
        <w:rPr>
          <w:rStyle w:val="Hyperlink"/>
          <w:rFonts w:cs="Arial"/>
          <w:b/>
          <w:lang w:val="fr-FR"/>
        </w:rPr>
        <w:t>figure 4.3</w:t>
      </w:r>
      <w:r w:rsidRPr="00E34332">
        <w:rPr>
          <w:rStyle w:val="Hyperlink"/>
          <w:rFonts w:cs="Arial"/>
          <w:lang w:val="fr-FR"/>
        </w:rPr>
        <w:t>)</w:t>
      </w:r>
      <w:r w:rsidRPr="00E34332">
        <w:rPr>
          <w:rFonts w:cs="Arial"/>
          <w:lang w:val="fr-FR"/>
        </w:rPr>
        <w:t>. Ces voies migratoires permettent d’illustrer les grands itinéraires suivis par de nombreuses espèces d’oiseaux de mer à travers les océans du monde</w:t>
      </w:r>
      <w:r w:rsidRPr="00E34332">
        <w:rPr>
          <w:rFonts w:cs="Arial"/>
          <w:vertAlign w:val="superscript"/>
          <w:lang w:val="fr-FR"/>
        </w:rPr>
        <w:t>13</w:t>
      </w:r>
      <w:r w:rsidRPr="00E34332">
        <w:rPr>
          <w:rFonts w:cs="Arial"/>
          <w:lang w:val="fr-FR"/>
        </w:rPr>
        <w:t xml:space="preserve">. Un projet de Résolution sur les oiseaux de mer et les voies migratoires marines sera examiné lors de la COP15 de la CMS afin de reconnaître officiellement les voies migratoires marines et leur contribution au renforcement de la coopération internationale pour la conservation des oiseaux de mer.    </w:t>
      </w:r>
    </w:p>
    <w:p w14:paraId="27D9A37A" w14:textId="77777777" w:rsidR="00AF1989" w:rsidRPr="00E34332" w:rsidRDefault="00AF1989">
      <w:pPr>
        <w:spacing w:after="0" w:line="240" w:lineRule="auto"/>
        <w:jc w:val="both"/>
        <w:rPr>
          <w:rFonts w:cs="Arial"/>
          <w:lang w:val="fr-FR"/>
        </w:rPr>
      </w:pPr>
    </w:p>
    <w:p w14:paraId="63613EDC" w14:textId="77777777" w:rsidR="00AF1989" w:rsidRPr="00E34332" w:rsidRDefault="0020159F">
      <w:pPr>
        <w:pStyle w:val="NormalWeb"/>
        <w:spacing w:before="0" w:beforeAutospacing="0" w:after="0" w:afterAutospacing="0"/>
        <w:jc w:val="both"/>
        <w:rPr>
          <w:rFonts w:ascii="Arial" w:hAnsi="Arial" w:cs="Arial"/>
          <w:sz w:val="22"/>
          <w:szCs w:val="22"/>
          <w:lang w:val="fr-FR"/>
        </w:rPr>
      </w:pPr>
      <w:r w:rsidRPr="00E34332">
        <w:rPr>
          <w:rFonts w:ascii="Arial" w:hAnsi="Arial" w:cs="Arial"/>
          <w:noProof/>
          <w:sz w:val="22"/>
          <w:szCs w:val="22"/>
          <w:lang w:val="fr-FR" w:eastAsia="fr-FR"/>
        </w:rPr>
        <w:drawing>
          <wp:inline distT="0" distB="0" distL="0" distR="0" wp14:anchorId="5C6383DB" wp14:editId="70C63F3F">
            <wp:extent cx="5731510" cy="3224530"/>
            <wp:effectExtent l="0" t="0" r="2540" b="0"/>
            <wp:docPr id="1053908056" name="Picture 1" descr="A map of the world with different colored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08056" name="Picture 1" descr="A map of the world with different colored spots&#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24B558F6" w14:textId="77777777" w:rsidR="00AF1989" w:rsidRPr="00E34332" w:rsidRDefault="0020159F">
      <w:pPr>
        <w:pStyle w:val="NormalWeb"/>
        <w:spacing w:before="0" w:beforeAutospacing="0" w:after="0" w:afterAutospacing="0"/>
        <w:jc w:val="both"/>
        <w:rPr>
          <w:rFonts w:ascii="Arial" w:hAnsi="Arial" w:cs="Arial"/>
          <w:b/>
          <w:bCs/>
          <w:sz w:val="20"/>
          <w:szCs w:val="20"/>
          <w:lang w:val="fr-FR"/>
        </w:rPr>
      </w:pPr>
      <w:r w:rsidRPr="00E34332">
        <w:rPr>
          <w:rFonts w:ascii="Arial" w:hAnsi="Arial" w:cs="Arial"/>
          <w:b/>
          <w:sz w:val="20"/>
          <w:szCs w:val="20"/>
          <w:lang w:val="fr-FR"/>
        </w:rPr>
        <w:t xml:space="preserve">Figure 4.3 : </w:t>
      </w:r>
      <w:r w:rsidRPr="00E34332">
        <w:rPr>
          <w:rFonts w:ascii="Arial" w:hAnsi="Arial" w:cs="Arial"/>
          <w:sz w:val="20"/>
          <w:szCs w:val="20"/>
          <w:lang w:val="fr-FR"/>
        </w:rPr>
        <w:t xml:space="preserve">Les six voies migratoires marines à travers les océans du monde, illustrant les migrations récurrentes des oiseaux de mer pélagiques. </w:t>
      </w:r>
      <w:r w:rsidRPr="00E34332">
        <w:rPr>
          <w:rFonts w:ascii="Arial" w:hAnsi="Arial" w:cs="Arial"/>
          <w:i/>
          <w:sz w:val="20"/>
          <w:szCs w:val="20"/>
          <w:lang w:val="fr-FR"/>
        </w:rPr>
        <w:t>Crédit image</w:t>
      </w:r>
      <w:r w:rsidRPr="00E34332">
        <w:rPr>
          <w:rFonts w:ascii="Arial" w:hAnsi="Arial" w:cs="Arial"/>
          <w:sz w:val="20"/>
          <w:szCs w:val="20"/>
          <w:lang w:val="fr-FR"/>
        </w:rPr>
        <w:t xml:space="preserve"> : </w:t>
      </w:r>
      <w:proofErr w:type="spellStart"/>
      <w:r w:rsidRPr="00E34332">
        <w:rPr>
          <w:rFonts w:ascii="Arial" w:hAnsi="Arial" w:cs="Arial"/>
          <w:sz w:val="20"/>
          <w:szCs w:val="20"/>
          <w:lang w:val="fr-FR"/>
        </w:rPr>
        <w:t>BirdLife</w:t>
      </w:r>
      <w:proofErr w:type="spellEnd"/>
      <w:r w:rsidRPr="00E34332">
        <w:rPr>
          <w:rFonts w:ascii="Arial" w:hAnsi="Arial" w:cs="Arial"/>
          <w:sz w:val="20"/>
          <w:szCs w:val="20"/>
          <w:lang w:val="fr-FR"/>
        </w:rPr>
        <w:t xml:space="preserve"> International.</w:t>
      </w:r>
    </w:p>
    <w:p w14:paraId="5C22A371" w14:textId="77777777" w:rsidR="00AF1989" w:rsidRPr="00E34332" w:rsidRDefault="00AF1989">
      <w:pPr>
        <w:spacing w:after="0" w:line="240" w:lineRule="auto"/>
        <w:jc w:val="both"/>
        <w:rPr>
          <w:rFonts w:cs="Arial"/>
          <w:b/>
          <w:lang w:val="fr-FR"/>
        </w:rPr>
      </w:pPr>
    </w:p>
    <w:p w14:paraId="37E50A3B" w14:textId="77777777" w:rsidR="00AF1989" w:rsidRPr="00E34332" w:rsidRDefault="0020159F">
      <w:pPr>
        <w:pStyle w:val="Heading1"/>
        <w:spacing w:before="0" w:line="240" w:lineRule="auto"/>
        <w:jc w:val="both"/>
        <w:rPr>
          <w:rFonts w:ascii="Arial" w:hAnsi="Arial" w:cs="Arial"/>
          <w:b/>
          <w:bCs/>
          <w:color w:val="auto"/>
          <w:sz w:val="22"/>
          <w:szCs w:val="22"/>
          <w:lang w:val="fr-FR"/>
        </w:rPr>
      </w:pPr>
      <w:r w:rsidRPr="00E34332">
        <w:rPr>
          <w:rFonts w:ascii="Roboto" w:hAnsi="Roboto"/>
          <w:b/>
          <w:color w:val="003870"/>
          <w:lang w:val="fr-FR"/>
        </w:rPr>
        <w:br w:type="page"/>
      </w:r>
      <w:bookmarkStart w:id="12" w:name="_Toc210914224"/>
      <w:r w:rsidRPr="00E34332">
        <w:rPr>
          <w:rFonts w:ascii="Arial" w:hAnsi="Arial" w:cs="Arial"/>
          <w:b/>
          <w:bCs/>
          <w:color w:val="auto"/>
          <w:sz w:val="22"/>
          <w:szCs w:val="22"/>
          <w:lang w:val="fr-FR"/>
        </w:rPr>
        <w:lastRenderedPageBreak/>
        <w:t>Conclusion</w:t>
      </w:r>
      <w:bookmarkEnd w:id="12"/>
    </w:p>
    <w:p w14:paraId="68C64DA7" w14:textId="77777777" w:rsidR="00AF1989" w:rsidRPr="00E34332" w:rsidRDefault="00AF1989">
      <w:pPr>
        <w:spacing w:after="0" w:line="240" w:lineRule="auto"/>
        <w:rPr>
          <w:lang w:val="fr-FR"/>
        </w:rPr>
      </w:pPr>
    </w:p>
    <w:p w14:paraId="1A9DDFCE" w14:textId="77777777" w:rsidR="00AF1989" w:rsidRPr="00E34332" w:rsidRDefault="0020159F">
      <w:pPr>
        <w:spacing w:after="0" w:line="240" w:lineRule="auto"/>
        <w:jc w:val="both"/>
        <w:rPr>
          <w:rFonts w:cs="Arial"/>
          <w:lang w:val="fr-FR"/>
        </w:rPr>
      </w:pPr>
      <w:r w:rsidRPr="00E34332">
        <w:rPr>
          <w:rFonts w:cs="Arial"/>
          <w:lang w:val="fr-FR"/>
        </w:rPr>
        <w:t xml:space="preserve">Le premier </w:t>
      </w:r>
      <w:hyperlink r:id="rId89" w:history="1">
        <w:r w:rsidRPr="00E34332">
          <w:rPr>
            <w:rStyle w:val="Hyperlink"/>
            <w:rFonts w:cs="Arial"/>
            <w:i/>
            <w:lang w:val="fr-FR"/>
          </w:rPr>
          <w:t>Rapport sur l’état des espèces migratrices dans le monde</w:t>
        </w:r>
      </w:hyperlink>
      <w:r w:rsidRPr="00E34332">
        <w:rPr>
          <w:rFonts w:cs="Arial"/>
          <w:lang w:val="fr-FR"/>
        </w:rPr>
        <w:t xml:space="preserve">, lancé lors de la COP14 de la CMS en février 2024, a révélé que les espèces inscrites aux Annexes de la CMS sont confrontées à un risque d’extinction croissant, avec davantage de populations mondiales en déclin qu’en amélioration entre 1988 et 2020. Les niveaux de risque d’extinction ont également augmenté au sein du groupe plus large de toutes les espèces migratrices, qui comprend de nombreuses espèces menacées à l’échelle mondiale non inscrites aux Annexes de la CMS. Le premier </w:t>
      </w:r>
      <w:r w:rsidRPr="00E34332">
        <w:rPr>
          <w:rFonts w:cs="Arial"/>
          <w:i/>
          <w:lang w:val="fr-FR"/>
        </w:rPr>
        <w:t>Rapport sur l’état des espèces migratrices dans le monde</w:t>
      </w:r>
      <w:r w:rsidRPr="00E34332">
        <w:rPr>
          <w:rFonts w:cs="Arial"/>
          <w:lang w:val="fr-FR"/>
        </w:rPr>
        <w:t xml:space="preserve"> a également révélé que 22 % des espèces inscrites aux Annexes de la CMS étaient menacées à l’échelle mondiale et que 44 % connaissaient un déclin de leurs populations mondiales, une proportion supérieure à celle des espèces aux populations stables (31 %) ou en augmentation (12 %). En analysant une version plus récente de la Liste rouge de l'UICN, qui inclut plusieurs nouvelles évaluations pour les espèces inscrites aux Annexes de la CMS, ce rapport intérimaire conclut que 24 % des espèces inscrites aux Annexes de la CMS sont désormais menacées d'extinction, et que 49 % d'entre elles connaissent des tendances de déclin démographique.</w:t>
      </w:r>
    </w:p>
    <w:p w14:paraId="359F9709" w14:textId="77777777" w:rsidR="00AF1989" w:rsidRPr="00E34332" w:rsidRDefault="00AF1989">
      <w:pPr>
        <w:spacing w:after="0" w:line="240" w:lineRule="auto"/>
        <w:jc w:val="both"/>
        <w:rPr>
          <w:rFonts w:cs="Arial"/>
          <w:lang w:val="fr-FR"/>
        </w:rPr>
      </w:pPr>
    </w:p>
    <w:p w14:paraId="46720CC3" w14:textId="77777777" w:rsidR="00AF1989" w:rsidRPr="00E34332" w:rsidRDefault="0020159F">
      <w:pPr>
        <w:spacing w:after="0" w:line="240" w:lineRule="auto"/>
        <w:jc w:val="both"/>
        <w:rPr>
          <w:rFonts w:cs="Arial"/>
          <w:lang w:val="fr-FR"/>
        </w:rPr>
      </w:pPr>
      <w:r w:rsidRPr="00E34332">
        <w:rPr>
          <w:rFonts w:cs="Arial"/>
          <w:lang w:val="fr-FR"/>
        </w:rPr>
        <w:t xml:space="preserve">Bien que toutes les espèces inscrites aux Annexes de la CMS n’aient pas été réévaluées par la Liste rouge de l'UICN depuis la première édition du </w:t>
      </w:r>
      <w:r w:rsidRPr="00E34332">
        <w:rPr>
          <w:rFonts w:cs="Arial"/>
          <w:i/>
          <w:lang w:val="fr-FR"/>
        </w:rPr>
        <w:t>Rapport sur l'état des espèces migratrices dans le monde</w:t>
      </w:r>
      <w:r w:rsidRPr="00E34332">
        <w:rPr>
          <w:rFonts w:cs="Arial"/>
          <w:lang w:val="fr-FR"/>
        </w:rPr>
        <w:t xml:space="preserve">, vingt-six espèces ont été classées dans une catégorie de menace plus élevée de l'UICN, tandis que seulement sept ont été déplacées vers une catégorie de menace moins élevée. Ces statistiques soulignent la nécessité d'une action urgente de conservation. Bien que ce rapport présente quelques exemples inspirants d'efforts de conservation réussis, la majorité des changements démographiques récemment signalés soulignent des raisons de préoccupation. </w:t>
      </w:r>
    </w:p>
    <w:p w14:paraId="20605C2D" w14:textId="77777777" w:rsidR="00AF1989" w:rsidRPr="00E34332" w:rsidRDefault="00AF1989">
      <w:pPr>
        <w:spacing w:after="0" w:line="240" w:lineRule="auto"/>
        <w:jc w:val="both"/>
        <w:rPr>
          <w:rFonts w:cs="Arial"/>
          <w:lang w:val="fr-FR"/>
        </w:rPr>
      </w:pPr>
    </w:p>
    <w:p w14:paraId="2BBCDAD4" w14:textId="77777777" w:rsidR="00AF1989" w:rsidRPr="00E34332" w:rsidRDefault="0020159F">
      <w:pPr>
        <w:spacing w:after="0" w:line="240" w:lineRule="auto"/>
        <w:jc w:val="both"/>
        <w:rPr>
          <w:rFonts w:cs="Arial"/>
          <w:lang w:val="fr-FR"/>
        </w:rPr>
      </w:pPr>
      <w:r w:rsidRPr="00E34332">
        <w:rPr>
          <w:rFonts w:cs="Arial"/>
          <w:lang w:val="fr-FR"/>
        </w:rPr>
        <w:t xml:space="preserve">Le premier </w:t>
      </w:r>
      <w:r w:rsidRPr="00E34332">
        <w:rPr>
          <w:rFonts w:cs="Arial"/>
          <w:i/>
          <w:lang w:val="fr-FR"/>
        </w:rPr>
        <w:t>Rapport sur l’état des espèces migratrices dans le monde</w:t>
      </w:r>
      <w:r w:rsidRPr="00E34332">
        <w:rPr>
          <w:rFonts w:cs="Arial"/>
          <w:lang w:val="fr-FR"/>
        </w:rPr>
        <w:t xml:space="preserve"> a montré que, bien que certaines lacunes importantes subsistent, les pressions anthropiques auxquelles sont confrontées les espèces inscrites aux Annexes de la CMS sont relativement bien comprises. Ces pressions comprennent la perte et la dégradation des habitats, la fragmentation des habitats, la surexploitation, la pollution, le changement climatique et les espèces envahissantes. Le premier </w:t>
      </w:r>
      <w:r w:rsidRPr="00E34332">
        <w:rPr>
          <w:rFonts w:cs="Arial"/>
          <w:i/>
          <w:lang w:val="fr-FR"/>
        </w:rPr>
        <w:t>Rapport sur l’état des espèces migratrices dans le monde</w:t>
      </w:r>
      <w:r w:rsidRPr="00E34332">
        <w:rPr>
          <w:rFonts w:cs="Arial"/>
          <w:lang w:val="fr-FR"/>
        </w:rPr>
        <w:t xml:space="preserve"> a présenté un ensemble clair de recommandations spécifiques pour des actions prioritaires qui, si elles étaient mises en œuvre à grande échelle, aideraient à lutter contre ces pressions et, en fin de compte, à améliorer le statut de conservation des espèces migratrices. Ces recommandations restent inchangées et doivent être appliquées avec une urgence accrue. </w:t>
      </w:r>
    </w:p>
    <w:p w14:paraId="0723BE80" w14:textId="77777777" w:rsidR="00AF1989" w:rsidRPr="00E34332" w:rsidRDefault="00AF1989">
      <w:pPr>
        <w:spacing w:after="0" w:line="240" w:lineRule="auto"/>
        <w:jc w:val="both"/>
        <w:rPr>
          <w:rFonts w:cs="Arial"/>
          <w:lang w:val="fr-FR"/>
        </w:rPr>
      </w:pPr>
    </w:p>
    <w:p w14:paraId="014FF2EB" w14:textId="77777777" w:rsidR="00AF1989" w:rsidRPr="00E34332" w:rsidRDefault="0020159F">
      <w:pPr>
        <w:spacing w:after="0" w:line="240" w:lineRule="auto"/>
        <w:jc w:val="both"/>
        <w:rPr>
          <w:rFonts w:cs="Arial"/>
          <w:lang w:val="fr-FR"/>
        </w:rPr>
      </w:pPr>
      <w:r w:rsidRPr="00E34332">
        <w:rPr>
          <w:rFonts w:cs="Arial"/>
          <w:lang w:val="fr-FR"/>
        </w:rPr>
        <w:t>En particulier, il reste absolument essentiel d’agir pour protéger, connecter et restaurer les habitats, si l’on veut préserver l’intégrité des réseaux écologiques et des écosystèmes dont dépendent les espèces inscrites aux Annexes de la CMS. Si des progrès ont été réalisés dans l'identification des sites importants et des voies de migration, des travaux d'étude, de surveillance et de suivi restent nécessaires pour identifier de manière exhaustive les réseaux de sites et de zones utilisés par les espèces migratrices à l'échelle mondiale. Les nouvelles perspectives offertes par les initiatives dédiées à la cartographie des parcours migratoires joueront un rôle essentiel dans l'amélioration des bases factuelles nécessaires pour soutenir l'action.</w:t>
      </w:r>
    </w:p>
    <w:p w14:paraId="7326E09C" w14:textId="77777777" w:rsidR="00AF1989" w:rsidRPr="00E34332" w:rsidRDefault="00AF1989">
      <w:pPr>
        <w:spacing w:after="0" w:line="240" w:lineRule="auto"/>
        <w:jc w:val="both"/>
        <w:rPr>
          <w:rFonts w:cs="Arial"/>
          <w:lang w:val="fr-FR"/>
        </w:rPr>
      </w:pPr>
    </w:p>
    <w:p w14:paraId="3583A634" w14:textId="77777777" w:rsidR="00AF1989" w:rsidRPr="00E34332" w:rsidRDefault="0020159F">
      <w:pPr>
        <w:spacing w:after="0" w:line="240" w:lineRule="auto"/>
        <w:jc w:val="both"/>
        <w:rPr>
          <w:rFonts w:cs="Arial"/>
          <w:lang w:val="fr-FR"/>
        </w:rPr>
      </w:pPr>
      <w:r w:rsidRPr="00E34332">
        <w:rPr>
          <w:rFonts w:cs="Arial"/>
          <w:lang w:val="fr-FR"/>
        </w:rPr>
        <w:t>De plus, une action collaborative rapide est nécessaire pour lutter contre la surexploitation, réduire les impacts néfastes de la pollution environnementale et s’attaquer aux causes profondes ainsi qu’aux effets transversaux du changement climatique. Accélérer les progrès dans tous ces domaines garantira un avenir meilleur pour les espèces inscrites aux Annexes de la CMS, conformément à la vision énoncée dans le Plan stratégique de Samarcande pour les espèces migratrices 2024–2032.</w:t>
      </w:r>
      <w:r w:rsidRPr="00E34332">
        <w:rPr>
          <w:rFonts w:cs="Arial"/>
          <w:b/>
          <w:lang w:val="fr-FR"/>
        </w:rPr>
        <w:br w:type="page"/>
      </w:r>
    </w:p>
    <w:p w14:paraId="168BDCB4" w14:textId="77777777" w:rsidR="00AF1989" w:rsidRPr="00E34332" w:rsidRDefault="0020159F">
      <w:pPr>
        <w:pStyle w:val="Heading1"/>
        <w:spacing w:before="0" w:line="240" w:lineRule="auto"/>
        <w:rPr>
          <w:rFonts w:ascii="Arial" w:hAnsi="Arial" w:cs="Arial"/>
          <w:b/>
          <w:color w:val="auto"/>
          <w:sz w:val="22"/>
          <w:szCs w:val="22"/>
          <w:lang w:val="fr-FR"/>
        </w:rPr>
      </w:pPr>
      <w:bookmarkStart w:id="13" w:name="_Toc210914225"/>
      <w:r w:rsidRPr="00E34332">
        <w:rPr>
          <w:rFonts w:ascii="Arial" w:hAnsi="Arial" w:cs="Arial"/>
          <w:b/>
          <w:color w:val="auto"/>
          <w:sz w:val="22"/>
          <w:szCs w:val="22"/>
          <w:lang w:val="fr-FR"/>
        </w:rPr>
        <w:lastRenderedPageBreak/>
        <w:t>Annexe</w:t>
      </w:r>
      <w:bookmarkEnd w:id="13"/>
    </w:p>
    <w:p w14:paraId="0E9EA7A1" w14:textId="77777777" w:rsidR="00AF1989" w:rsidRPr="00E34332" w:rsidRDefault="00AF1989">
      <w:pPr>
        <w:spacing w:after="0" w:line="240" w:lineRule="auto"/>
        <w:jc w:val="both"/>
        <w:rPr>
          <w:rFonts w:cs="Arial"/>
          <w:lang w:val="fr-FR"/>
        </w:rPr>
      </w:pPr>
    </w:p>
    <w:p w14:paraId="779194D7" w14:textId="77777777" w:rsidR="00AF1989" w:rsidRPr="00E34332" w:rsidRDefault="0020159F">
      <w:pPr>
        <w:spacing w:after="0" w:line="240" w:lineRule="auto"/>
        <w:jc w:val="both"/>
        <w:rPr>
          <w:rFonts w:cs="Arial"/>
          <w:sz w:val="20"/>
          <w:szCs w:val="20"/>
          <w:lang w:val="fr-FR"/>
        </w:rPr>
      </w:pPr>
      <w:r w:rsidRPr="00E34332">
        <w:rPr>
          <w:rFonts w:cs="Arial"/>
          <w:b/>
          <w:sz w:val="20"/>
          <w:szCs w:val="20"/>
          <w:lang w:val="fr-FR"/>
        </w:rPr>
        <w:t>Tableau 1 :</w:t>
      </w:r>
      <w:r w:rsidRPr="00E34332">
        <w:rPr>
          <w:rFonts w:cs="Arial"/>
          <w:sz w:val="20"/>
          <w:szCs w:val="20"/>
          <w:lang w:val="fr-FR"/>
        </w:rPr>
        <w:t xml:space="preserve"> Aperçu des 34 espèces inscrites aux Annexes de la CMS qui ont été reclassées par la Liste rouge de l’UICN depuis l’analyse menée pour le </w:t>
      </w:r>
      <w:r w:rsidRPr="00E34332">
        <w:rPr>
          <w:rFonts w:cs="Arial"/>
          <w:i/>
          <w:sz w:val="20"/>
          <w:szCs w:val="20"/>
          <w:lang w:val="fr-FR"/>
        </w:rPr>
        <w:t>Rapport sur l’état des espèces migratrices dans le monde</w:t>
      </w:r>
      <w:r w:rsidRPr="00E34332">
        <w:rPr>
          <w:rFonts w:cs="Arial"/>
          <w:sz w:val="20"/>
          <w:szCs w:val="20"/>
          <w:lang w:val="fr-FR"/>
        </w:rPr>
        <w:t xml:space="preserve"> (données issues de la version 2022‑2 de la Liste rouge de l’UICN, publiée le 1er avril 2022) : il s’agit de sept changements positifs, vingt-six changements négatifs (lignes orange) et d’un changement de « Données insuffisantes » à « Préoccupation mineure » (ligne grise). Les espèces menacées à l'échelle mondiale ou régionale sont mises en gras. Pour chaque espèce, le tableau fournit des informations sur l’évolution de son statut de conservation ainsi qu’un résumé des motifs justifiant la catégorie actuelle de la Liste rouge de l’UICN, tels que décrits dans l’évaluation de l’espèce. Statut en date d’août 2025 (intégrant les données de la Liste rouge de l’UICN, version 2025-1, publiée le 27 mars 2025). </w:t>
      </w:r>
    </w:p>
    <w:p w14:paraId="2707F5A4" w14:textId="77777777" w:rsidR="00AF1989" w:rsidRPr="00E34332" w:rsidRDefault="00AF1989">
      <w:pPr>
        <w:spacing w:after="0" w:line="240" w:lineRule="auto"/>
        <w:jc w:val="both"/>
        <w:rPr>
          <w:rFonts w:cs="Arial"/>
          <w:sz w:val="20"/>
          <w:szCs w:val="20"/>
          <w:lang w:val="fr-FR"/>
        </w:rPr>
      </w:pPr>
    </w:p>
    <w:tbl>
      <w:tblPr>
        <w:tblStyle w:val="TableGrid"/>
        <w:tblW w:w="9067" w:type="dxa"/>
        <w:tblLayout w:type="fixed"/>
        <w:tblLook w:val="04A0" w:firstRow="1" w:lastRow="0" w:firstColumn="1" w:lastColumn="0" w:noHBand="0" w:noVBand="1"/>
      </w:tblPr>
      <w:tblGrid>
        <w:gridCol w:w="2405"/>
        <w:gridCol w:w="680"/>
        <w:gridCol w:w="1814"/>
        <w:gridCol w:w="4168"/>
      </w:tblGrid>
      <w:tr w:rsidR="00AF1989" w:rsidRPr="00D46B37" w14:paraId="3DEC51C7" w14:textId="77777777">
        <w:trPr>
          <w:trHeight w:val="871"/>
          <w:tblHeader/>
        </w:trPr>
        <w:tc>
          <w:tcPr>
            <w:tcW w:w="2405" w:type="dxa"/>
            <w:tcBorders>
              <w:left w:val="nil"/>
              <w:right w:val="nil"/>
            </w:tcBorders>
            <w:shd w:val="clear" w:color="auto" w:fill="003870"/>
          </w:tcPr>
          <w:p w14:paraId="77676007" w14:textId="77777777" w:rsidR="00AF1989" w:rsidRPr="00E34332" w:rsidRDefault="0020159F">
            <w:pPr>
              <w:spacing w:before="40" w:after="40"/>
              <w:rPr>
                <w:rFonts w:ascii="Arial" w:hAnsi="Arial"/>
                <w:i/>
                <w:sz w:val="18"/>
                <w:szCs w:val="18"/>
                <w:lang w:val="fr-FR"/>
              </w:rPr>
            </w:pPr>
            <w:r w:rsidRPr="00E34332">
              <w:rPr>
                <w:rFonts w:ascii="Arial" w:hAnsi="Arial"/>
                <w:i/>
                <w:sz w:val="18"/>
                <w:szCs w:val="18"/>
                <w:lang w:val="fr-FR"/>
              </w:rPr>
              <w:t xml:space="preserve">Nom scientifique </w:t>
            </w:r>
          </w:p>
          <w:p w14:paraId="53DBE95F" w14:textId="77777777" w:rsidR="00AF1989" w:rsidRPr="00E34332" w:rsidRDefault="0020159F">
            <w:pPr>
              <w:spacing w:before="40" w:after="40"/>
              <w:rPr>
                <w:rFonts w:ascii="Arial" w:hAnsi="Arial"/>
                <w:i/>
                <w:sz w:val="18"/>
                <w:szCs w:val="18"/>
                <w:lang w:val="fr-FR"/>
              </w:rPr>
            </w:pPr>
            <w:r w:rsidRPr="00E34332">
              <w:rPr>
                <w:rFonts w:ascii="Arial" w:hAnsi="Arial"/>
                <w:sz w:val="18"/>
                <w:szCs w:val="18"/>
                <w:lang w:val="fr-FR"/>
              </w:rPr>
              <w:t>(Nom commun)</w:t>
            </w:r>
          </w:p>
        </w:tc>
        <w:tc>
          <w:tcPr>
            <w:tcW w:w="680" w:type="dxa"/>
            <w:tcBorders>
              <w:left w:val="nil"/>
              <w:right w:val="nil"/>
            </w:tcBorders>
            <w:shd w:val="clear" w:color="auto" w:fill="003870"/>
          </w:tcPr>
          <w:p w14:paraId="3694D307"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Annexe CMS</w:t>
            </w:r>
          </w:p>
        </w:tc>
        <w:tc>
          <w:tcPr>
            <w:tcW w:w="1814" w:type="dxa"/>
            <w:tcBorders>
              <w:left w:val="nil"/>
              <w:right w:val="nil"/>
            </w:tcBorders>
            <w:shd w:val="clear" w:color="auto" w:fill="003870"/>
          </w:tcPr>
          <w:p w14:paraId="06709481"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 xml:space="preserve">Changement de catégorie sur la Liste rouge de l’UICN (tendance de la population) </w:t>
            </w:r>
          </w:p>
        </w:tc>
        <w:tc>
          <w:tcPr>
            <w:tcW w:w="4168" w:type="dxa"/>
            <w:tcBorders>
              <w:left w:val="nil"/>
              <w:right w:val="nil"/>
            </w:tcBorders>
            <w:shd w:val="clear" w:color="auto" w:fill="003870"/>
          </w:tcPr>
          <w:p w14:paraId="27FDCDFD"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 xml:space="preserve">Résumé des justifications de la catégorie actuelle sur la Liste rouge de l’UICN et des principales menaces </w:t>
            </w:r>
          </w:p>
          <w:p w14:paraId="4ED4346E"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w:t>
            </w:r>
            <w:r w:rsidRPr="00E34332">
              <w:rPr>
                <w:rFonts w:ascii="Arial" w:hAnsi="Arial"/>
                <w:i/>
                <w:sz w:val="18"/>
                <w:szCs w:val="18"/>
                <w:lang w:val="fr-FR"/>
              </w:rPr>
              <w:t>toutes les estimations quantitatives de l’évolution des populations se réfèrent aux trois dernières générations</w:t>
            </w:r>
            <w:r w:rsidRPr="00E34332">
              <w:rPr>
                <w:rFonts w:ascii="Arial" w:hAnsi="Arial"/>
                <w:sz w:val="18"/>
                <w:szCs w:val="18"/>
                <w:lang w:val="fr-FR"/>
              </w:rPr>
              <w:t>)</w:t>
            </w:r>
          </w:p>
        </w:tc>
      </w:tr>
      <w:tr w:rsidR="00AF1989" w:rsidRPr="00E34332" w14:paraId="53F1A4D8" w14:textId="77777777">
        <w:tc>
          <w:tcPr>
            <w:tcW w:w="9067" w:type="dxa"/>
            <w:gridSpan w:val="4"/>
            <w:tcBorders>
              <w:left w:val="nil"/>
              <w:right w:val="nil"/>
            </w:tcBorders>
            <w:shd w:val="clear" w:color="auto" w:fill="67A2C0"/>
          </w:tcPr>
          <w:p w14:paraId="2E0A15C3" w14:textId="77777777" w:rsidR="00AF1989" w:rsidRPr="00E34332" w:rsidRDefault="0020159F">
            <w:pPr>
              <w:spacing w:before="40" w:after="40"/>
              <w:rPr>
                <w:rFonts w:ascii="Arial" w:hAnsi="Arial"/>
                <w:sz w:val="18"/>
                <w:szCs w:val="18"/>
                <w:lang w:val="fr-FR"/>
              </w:rPr>
            </w:pPr>
            <w:r w:rsidRPr="00E34332">
              <w:rPr>
                <w:rFonts w:ascii="Arial" w:hAnsi="Arial"/>
                <w:color w:val="FFFFFF" w:themeColor="background1"/>
                <w:sz w:val="18"/>
                <w:szCs w:val="18"/>
                <w:lang w:val="fr-FR"/>
              </w:rPr>
              <w:t>Mammifères terrestres</w:t>
            </w:r>
          </w:p>
        </w:tc>
      </w:tr>
      <w:tr w:rsidR="00AF1989" w:rsidRPr="00185A43" w14:paraId="1310B153" w14:textId="77777777">
        <w:tc>
          <w:tcPr>
            <w:tcW w:w="2405" w:type="dxa"/>
            <w:tcBorders>
              <w:left w:val="nil"/>
              <w:right w:val="nil"/>
            </w:tcBorders>
            <w:shd w:val="clear" w:color="auto" w:fill="FBE4D5" w:themeFill="accent2" w:themeFillTint="33"/>
          </w:tcPr>
          <w:p w14:paraId="784DC57C" w14:textId="77777777" w:rsidR="00AF1989" w:rsidRPr="00E34332" w:rsidRDefault="0020159F">
            <w:pPr>
              <w:spacing w:before="40" w:after="40"/>
              <w:rPr>
                <w:rFonts w:ascii="Arial" w:hAnsi="Arial"/>
                <w:b/>
                <w:i/>
                <w:sz w:val="18"/>
                <w:szCs w:val="18"/>
                <w:lang w:val="fr-FR"/>
              </w:rPr>
            </w:pPr>
            <w:proofErr w:type="spellStart"/>
            <w:r w:rsidRPr="00E34332">
              <w:rPr>
                <w:rFonts w:ascii="Arial" w:hAnsi="Arial"/>
                <w:b/>
                <w:i/>
                <w:sz w:val="18"/>
                <w:szCs w:val="18"/>
                <w:lang w:val="fr-FR"/>
              </w:rPr>
              <w:t>Plecotus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kolombatovici</w:t>
            </w:r>
            <w:proofErr w:type="spellEnd"/>
            <w:r w:rsidRPr="00E34332">
              <w:rPr>
                <w:rFonts w:ascii="Arial" w:hAnsi="Arial"/>
                <w:b/>
                <w:i/>
                <w:sz w:val="18"/>
                <w:szCs w:val="18"/>
                <w:lang w:val="fr-FR"/>
              </w:rPr>
              <w:t xml:space="preserve"> </w:t>
            </w:r>
            <w:r w:rsidRPr="00E34332">
              <w:rPr>
                <w:rFonts w:ascii="Arial" w:hAnsi="Arial"/>
                <w:b/>
                <w:sz w:val="18"/>
                <w:szCs w:val="18"/>
                <w:lang w:val="fr-FR"/>
              </w:rPr>
              <w:t>(Oreillard des Balkans)</w:t>
            </w:r>
          </w:p>
        </w:tc>
        <w:tc>
          <w:tcPr>
            <w:tcW w:w="680" w:type="dxa"/>
            <w:tcBorders>
              <w:left w:val="nil"/>
              <w:right w:val="nil"/>
            </w:tcBorders>
            <w:shd w:val="clear" w:color="auto" w:fill="FBE4D5" w:themeFill="accent2" w:themeFillTint="33"/>
          </w:tcPr>
          <w:p w14:paraId="5A9E3023"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01A9A5EE"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VU (</w:t>
            </w:r>
            <w:r w:rsidRPr="00E34332">
              <w:rPr>
                <w:rFonts w:ascii="Arial" w:hAnsi="Arial"/>
                <w:color w:val="1F1F1F"/>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w:t>
            </w:r>
          </w:p>
          <w:p w14:paraId="644F4E8F" w14:textId="77777777" w:rsidR="00AF1989" w:rsidRPr="00E34332" w:rsidRDefault="00AF1989">
            <w:pPr>
              <w:spacing w:before="40" w:after="40"/>
              <w:rPr>
                <w:rFonts w:ascii="Arial" w:hAnsi="Arial"/>
                <w:color w:val="040C28"/>
                <w:sz w:val="18"/>
                <w:szCs w:val="18"/>
                <w:lang w:val="fr-FR"/>
              </w:rPr>
            </w:pPr>
          </w:p>
        </w:tc>
        <w:tc>
          <w:tcPr>
            <w:tcW w:w="4168" w:type="dxa"/>
            <w:tcBorders>
              <w:left w:val="nil"/>
              <w:right w:val="nil"/>
            </w:tcBorders>
            <w:shd w:val="clear" w:color="auto" w:fill="FBE4D5" w:themeFill="accent2" w:themeFillTint="33"/>
          </w:tcPr>
          <w:p w14:paraId="5185BF82"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de la population estimé à &gt;10 % ; la perte et la dégradation des habitats constituent les principales menaces.</w:t>
            </w:r>
          </w:p>
        </w:tc>
      </w:tr>
      <w:tr w:rsidR="00AF1989" w:rsidRPr="00185A43" w14:paraId="3634CF26" w14:textId="77777777">
        <w:tc>
          <w:tcPr>
            <w:tcW w:w="2405" w:type="dxa"/>
            <w:tcBorders>
              <w:left w:val="nil"/>
              <w:right w:val="nil"/>
            </w:tcBorders>
          </w:tcPr>
          <w:p w14:paraId="026F817E" w14:textId="77777777" w:rsidR="00AF1989" w:rsidRPr="00E34332" w:rsidRDefault="0020159F">
            <w:pPr>
              <w:spacing w:before="40" w:after="40"/>
              <w:rPr>
                <w:rFonts w:ascii="Arial" w:hAnsi="Arial"/>
                <w:b/>
                <w:sz w:val="18"/>
                <w:szCs w:val="18"/>
              </w:rPr>
            </w:pPr>
            <w:r w:rsidRPr="00E34332">
              <w:rPr>
                <w:rFonts w:ascii="Arial" w:hAnsi="Arial"/>
                <w:b/>
                <w:i/>
                <w:sz w:val="18"/>
                <w:szCs w:val="18"/>
              </w:rPr>
              <w:t xml:space="preserve">Oryx </w:t>
            </w:r>
            <w:proofErr w:type="spellStart"/>
            <w:r w:rsidRPr="00E34332">
              <w:rPr>
                <w:rFonts w:ascii="Arial" w:hAnsi="Arial"/>
                <w:b/>
                <w:i/>
                <w:sz w:val="18"/>
                <w:szCs w:val="18"/>
              </w:rPr>
              <w:t>dammah</w:t>
            </w:r>
            <w:proofErr w:type="spellEnd"/>
            <w:r w:rsidRPr="00E34332">
              <w:rPr>
                <w:rFonts w:ascii="Arial" w:hAnsi="Arial"/>
                <w:b/>
                <w:i/>
                <w:sz w:val="18"/>
                <w:szCs w:val="18"/>
              </w:rPr>
              <w:t xml:space="preserve"> </w:t>
            </w:r>
          </w:p>
          <w:p w14:paraId="0AC76511"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Oryx algazelle</w:t>
            </w:r>
          </w:p>
        </w:tc>
        <w:tc>
          <w:tcPr>
            <w:tcW w:w="680" w:type="dxa"/>
            <w:tcBorders>
              <w:left w:val="nil"/>
              <w:right w:val="nil"/>
            </w:tcBorders>
          </w:tcPr>
          <w:p w14:paraId="1E7CE9B0"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tcPr>
          <w:p w14:paraId="391DCB5D"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EW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EN (</w:t>
            </w:r>
            <w:r w:rsidRPr="00E34332">
              <w:rPr>
                <w:rFonts w:ascii="Arial" w:hAnsi="Arial"/>
                <w:color w:val="474747"/>
                <w:sz w:val="18"/>
                <w:szCs w:val="18"/>
              </w:rPr>
              <w:t>↑)</w:t>
            </w:r>
          </w:p>
        </w:tc>
        <w:tc>
          <w:tcPr>
            <w:tcW w:w="4168" w:type="dxa"/>
            <w:tcBorders>
              <w:left w:val="nil"/>
              <w:right w:val="nil"/>
            </w:tcBorders>
          </w:tcPr>
          <w:p w14:paraId="470F6F7C"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Réintroduction d’une population sauvage viable au Tchad.</w:t>
            </w:r>
          </w:p>
        </w:tc>
      </w:tr>
      <w:tr w:rsidR="00AF1989" w:rsidRPr="00185A43" w14:paraId="0CCA42C2" w14:textId="77777777">
        <w:tc>
          <w:tcPr>
            <w:tcW w:w="2405" w:type="dxa"/>
            <w:tcBorders>
              <w:left w:val="nil"/>
              <w:right w:val="nil"/>
            </w:tcBorders>
          </w:tcPr>
          <w:p w14:paraId="22FBBC40" w14:textId="77777777" w:rsidR="00AF1989" w:rsidRPr="00E34332" w:rsidRDefault="0020159F">
            <w:pPr>
              <w:spacing w:before="40" w:after="40"/>
              <w:rPr>
                <w:rFonts w:ascii="Arial" w:hAnsi="Arial"/>
                <w:i/>
                <w:sz w:val="18"/>
                <w:szCs w:val="18"/>
              </w:rPr>
            </w:pPr>
            <w:r w:rsidRPr="00E34332">
              <w:rPr>
                <w:rFonts w:ascii="Arial" w:hAnsi="Arial"/>
                <w:i/>
                <w:sz w:val="18"/>
                <w:szCs w:val="18"/>
              </w:rPr>
              <w:t xml:space="preserve">Saiga </w:t>
            </w:r>
            <w:proofErr w:type="spellStart"/>
            <w:r w:rsidRPr="00E34332">
              <w:rPr>
                <w:rFonts w:ascii="Arial" w:hAnsi="Arial"/>
                <w:i/>
                <w:sz w:val="18"/>
                <w:szCs w:val="18"/>
              </w:rPr>
              <w:t>tatarica</w:t>
            </w:r>
            <w:proofErr w:type="spellEnd"/>
            <w:r w:rsidRPr="00E34332">
              <w:rPr>
                <w:rFonts w:ascii="Arial" w:hAnsi="Arial"/>
                <w:i/>
                <w:sz w:val="18"/>
                <w:szCs w:val="18"/>
              </w:rPr>
              <w:t xml:space="preserve"> </w:t>
            </w:r>
          </w:p>
          <w:p w14:paraId="2E7195C1"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w:t>
            </w:r>
            <w:proofErr w:type="spellStart"/>
            <w:r w:rsidRPr="00E34332">
              <w:rPr>
                <w:rFonts w:ascii="Arial" w:hAnsi="Arial"/>
                <w:sz w:val="18"/>
                <w:szCs w:val="18"/>
                <w:lang w:val="fr-FR"/>
              </w:rPr>
              <w:t>Saїga</w:t>
            </w:r>
            <w:proofErr w:type="spellEnd"/>
            <w:r w:rsidRPr="00E34332">
              <w:rPr>
                <w:rFonts w:ascii="Arial" w:hAnsi="Arial"/>
                <w:sz w:val="18"/>
                <w:szCs w:val="18"/>
                <w:lang w:val="fr-FR"/>
              </w:rPr>
              <w:t>)</w:t>
            </w:r>
          </w:p>
        </w:tc>
        <w:tc>
          <w:tcPr>
            <w:tcW w:w="680" w:type="dxa"/>
            <w:tcBorders>
              <w:left w:val="nil"/>
              <w:right w:val="nil"/>
            </w:tcBorders>
          </w:tcPr>
          <w:p w14:paraId="568AD0EC"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tcPr>
          <w:p w14:paraId="267DD656" w14:textId="77777777" w:rsidR="00AF1989" w:rsidRPr="00E34332" w:rsidRDefault="0020159F">
            <w:pPr>
              <w:spacing w:before="40" w:after="40"/>
              <w:rPr>
                <w:rFonts w:ascii="Arial" w:hAnsi="Arial"/>
                <w:sz w:val="18"/>
                <w:szCs w:val="18"/>
              </w:rPr>
            </w:pPr>
            <w:r w:rsidRPr="00E34332">
              <w:rPr>
                <w:rFonts w:ascii="Arial" w:hAnsi="Arial"/>
                <w:sz w:val="18"/>
                <w:szCs w:val="18"/>
              </w:rPr>
              <w:t>CR (</w:t>
            </w:r>
            <w:r w:rsidRPr="00E34332">
              <w:rPr>
                <w:rFonts w:ascii="Arial" w:hAnsi="Arial"/>
                <w:color w:val="1F1F1F"/>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NT (</w:t>
            </w:r>
            <w:r w:rsidRPr="00E34332">
              <w:rPr>
                <w:rFonts w:ascii="Arial" w:hAnsi="Arial"/>
                <w:color w:val="474747"/>
                <w:sz w:val="18"/>
                <w:szCs w:val="18"/>
              </w:rPr>
              <w:t>↑)</w:t>
            </w:r>
          </w:p>
        </w:tc>
        <w:tc>
          <w:tcPr>
            <w:tcW w:w="4168" w:type="dxa"/>
            <w:tcBorders>
              <w:left w:val="nil"/>
              <w:right w:val="nil"/>
            </w:tcBorders>
          </w:tcPr>
          <w:p w14:paraId="44946A99"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Reconstitution de la population après des flambées de maladies ; les catégories « EN », « VU » ou « LC » sont jugées aussi plausibles que « NT », en raison des multiples facteurs imprévisibles susceptibles d’affecter la population à l’avenir.</w:t>
            </w:r>
          </w:p>
        </w:tc>
      </w:tr>
      <w:tr w:rsidR="00AF1989" w:rsidRPr="00E34332" w14:paraId="45F61E67" w14:textId="77777777">
        <w:tc>
          <w:tcPr>
            <w:tcW w:w="9067" w:type="dxa"/>
            <w:gridSpan w:val="4"/>
            <w:tcBorders>
              <w:left w:val="nil"/>
              <w:right w:val="nil"/>
            </w:tcBorders>
            <w:shd w:val="clear" w:color="auto" w:fill="67A2C0"/>
          </w:tcPr>
          <w:p w14:paraId="466FB16B" w14:textId="77777777" w:rsidR="00AF1989" w:rsidRPr="00E34332" w:rsidRDefault="0020159F">
            <w:pPr>
              <w:spacing w:before="40" w:after="40"/>
              <w:jc w:val="both"/>
              <w:rPr>
                <w:rFonts w:ascii="Arial" w:hAnsi="Arial"/>
                <w:sz w:val="18"/>
                <w:szCs w:val="18"/>
                <w:lang w:val="fr-FR"/>
              </w:rPr>
            </w:pPr>
            <w:r w:rsidRPr="00E34332">
              <w:rPr>
                <w:rFonts w:ascii="Arial" w:hAnsi="Arial"/>
                <w:color w:val="FFFFFF" w:themeColor="background1"/>
                <w:sz w:val="18"/>
                <w:szCs w:val="18"/>
                <w:lang w:val="fr-FR"/>
              </w:rPr>
              <w:t>Mammifères aquatiques</w:t>
            </w:r>
          </w:p>
        </w:tc>
      </w:tr>
      <w:tr w:rsidR="00AF1989" w:rsidRPr="00185A43" w14:paraId="49762D57" w14:textId="77777777">
        <w:tc>
          <w:tcPr>
            <w:tcW w:w="2405" w:type="dxa"/>
            <w:tcBorders>
              <w:left w:val="nil"/>
              <w:right w:val="nil"/>
            </w:tcBorders>
          </w:tcPr>
          <w:p w14:paraId="0DF928AB" w14:textId="77777777" w:rsidR="00AF1989" w:rsidRPr="00E34332" w:rsidRDefault="0020159F">
            <w:pPr>
              <w:spacing w:before="40" w:after="40"/>
              <w:ind w:right="-110"/>
              <w:rPr>
                <w:rFonts w:ascii="Arial" w:hAnsi="Arial"/>
                <w:b/>
                <w:sz w:val="18"/>
                <w:szCs w:val="18"/>
                <w:lang w:val="fr-FR"/>
              </w:rPr>
            </w:pPr>
            <w:proofErr w:type="spellStart"/>
            <w:r w:rsidRPr="00E34332">
              <w:rPr>
                <w:rFonts w:ascii="Arial" w:hAnsi="Arial"/>
                <w:b/>
                <w:i/>
                <w:sz w:val="18"/>
                <w:szCs w:val="18"/>
                <w:lang w:val="fr-FR"/>
              </w:rPr>
              <w:t>Monachus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monachus</w:t>
            </w:r>
            <w:proofErr w:type="spellEnd"/>
            <w:r w:rsidRPr="00E34332">
              <w:rPr>
                <w:rFonts w:ascii="Arial" w:hAnsi="Arial"/>
                <w:b/>
                <w:i/>
                <w:sz w:val="18"/>
                <w:szCs w:val="18"/>
                <w:lang w:val="fr-FR"/>
              </w:rPr>
              <w:t xml:space="preserve"> </w:t>
            </w:r>
            <w:r w:rsidRPr="00E34332">
              <w:rPr>
                <w:rFonts w:ascii="Arial" w:hAnsi="Arial"/>
                <w:b/>
                <w:sz w:val="18"/>
                <w:szCs w:val="18"/>
                <w:lang w:val="fr-FR"/>
              </w:rPr>
              <w:t>(Phoque-moine méditerranéen)</w:t>
            </w:r>
          </w:p>
        </w:tc>
        <w:tc>
          <w:tcPr>
            <w:tcW w:w="680" w:type="dxa"/>
            <w:tcBorders>
              <w:left w:val="nil"/>
              <w:right w:val="nil"/>
            </w:tcBorders>
          </w:tcPr>
          <w:p w14:paraId="2A99D408"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tcPr>
          <w:p w14:paraId="6A67FB50" w14:textId="77777777" w:rsidR="00AF1989" w:rsidRPr="00E34332" w:rsidRDefault="0020159F">
            <w:pPr>
              <w:spacing w:before="40" w:after="40"/>
              <w:rPr>
                <w:rFonts w:ascii="Arial" w:hAnsi="Arial"/>
                <w:sz w:val="18"/>
                <w:szCs w:val="18"/>
              </w:rPr>
            </w:pPr>
            <w:r w:rsidRPr="00E34332">
              <w:rPr>
                <w:rFonts w:ascii="Arial" w:hAnsi="Arial"/>
                <w:sz w:val="18"/>
                <w:szCs w:val="18"/>
              </w:rPr>
              <w:t>EN (</w:t>
            </w:r>
            <w:r w:rsidRPr="00E34332">
              <w:rPr>
                <w:rFonts w:ascii="Arial" w:hAnsi="Arial"/>
                <w:color w:val="474747"/>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VU (</w:t>
            </w:r>
            <w:r w:rsidRPr="00E34332">
              <w:rPr>
                <w:rFonts w:ascii="Arial" w:hAnsi="Arial"/>
                <w:color w:val="474747"/>
                <w:sz w:val="18"/>
                <w:szCs w:val="18"/>
              </w:rPr>
              <w:t>↑)</w:t>
            </w:r>
          </w:p>
          <w:p w14:paraId="3221260C" w14:textId="77777777" w:rsidR="00AF1989" w:rsidRPr="00E34332" w:rsidRDefault="00AF1989">
            <w:pPr>
              <w:spacing w:before="40" w:after="40"/>
              <w:rPr>
                <w:rFonts w:ascii="Arial" w:hAnsi="Arial"/>
                <w:sz w:val="18"/>
                <w:szCs w:val="18"/>
                <w:lang w:val="fr-FR"/>
              </w:rPr>
            </w:pPr>
          </w:p>
        </w:tc>
        <w:tc>
          <w:tcPr>
            <w:tcW w:w="4168" w:type="dxa"/>
            <w:tcBorders>
              <w:left w:val="nil"/>
              <w:right w:val="nil"/>
            </w:tcBorders>
          </w:tcPr>
          <w:p w14:paraId="3CBD691C"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Augmentations récentes de la population et expansion locale de l’aire de répartition ; la taille de la population mondiale reste néanmoins faible. </w:t>
            </w:r>
          </w:p>
        </w:tc>
      </w:tr>
      <w:tr w:rsidR="00AF1989" w:rsidRPr="00E34332" w14:paraId="4A92FA96" w14:textId="77777777">
        <w:tc>
          <w:tcPr>
            <w:tcW w:w="9067" w:type="dxa"/>
            <w:gridSpan w:val="4"/>
            <w:tcBorders>
              <w:left w:val="nil"/>
              <w:right w:val="nil"/>
            </w:tcBorders>
            <w:shd w:val="clear" w:color="auto" w:fill="67A2C0"/>
          </w:tcPr>
          <w:p w14:paraId="55B63819" w14:textId="77777777" w:rsidR="00AF1989" w:rsidRPr="00E34332" w:rsidRDefault="0020159F">
            <w:pPr>
              <w:spacing w:before="40" w:after="40"/>
              <w:jc w:val="both"/>
              <w:rPr>
                <w:rFonts w:ascii="Arial" w:hAnsi="Arial"/>
                <w:sz w:val="18"/>
                <w:szCs w:val="18"/>
                <w:lang w:val="fr-FR"/>
              </w:rPr>
            </w:pPr>
            <w:r w:rsidRPr="00E34332">
              <w:rPr>
                <w:rFonts w:ascii="Arial" w:hAnsi="Arial"/>
                <w:color w:val="FFFFFF" w:themeColor="background1"/>
                <w:sz w:val="18"/>
                <w:szCs w:val="18"/>
                <w:lang w:val="fr-FR"/>
              </w:rPr>
              <w:t>Oiseaux</w:t>
            </w:r>
          </w:p>
        </w:tc>
      </w:tr>
      <w:tr w:rsidR="00AF1989" w:rsidRPr="00185A43" w14:paraId="17FD2338" w14:textId="77777777">
        <w:tc>
          <w:tcPr>
            <w:tcW w:w="2405" w:type="dxa"/>
            <w:tcBorders>
              <w:left w:val="nil"/>
              <w:right w:val="nil"/>
            </w:tcBorders>
          </w:tcPr>
          <w:p w14:paraId="03A42EBA" w14:textId="77777777" w:rsidR="00AF1989" w:rsidRPr="00E34332" w:rsidRDefault="0020159F">
            <w:pPr>
              <w:spacing w:before="40" w:after="40"/>
              <w:rPr>
                <w:rFonts w:ascii="Arial" w:hAnsi="Arial"/>
                <w:i/>
                <w:sz w:val="18"/>
                <w:szCs w:val="18"/>
              </w:rPr>
            </w:pPr>
            <w:proofErr w:type="spellStart"/>
            <w:r w:rsidRPr="00E34332">
              <w:rPr>
                <w:rFonts w:ascii="Arial" w:hAnsi="Arial"/>
                <w:i/>
                <w:sz w:val="18"/>
                <w:szCs w:val="18"/>
              </w:rPr>
              <w:t>Anser</w:t>
            </w:r>
            <w:proofErr w:type="spellEnd"/>
            <w:r w:rsidRPr="00E34332">
              <w:rPr>
                <w:rFonts w:ascii="Arial" w:hAnsi="Arial"/>
                <w:i/>
                <w:sz w:val="18"/>
                <w:szCs w:val="18"/>
              </w:rPr>
              <w:t xml:space="preserve"> </w:t>
            </w:r>
            <w:proofErr w:type="spellStart"/>
            <w:r w:rsidRPr="00E34332">
              <w:rPr>
                <w:rFonts w:ascii="Arial" w:hAnsi="Arial"/>
                <w:i/>
                <w:sz w:val="18"/>
                <w:szCs w:val="18"/>
              </w:rPr>
              <w:t>canagicus</w:t>
            </w:r>
            <w:proofErr w:type="spellEnd"/>
            <w:r w:rsidRPr="00E34332">
              <w:rPr>
                <w:rFonts w:ascii="Arial" w:hAnsi="Arial"/>
                <w:i/>
                <w:sz w:val="18"/>
                <w:szCs w:val="18"/>
              </w:rPr>
              <w:t xml:space="preserve"> </w:t>
            </w:r>
          </w:p>
          <w:p w14:paraId="4CA14E11"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(Oie empereur)</w:t>
            </w:r>
          </w:p>
        </w:tc>
        <w:tc>
          <w:tcPr>
            <w:tcW w:w="680" w:type="dxa"/>
            <w:tcBorders>
              <w:left w:val="nil"/>
              <w:right w:val="nil"/>
            </w:tcBorders>
          </w:tcPr>
          <w:p w14:paraId="633CBA5D"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tcPr>
          <w:p w14:paraId="2BC679F9"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LC </w:t>
            </w:r>
            <w:r w:rsidRPr="00E34332">
              <w:rPr>
                <w:rFonts w:ascii="Arial" w:hAnsi="Arial"/>
                <w:color w:val="040C28"/>
                <w:sz w:val="18"/>
                <w:szCs w:val="18"/>
              </w:rPr>
              <w:t>(</w:t>
            </w:r>
            <w:r w:rsidRPr="00E34332">
              <w:rPr>
                <w:rFonts w:ascii="Arial" w:hAnsi="Arial"/>
                <w:color w:val="474747"/>
                <w:sz w:val="18"/>
                <w:szCs w:val="18"/>
              </w:rPr>
              <w:t>↑)</w:t>
            </w:r>
          </w:p>
        </w:tc>
        <w:tc>
          <w:tcPr>
            <w:tcW w:w="4168" w:type="dxa"/>
            <w:tcBorders>
              <w:left w:val="nil"/>
              <w:right w:val="nil"/>
            </w:tcBorders>
          </w:tcPr>
          <w:p w14:paraId="7842066B"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La population semble avoir augmenté récemment ; la taille de la population ne répond pas au seuil de vulnérabilité (VU).</w:t>
            </w:r>
          </w:p>
        </w:tc>
      </w:tr>
      <w:tr w:rsidR="00AF1989" w:rsidRPr="00185A43" w14:paraId="17C3DFE0" w14:textId="77777777">
        <w:tc>
          <w:tcPr>
            <w:tcW w:w="2405" w:type="dxa"/>
            <w:tcBorders>
              <w:left w:val="nil"/>
              <w:right w:val="nil"/>
            </w:tcBorders>
            <w:shd w:val="clear" w:color="auto" w:fill="FBE4D5" w:themeFill="accent2" w:themeFillTint="33"/>
          </w:tcPr>
          <w:p w14:paraId="653CE7FE" w14:textId="77777777" w:rsidR="00AF1989" w:rsidRPr="00E34332" w:rsidRDefault="0020159F">
            <w:pPr>
              <w:spacing w:before="40" w:after="40"/>
              <w:rPr>
                <w:rFonts w:ascii="Arial" w:hAnsi="Arial"/>
                <w:b/>
                <w:i/>
                <w:sz w:val="18"/>
                <w:szCs w:val="18"/>
              </w:rPr>
            </w:pPr>
            <w:proofErr w:type="spellStart"/>
            <w:r w:rsidRPr="00E34332">
              <w:rPr>
                <w:rFonts w:ascii="Arial" w:hAnsi="Arial"/>
                <w:b/>
                <w:i/>
                <w:sz w:val="18"/>
                <w:szCs w:val="18"/>
              </w:rPr>
              <w:t>Anser</w:t>
            </w:r>
            <w:proofErr w:type="spellEnd"/>
            <w:r w:rsidRPr="00E34332">
              <w:rPr>
                <w:rFonts w:ascii="Arial" w:hAnsi="Arial"/>
                <w:b/>
                <w:i/>
                <w:sz w:val="18"/>
                <w:szCs w:val="18"/>
              </w:rPr>
              <w:t xml:space="preserve"> </w:t>
            </w:r>
            <w:proofErr w:type="spellStart"/>
            <w:r w:rsidRPr="00E34332">
              <w:rPr>
                <w:rFonts w:ascii="Arial" w:hAnsi="Arial"/>
                <w:b/>
                <w:i/>
                <w:sz w:val="18"/>
                <w:szCs w:val="18"/>
              </w:rPr>
              <w:t>cygnoid</w:t>
            </w:r>
            <w:proofErr w:type="spellEnd"/>
            <w:r w:rsidRPr="00E34332">
              <w:rPr>
                <w:rFonts w:ascii="Arial" w:hAnsi="Arial"/>
                <w:b/>
                <w:i/>
                <w:sz w:val="18"/>
                <w:szCs w:val="18"/>
              </w:rPr>
              <w:t xml:space="preserve"> </w:t>
            </w:r>
          </w:p>
          <w:p w14:paraId="6C9CF481"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 xml:space="preserve">(Oie </w:t>
            </w:r>
            <w:proofErr w:type="spellStart"/>
            <w:r w:rsidRPr="00E34332">
              <w:rPr>
                <w:rFonts w:ascii="Arial" w:hAnsi="Arial"/>
                <w:b/>
                <w:sz w:val="18"/>
                <w:szCs w:val="18"/>
                <w:lang w:val="fr-FR"/>
              </w:rPr>
              <w:t>cygnoïde</w:t>
            </w:r>
            <w:proofErr w:type="spellEnd"/>
            <w:r w:rsidRPr="00E34332">
              <w:rPr>
                <w:rFonts w:ascii="Arial" w:hAnsi="Arial"/>
                <w:b/>
                <w:sz w:val="18"/>
                <w:szCs w:val="18"/>
                <w:lang w:val="fr-FR"/>
              </w:rPr>
              <w:t>)</w:t>
            </w:r>
          </w:p>
        </w:tc>
        <w:tc>
          <w:tcPr>
            <w:tcW w:w="680" w:type="dxa"/>
            <w:tcBorders>
              <w:left w:val="nil"/>
              <w:right w:val="nil"/>
            </w:tcBorders>
            <w:shd w:val="clear" w:color="auto" w:fill="FBE4D5" w:themeFill="accent2" w:themeFillTint="33"/>
          </w:tcPr>
          <w:p w14:paraId="5C5CF505"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753099E7"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VU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EN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648D31FF"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Des preuves indiquent un déclin accéléré ; les menaces persistantes incluent la perte d’habitat, les perturbations et le changement climatique.</w:t>
            </w:r>
          </w:p>
        </w:tc>
      </w:tr>
      <w:tr w:rsidR="00AF1989" w:rsidRPr="00185A43" w14:paraId="50534666" w14:textId="77777777">
        <w:tc>
          <w:tcPr>
            <w:tcW w:w="2405" w:type="dxa"/>
            <w:tcBorders>
              <w:left w:val="nil"/>
              <w:right w:val="nil"/>
            </w:tcBorders>
            <w:shd w:val="clear" w:color="auto" w:fill="FBE4D5" w:themeFill="accent2" w:themeFillTint="33"/>
          </w:tcPr>
          <w:p w14:paraId="50705EDA"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Asarcornis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scutulata</w:t>
            </w:r>
            <w:proofErr w:type="spellEnd"/>
            <w:r w:rsidRPr="00E34332">
              <w:rPr>
                <w:rFonts w:ascii="Arial" w:hAnsi="Arial"/>
                <w:b/>
                <w:i/>
                <w:sz w:val="18"/>
                <w:szCs w:val="18"/>
                <w:lang w:val="fr-FR"/>
              </w:rPr>
              <w:t xml:space="preserve"> </w:t>
            </w:r>
            <w:r w:rsidRPr="00E34332">
              <w:rPr>
                <w:rFonts w:ascii="Arial" w:hAnsi="Arial"/>
                <w:b/>
                <w:sz w:val="18"/>
                <w:szCs w:val="18"/>
                <w:lang w:val="fr-FR"/>
              </w:rPr>
              <w:t>(Canard à ailes blanches)</w:t>
            </w:r>
          </w:p>
        </w:tc>
        <w:tc>
          <w:tcPr>
            <w:tcW w:w="680" w:type="dxa"/>
            <w:tcBorders>
              <w:left w:val="nil"/>
              <w:right w:val="nil"/>
            </w:tcBorders>
            <w:shd w:val="clear" w:color="auto" w:fill="FBE4D5" w:themeFill="accent2" w:themeFillTint="33"/>
          </w:tcPr>
          <w:p w14:paraId="01F3C02B"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7F1FE578"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EN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shd w:val="clear" w:color="auto" w:fill="FBE4D5" w:themeFill="accent2" w:themeFillTint="33"/>
              </w:rPr>
              <w:t>CR (</w:t>
            </w:r>
            <w:r w:rsidRPr="00E34332">
              <w:rPr>
                <w:rFonts w:ascii="Arial" w:hAnsi="Arial"/>
                <w:color w:val="1F1F1F"/>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w:t>
            </w:r>
          </w:p>
          <w:p w14:paraId="05B3211D" w14:textId="77777777" w:rsidR="00AF1989" w:rsidRPr="00E34332" w:rsidRDefault="00AF1989">
            <w:pPr>
              <w:spacing w:before="40" w:after="40"/>
              <w:rPr>
                <w:rFonts w:ascii="Arial" w:hAnsi="Arial"/>
                <w:sz w:val="18"/>
                <w:szCs w:val="18"/>
                <w:lang w:val="fr-FR"/>
              </w:rPr>
            </w:pPr>
          </w:p>
        </w:tc>
        <w:tc>
          <w:tcPr>
            <w:tcW w:w="4168" w:type="dxa"/>
            <w:tcBorders>
              <w:left w:val="nil"/>
              <w:right w:val="nil"/>
            </w:tcBorders>
            <w:shd w:val="clear" w:color="auto" w:fill="FBE4D5" w:themeFill="accent2" w:themeFillTint="33"/>
          </w:tcPr>
          <w:p w14:paraId="440A0AF6"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de la population dû à la perte d’habitat, aux perturbations et à la chasse, probablement de &gt;80 % ; les populations sont désormais petites et fragmentées.</w:t>
            </w:r>
          </w:p>
        </w:tc>
      </w:tr>
      <w:tr w:rsidR="00AF1989" w:rsidRPr="00185A43" w14:paraId="23A267BB" w14:textId="77777777">
        <w:tc>
          <w:tcPr>
            <w:tcW w:w="2405" w:type="dxa"/>
            <w:tcBorders>
              <w:left w:val="nil"/>
              <w:right w:val="nil"/>
            </w:tcBorders>
          </w:tcPr>
          <w:p w14:paraId="25C09863" w14:textId="77777777" w:rsidR="00AF1989" w:rsidRPr="00E34332" w:rsidRDefault="0020159F">
            <w:pPr>
              <w:spacing w:before="40" w:after="40"/>
              <w:rPr>
                <w:rFonts w:ascii="Arial" w:hAnsi="Arial"/>
                <w:i/>
                <w:sz w:val="18"/>
                <w:szCs w:val="18"/>
                <w:lang w:val="es-ES"/>
              </w:rPr>
            </w:pPr>
            <w:r w:rsidRPr="00E34332">
              <w:rPr>
                <w:rFonts w:ascii="Arial" w:hAnsi="Arial"/>
                <w:i/>
                <w:sz w:val="18"/>
                <w:szCs w:val="18"/>
                <w:lang w:val="es-ES"/>
              </w:rPr>
              <w:t xml:space="preserve">Mareca </w:t>
            </w:r>
            <w:proofErr w:type="spellStart"/>
            <w:r w:rsidRPr="00E34332">
              <w:rPr>
                <w:rFonts w:ascii="Arial" w:hAnsi="Arial"/>
                <w:i/>
                <w:sz w:val="18"/>
                <w:szCs w:val="18"/>
                <w:lang w:val="es-ES"/>
              </w:rPr>
              <w:t>falcata</w:t>
            </w:r>
            <w:proofErr w:type="spellEnd"/>
            <w:r w:rsidRPr="00E34332">
              <w:rPr>
                <w:rFonts w:ascii="Arial" w:hAnsi="Arial"/>
                <w:i/>
                <w:sz w:val="18"/>
                <w:szCs w:val="18"/>
                <w:lang w:val="es-ES"/>
              </w:rPr>
              <w:t xml:space="preserve"> </w:t>
            </w:r>
          </w:p>
          <w:p w14:paraId="68A2E5EE"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(Canard à faucilles)</w:t>
            </w:r>
          </w:p>
        </w:tc>
        <w:tc>
          <w:tcPr>
            <w:tcW w:w="680" w:type="dxa"/>
            <w:tcBorders>
              <w:left w:val="nil"/>
              <w:right w:val="nil"/>
            </w:tcBorders>
          </w:tcPr>
          <w:p w14:paraId="4C5BBEBE"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tcPr>
          <w:p w14:paraId="76B14C59"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LC (-)</w:t>
            </w:r>
          </w:p>
        </w:tc>
        <w:tc>
          <w:tcPr>
            <w:tcW w:w="4168" w:type="dxa"/>
            <w:tcBorders>
              <w:left w:val="nil"/>
              <w:right w:val="nil"/>
            </w:tcBorders>
          </w:tcPr>
          <w:p w14:paraId="0ACADD8F"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Population importante, dont la tendance semble stable.</w:t>
            </w:r>
          </w:p>
        </w:tc>
      </w:tr>
      <w:tr w:rsidR="00AF1989" w:rsidRPr="00185A43" w14:paraId="74DDF754" w14:textId="77777777">
        <w:tc>
          <w:tcPr>
            <w:tcW w:w="2405" w:type="dxa"/>
            <w:tcBorders>
              <w:left w:val="nil"/>
              <w:right w:val="nil"/>
            </w:tcBorders>
            <w:shd w:val="clear" w:color="auto" w:fill="FBE4D5" w:themeFill="accent2" w:themeFillTint="33"/>
          </w:tcPr>
          <w:p w14:paraId="28722DED"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Hirundo </w:t>
            </w:r>
            <w:proofErr w:type="spellStart"/>
            <w:r w:rsidRPr="00E34332">
              <w:rPr>
                <w:rFonts w:ascii="Arial" w:hAnsi="Arial"/>
                <w:b/>
                <w:i/>
                <w:sz w:val="18"/>
                <w:szCs w:val="18"/>
              </w:rPr>
              <w:t>atrocaerulea</w:t>
            </w:r>
            <w:proofErr w:type="spellEnd"/>
            <w:r w:rsidRPr="00E34332">
              <w:rPr>
                <w:rFonts w:ascii="Arial" w:hAnsi="Arial"/>
                <w:b/>
                <w:i/>
                <w:sz w:val="18"/>
                <w:szCs w:val="18"/>
              </w:rPr>
              <w:t xml:space="preserve"> </w:t>
            </w:r>
          </w:p>
          <w:p w14:paraId="3F58B164"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(Hirondelle bleue)</w:t>
            </w:r>
          </w:p>
        </w:tc>
        <w:tc>
          <w:tcPr>
            <w:tcW w:w="680" w:type="dxa"/>
            <w:tcBorders>
              <w:left w:val="nil"/>
              <w:right w:val="nil"/>
            </w:tcBorders>
            <w:shd w:val="clear" w:color="auto" w:fill="FBE4D5" w:themeFill="accent2" w:themeFillTint="33"/>
          </w:tcPr>
          <w:p w14:paraId="489A306E"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5E40C367" w14:textId="77777777" w:rsidR="00AF1989" w:rsidRPr="00E34332" w:rsidRDefault="0020159F">
            <w:pPr>
              <w:spacing w:before="40" w:after="40"/>
              <w:rPr>
                <w:rFonts w:ascii="Arial" w:hAnsi="Arial"/>
                <w:sz w:val="18"/>
                <w:szCs w:val="18"/>
              </w:rPr>
            </w:pPr>
            <w:r w:rsidRPr="00E34332">
              <w:rPr>
                <w:rFonts w:ascii="Arial" w:hAnsi="Arial"/>
                <w:sz w:val="18"/>
                <w:szCs w:val="18"/>
              </w:rPr>
              <w:t>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EN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75951F48"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Population faible et en déclin, menacée par la perte et la dégradation des habitats.</w:t>
            </w:r>
          </w:p>
        </w:tc>
      </w:tr>
      <w:tr w:rsidR="00AF1989" w:rsidRPr="00185A43" w14:paraId="74CC7F87" w14:textId="77777777">
        <w:tc>
          <w:tcPr>
            <w:tcW w:w="2405" w:type="dxa"/>
            <w:tcBorders>
              <w:left w:val="nil"/>
              <w:right w:val="nil"/>
            </w:tcBorders>
            <w:shd w:val="clear" w:color="auto" w:fill="FBE4D5" w:themeFill="accent2" w:themeFillTint="33"/>
          </w:tcPr>
          <w:p w14:paraId="02663A32"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Otis </w:t>
            </w:r>
            <w:proofErr w:type="spellStart"/>
            <w:r w:rsidRPr="00E34332">
              <w:rPr>
                <w:rFonts w:ascii="Arial" w:hAnsi="Arial"/>
                <w:b/>
                <w:i/>
                <w:sz w:val="18"/>
                <w:szCs w:val="18"/>
              </w:rPr>
              <w:t>tarda</w:t>
            </w:r>
            <w:proofErr w:type="spellEnd"/>
            <w:r w:rsidRPr="00E34332">
              <w:rPr>
                <w:rFonts w:ascii="Arial" w:hAnsi="Arial"/>
                <w:b/>
                <w:i/>
                <w:sz w:val="18"/>
                <w:szCs w:val="18"/>
              </w:rPr>
              <w:t xml:space="preserve"> </w:t>
            </w:r>
          </w:p>
          <w:p w14:paraId="26D33A33" w14:textId="77777777" w:rsidR="00AF1989" w:rsidRPr="00E34332" w:rsidRDefault="0020159F">
            <w:pPr>
              <w:spacing w:before="40" w:after="40"/>
              <w:rPr>
                <w:rFonts w:ascii="Arial" w:hAnsi="Arial"/>
                <w:b/>
                <w:i/>
                <w:sz w:val="18"/>
                <w:szCs w:val="18"/>
                <w:lang w:val="fr-FR"/>
              </w:rPr>
            </w:pPr>
            <w:r w:rsidRPr="00E34332">
              <w:rPr>
                <w:rFonts w:ascii="Arial" w:hAnsi="Arial"/>
                <w:b/>
                <w:sz w:val="18"/>
                <w:szCs w:val="18"/>
                <w:lang w:val="fr-FR"/>
              </w:rPr>
              <w:t>(Grande outarde)</w:t>
            </w:r>
          </w:p>
        </w:tc>
        <w:tc>
          <w:tcPr>
            <w:tcW w:w="680" w:type="dxa"/>
            <w:tcBorders>
              <w:left w:val="nil"/>
              <w:right w:val="nil"/>
            </w:tcBorders>
            <w:shd w:val="clear" w:color="auto" w:fill="FBE4D5" w:themeFill="accent2" w:themeFillTint="33"/>
          </w:tcPr>
          <w:p w14:paraId="106C8C8D"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2F58B56C" w14:textId="77777777" w:rsidR="00AF1989" w:rsidRPr="00E34332" w:rsidRDefault="0020159F">
            <w:pPr>
              <w:spacing w:before="40" w:after="40"/>
              <w:rPr>
                <w:rFonts w:ascii="Arial" w:hAnsi="Arial"/>
                <w:sz w:val="18"/>
                <w:szCs w:val="18"/>
              </w:rPr>
            </w:pPr>
            <w:r w:rsidRPr="00E34332">
              <w:rPr>
                <w:rFonts w:ascii="Arial" w:hAnsi="Arial"/>
                <w:sz w:val="18"/>
                <w:szCs w:val="18"/>
              </w:rPr>
              <w:t>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EN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7934AC8C"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rapide de la population sur la majeure partie de l’aire de répartition de l’espèce ; les menaces incluent la modification des habitats, les impacts des infrastructures, le changement climatique et les prélèvements illégaux.</w:t>
            </w:r>
          </w:p>
        </w:tc>
      </w:tr>
      <w:tr w:rsidR="00AF1989" w:rsidRPr="00185A43" w14:paraId="1B65C773" w14:textId="77777777">
        <w:tc>
          <w:tcPr>
            <w:tcW w:w="2405" w:type="dxa"/>
            <w:tcBorders>
              <w:left w:val="nil"/>
              <w:right w:val="nil"/>
            </w:tcBorders>
          </w:tcPr>
          <w:p w14:paraId="644543DE" w14:textId="77777777" w:rsidR="00AF1989" w:rsidRPr="00E34332" w:rsidRDefault="0020159F">
            <w:pPr>
              <w:spacing w:before="40" w:after="40"/>
              <w:ind w:right="-252"/>
              <w:rPr>
                <w:rFonts w:ascii="Arial" w:hAnsi="Arial"/>
                <w:sz w:val="18"/>
                <w:szCs w:val="18"/>
                <w:lang w:val="fr-FR"/>
              </w:rPr>
            </w:pPr>
            <w:proofErr w:type="spellStart"/>
            <w:r w:rsidRPr="00E34332">
              <w:rPr>
                <w:rFonts w:ascii="Arial" w:hAnsi="Arial"/>
                <w:i/>
                <w:sz w:val="18"/>
                <w:szCs w:val="18"/>
                <w:lang w:val="fr-FR"/>
              </w:rPr>
              <w:t>Terpsiphone</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atrocaudata</w:t>
            </w:r>
            <w:proofErr w:type="spellEnd"/>
            <w:r w:rsidRPr="00E34332">
              <w:rPr>
                <w:rFonts w:ascii="Arial" w:hAnsi="Arial"/>
                <w:i/>
                <w:sz w:val="18"/>
                <w:szCs w:val="18"/>
                <w:lang w:val="fr-FR"/>
              </w:rPr>
              <w:t xml:space="preserve"> </w:t>
            </w:r>
            <w:r w:rsidRPr="00E34332">
              <w:rPr>
                <w:rFonts w:ascii="Arial" w:hAnsi="Arial"/>
                <w:sz w:val="18"/>
                <w:szCs w:val="18"/>
                <w:lang w:val="fr-FR"/>
              </w:rPr>
              <w:t>(</w:t>
            </w:r>
            <w:proofErr w:type="spellStart"/>
            <w:r w:rsidRPr="00E34332">
              <w:rPr>
                <w:rFonts w:ascii="Arial" w:hAnsi="Arial"/>
                <w:sz w:val="18"/>
                <w:szCs w:val="18"/>
                <w:lang w:val="fr-FR"/>
              </w:rPr>
              <w:t>Tchitrec</w:t>
            </w:r>
            <w:proofErr w:type="spellEnd"/>
            <w:r w:rsidRPr="00E34332">
              <w:rPr>
                <w:rFonts w:ascii="Arial" w:hAnsi="Arial"/>
                <w:sz w:val="18"/>
                <w:szCs w:val="18"/>
                <w:lang w:val="fr-FR"/>
              </w:rPr>
              <w:t xml:space="preserve"> du Japon)</w:t>
            </w:r>
          </w:p>
        </w:tc>
        <w:tc>
          <w:tcPr>
            <w:tcW w:w="680" w:type="dxa"/>
            <w:tcBorders>
              <w:left w:val="nil"/>
              <w:right w:val="nil"/>
            </w:tcBorders>
          </w:tcPr>
          <w:p w14:paraId="50499628"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tcPr>
          <w:p w14:paraId="321255B2"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LC (-)</w:t>
            </w:r>
          </w:p>
        </w:tc>
        <w:tc>
          <w:tcPr>
            <w:tcW w:w="4168" w:type="dxa"/>
            <w:tcBorders>
              <w:left w:val="nil"/>
              <w:right w:val="nil"/>
            </w:tcBorders>
          </w:tcPr>
          <w:p w14:paraId="046E6D5A"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L'espèce a une large aire de répartition et la tendance de la population semble être stable.</w:t>
            </w:r>
          </w:p>
        </w:tc>
      </w:tr>
      <w:tr w:rsidR="00AF1989" w:rsidRPr="00185A43" w14:paraId="113629FE" w14:textId="77777777">
        <w:tc>
          <w:tcPr>
            <w:tcW w:w="2405" w:type="dxa"/>
            <w:tcBorders>
              <w:left w:val="nil"/>
              <w:right w:val="nil"/>
            </w:tcBorders>
            <w:shd w:val="clear" w:color="auto" w:fill="FBE4D5" w:themeFill="accent2" w:themeFillTint="33"/>
          </w:tcPr>
          <w:p w14:paraId="2AA151A2" w14:textId="77777777" w:rsidR="00AF1989" w:rsidRPr="00E34332" w:rsidRDefault="0020159F">
            <w:pPr>
              <w:spacing w:before="40" w:after="40"/>
              <w:rPr>
                <w:rFonts w:ascii="Arial" w:hAnsi="Arial"/>
                <w:i/>
                <w:sz w:val="18"/>
                <w:szCs w:val="18"/>
                <w:lang w:val="fr-FR"/>
              </w:rPr>
            </w:pPr>
            <w:proofErr w:type="spellStart"/>
            <w:r w:rsidRPr="00E34332">
              <w:rPr>
                <w:rFonts w:ascii="Arial" w:hAnsi="Arial"/>
                <w:i/>
                <w:sz w:val="18"/>
                <w:szCs w:val="18"/>
                <w:lang w:val="fr-FR"/>
              </w:rPr>
              <w:lastRenderedPageBreak/>
              <w:t>Arenaria</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interpres</w:t>
            </w:r>
            <w:proofErr w:type="spellEnd"/>
            <w:r w:rsidRPr="00E34332">
              <w:rPr>
                <w:rFonts w:ascii="Arial" w:hAnsi="Arial"/>
                <w:i/>
                <w:sz w:val="18"/>
                <w:szCs w:val="18"/>
                <w:lang w:val="fr-FR"/>
              </w:rPr>
              <w:t xml:space="preserve"> </w:t>
            </w:r>
          </w:p>
          <w:p w14:paraId="09C578F0" w14:textId="77777777" w:rsidR="00AF1989" w:rsidRPr="00E34332" w:rsidRDefault="0020159F">
            <w:pPr>
              <w:spacing w:before="40" w:after="40"/>
              <w:rPr>
                <w:rFonts w:ascii="Arial" w:hAnsi="Arial"/>
                <w:i/>
                <w:sz w:val="18"/>
                <w:szCs w:val="18"/>
                <w:lang w:val="fr-FR"/>
              </w:rPr>
            </w:pPr>
            <w:r w:rsidRPr="00E34332">
              <w:rPr>
                <w:rFonts w:ascii="Arial" w:hAnsi="Arial"/>
                <w:sz w:val="18"/>
                <w:szCs w:val="18"/>
                <w:lang w:val="fr-FR"/>
              </w:rPr>
              <w:t>(Tournepierre à collier)</w:t>
            </w:r>
          </w:p>
        </w:tc>
        <w:tc>
          <w:tcPr>
            <w:tcW w:w="680" w:type="dxa"/>
            <w:tcBorders>
              <w:left w:val="nil"/>
              <w:right w:val="nil"/>
            </w:tcBorders>
            <w:shd w:val="clear" w:color="auto" w:fill="FBE4D5" w:themeFill="accent2" w:themeFillTint="33"/>
          </w:tcPr>
          <w:p w14:paraId="77BD54CB"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356AE622"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color w:val="1F1F1F"/>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610B7FE4"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Réduction estimée de la population de 20 à 29 % ; les facteurs exacts du déclin sont inconnus.</w:t>
            </w:r>
          </w:p>
        </w:tc>
      </w:tr>
      <w:tr w:rsidR="00AF1989" w:rsidRPr="00185A43" w14:paraId="21B21CBC" w14:textId="77777777">
        <w:tc>
          <w:tcPr>
            <w:tcW w:w="2405" w:type="dxa"/>
            <w:tcBorders>
              <w:left w:val="nil"/>
              <w:right w:val="nil"/>
            </w:tcBorders>
            <w:shd w:val="clear" w:color="auto" w:fill="FBE4D5" w:themeFill="accent2" w:themeFillTint="33"/>
          </w:tcPr>
          <w:p w14:paraId="65F5B8C8" w14:textId="77777777" w:rsidR="00AF1989" w:rsidRPr="00E34332" w:rsidRDefault="0020159F">
            <w:pPr>
              <w:spacing w:before="40" w:after="40"/>
              <w:rPr>
                <w:rFonts w:ascii="Arial" w:hAnsi="Arial"/>
                <w:i/>
                <w:sz w:val="18"/>
                <w:szCs w:val="18"/>
              </w:rPr>
            </w:pPr>
            <w:r w:rsidRPr="00E34332">
              <w:rPr>
                <w:rFonts w:ascii="Arial" w:hAnsi="Arial"/>
                <w:i/>
                <w:sz w:val="18"/>
                <w:szCs w:val="18"/>
              </w:rPr>
              <w:t xml:space="preserve">Calidris </w:t>
            </w:r>
            <w:proofErr w:type="spellStart"/>
            <w:r w:rsidRPr="00E34332">
              <w:rPr>
                <w:rFonts w:ascii="Arial" w:hAnsi="Arial"/>
                <w:i/>
                <w:sz w:val="18"/>
                <w:szCs w:val="18"/>
              </w:rPr>
              <w:t>alpina</w:t>
            </w:r>
            <w:proofErr w:type="spellEnd"/>
            <w:r w:rsidRPr="00E34332">
              <w:rPr>
                <w:rFonts w:ascii="Arial" w:hAnsi="Arial"/>
                <w:i/>
                <w:sz w:val="18"/>
                <w:szCs w:val="18"/>
              </w:rPr>
              <w:t xml:space="preserve"> </w:t>
            </w:r>
          </w:p>
          <w:p w14:paraId="1EBEC3C0" w14:textId="77777777" w:rsidR="00AF1989" w:rsidRPr="00E34332" w:rsidRDefault="0020159F">
            <w:pPr>
              <w:spacing w:before="40" w:after="40"/>
              <w:rPr>
                <w:rFonts w:ascii="Arial" w:hAnsi="Arial"/>
                <w:i/>
                <w:sz w:val="18"/>
                <w:szCs w:val="18"/>
                <w:lang w:val="fr-FR"/>
              </w:rPr>
            </w:pPr>
            <w:r w:rsidRPr="00E34332">
              <w:rPr>
                <w:rFonts w:ascii="Arial" w:hAnsi="Arial"/>
                <w:sz w:val="18"/>
                <w:szCs w:val="18"/>
                <w:lang w:val="fr-FR"/>
              </w:rPr>
              <w:t>(Bécasseau variable)</w:t>
            </w:r>
          </w:p>
        </w:tc>
        <w:tc>
          <w:tcPr>
            <w:tcW w:w="680" w:type="dxa"/>
            <w:tcBorders>
              <w:left w:val="nil"/>
              <w:right w:val="nil"/>
            </w:tcBorders>
            <w:shd w:val="clear" w:color="auto" w:fill="FBE4D5" w:themeFill="accent2" w:themeFillTint="33"/>
          </w:tcPr>
          <w:p w14:paraId="1768503B"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17DA92BF"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LC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color w:val="1F1F1F"/>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373C5C6A"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présumé de la population de 20 à 29 % ; les facteurs exacts de ce déclin restent inconnus.</w:t>
            </w:r>
          </w:p>
        </w:tc>
      </w:tr>
      <w:tr w:rsidR="00AF1989" w:rsidRPr="00185A43" w14:paraId="13ADF100" w14:textId="77777777">
        <w:tc>
          <w:tcPr>
            <w:tcW w:w="2405" w:type="dxa"/>
            <w:tcBorders>
              <w:left w:val="nil"/>
              <w:right w:val="nil"/>
            </w:tcBorders>
            <w:shd w:val="clear" w:color="auto" w:fill="FBE4D5" w:themeFill="accent2" w:themeFillTint="33"/>
          </w:tcPr>
          <w:p w14:paraId="4905240D"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Calidris </w:t>
            </w:r>
            <w:proofErr w:type="spellStart"/>
            <w:r w:rsidRPr="00E34332">
              <w:rPr>
                <w:rFonts w:ascii="Arial" w:hAnsi="Arial"/>
                <w:b/>
                <w:i/>
                <w:sz w:val="18"/>
                <w:szCs w:val="18"/>
              </w:rPr>
              <w:t>falcinellus</w:t>
            </w:r>
            <w:proofErr w:type="spellEnd"/>
            <w:r w:rsidRPr="00E34332">
              <w:rPr>
                <w:rFonts w:ascii="Arial" w:hAnsi="Arial"/>
                <w:b/>
                <w:i/>
                <w:sz w:val="18"/>
                <w:szCs w:val="18"/>
              </w:rPr>
              <w:t xml:space="preserve"> </w:t>
            </w:r>
          </w:p>
          <w:p w14:paraId="6544D2B3" w14:textId="77777777" w:rsidR="00AF1989" w:rsidRPr="00E34332" w:rsidRDefault="0020159F">
            <w:pPr>
              <w:spacing w:before="40" w:after="40"/>
              <w:rPr>
                <w:rFonts w:ascii="Arial" w:hAnsi="Arial"/>
                <w:b/>
                <w:i/>
                <w:sz w:val="18"/>
                <w:szCs w:val="18"/>
                <w:lang w:val="fr-FR"/>
              </w:rPr>
            </w:pPr>
            <w:r w:rsidRPr="00E34332">
              <w:rPr>
                <w:rFonts w:ascii="Arial" w:hAnsi="Arial"/>
                <w:b/>
                <w:sz w:val="18"/>
                <w:szCs w:val="18"/>
                <w:lang w:val="fr-FR"/>
              </w:rPr>
              <w:t>(Bécasseau falcinelle)</w:t>
            </w:r>
          </w:p>
        </w:tc>
        <w:tc>
          <w:tcPr>
            <w:tcW w:w="680" w:type="dxa"/>
            <w:tcBorders>
              <w:left w:val="nil"/>
              <w:right w:val="nil"/>
            </w:tcBorders>
            <w:shd w:val="clear" w:color="auto" w:fill="FBE4D5" w:themeFill="accent2" w:themeFillTint="33"/>
          </w:tcPr>
          <w:p w14:paraId="1C53FDEA"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D40A82A"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148028E7"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estimé de la population de 30 à 49 % ; les causes sont mal connues, mais incluent probablement la perte ou la dégradation de l'habitat de reproduction.</w:t>
            </w:r>
          </w:p>
        </w:tc>
      </w:tr>
      <w:tr w:rsidR="00AF1989" w:rsidRPr="00185A43" w14:paraId="26B72DA8" w14:textId="77777777">
        <w:tc>
          <w:tcPr>
            <w:tcW w:w="2405" w:type="dxa"/>
            <w:tcBorders>
              <w:left w:val="nil"/>
              <w:right w:val="nil"/>
            </w:tcBorders>
            <w:shd w:val="clear" w:color="auto" w:fill="FBE4D5" w:themeFill="accent2" w:themeFillTint="33"/>
          </w:tcPr>
          <w:p w14:paraId="130340A1"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Calidris </w:t>
            </w:r>
            <w:proofErr w:type="spellStart"/>
            <w:r w:rsidRPr="00E34332">
              <w:rPr>
                <w:rFonts w:ascii="Arial" w:hAnsi="Arial"/>
                <w:b/>
                <w:i/>
                <w:sz w:val="18"/>
                <w:szCs w:val="18"/>
              </w:rPr>
              <w:t>ferruginea</w:t>
            </w:r>
            <w:proofErr w:type="spellEnd"/>
            <w:r w:rsidRPr="00E34332">
              <w:rPr>
                <w:rFonts w:ascii="Arial" w:hAnsi="Arial"/>
                <w:b/>
                <w:i/>
                <w:sz w:val="18"/>
                <w:szCs w:val="18"/>
              </w:rPr>
              <w:t xml:space="preserve"> </w:t>
            </w:r>
          </w:p>
          <w:p w14:paraId="7ED319BB"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(Bécasseau cocorli)</w:t>
            </w:r>
          </w:p>
        </w:tc>
        <w:tc>
          <w:tcPr>
            <w:tcW w:w="680" w:type="dxa"/>
            <w:tcBorders>
              <w:left w:val="nil"/>
              <w:right w:val="nil"/>
            </w:tcBorders>
            <w:shd w:val="clear" w:color="auto" w:fill="FBE4D5" w:themeFill="accent2" w:themeFillTint="33"/>
          </w:tcPr>
          <w:p w14:paraId="038F1273"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22C36E77"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NT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3E7196E9"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probable de la population de 30 à 49 % ; les causes probables sont la perte/dégradation de l'habitat et le changement climatique.</w:t>
            </w:r>
          </w:p>
        </w:tc>
      </w:tr>
      <w:tr w:rsidR="00AF1989" w:rsidRPr="00185A43" w14:paraId="0BA09B6B" w14:textId="77777777">
        <w:tc>
          <w:tcPr>
            <w:tcW w:w="2405" w:type="dxa"/>
            <w:tcBorders>
              <w:left w:val="nil"/>
              <w:right w:val="nil"/>
            </w:tcBorders>
            <w:shd w:val="clear" w:color="auto" w:fill="FBE4D5" w:themeFill="accent2" w:themeFillTint="33"/>
          </w:tcPr>
          <w:p w14:paraId="5C5F44AB" w14:textId="77777777" w:rsidR="00AF1989" w:rsidRPr="00E34332" w:rsidRDefault="0020159F">
            <w:pPr>
              <w:spacing w:before="40" w:after="40"/>
              <w:rPr>
                <w:rFonts w:ascii="Arial" w:hAnsi="Arial"/>
                <w:b/>
                <w:i/>
                <w:sz w:val="18"/>
                <w:szCs w:val="18"/>
                <w:lang w:val="fr-FR"/>
              </w:rPr>
            </w:pPr>
            <w:proofErr w:type="spellStart"/>
            <w:r w:rsidRPr="00E34332">
              <w:rPr>
                <w:rFonts w:ascii="Arial" w:hAnsi="Arial"/>
                <w:b/>
                <w:i/>
                <w:sz w:val="18"/>
                <w:szCs w:val="18"/>
                <w:lang w:val="fr-FR"/>
              </w:rPr>
              <w:t>Calidris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fuscicollis</w:t>
            </w:r>
            <w:proofErr w:type="spellEnd"/>
            <w:r w:rsidRPr="00E34332">
              <w:rPr>
                <w:rFonts w:ascii="Arial" w:hAnsi="Arial"/>
                <w:b/>
                <w:i/>
                <w:sz w:val="18"/>
                <w:szCs w:val="18"/>
                <w:lang w:val="fr-FR"/>
              </w:rPr>
              <w:t xml:space="preserve"> </w:t>
            </w:r>
          </w:p>
          <w:p w14:paraId="4DDA4EA1"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(Bécasseau à croupion blanc)</w:t>
            </w:r>
          </w:p>
        </w:tc>
        <w:tc>
          <w:tcPr>
            <w:tcW w:w="680" w:type="dxa"/>
            <w:tcBorders>
              <w:left w:val="nil"/>
              <w:right w:val="nil"/>
            </w:tcBorders>
            <w:shd w:val="clear" w:color="auto" w:fill="FBE4D5" w:themeFill="accent2" w:themeFillTint="33"/>
          </w:tcPr>
          <w:p w14:paraId="4B074FA7"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72879959"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LC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r w:rsidRPr="00E34332">
              <w:rPr>
                <w:rFonts w:ascii="Arial" w:hAnsi="Arial"/>
                <w:sz w:val="18"/>
                <w:szCs w:val="18"/>
              </w:rPr>
              <w:t>)</w:t>
            </w:r>
          </w:p>
        </w:tc>
        <w:tc>
          <w:tcPr>
            <w:tcW w:w="4168" w:type="dxa"/>
            <w:tcBorders>
              <w:left w:val="nil"/>
              <w:right w:val="nil"/>
            </w:tcBorders>
            <w:shd w:val="clear" w:color="auto" w:fill="FBE4D5" w:themeFill="accent2" w:themeFillTint="33"/>
          </w:tcPr>
          <w:p w14:paraId="5712E9CF"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Le suivi récent suggère un déclin rapide de la population de 40 à 49 % ; les causes de ce déclin sont mal comprises.</w:t>
            </w:r>
          </w:p>
        </w:tc>
      </w:tr>
      <w:tr w:rsidR="00AF1989" w:rsidRPr="00185A43" w14:paraId="4C443D6A" w14:textId="77777777">
        <w:tc>
          <w:tcPr>
            <w:tcW w:w="2405" w:type="dxa"/>
            <w:tcBorders>
              <w:left w:val="nil"/>
              <w:right w:val="nil"/>
            </w:tcBorders>
            <w:shd w:val="clear" w:color="auto" w:fill="FBE4D5" w:themeFill="accent2" w:themeFillTint="33"/>
          </w:tcPr>
          <w:p w14:paraId="2B771CF5" w14:textId="77777777" w:rsidR="00AF1989" w:rsidRPr="00E34332" w:rsidRDefault="0020159F">
            <w:pPr>
              <w:spacing w:before="40" w:after="40"/>
              <w:rPr>
                <w:rFonts w:ascii="Arial" w:hAnsi="Arial"/>
                <w:i/>
                <w:sz w:val="18"/>
                <w:szCs w:val="18"/>
                <w:lang w:val="fr-FR"/>
              </w:rPr>
            </w:pPr>
            <w:proofErr w:type="spellStart"/>
            <w:r w:rsidRPr="00E34332">
              <w:rPr>
                <w:rFonts w:ascii="Arial" w:hAnsi="Arial"/>
                <w:i/>
                <w:sz w:val="18"/>
                <w:szCs w:val="18"/>
                <w:lang w:val="fr-FR"/>
              </w:rPr>
              <w:t>Calidris</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himantopus</w:t>
            </w:r>
            <w:proofErr w:type="spellEnd"/>
            <w:r w:rsidRPr="00E34332">
              <w:rPr>
                <w:rFonts w:ascii="Arial" w:hAnsi="Arial"/>
                <w:i/>
                <w:sz w:val="18"/>
                <w:szCs w:val="18"/>
                <w:lang w:val="fr-FR"/>
              </w:rPr>
              <w:t xml:space="preserve"> </w:t>
            </w:r>
          </w:p>
          <w:p w14:paraId="139EA89E"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(Bécasseau à échasses)</w:t>
            </w:r>
          </w:p>
        </w:tc>
        <w:tc>
          <w:tcPr>
            <w:tcW w:w="680" w:type="dxa"/>
            <w:tcBorders>
              <w:left w:val="nil"/>
              <w:right w:val="nil"/>
            </w:tcBorders>
            <w:shd w:val="clear" w:color="auto" w:fill="FBE4D5" w:themeFill="accent2" w:themeFillTint="33"/>
          </w:tcPr>
          <w:p w14:paraId="48B75F0F"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3DC69BFD"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474747"/>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075B1513"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Population estimée en baisse de 20 à 29 % ; les causes du déclin sont incertaines.</w:t>
            </w:r>
          </w:p>
        </w:tc>
      </w:tr>
      <w:tr w:rsidR="00AF1989" w:rsidRPr="00185A43" w14:paraId="37AAA1DE" w14:textId="77777777">
        <w:tc>
          <w:tcPr>
            <w:tcW w:w="2405" w:type="dxa"/>
            <w:tcBorders>
              <w:left w:val="nil"/>
              <w:right w:val="nil"/>
            </w:tcBorders>
            <w:shd w:val="clear" w:color="auto" w:fill="FBE4D5" w:themeFill="accent2" w:themeFillTint="33"/>
          </w:tcPr>
          <w:p w14:paraId="70F4D83B" w14:textId="77777777" w:rsidR="00AF1989" w:rsidRPr="00E34332" w:rsidRDefault="0020159F">
            <w:pPr>
              <w:spacing w:before="40" w:after="40"/>
              <w:rPr>
                <w:rFonts w:ascii="Arial" w:hAnsi="Arial"/>
                <w:i/>
                <w:sz w:val="18"/>
                <w:szCs w:val="18"/>
              </w:rPr>
            </w:pPr>
            <w:r w:rsidRPr="00E34332">
              <w:rPr>
                <w:rFonts w:ascii="Arial" w:hAnsi="Arial"/>
                <w:i/>
                <w:sz w:val="18"/>
                <w:szCs w:val="18"/>
              </w:rPr>
              <w:t xml:space="preserve">Calidris </w:t>
            </w:r>
            <w:proofErr w:type="spellStart"/>
            <w:r w:rsidRPr="00E34332">
              <w:rPr>
                <w:rFonts w:ascii="Arial" w:hAnsi="Arial"/>
                <w:i/>
                <w:sz w:val="18"/>
                <w:szCs w:val="18"/>
              </w:rPr>
              <w:t>minutilla</w:t>
            </w:r>
            <w:proofErr w:type="spellEnd"/>
            <w:r w:rsidRPr="00E34332">
              <w:rPr>
                <w:rFonts w:ascii="Arial" w:hAnsi="Arial"/>
                <w:i/>
                <w:sz w:val="18"/>
                <w:szCs w:val="18"/>
              </w:rPr>
              <w:t xml:space="preserve"> </w:t>
            </w:r>
          </w:p>
          <w:p w14:paraId="7C184FA2"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(Bécasseau minuscule)</w:t>
            </w:r>
          </w:p>
        </w:tc>
        <w:tc>
          <w:tcPr>
            <w:tcW w:w="680" w:type="dxa"/>
            <w:tcBorders>
              <w:left w:val="nil"/>
              <w:right w:val="nil"/>
            </w:tcBorders>
            <w:shd w:val="clear" w:color="auto" w:fill="FBE4D5" w:themeFill="accent2" w:themeFillTint="33"/>
          </w:tcPr>
          <w:p w14:paraId="4BB3F1F6"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1564ACD"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76806B8B"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Le suivi récent suggère un déclin modérément rapide ; les causes sont très peu connues.</w:t>
            </w:r>
          </w:p>
        </w:tc>
      </w:tr>
      <w:tr w:rsidR="00AF1989" w:rsidRPr="00185A43" w14:paraId="289AA2E0" w14:textId="77777777">
        <w:tc>
          <w:tcPr>
            <w:tcW w:w="2405" w:type="dxa"/>
            <w:tcBorders>
              <w:left w:val="nil"/>
              <w:right w:val="nil"/>
            </w:tcBorders>
            <w:shd w:val="clear" w:color="auto" w:fill="FBE4D5" w:themeFill="accent2" w:themeFillTint="33"/>
          </w:tcPr>
          <w:p w14:paraId="28108A8E"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Calidris </w:t>
            </w:r>
            <w:proofErr w:type="spellStart"/>
            <w:r w:rsidRPr="00E34332">
              <w:rPr>
                <w:rFonts w:ascii="Arial" w:hAnsi="Arial"/>
                <w:b/>
                <w:i/>
                <w:sz w:val="18"/>
                <w:szCs w:val="18"/>
              </w:rPr>
              <w:t>subruficollis</w:t>
            </w:r>
            <w:proofErr w:type="spellEnd"/>
            <w:r w:rsidRPr="00E34332">
              <w:rPr>
                <w:rFonts w:ascii="Arial" w:hAnsi="Arial"/>
                <w:b/>
                <w:i/>
                <w:sz w:val="18"/>
                <w:szCs w:val="18"/>
              </w:rPr>
              <w:t xml:space="preserve"> </w:t>
            </w:r>
          </w:p>
          <w:p w14:paraId="1DA03950"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(Bécasseau roussâtre)</w:t>
            </w:r>
          </w:p>
        </w:tc>
        <w:tc>
          <w:tcPr>
            <w:tcW w:w="680" w:type="dxa"/>
            <w:tcBorders>
              <w:left w:val="nil"/>
              <w:right w:val="nil"/>
            </w:tcBorders>
            <w:shd w:val="clear" w:color="auto" w:fill="FBE4D5" w:themeFill="accent2" w:themeFillTint="33"/>
          </w:tcPr>
          <w:p w14:paraId="26C36FBB"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32A21F38"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VU</w:t>
            </w:r>
            <w:r w:rsidRPr="00E34332">
              <w:rPr>
                <w:rFonts w:ascii="Arial" w:hAnsi="Arial"/>
                <w:sz w:val="18"/>
                <w:szCs w:val="18"/>
                <w:shd w:val="clear" w:color="auto" w:fill="FBE4D5" w:themeFill="accent2" w:themeFillTint="33"/>
              </w:rPr>
              <w:t xml:space="preserve">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1094695C"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Des éléments indiquent un déclin modérément rapide à rapide de la population, dû à la perte d’habitat sur les sites hors reproduction et les haltes migratoires. </w:t>
            </w:r>
          </w:p>
        </w:tc>
      </w:tr>
      <w:tr w:rsidR="00AF1989" w:rsidRPr="00185A43" w14:paraId="20EE24B8" w14:textId="77777777">
        <w:tc>
          <w:tcPr>
            <w:tcW w:w="2405" w:type="dxa"/>
            <w:tcBorders>
              <w:left w:val="nil"/>
              <w:right w:val="nil"/>
            </w:tcBorders>
            <w:shd w:val="clear" w:color="auto" w:fill="EAEAEA"/>
          </w:tcPr>
          <w:p w14:paraId="4F67248B" w14:textId="77777777" w:rsidR="00AF1989" w:rsidRPr="00E34332" w:rsidRDefault="0020159F">
            <w:pPr>
              <w:spacing w:before="40" w:after="40"/>
              <w:rPr>
                <w:rFonts w:ascii="Arial" w:hAnsi="Arial"/>
                <w:sz w:val="18"/>
                <w:szCs w:val="18"/>
                <w:lang w:val="fr-FR"/>
              </w:rPr>
            </w:pPr>
            <w:proofErr w:type="spellStart"/>
            <w:r w:rsidRPr="00E34332">
              <w:rPr>
                <w:rFonts w:ascii="Arial" w:hAnsi="Arial"/>
                <w:i/>
                <w:sz w:val="18"/>
                <w:szCs w:val="18"/>
                <w:lang w:val="fr-FR"/>
              </w:rPr>
              <w:t>Charadrius</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dealbatus</w:t>
            </w:r>
            <w:proofErr w:type="spellEnd"/>
            <w:r w:rsidRPr="00E34332">
              <w:rPr>
                <w:rFonts w:ascii="Arial" w:hAnsi="Arial"/>
                <w:i/>
                <w:sz w:val="18"/>
                <w:szCs w:val="18"/>
                <w:lang w:val="fr-FR"/>
              </w:rPr>
              <w:t xml:space="preserve"> </w:t>
            </w:r>
            <w:r w:rsidRPr="00E34332">
              <w:rPr>
                <w:rFonts w:ascii="Arial" w:hAnsi="Arial"/>
                <w:sz w:val="18"/>
                <w:szCs w:val="18"/>
                <w:lang w:val="fr-FR"/>
              </w:rPr>
              <w:t xml:space="preserve">(Pluvier de </w:t>
            </w:r>
            <w:proofErr w:type="spellStart"/>
            <w:r w:rsidRPr="00E34332">
              <w:rPr>
                <w:rFonts w:ascii="Arial" w:hAnsi="Arial"/>
                <w:sz w:val="18"/>
                <w:szCs w:val="18"/>
                <w:lang w:val="fr-FR"/>
              </w:rPr>
              <w:t>Swinhoe</w:t>
            </w:r>
            <w:proofErr w:type="spellEnd"/>
            <w:r w:rsidRPr="00E34332">
              <w:rPr>
                <w:rFonts w:ascii="Arial" w:hAnsi="Arial"/>
                <w:sz w:val="18"/>
                <w:szCs w:val="18"/>
                <w:lang w:val="fr-FR"/>
              </w:rPr>
              <w:t>)</w:t>
            </w:r>
          </w:p>
        </w:tc>
        <w:tc>
          <w:tcPr>
            <w:tcW w:w="680" w:type="dxa"/>
            <w:tcBorders>
              <w:left w:val="nil"/>
              <w:right w:val="nil"/>
            </w:tcBorders>
            <w:shd w:val="clear" w:color="auto" w:fill="EAEAEA"/>
          </w:tcPr>
          <w:p w14:paraId="42F1D90A"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EAEAEA"/>
          </w:tcPr>
          <w:p w14:paraId="532027BA"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DD (?) </w:t>
            </w:r>
            <w:r w:rsidRPr="00E34332">
              <w:rPr>
                <w:rFonts w:ascii="Arial" w:hAnsi="Arial"/>
                <w:color w:val="040C28"/>
                <w:sz w:val="18"/>
                <w:szCs w:val="18"/>
              </w:rPr>
              <w:t>→ LC (?)</w:t>
            </w:r>
          </w:p>
        </w:tc>
        <w:tc>
          <w:tcPr>
            <w:tcW w:w="4168" w:type="dxa"/>
            <w:tcBorders>
              <w:left w:val="nil"/>
              <w:right w:val="nil"/>
            </w:tcBorders>
            <w:shd w:val="clear" w:color="auto" w:fill="EAEAEA"/>
          </w:tcPr>
          <w:p w14:paraId="13A0F545"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Précédemment mal connue, mais récemment confirmée comme étant assez répandue ; la taille de la population est supposée importante.</w:t>
            </w:r>
          </w:p>
        </w:tc>
      </w:tr>
      <w:tr w:rsidR="00AF1989" w:rsidRPr="00185A43" w14:paraId="4231D304" w14:textId="77777777">
        <w:tc>
          <w:tcPr>
            <w:tcW w:w="2405" w:type="dxa"/>
            <w:tcBorders>
              <w:left w:val="nil"/>
              <w:right w:val="nil"/>
            </w:tcBorders>
            <w:shd w:val="clear" w:color="auto" w:fill="FBE4D5" w:themeFill="accent2" w:themeFillTint="33"/>
          </w:tcPr>
          <w:p w14:paraId="6B0379B6"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Charadrius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mongolus</w:t>
            </w:r>
            <w:proofErr w:type="spellEnd"/>
            <w:r w:rsidRPr="00E34332">
              <w:rPr>
                <w:rFonts w:ascii="Arial" w:hAnsi="Arial"/>
                <w:b/>
                <w:i/>
                <w:sz w:val="18"/>
                <w:szCs w:val="18"/>
                <w:lang w:val="fr-FR"/>
              </w:rPr>
              <w:t xml:space="preserve"> </w:t>
            </w:r>
            <w:r w:rsidRPr="00E34332">
              <w:rPr>
                <w:rFonts w:ascii="Arial" w:hAnsi="Arial"/>
                <w:b/>
                <w:sz w:val="18"/>
                <w:szCs w:val="18"/>
                <w:lang w:val="fr-FR"/>
              </w:rPr>
              <w:t>(Pluvier de Mongolie)</w:t>
            </w:r>
          </w:p>
        </w:tc>
        <w:tc>
          <w:tcPr>
            <w:tcW w:w="680" w:type="dxa"/>
            <w:tcBorders>
              <w:left w:val="nil"/>
              <w:right w:val="nil"/>
            </w:tcBorders>
            <w:shd w:val="clear" w:color="auto" w:fill="FBE4D5" w:themeFill="accent2" w:themeFillTint="33"/>
          </w:tcPr>
          <w:p w14:paraId="7F613745"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4F925185"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LC (?) </w:t>
            </w:r>
            <w:r w:rsidRPr="00E34332">
              <w:rPr>
                <w:rFonts w:ascii="Arial" w:hAnsi="Arial"/>
                <w:color w:val="040C28"/>
                <w:sz w:val="18"/>
                <w:szCs w:val="18"/>
              </w:rPr>
              <w:t>→</w:t>
            </w:r>
            <w:r w:rsidRPr="00E34332">
              <w:rPr>
                <w:rFonts w:ascii="Arial" w:hAnsi="Arial"/>
                <w:sz w:val="18"/>
                <w:szCs w:val="18"/>
              </w:rPr>
              <w:t xml:space="preserve"> EN (</w:t>
            </w:r>
            <w:r w:rsidRPr="00E34332">
              <w:rPr>
                <w:rFonts w:ascii="Arial" w:hAnsi="Arial"/>
                <w:color w:val="1F1F1F"/>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3B4E341B"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estimé de la population de 50 à 62 % ; menacée par la perte et la dégradation des habitats de halte migratoire ainsi que par le changement climatique.</w:t>
            </w:r>
          </w:p>
        </w:tc>
      </w:tr>
      <w:tr w:rsidR="00AF1989" w:rsidRPr="00185A43" w14:paraId="444C36FD" w14:textId="77777777">
        <w:tc>
          <w:tcPr>
            <w:tcW w:w="2405" w:type="dxa"/>
            <w:tcBorders>
              <w:left w:val="nil"/>
              <w:right w:val="nil"/>
            </w:tcBorders>
            <w:shd w:val="clear" w:color="auto" w:fill="FBE4D5" w:themeFill="accent2" w:themeFillTint="33"/>
          </w:tcPr>
          <w:p w14:paraId="0C7906D0" w14:textId="77777777" w:rsidR="00AF1989" w:rsidRPr="00E34332" w:rsidRDefault="0020159F">
            <w:pPr>
              <w:spacing w:before="40" w:after="40"/>
              <w:rPr>
                <w:rFonts w:ascii="Arial" w:hAnsi="Arial"/>
                <w:i/>
                <w:sz w:val="18"/>
                <w:szCs w:val="18"/>
                <w:lang w:val="fr-FR"/>
              </w:rPr>
            </w:pPr>
            <w:proofErr w:type="spellStart"/>
            <w:r w:rsidRPr="00E34332">
              <w:rPr>
                <w:rFonts w:ascii="Arial" w:hAnsi="Arial"/>
                <w:i/>
                <w:sz w:val="18"/>
                <w:szCs w:val="18"/>
                <w:lang w:val="fr-FR"/>
              </w:rPr>
              <w:t>Charadrius</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vociferus</w:t>
            </w:r>
            <w:proofErr w:type="spellEnd"/>
            <w:r w:rsidRPr="00E34332">
              <w:rPr>
                <w:rFonts w:ascii="Arial" w:hAnsi="Arial"/>
                <w:i/>
                <w:sz w:val="18"/>
                <w:szCs w:val="18"/>
                <w:lang w:val="fr-FR"/>
              </w:rPr>
              <w:t xml:space="preserve"> </w:t>
            </w:r>
            <w:r w:rsidRPr="00E34332">
              <w:rPr>
                <w:rFonts w:ascii="Arial" w:hAnsi="Arial"/>
                <w:sz w:val="18"/>
                <w:szCs w:val="18"/>
                <w:lang w:val="fr-FR"/>
              </w:rPr>
              <w:t xml:space="preserve">(Pluvier </w:t>
            </w:r>
            <w:proofErr w:type="spellStart"/>
            <w:r w:rsidRPr="00E34332">
              <w:rPr>
                <w:rFonts w:ascii="Arial" w:hAnsi="Arial"/>
                <w:sz w:val="18"/>
                <w:szCs w:val="18"/>
                <w:lang w:val="fr-FR"/>
              </w:rPr>
              <w:t>kildir</w:t>
            </w:r>
            <w:proofErr w:type="spellEnd"/>
            <w:r w:rsidRPr="00E34332">
              <w:rPr>
                <w:rFonts w:ascii="Arial" w:hAnsi="Arial"/>
                <w:sz w:val="18"/>
                <w:szCs w:val="18"/>
                <w:lang w:val="fr-FR"/>
              </w:rPr>
              <w:t>)</w:t>
            </w:r>
          </w:p>
        </w:tc>
        <w:tc>
          <w:tcPr>
            <w:tcW w:w="680" w:type="dxa"/>
            <w:tcBorders>
              <w:left w:val="nil"/>
              <w:right w:val="nil"/>
            </w:tcBorders>
            <w:shd w:val="clear" w:color="auto" w:fill="FBE4D5" w:themeFill="accent2" w:themeFillTint="33"/>
          </w:tcPr>
          <w:p w14:paraId="1A07228C"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1EC50531"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0764E259"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Réduction estimée de la population de &gt;20 % ; causes du déclin incertaines.</w:t>
            </w:r>
          </w:p>
        </w:tc>
      </w:tr>
      <w:tr w:rsidR="00AF1989" w:rsidRPr="00185A43" w14:paraId="4E1A07B1" w14:textId="77777777">
        <w:tc>
          <w:tcPr>
            <w:tcW w:w="2405" w:type="dxa"/>
            <w:tcBorders>
              <w:left w:val="nil"/>
              <w:right w:val="nil"/>
            </w:tcBorders>
            <w:shd w:val="clear" w:color="auto" w:fill="FBE4D5" w:themeFill="accent2" w:themeFillTint="33"/>
          </w:tcPr>
          <w:p w14:paraId="3AE66CC4" w14:textId="77777777" w:rsidR="00AF1989" w:rsidRPr="00E34332" w:rsidRDefault="0020159F">
            <w:pPr>
              <w:spacing w:before="40" w:after="40"/>
              <w:rPr>
                <w:rFonts w:ascii="Arial" w:hAnsi="Arial"/>
                <w:b/>
                <w:i/>
                <w:sz w:val="18"/>
                <w:szCs w:val="18"/>
                <w:lang w:val="fr-FR"/>
              </w:rPr>
            </w:pPr>
            <w:proofErr w:type="spellStart"/>
            <w:r w:rsidRPr="00E34332">
              <w:rPr>
                <w:rFonts w:ascii="Arial" w:hAnsi="Arial"/>
                <w:b/>
                <w:i/>
                <w:sz w:val="18"/>
                <w:szCs w:val="18"/>
                <w:lang w:val="fr-FR"/>
              </w:rPr>
              <w:t>Limnodromus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griseus</w:t>
            </w:r>
            <w:proofErr w:type="spellEnd"/>
            <w:r w:rsidRPr="00E34332">
              <w:rPr>
                <w:rFonts w:ascii="Arial" w:hAnsi="Arial"/>
                <w:b/>
                <w:i/>
                <w:sz w:val="18"/>
                <w:szCs w:val="18"/>
                <w:lang w:val="fr-FR"/>
              </w:rPr>
              <w:t xml:space="preserve"> </w:t>
            </w:r>
            <w:r w:rsidRPr="00E34332">
              <w:rPr>
                <w:rFonts w:ascii="Arial" w:hAnsi="Arial"/>
                <w:b/>
                <w:sz w:val="18"/>
                <w:szCs w:val="18"/>
                <w:lang w:val="fr-FR"/>
              </w:rPr>
              <w:t>(Bécassin roux)</w:t>
            </w:r>
          </w:p>
        </w:tc>
        <w:tc>
          <w:tcPr>
            <w:tcW w:w="680" w:type="dxa"/>
            <w:tcBorders>
              <w:left w:val="nil"/>
              <w:right w:val="nil"/>
            </w:tcBorders>
            <w:shd w:val="clear" w:color="auto" w:fill="FBE4D5" w:themeFill="accent2" w:themeFillTint="33"/>
          </w:tcPr>
          <w:p w14:paraId="34E76169"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2B90DA8E"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w:t>
            </w:r>
            <w:r w:rsidRPr="00E34332">
              <w:rPr>
                <w:rFonts w:ascii="Arial" w:hAnsi="Arial"/>
                <w:sz w:val="18"/>
                <w:szCs w:val="18"/>
                <w:shd w:val="clear" w:color="auto" w:fill="FBE4D5" w:themeFill="accent2" w:themeFillTint="33"/>
              </w:rPr>
              <w:t xml:space="preserve">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6F1D3227"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Déclin estimé de la population de 20 à 49 % ; causes du déclin incertaines. </w:t>
            </w:r>
          </w:p>
        </w:tc>
      </w:tr>
      <w:tr w:rsidR="00AF1989" w:rsidRPr="00185A43" w14:paraId="225E280D" w14:textId="77777777">
        <w:tc>
          <w:tcPr>
            <w:tcW w:w="2405" w:type="dxa"/>
            <w:tcBorders>
              <w:left w:val="nil"/>
              <w:right w:val="nil"/>
            </w:tcBorders>
            <w:shd w:val="clear" w:color="auto" w:fill="FBE4D5" w:themeFill="accent2" w:themeFillTint="33"/>
          </w:tcPr>
          <w:p w14:paraId="57A5DF26" w14:textId="77777777" w:rsidR="00AF1989" w:rsidRPr="00E34332" w:rsidRDefault="0020159F">
            <w:pPr>
              <w:spacing w:before="40" w:after="40"/>
              <w:rPr>
                <w:rFonts w:ascii="Arial" w:hAnsi="Arial"/>
                <w:i/>
                <w:sz w:val="18"/>
                <w:szCs w:val="18"/>
                <w:lang w:val="fr-FR"/>
              </w:rPr>
            </w:pPr>
            <w:proofErr w:type="spellStart"/>
            <w:r w:rsidRPr="00E34332">
              <w:rPr>
                <w:rFonts w:ascii="Arial" w:hAnsi="Arial"/>
                <w:i/>
                <w:sz w:val="18"/>
                <w:szCs w:val="18"/>
                <w:lang w:val="fr-FR"/>
              </w:rPr>
              <w:t>Limnodromus</w:t>
            </w:r>
            <w:proofErr w:type="spellEnd"/>
            <w:r w:rsidRPr="00E34332">
              <w:rPr>
                <w:rFonts w:ascii="Arial" w:hAnsi="Arial"/>
                <w:i/>
                <w:sz w:val="18"/>
                <w:szCs w:val="18"/>
                <w:lang w:val="fr-FR"/>
              </w:rPr>
              <w:t xml:space="preserve"> </w:t>
            </w:r>
            <w:proofErr w:type="spellStart"/>
            <w:r w:rsidRPr="00E34332">
              <w:rPr>
                <w:rFonts w:ascii="Arial" w:hAnsi="Arial"/>
                <w:i/>
                <w:sz w:val="18"/>
                <w:szCs w:val="18"/>
                <w:lang w:val="fr-FR"/>
              </w:rPr>
              <w:t>scolopaceus</w:t>
            </w:r>
            <w:proofErr w:type="spellEnd"/>
            <w:r w:rsidRPr="00E34332">
              <w:rPr>
                <w:rFonts w:ascii="Arial" w:hAnsi="Arial"/>
                <w:i/>
                <w:sz w:val="18"/>
                <w:szCs w:val="18"/>
                <w:lang w:val="fr-FR"/>
              </w:rPr>
              <w:t xml:space="preserve"> </w:t>
            </w:r>
            <w:r w:rsidRPr="00E34332">
              <w:rPr>
                <w:rFonts w:ascii="Arial" w:hAnsi="Arial"/>
                <w:sz w:val="18"/>
                <w:szCs w:val="18"/>
                <w:lang w:val="fr-FR"/>
              </w:rPr>
              <w:t>(Bécassin à long bec)</w:t>
            </w:r>
          </w:p>
        </w:tc>
        <w:tc>
          <w:tcPr>
            <w:tcW w:w="680" w:type="dxa"/>
            <w:tcBorders>
              <w:left w:val="nil"/>
              <w:right w:val="nil"/>
            </w:tcBorders>
            <w:shd w:val="clear" w:color="auto" w:fill="FBE4D5" w:themeFill="accent2" w:themeFillTint="33"/>
          </w:tcPr>
          <w:p w14:paraId="116EAA72"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D8D91A2"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1B18D2DD"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de la population suspecté entre 20 et 29 % ; causes du déclin incertaines.</w:t>
            </w:r>
          </w:p>
        </w:tc>
      </w:tr>
      <w:tr w:rsidR="00AF1989" w:rsidRPr="00185A43" w14:paraId="272C47C5" w14:textId="77777777">
        <w:tc>
          <w:tcPr>
            <w:tcW w:w="2405" w:type="dxa"/>
            <w:tcBorders>
              <w:left w:val="nil"/>
              <w:right w:val="nil"/>
            </w:tcBorders>
            <w:shd w:val="clear" w:color="auto" w:fill="FBE4D5" w:themeFill="accent2" w:themeFillTint="33"/>
          </w:tcPr>
          <w:p w14:paraId="1133444E" w14:textId="77777777" w:rsidR="00AF1989" w:rsidRPr="00E34332" w:rsidRDefault="0020159F">
            <w:pPr>
              <w:spacing w:before="40" w:after="40"/>
              <w:rPr>
                <w:rFonts w:ascii="Arial" w:hAnsi="Arial"/>
                <w:b/>
                <w:i/>
                <w:sz w:val="18"/>
                <w:szCs w:val="18"/>
              </w:rPr>
            </w:pPr>
            <w:proofErr w:type="spellStart"/>
            <w:r w:rsidRPr="00E34332">
              <w:rPr>
                <w:rFonts w:ascii="Arial" w:hAnsi="Arial"/>
                <w:b/>
                <w:i/>
                <w:sz w:val="18"/>
                <w:szCs w:val="18"/>
              </w:rPr>
              <w:t>Limosa</w:t>
            </w:r>
            <w:proofErr w:type="spellEnd"/>
            <w:r w:rsidRPr="00E34332">
              <w:rPr>
                <w:rFonts w:ascii="Arial" w:hAnsi="Arial"/>
                <w:b/>
                <w:i/>
                <w:sz w:val="18"/>
                <w:szCs w:val="18"/>
              </w:rPr>
              <w:t xml:space="preserve"> </w:t>
            </w:r>
            <w:proofErr w:type="spellStart"/>
            <w:r w:rsidRPr="00E34332">
              <w:rPr>
                <w:rFonts w:ascii="Arial" w:hAnsi="Arial"/>
                <w:b/>
                <w:i/>
                <w:sz w:val="18"/>
                <w:szCs w:val="18"/>
              </w:rPr>
              <w:t>fedoa</w:t>
            </w:r>
            <w:proofErr w:type="spellEnd"/>
            <w:r w:rsidRPr="00E34332">
              <w:rPr>
                <w:rFonts w:ascii="Arial" w:hAnsi="Arial"/>
                <w:b/>
                <w:i/>
                <w:sz w:val="18"/>
                <w:szCs w:val="18"/>
              </w:rPr>
              <w:t xml:space="preserve"> </w:t>
            </w:r>
          </w:p>
          <w:p w14:paraId="76D0260C" w14:textId="77777777" w:rsidR="00AF1989" w:rsidRPr="00E34332" w:rsidRDefault="0020159F">
            <w:pPr>
              <w:spacing w:before="40" w:after="40"/>
              <w:rPr>
                <w:rFonts w:ascii="Arial" w:hAnsi="Arial"/>
                <w:b/>
                <w:i/>
                <w:sz w:val="18"/>
                <w:szCs w:val="18"/>
                <w:lang w:val="fr-FR"/>
              </w:rPr>
            </w:pPr>
            <w:r w:rsidRPr="00E34332">
              <w:rPr>
                <w:rFonts w:ascii="Arial" w:hAnsi="Arial"/>
                <w:b/>
                <w:sz w:val="18"/>
                <w:szCs w:val="18"/>
                <w:lang w:val="fr-FR"/>
              </w:rPr>
              <w:t>(Barge marbrée)</w:t>
            </w:r>
          </w:p>
        </w:tc>
        <w:tc>
          <w:tcPr>
            <w:tcW w:w="680" w:type="dxa"/>
            <w:tcBorders>
              <w:left w:val="nil"/>
              <w:right w:val="nil"/>
            </w:tcBorders>
            <w:shd w:val="clear" w:color="auto" w:fill="FBE4D5" w:themeFill="accent2" w:themeFillTint="33"/>
          </w:tcPr>
          <w:p w14:paraId="2A507FAA"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6D3E6669"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0DEBB931"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rapide de la population constaté ; menacée par la perte des habitats de reproduction et d’escale.</w:t>
            </w:r>
          </w:p>
        </w:tc>
      </w:tr>
      <w:tr w:rsidR="00AF1989" w:rsidRPr="00185A43" w14:paraId="1FBBBD62" w14:textId="77777777">
        <w:tc>
          <w:tcPr>
            <w:tcW w:w="2405" w:type="dxa"/>
            <w:tcBorders>
              <w:left w:val="nil"/>
              <w:right w:val="nil"/>
            </w:tcBorders>
            <w:shd w:val="clear" w:color="auto" w:fill="FBE4D5" w:themeFill="accent2" w:themeFillTint="33"/>
          </w:tcPr>
          <w:p w14:paraId="68CA2888"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Limosa</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haemastica</w:t>
            </w:r>
            <w:proofErr w:type="spellEnd"/>
            <w:r w:rsidRPr="00E34332">
              <w:rPr>
                <w:rFonts w:ascii="Arial" w:hAnsi="Arial"/>
                <w:b/>
                <w:i/>
                <w:sz w:val="18"/>
                <w:szCs w:val="18"/>
                <w:lang w:val="fr-FR"/>
              </w:rPr>
              <w:t xml:space="preserve"> </w:t>
            </w:r>
            <w:r w:rsidRPr="00E34332">
              <w:rPr>
                <w:rFonts w:ascii="Arial" w:hAnsi="Arial"/>
                <w:b/>
                <w:sz w:val="18"/>
                <w:szCs w:val="18"/>
                <w:lang w:val="fr-FR"/>
              </w:rPr>
              <w:t>(Barge hudsonienne)</w:t>
            </w:r>
          </w:p>
        </w:tc>
        <w:tc>
          <w:tcPr>
            <w:tcW w:w="680" w:type="dxa"/>
            <w:tcBorders>
              <w:left w:val="nil"/>
              <w:right w:val="nil"/>
            </w:tcBorders>
            <w:shd w:val="clear" w:color="auto" w:fill="FBE4D5" w:themeFill="accent2" w:themeFillTint="33"/>
          </w:tcPr>
          <w:p w14:paraId="2E81CCB0"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44964943"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54857A90"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Déclin de la population suspecté entre 20 et 37 % ; causes exactes incertaines. </w:t>
            </w:r>
          </w:p>
        </w:tc>
      </w:tr>
      <w:tr w:rsidR="00AF1989" w:rsidRPr="00185A43" w14:paraId="16914029" w14:textId="77777777">
        <w:tc>
          <w:tcPr>
            <w:tcW w:w="2405" w:type="dxa"/>
            <w:tcBorders>
              <w:left w:val="nil"/>
              <w:right w:val="nil"/>
            </w:tcBorders>
            <w:shd w:val="clear" w:color="auto" w:fill="FBE4D5" w:themeFill="accent2" w:themeFillTint="33"/>
          </w:tcPr>
          <w:p w14:paraId="005D0EA1" w14:textId="77777777" w:rsidR="00AF1989" w:rsidRPr="00E34332" w:rsidRDefault="0020159F">
            <w:pPr>
              <w:spacing w:before="40" w:after="40"/>
              <w:rPr>
                <w:rFonts w:ascii="Arial" w:hAnsi="Arial"/>
                <w:b/>
                <w:i/>
                <w:sz w:val="18"/>
                <w:szCs w:val="18"/>
              </w:rPr>
            </w:pPr>
            <w:proofErr w:type="spellStart"/>
            <w:r w:rsidRPr="00E34332">
              <w:rPr>
                <w:rFonts w:ascii="Arial" w:hAnsi="Arial"/>
                <w:b/>
                <w:i/>
                <w:sz w:val="18"/>
                <w:szCs w:val="18"/>
              </w:rPr>
              <w:t>Pluvialis</w:t>
            </w:r>
            <w:proofErr w:type="spellEnd"/>
            <w:r w:rsidRPr="00E34332">
              <w:rPr>
                <w:rFonts w:ascii="Arial" w:hAnsi="Arial"/>
                <w:b/>
                <w:i/>
                <w:sz w:val="18"/>
                <w:szCs w:val="18"/>
              </w:rPr>
              <w:t xml:space="preserve"> </w:t>
            </w:r>
            <w:proofErr w:type="spellStart"/>
            <w:r w:rsidRPr="00E34332">
              <w:rPr>
                <w:rFonts w:ascii="Arial" w:hAnsi="Arial"/>
                <w:b/>
                <w:i/>
                <w:sz w:val="18"/>
                <w:szCs w:val="18"/>
              </w:rPr>
              <w:t>squatarola</w:t>
            </w:r>
            <w:proofErr w:type="spellEnd"/>
            <w:r w:rsidRPr="00E34332">
              <w:rPr>
                <w:rFonts w:ascii="Arial" w:hAnsi="Arial"/>
                <w:b/>
                <w:i/>
                <w:sz w:val="18"/>
                <w:szCs w:val="18"/>
              </w:rPr>
              <w:t xml:space="preserve"> </w:t>
            </w:r>
          </w:p>
          <w:p w14:paraId="0D06E88B" w14:textId="77777777" w:rsidR="00AF1989" w:rsidRPr="00E34332" w:rsidRDefault="0020159F">
            <w:pPr>
              <w:spacing w:before="40" w:after="40"/>
              <w:rPr>
                <w:rFonts w:ascii="Arial" w:hAnsi="Arial"/>
                <w:b/>
                <w:i/>
                <w:sz w:val="18"/>
                <w:szCs w:val="18"/>
                <w:lang w:val="fr-FR"/>
              </w:rPr>
            </w:pPr>
            <w:r w:rsidRPr="00E34332">
              <w:rPr>
                <w:rFonts w:ascii="Arial" w:hAnsi="Arial"/>
                <w:b/>
                <w:sz w:val="18"/>
                <w:szCs w:val="18"/>
                <w:lang w:val="fr-FR"/>
              </w:rPr>
              <w:t>(Pluvier argenté)</w:t>
            </w:r>
          </w:p>
        </w:tc>
        <w:tc>
          <w:tcPr>
            <w:tcW w:w="680" w:type="dxa"/>
            <w:tcBorders>
              <w:left w:val="nil"/>
              <w:right w:val="nil"/>
            </w:tcBorders>
            <w:shd w:val="clear" w:color="auto" w:fill="FBE4D5" w:themeFill="accent2" w:themeFillTint="33"/>
          </w:tcPr>
          <w:p w14:paraId="5D13DCDC"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E0CCD43"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LC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2C2B5CBB"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Réduction estimée de la population de 30 à 49 % ; les causes exactes sont inconnues.</w:t>
            </w:r>
          </w:p>
        </w:tc>
      </w:tr>
      <w:tr w:rsidR="00AF1989" w:rsidRPr="00185A43" w14:paraId="6630E0AE" w14:textId="77777777">
        <w:tc>
          <w:tcPr>
            <w:tcW w:w="2405" w:type="dxa"/>
            <w:tcBorders>
              <w:left w:val="nil"/>
              <w:right w:val="nil"/>
            </w:tcBorders>
            <w:shd w:val="clear" w:color="auto" w:fill="FBE4D5" w:themeFill="accent2" w:themeFillTint="33"/>
          </w:tcPr>
          <w:p w14:paraId="5D5730A5"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Pluvianellus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socialis</w:t>
            </w:r>
            <w:proofErr w:type="spellEnd"/>
            <w:r w:rsidRPr="00E34332">
              <w:rPr>
                <w:rFonts w:ascii="Arial" w:hAnsi="Arial"/>
                <w:b/>
                <w:i/>
                <w:sz w:val="18"/>
                <w:szCs w:val="18"/>
                <w:lang w:val="fr-FR"/>
              </w:rPr>
              <w:t xml:space="preserve"> </w:t>
            </w:r>
            <w:r w:rsidRPr="00E34332">
              <w:rPr>
                <w:rFonts w:ascii="Arial" w:hAnsi="Arial"/>
                <w:b/>
                <w:sz w:val="18"/>
                <w:szCs w:val="18"/>
                <w:lang w:val="fr-FR"/>
              </w:rPr>
              <w:t>(</w:t>
            </w:r>
            <w:proofErr w:type="spellStart"/>
            <w:r w:rsidRPr="00E34332">
              <w:rPr>
                <w:rFonts w:ascii="Arial" w:hAnsi="Arial"/>
                <w:b/>
                <w:sz w:val="18"/>
                <w:szCs w:val="18"/>
                <w:lang w:val="fr-FR"/>
              </w:rPr>
              <w:t>Pluvianelle</w:t>
            </w:r>
            <w:proofErr w:type="spellEnd"/>
            <w:r w:rsidRPr="00E34332">
              <w:rPr>
                <w:rFonts w:ascii="Arial" w:hAnsi="Arial"/>
                <w:b/>
                <w:sz w:val="18"/>
                <w:szCs w:val="18"/>
                <w:lang w:val="fr-FR"/>
              </w:rPr>
              <w:t xml:space="preserve"> magellanique)</w:t>
            </w:r>
          </w:p>
        </w:tc>
        <w:tc>
          <w:tcPr>
            <w:tcW w:w="680" w:type="dxa"/>
            <w:tcBorders>
              <w:left w:val="nil"/>
              <w:right w:val="nil"/>
            </w:tcBorders>
            <w:shd w:val="clear" w:color="auto" w:fill="FBE4D5" w:themeFill="accent2" w:themeFillTint="33"/>
          </w:tcPr>
          <w:p w14:paraId="74F21C47"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0733D70B"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NT (-) </w:t>
            </w:r>
            <w:r w:rsidRPr="00E34332">
              <w:rPr>
                <w:rFonts w:ascii="Arial" w:hAnsi="Arial"/>
                <w:color w:val="040C28"/>
                <w:sz w:val="18"/>
                <w:szCs w:val="18"/>
              </w:rPr>
              <w:t>→</w:t>
            </w:r>
            <w:r w:rsidRPr="00E34332">
              <w:rPr>
                <w:rFonts w:ascii="Arial" w:hAnsi="Arial"/>
                <w:sz w:val="18"/>
                <w:szCs w:val="18"/>
              </w:rPr>
              <w:t xml:space="preserve"> VU (-)</w:t>
            </w:r>
          </w:p>
        </w:tc>
        <w:tc>
          <w:tcPr>
            <w:tcW w:w="4168" w:type="dxa"/>
            <w:tcBorders>
              <w:left w:val="nil"/>
              <w:right w:val="nil"/>
            </w:tcBorders>
            <w:shd w:val="clear" w:color="auto" w:fill="FBE4D5" w:themeFill="accent2" w:themeFillTint="33"/>
          </w:tcPr>
          <w:p w14:paraId="6ACD6F39"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Petite taille de la population mondiale ; tendance de la population stable.</w:t>
            </w:r>
          </w:p>
        </w:tc>
      </w:tr>
      <w:tr w:rsidR="00AF1989" w:rsidRPr="00185A43" w14:paraId="218B6A1F" w14:textId="77777777">
        <w:tc>
          <w:tcPr>
            <w:tcW w:w="2405" w:type="dxa"/>
            <w:tcBorders>
              <w:left w:val="nil"/>
              <w:right w:val="nil"/>
            </w:tcBorders>
          </w:tcPr>
          <w:p w14:paraId="7C286087" w14:textId="77777777" w:rsidR="00AF1989" w:rsidRPr="00E34332" w:rsidRDefault="0020159F">
            <w:pPr>
              <w:spacing w:before="40" w:after="40"/>
              <w:rPr>
                <w:rFonts w:ascii="Arial" w:hAnsi="Arial"/>
                <w:i/>
                <w:sz w:val="18"/>
                <w:szCs w:val="18"/>
                <w:lang w:val="fr-FR"/>
              </w:rPr>
            </w:pPr>
            <w:r w:rsidRPr="00E34332">
              <w:rPr>
                <w:rFonts w:ascii="Arial" w:hAnsi="Arial"/>
                <w:i/>
                <w:sz w:val="18"/>
                <w:szCs w:val="18"/>
                <w:lang w:val="fr-FR"/>
              </w:rPr>
              <w:t xml:space="preserve">Tringa </w:t>
            </w:r>
            <w:proofErr w:type="spellStart"/>
            <w:r w:rsidRPr="00E34332">
              <w:rPr>
                <w:rFonts w:ascii="Arial" w:hAnsi="Arial"/>
                <w:i/>
                <w:sz w:val="18"/>
                <w:szCs w:val="18"/>
                <w:lang w:val="fr-FR"/>
              </w:rPr>
              <w:t>brevipes</w:t>
            </w:r>
            <w:proofErr w:type="spellEnd"/>
            <w:r w:rsidRPr="00E34332">
              <w:rPr>
                <w:rFonts w:ascii="Arial" w:hAnsi="Arial"/>
                <w:i/>
                <w:sz w:val="18"/>
                <w:szCs w:val="18"/>
                <w:lang w:val="fr-FR"/>
              </w:rPr>
              <w:t xml:space="preserve"> </w:t>
            </w:r>
          </w:p>
          <w:p w14:paraId="340C1BC5" w14:textId="77777777" w:rsidR="00AF1989" w:rsidRPr="00E34332" w:rsidRDefault="0020159F">
            <w:pPr>
              <w:spacing w:before="40" w:after="40"/>
              <w:rPr>
                <w:rFonts w:ascii="Arial" w:hAnsi="Arial"/>
                <w:sz w:val="18"/>
                <w:szCs w:val="18"/>
                <w:lang w:val="fr-FR"/>
              </w:rPr>
            </w:pPr>
            <w:r w:rsidRPr="00E34332">
              <w:rPr>
                <w:rFonts w:ascii="Arial" w:hAnsi="Arial"/>
                <w:sz w:val="18"/>
                <w:szCs w:val="18"/>
                <w:lang w:val="fr-FR"/>
              </w:rPr>
              <w:t>(Chevalier de Sibérie)</w:t>
            </w:r>
          </w:p>
        </w:tc>
        <w:tc>
          <w:tcPr>
            <w:tcW w:w="680" w:type="dxa"/>
            <w:tcBorders>
              <w:left w:val="nil"/>
              <w:right w:val="nil"/>
            </w:tcBorders>
          </w:tcPr>
          <w:p w14:paraId="4F9230CD"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tcPr>
          <w:p w14:paraId="36671951" w14:textId="77777777" w:rsidR="00AF1989" w:rsidRPr="00E34332" w:rsidRDefault="0020159F">
            <w:pPr>
              <w:spacing w:before="40" w:after="40"/>
              <w:rPr>
                <w:rFonts w:ascii="Arial" w:hAnsi="Arial"/>
                <w:sz w:val="18"/>
                <w:szCs w:val="18"/>
              </w:rPr>
            </w:pPr>
            <w:r w:rsidRPr="00E34332">
              <w:rPr>
                <w:rFonts w:ascii="Arial" w:hAnsi="Arial"/>
                <w:sz w:val="18"/>
                <w:szCs w:val="18"/>
              </w:rPr>
              <w:t>NT (</w:t>
            </w:r>
            <w:r w:rsidRPr="00E34332">
              <w:rPr>
                <w:rFonts w:ascii="Arial" w:hAnsi="Arial"/>
                <w:color w:val="1F1F1F"/>
                <w:sz w:val="18"/>
                <w:szCs w:val="18"/>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LC (-)</w:t>
            </w:r>
          </w:p>
        </w:tc>
        <w:tc>
          <w:tcPr>
            <w:tcW w:w="4168" w:type="dxa"/>
            <w:tcBorders>
              <w:left w:val="nil"/>
              <w:right w:val="nil"/>
            </w:tcBorders>
          </w:tcPr>
          <w:p w14:paraId="2C430108"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L’espèce possède une vaste aire de répartition ; la tendance de la population est supposée stable.</w:t>
            </w:r>
          </w:p>
        </w:tc>
      </w:tr>
      <w:tr w:rsidR="00AF1989" w:rsidRPr="00185A43" w14:paraId="4A96ED13" w14:textId="77777777">
        <w:tc>
          <w:tcPr>
            <w:tcW w:w="2405" w:type="dxa"/>
            <w:tcBorders>
              <w:left w:val="nil"/>
              <w:right w:val="nil"/>
            </w:tcBorders>
            <w:shd w:val="clear" w:color="auto" w:fill="FBE4D5" w:themeFill="accent2" w:themeFillTint="33"/>
          </w:tcPr>
          <w:p w14:paraId="7C72F569" w14:textId="77777777" w:rsidR="00AF1989" w:rsidRPr="00E34332" w:rsidRDefault="0020159F">
            <w:pPr>
              <w:spacing w:before="40" w:after="40"/>
              <w:rPr>
                <w:rFonts w:ascii="Arial" w:hAnsi="Arial"/>
                <w:b/>
                <w:i/>
                <w:sz w:val="18"/>
                <w:szCs w:val="18"/>
              </w:rPr>
            </w:pPr>
            <w:r w:rsidRPr="00E34332">
              <w:rPr>
                <w:rFonts w:ascii="Arial" w:hAnsi="Arial"/>
                <w:b/>
                <w:i/>
                <w:sz w:val="18"/>
                <w:szCs w:val="18"/>
              </w:rPr>
              <w:t xml:space="preserve">Tringa flavipes </w:t>
            </w:r>
          </w:p>
          <w:p w14:paraId="613DA84A" w14:textId="77777777" w:rsidR="00AF1989" w:rsidRPr="00E34332" w:rsidRDefault="0020159F">
            <w:pPr>
              <w:spacing w:before="40" w:after="40"/>
              <w:rPr>
                <w:rFonts w:ascii="Arial" w:hAnsi="Arial"/>
                <w:b/>
                <w:sz w:val="18"/>
                <w:szCs w:val="18"/>
                <w:lang w:val="fr-FR"/>
              </w:rPr>
            </w:pPr>
            <w:r w:rsidRPr="00E34332">
              <w:rPr>
                <w:rFonts w:ascii="Arial" w:hAnsi="Arial"/>
                <w:b/>
                <w:sz w:val="18"/>
                <w:szCs w:val="18"/>
                <w:lang w:val="fr-FR"/>
              </w:rPr>
              <w:t>(Petit Chevalier)</w:t>
            </w:r>
          </w:p>
        </w:tc>
        <w:tc>
          <w:tcPr>
            <w:tcW w:w="680" w:type="dxa"/>
            <w:tcBorders>
              <w:left w:val="nil"/>
              <w:right w:val="nil"/>
            </w:tcBorders>
            <w:shd w:val="clear" w:color="auto" w:fill="FBE4D5" w:themeFill="accent2" w:themeFillTint="33"/>
          </w:tcPr>
          <w:p w14:paraId="156E157F"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3B3B7138" w14:textId="77777777" w:rsidR="00AF1989" w:rsidRPr="00E34332" w:rsidRDefault="0020159F">
            <w:pPr>
              <w:spacing w:before="40" w:after="40"/>
              <w:rPr>
                <w:rFonts w:ascii="Arial" w:hAnsi="Arial"/>
                <w:sz w:val="18"/>
                <w:szCs w:val="18"/>
              </w:rPr>
            </w:pPr>
            <w:r w:rsidRPr="00E34332">
              <w:rPr>
                <w:rFonts w:ascii="Arial" w:hAnsi="Arial"/>
                <w:sz w:val="18"/>
                <w:szCs w:val="18"/>
              </w:rPr>
              <w:t>LC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72734124"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Réduction estimée de la population de 26 à 49 % ; les causes pourraient inclure des prélèvements non durables.</w:t>
            </w:r>
          </w:p>
        </w:tc>
      </w:tr>
      <w:tr w:rsidR="00AF1989" w:rsidRPr="00185A43" w14:paraId="1CB9FB24" w14:textId="77777777">
        <w:tc>
          <w:tcPr>
            <w:tcW w:w="2405" w:type="dxa"/>
            <w:tcBorders>
              <w:left w:val="nil"/>
              <w:right w:val="nil"/>
            </w:tcBorders>
            <w:shd w:val="clear" w:color="auto" w:fill="FBE4D5" w:themeFill="accent2" w:themeFillTint="33"/>
          </w:tcPr>
          <w:p w14:paraId="1B11DA6E" w14:textId="77777777" w:rsidR="00AF1989" w:rsidRPr="00E34332" w:rsidRDefault="0020159F">
            <w:pPr>
              <w:spacing w:before="40" w:after="40"/>
              <w:rPr>
                <w:rFonts w:ascii="Arial" w:hAnsi="Arial"/>
                <w:sz w:val="18"/>
                <w:szCs w:val="18"/>
                <w:lang w:val="fr-FR"/>
              </w:rPr>
            </w:pPr>
            <w:r w:rsidRPr="00E34332">
              <w:rPr>
                <w:rFonts w:ascii="Arial" w:hAnsi="Arial"/>
                <w:i/>
                <w:sz w:val="18"/>
                <w:szCs w:val="18"/>
                <w:lang w:val="fr-FR"/>
              </w:rPr>
              <w:lastRenderedPageBreak/>
              <w:t xml:space="preserve">Tringa </w:t>
            </w:r>
            <w:proofErr w:type="spellStart"/>
            <w:r w:rsidRPr="00E34332">
              <w:rPr>
                <w:rFonts w:ascii="Arial" w:hAnsi="Arial"/>
                <w:i/>
                <w:sz w:val="18"/>
                <w:szCs w:val="18"/>
                <w:lang w:val="fr-FR"/>
              </w:rPr>
              <w:t>melanoleuca</w:t>
            </w:r>
            <w:proofErr w:type="spellEnd"/>
            <w:r w:rsidRPr="00E34332">
              <w:rPr>
                <w:rFonts w:ascii="Arial" w:hAnsi="Arial"/>
                <w:i/>
                <w:sz w:val="18"/>
                <w:szCs w:val="18"/>
                <w:lang w:val="fr-FR"/>
              </w:rPr>
              <w:t xml:space="preserve"> </w:t>
            </w:r>
            <w:r w:rsidRPr="00E34332">
              <w:rPr>
                <w:rFonts w:ascii="Arial" w:hAnsi="Arial"/>
                <w:sz w:val="18"/>
                <w:szCs w:val="18"/>
                <w:lang w:val="fr-FR"/>
              </w:rPr>
              <w:t>(Grand Chevalier)</w:t>
            </w:r>
          </w:p>
        </w:tc>
        <w:tc>
          <w:tcPr>
            <w:tcW w:w="680" w:type="dxa"/>
            <w:tcBorders>
              <w:left w:val="nil"/>
              <w:right w:val="nil"/>
            </w:tcBorders>
            <w:shd w:val="clear" w:color="auto" w:fill="FBE4D5" w:themeFill="accent2" w:themeFillTint="33"/>
          </w:tcPr>
          <w:p w14:paraId="16F5705A"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60E3DD9F" w14:textId="77777777" w:rsidR="00AF1989" w:rsidRPr="00E34332" w:rsidRDefault="0020159F">
            <w:pPr>
              <w:spacing w:before="40" w:after="40"/>
              <w:rPr>
                <w:rFonts w:ascii="Arial" w:hAnsi="Arial"/>
                <w:sz w:val="18"/>
                <w:szCs w:val="18"/>
              </w:rPr>
            </w:pPr>
            <w:r w:rsidRPr="00E34332">
              <w:rPr>
                <w:rFonts w:ascii="Arial" w:hAnsi="Arial"/>
                <w:sz w:val="18"/>
                <w:szCs w:val="18"/>
              </w:rPr>
              <w:t xml:space="preserve">LC (-) </w:t>
            </w:r>
            <w:r w:rsidRPr="00E34332">
              <w:rPr>
                <w:rFonts w:ascii="Arial" w:hAnsi="Arial"/>
                <w:color w:val="040C28"/>
                <w:sz w:val="18"/>
                <w:szCs w:val="18"/>
              </w:rPr>
              <w:t>→</w:t>
            </w:r>
            <w:r w:rsidRPr="00E34332">
              <w:rPr>
                <w:rFonts w:ascii="Arial" w:hAnsi="Arial"/>
                <w:sz w:val="18"/>
                <w:szCs w:val="18"/>
              </w:rPr>
              <w:t xml:space="preserve"> NT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rPr>
              <w:t>)</w:t>
            </w:r>
          </w:p>
        </w:tc>
        <w:tc>
          <w:tcPr>
            <w:tcW w:w="4168" w:type="dxa"/>
            <w:tcBorders>
              <w:left w:val="nil"/>
              <w:right w:val="nil"/>
            </w:tcBorders>
            <w:shd w:val="clear" w:color="auto" w:fill="FBE4D5" w:themeFill="accent2" w:themeFillTint="33"/>
          </w:tcPr>
          <w:p w14:paraId="20BA0E0E"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Déclin de la population suspecté pouvant atteindre 29 % ; les causes potentielles incluent les prélèvements.</w:t>
            </w:r>
          </w:p>
        </w:tc>
      </w:tr>
      <w:tr w:rsidR="00AF1989" w:rsidRPr="00185A43" w14:paraId="48BA2DA1" w14:textId="77777777">
        <w:tc>
          <w:tcPr>
            <w:tcW w:w="2405" w:type="dxa"/>
            <w:tcBorders>
              <w:left w:val="nil"/>
              <w:right w:val="nil"/>
            </w:tcBorders>
            <w:shd w:val="clear" w:color="auto" w:fill="FBE4D5" w:themeFill="accent2" w:themeFillTint="33"/>
          </w:tcPr>
          <w:p w14:paraId="25E45591" w14:textId="77777777" w:rsidR="00AF1989" w:rsidRPr="00E34332" w:rsidRDefault="0020159F">
            <w:pPr>
              <w:spacing w:before="40" w:after="40"/>
              <w:rPr>
                <w:rFonts w:ascii="Arial" w:hAnsi="Arial"/>
                <w:b/>
                <w:i/>
                <w:sz w:val="18"/>
                <w:szCs w:val="18"/>
                <w:lang w:val="fr-FR"/>
              </w:rPr>
            </w:pPr>
            <w:proofErr w:type="spellStart"/>
            <w:r w:rsidRPr="00E34332">
              <w:rPr>
                <w:rFonts w:ascii="Arial" w:hAnsi="Arial"/>
                <w:b/>
                <w:i/>
                <w:sz w:val="18"/>
                <w:szCs w:val="18"/>
                <w:lang w:val="fr-FR"/>
              </w:rPr>
              <w:t>Spheniscus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demersus</w:t>
            </w:r>
            <w:proofErr w:type="spellEnd"/>
            <w:r w:rsidRPr="00E34332">
              <w:rPr>
                <w:rFonts w:ascii="Arial" w:hAnsi="Arial"/>
                <w:b/>
                <w:i/>
                <w:sz w:val="18"/>
                <w:szCs w:val="18"/>
                <w:lang w:val="fr-FR"/>
              </w:rPr>
              <w:t xml:space="preserve"> </w:t>
            </w:r>
            <w:r w:rsidRPr="00E34332">
              <w:rPr>
                <w:rFonts w:ascii="Arial" w:hAnsi="Arial"/>
                <w:b/>
                <w:sz w:val="18"/>
                <w:szCs w:val="18"/>
                <w:lang w:val="fr-FR"/>
              </w:rPr>
              <w:t>(Manchot du Cap)</w:t>
            </w:r>
          </w:p>
        </w:tc>
        <w:tc>
          <w:tcPr>
            <w:tcW w:w="680" w:type="dxa"/>
            <w:tcBorders>
              <w:left w:val="nil"/>
              <w:right w:val="nil"/>
            </w:tcBorders>
            <w:shd w:val="clear" w:color="auto" w:fill="FBE4D5" w:themeFill="accent2" w:themeFillTint="33"/>
          </w:tcPr>
          <w:p w14:paraId="43B36C13"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545EAEB" w14:textId="77777777" w:rsidR="00AF1989" w:rsidRPr="00E34332" w:rsidRDefault="0020159F">
            <w:pPr>
              <w:spacing w:before="40" w:after="40"/>
              <w:rPr>
                <w:rFonts w:ascii="Arial" w:hAnsi="Arial"/>
                <w:sz w:val="18"/>
                <w:szCs w:val="18"/>
              </w:rPr>
            </w:pPr>
            <w:r w:rsidRPr="00E34332">
              <w:rPr>
                <w:rFonts w:ascii="Arial" w:hAnsi="Arial"/>
                <w:sz w:val="18"/>
                <w:szCs w:val="18"/>
              </w:rPr>
              <w:t>EN</w:t>
            </w:r>
            <w:r w:rsidRPr="00E34332">
              <w:rPr>
                <w:rFonts w:ascii="Arial" w:hAnsi="Arial"/>
                <w:sz w:val="18"/>
                <w:szCs w:val="18"/>
                <w:shd w:val="clear" w:color="auto" w:fill="FBE4D5" w:themeFill="accent2" w:themeFillTint="33"/>
              </w:rPr>
              <w:t xml:space="preserve">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sz w:val="18"/>
                <w:szCs w:val="18"/>
              </w:rPr>
              <w:t xml:space="preserve"> </w:t>
            </w:r>
            <w:r w:rsidRPr="00E34332">
              <w:rPr>
                <w:rFonts w:ascii="Arial" w:hAnsi="Arial"/>
                <w:color w:val="040C28"/>
                <w:sz w:val="18"/>
                <w:szCs w:val="18"/>
              </w:rPr>
              <w:t>→</w:t>
            </w:r>
            <w:r w:rsidRPr="00E34332">
              <w:rPr>
                <w:rFonts w:ascii="Arial" w:hAnsi="Arial"/>
                <w:sz w:val="18"/>
                <w:szCs w:val="18"/>
              </w:rPr>
              <w:t xml:space="preserve"> CR </w:t>
            </w:r>
            <w:r w:rsidRPr="00E34332">
              <w:rPr>
                <w:rFonts w:ascii="Arial" w:hAnsi="Arial"/>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7652274A"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Population en déclin très rapide ; les principales causes probables sont les impacts de la pêche et du changement climatique sur les proies. </w:t>
            </w:r>
          </w:p>
        </w:tc>
      </w:tr>
      <w:tr w:rsidR="00AF1989" w:rsidRPr="00E34332" w14:paraId="163581BE" w14:textId="77777777">
        <w:tc>
          <w:tcPr>
            <w:tcW w:w="9067" w:type="dxa"/>
            <w:gridSpan w:val="4"/>
            <w:tcBorders>
              <w:left w:val="nil"/>
              <w:right w:val="nil"/>
            </w:tcBorders>
            <w:shd w:val="clear" w:color="auto" w:fill="67A2C0"/>
          </w:tcPr>
          <w:p w14:paraId="29755B1F" w14:textId="77777777" w:rsidR="00AF1989" w:rsidRPr="00E34332" w:rsidRDefault="0020159F">
            <w:pPr>
              <w:spacing w:before="40" w:after="40"/>
              <w:jc w:val="both"/>
              <w:rPr>
                <w:rFonts w:ascii="Arial" w:hAnsi="Arial"/>
                <w:sz w:val="18"/>
                <w:szCs w:val="18"/>
                <w:lang w:val="fr-FR"/>
              </w:rPr>
            </w:pPr>
            <w:r w:rsidRPr="00E34332">
              <w:rPr>
                <w:rFonts w:ascii="Arial" w:hAnsi="Arial"/>
                <w:color w:val="FFFFFF" w:themeColor="background1"/>
                <w:sz w:val="18"/>
                <w:szCs w:val="18"/>
                <w:lang w:val="fr-FR"/>
              </w:rPr>
              <w:t>Poissons</w:t>
            </w:r>
          </w:p>
        </w:tc>
      </w:tr>
      <w:tr w:rsidR="00AF1989" w:rsidRPr="00185A43" w14:paraId="470E7B83" w14:textId="77777777">
        <w:tc>
          <w:tcPr>
            <w:tcW w:w="2405" w:type="dxa"/>
            <w:tcBorders>
              <w:left w:val="nil"/>
              <w:right w:val="nil"/>
            </w:tcBorders>
            <w:shd w:val="clear" w:color="auto" w:fill="FBE4D5" w:themeFill="accent2" w:themeFillTint="33"/>
          </w:tcPr>
          <w:p w14:paraId="1DBF0275"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Acipenser</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ruthenus</w:t>
            </w:r>
            <w:proofErr w:type="spellEnd"/>
            <w:r w:rsidRPr="00E34332">
              <w:rPr>
                <w:rFonts w:ascii="Arial" w:hAnsi="Arial"/>
                <w:b/>
                <w:sz w:val="18"/>
                <w:szCs w:val="18"/>
                <w:lang w:val="fr-FR"/>
              </w:rPr>
              <w:t xml:space="preserve"> (Esturgeon de Sibérie)</w:t>
            </w:r>
          </w:p>
        </w:tc>
        <w:tc>
          <w:tcPr>
            <w:tcW w:w="680" w:type="dxa"/>
            <w:tcBorders>
              <w:left w:val="nil"/>
              <w:right w:val="nil"/>
            </w:tcBorders>
            <w:shd w:val="clear" w:color="auto" w:fill="FBE4D5" w:themeFill="accent2" w:themeFillTint="33"/>
          </w:tcPr>
          <w:p w14:paraId="43CE1154" w14:textId="77777777" w:rsidR="00AF1989" w:rsidRPr="00E34332" w:rsidRDefault="0020159F">
            <w:pPr>
              <w:spacing w:before="40" w:after="40"/>
              <w:rPr>
                <w:rFonts w:ascii="Arial" w:hAnsi="Arial"/>
                <w:sz w:val="18"/>
                <w:szCs w:val="18"/>
              </w:rPr>
            </w:pPr>
            <w:r w:rsidRPr="00E34332">
              <w:rPr>
                <w:rFonts w:ascii="Arial" w:hAnsi="Arial"/>
                <w:sz w:val="18"/>
                <w:szCs w:val="18"/>
              </w:rPr>
              <w:t>II</w:t>
            </w:r>
          </w:p>
        </w:tc>
        <w:tc>
          <w:tcPr>
            <w:tcW w:w="1814" w:type="dxa"/>
            <w:tcBorders>
              <w:left w:val="nil"/>
              <w:right w:val="nil"/>
            </w:tcBorders>
            <w:shd w:val="clear" w:color="auto" w:fill="FBE4D5" w:themeFill="accent2" w:themeFillTint="33"/>
          </w:tcPr>
          <w:p w14:paraId="537BA0A7" w14:textId="77777777" w:rsidR="00AF1989" w:rsidRPr="00E34332" w:rsidRDefault="0020159F">
            <w:pPr>
              <w:spacing w:before="40" w:after="40"/>
              <w:rPr>
                <w:rFonts w:ascii="Arial" w:hAnsi="Arial"/>
                <w:sz w:val="18"/>
                <w:szCs w:val="18"/>
              </w:rPr>
            </w:pPr>
            <w:r w:rsidRPr="00E34332">
              <w:rPr>
                <w:rFonts w:ascii="Arial" w:hAnsi="Arial"/>
                <w:sz w:val="18"/>
                <w:szCs w:val="18"/>
              </w:rPr>
              <w:t>VU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EN</w:t>
            </w:r>
            <w:r w:rsidRPr="00E34332">
              <w:rPr>
                <w:rFonts w:ascii="Arial" w:hAnsi="Arial"/>
                <w:color w:val="040C28"/>
                <w:sz w:val="18"/>
                <w:szCs w:val="18"/>
                <w:shd w:val="clear" w:color="auto" w:fill="FBE4D5" w:themeFill="accent2" w:themeFillTint="33"/>
              </w:rPr>
              <w:t xml:space="preserve"> (</w:t>
            </w:r>
            <w:r w:rsidRPr="00E34332">
              <w:rPr>
                <w:rFonts w:ascii="Arial" w:hAnsi="Arial"/>
                <w:color w:val="1F1F1F"/>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w:t>
            </w:r>
          </w:p>
        </w:tc>
        <w:tc>
          <w:tcPr>
            <w:tcW w:w="4168" w:type="dxa"/>
            <w:tcBorders>
              <w:left w:val="nil"/>
              <w:right w:val="nil"/>
            </w:tcBorders>
            <w:shd w:val="clear" w:color="auto" w:fill="FBE4D5" w:themeFill="accent2" w:themeFillTint="33"/>
          </w:tcPr>
          <w:p w14:paraId="48CEF80A"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Les populations sauvages auraient diminué de 60 à 70 %. </w:t>
            </w:r>
          </w:p>
        </w:tc>
      </w:tr>
      <w:tr w:rsidR="00AF1989" w:rsidRPr="00185A43" w14:paraId="252AE1A2" w14:textId="77777777">
        <w:tc>
          <w:tcPr>
            <w:tcW w:w="2405" w:type="dxa"/>
            <w:tcBorders>
              <w:left w:val="nil"/>
              <w:right w:val="nil"/>
            </w:tcBorders>
            <w:shd w:val="clear" w:color="auto" w:fill="FBE4D5" w:themeFill="accent2" w:themeFillTint="33"/>
          </w:tcPr>
          <w:p w14:paraId="11A52F4D" w14:textId="77777777" w:rsidR="00AF1989" w:rsidRPr="00E34332" w:rsidRDefault="0020159F">
            <w:pPr>
              <w:spacing w:before="40" w:after="40"/>
              <w:rPr>
                <w:rFonts w:ascii="Arial" w:hAnsi="Arial"/>
                <w:b/>
                <w:sz w:val="18"/>
                <w:szCs w:val="18"/>
                <w:lang w:val="fr-FR"/>
              </w:rPr>
            </w:pPr>
            <w:proofErr w:type="spellStart"/>
            <w:r w:rsidRPr="00E34332">
              <w:rPr>
                <w:rFonts w:ascii="Arial" w:hAnsi="Arial"/>
                <w:b/>
                <w:i/>
                <w:sz w:val="18"/>
                <w:szCs w:val="18"/>
                <w:lang w:val="fr-FR"/>
              </w:rPr>
              <w:t>Anoxypristis</w:t>
            </w:r>
            <w:proofErr w:type="spellEnd"/>
            <w:r w:rsidRPr="00E34332">
              <w:rPr>
                <w:rFonts w:ascii="Arial" w:hAnsi="Arial"/>
                <w:b/>
                <w:i/>
                <w:sz w:val="18"/>
                <w:szCs w:val="18"/>
                <w:lang w:val="fr-FR"/>
              </w:rPr>
              <w:t xml:space="preserve"> </w:t>
            </w:r>
            <w:proofErr w:type="spellStart"/>
            <w:r w:rsidRPr="00E34332">
              <w:rPr>
                <w:rFonts w:ascii="Arial" w:hAnsi="Arial"/>
                <w:b/>
                <w:i/>
                <w:sz w:val="18"/>
                <w:szCs w:val="18"/>
                <w:lang w:val="fr-FR"/>
              </w:rPr>
              <w:t>cuspidata</w:t>
            </w:r>
            <w:proofErr w:type="spellEnd"/>
            <w:r w:rsidRPr="00E34332">
              <w:rPr>
                <w:rFonts w:ascii="Arial" w:hAnsi="Arial"/>
                <w:b/>
                <w:i/>
                <w:sz w:val="18"/>
                <w:szCs w:val="18"/>
                <w:lang w:val="fr-FR"/>
              </w:rPr>
              <w:t xml:space="preserve"> </w:t>
            </w:r>
            <w:r w:rsidRPr="00E34332">
              <w:rPr>
                <w:rFonts w:ascii="Arial" w:hAnsi="Arial"/>
                <w:b/>
                <w:sz w:val="18"/>
                <w:szCs w:val="18"/>
                <w:lang w:val="fr-FR"/>
              </w:rPr>
              <w:t>(Poisson-scie étroit)</w:t>
            </w:r>
          </w:p>
        </w:tc>
        <w:tc>
          <w:tcPr>
            <w:tcW w:w="680" w:type="dxa"/>
            <w:tcBorders>
              <w:left w:val="nil"/>
              <w:right w:val="nil"/>
            </w:tcBorders>
            <w:shd w:val="clear" w:color="auto" w:fill="FBE4D5" w:themeFill="accent2" w:themeFillTint="33"/>
          </w:tcPr>
          <w:p w14:paraId="0914673B" w14:textId="77777777" w:rsidR="00AF1989" w:rsidRPr="00E34332" w:rsidRDefault="0020159F">
            <w:pPr>
              <w:spacing w:before="40" w:after="40"/>
              <w:rPr>
                <w:rFonts w:ascii="Arial" w:hAnsi="Arial"/>
                <w:sz w:val="18"/>
                <w:szCs w:val="18"/>
              </w:rPr>
            </w:pPr>
            <w:r w:rsidRPr="00E34332">
              <w:rPr>
                <w:rFonts w:ascii="Arial" w:hAnsi="Arial"/>
                <w:sz w:val="18"/>
                <w:szCs w:val="18"/>
              </w:rPr>
              <w:t>I/II</w:t>
            </w:r>
          </w:p>
        </w:tc>
        <w:tc>
          <w:tcPr>
            <w:tcW w:w="1814" w:type="dxa"/>
            <w:tcBorders>
              <w:left w:val="nil"/>
              <w:right w:val="nil"/>
            </w:tcBorders>
            <w:shd w:val="clear" w:color="auto" w:fill="FBE4D5" w:themeFill="accent2" w:themeFillTint="33"/>
          </w:tcPr>
          <w:p w14:paraId="6EC8F622" w14:textId="77777777" w:rsidR="00AF1989" w:rsidRPr="00E34332" w:rsidRDefault="0020159F">
            <w:pPr>
              <w:spacing w:before="40" w:after="40"/>
              <w:rPr>
                <w:rFonts w:ascii="Arial" w:hAnsi="Arial"/>
                <w:sz w:val="18"/>
                <w:szCs w:val="18"/>
              </w:rPr>
            </w:pPr>
            <w:r w:rsidRPr="00E34332">
              <w:rPr>
                <w:rFonts w:ascii="Arial" w:hAnsi="Arial"/>
                <w:sz w:val="18"/>
                <w:szCs w:val="18"/>
              </w:rPr>
              <w:t>EN (</w:t>
            </w:r>
            <w:r w:rsidRPr="00E34332">
              <w:rPr>
                <w:rFonts w:ascii="Arial" w:hAnsi="Arial"/>
                <w:color w:val="1F1F1F"/>
                <w:sz w:val="18"/>
                <w:szCs w:val="18"/>
                <w:shd w:val="clear" w:color="auto" w:fill="FBE4D5" w:themeFill="accent2" w:themeFillTint="33"/>
              </w:rPr>
              <w:t>↓</w:t>
            </w:r>
            <w:r w:rsidRPr="00E34332">
              <w:rPr>
                <w:rFonts w:ascii="Arial" w:hAnsi="Arial"/>
                <w:sz w:val="18"/>
                <w:szCs w:val="18"/>
                <w:shd w:val="clear" w:color="auto" w:fill="FBE4D5" w:themeFill="accent2" w:themeFillTint="33"/>
              </w:rPr>
              <w:t xml:space="preserve">) </w:t>
            </w:r>
            <w:r w:rsidRPr="00E34332">
              <w:rPr>
                <w:rFonts w:ascii="Arial" w:hAnsi="Arial"/>
                <w:color w:val="040C28"/>
                <w:sz w:val="18"/>
                <w:szCs w:val="18"/>
              </w:rPr>
              <w:t>→</w:t>
            </w:r>
            <w:r w:rsidRPr="00E34332">
              <w:rPr>
                <w:rFonts w:ascii="Arial" w:hAnsi="Arial"/>
                <w:sz w:val="18"/>
                <w:szCs w:val="18"/>
              </w:rPr>
              <w:t xml:space="preserve"> </w:t>
            </w:r>
            <w:r w:rsidRPr="00E34332">
              <w:rPr>
                <w:rFonts w:ascii="Arial" w:hAnsi="Arial"/>
                <w:color w:val="040C28"/>
                <w:sz w:val="18"/>
                <w:szCs w:val="18"/>
              </w:rPr>
              <w:t xml:space="preserve">CR </w:t>
            </w:r>
            <w:r w:rsidRPr="00E34332">
              <w:rPr>
                <w:rFonts w:ascii="Arial" w:hAnsi="Arial"/>
                <w:color w:val="040C28"/>
                <w:sz w:val="18"/>
                <w:szCs w:val="18"/>
                <w:shd w:val="clear" w:color="auto" w:fill="FBE4D5" w:themeFill="accent2" w:themeFillTint="33"/>
              </w:rPr>
              <w:t>(</w:t>
            </w:r>
            <w:r w:rsidRPr="00E34332">
              <w:rPr>
                <w:rFonts w:ascii="Arial" w:hAnsi="Arial"/>
                <w:color w:val="1F1F1F"/>
                <w:sz w:val="18"/>
                <w:szCs w:val="18"/>
                <w:shd w:val="clear" w:color="auto" w:fill="FBE4D5" w:themeFill="accent2" w:themeFillTint="33"/>
              </w:rPr>
              <w:t>↓</w:t>
            </w:r>
            <w:r w:rsidRPr="00E34332">
              <w:rPr>
                <w:rFonts w:ascii="Arial" w:hAnsi="Arial"/>
                <w:color w:val="474747"/>
                <w:sz w:val="18"/>
                <w:szCs w:val="18"/>
                <w:shd w:val="clear" w:color="auto" w:fill="FBE4D5" w:themeFill="accent2" w:themeFillTint="33"/>
              </w:rPr>
              <w:t>)</w:t>
            </w:r>
          </w:p>
          <w:p w14:paraId="2E975CEE" w14:textId="77777777" w:rsidR="00AF1989" w:rsidRPr="00E34332" w:rsidRDefault="00AF1989">
            <w:pPr>
              <w:spacing w:before="40" w:after="40"/>
              <w:rPr>
                <w:rFonts w:ascii="Arial" w:hAnsi="Arial"/>
                <w:sz w:val="18"/>
                <w:szCs w:val="18"/>
                <w:lang w:val="fr-FR"/>
              </w:rPr>
            </w:pPr>
          </w:p>
        </w:tc>
        <w:tc>
          <w:tcPr>
            <w:tcW w:w="4168" w:type="dxa"/>
            <w:tcBorders>
              <w:left w:val="nil"/>
              <w:right w:val="nil"/>
            </w:tcBorders>
            <w:shd w:val="clear" w:color="auto" w:fill="FBE4D5" w:themeFill="accent2" w:themeFillTint="33"/>
          </w:tcPr>
          <w:p w14:paraId="7FD4E38F" w14:textId="77777777" w:rsidR="00AF1989" w:rsidRPr="00E34332" w:rsidRDefault="0020159F">
            <w:pPr>
              <w:spacing w:before="40" w:after="40"/>
              <w:jc w:val="both"/>
              <w:rPr>
                <w:rFonts w:ascii="Arial" w:hAnsi="Arial"/>
                <w:sz w:val="18"/>
                <w:szCs w:val="18"/>
                <w:lang w:val="fr-FR"/>
              </w:rPr>
            </w:pPr>
            <w:r w:rsidRPr="00E34332">
              <w:rPr>
                <w:rFonts w:ascii="Arial" w:hAnsi="Arial"/>
                <w:sz w:val="18"/>
                <w:szCs w:val="18"/>
                <w:lang w:val="fr-FR"/>
              </w:rPr>
              <w:t xml:space="preserve">Réduction globale de la population suspectée de &gt;80 % et perte importante de l’aire de répartition, dues à la surexploitation et à la dégradation des habitats. </w:t>
            </w:r>
          </w:p>
        </w:tc>
      </w:tr>
    </w:tbl>
    <w:p w14:paraId="791EC0EA" w14:textId="77777777" w:rsidR="00AF1989" w:rsidRPr="00E34332" w:rsidRDefault="0020159F">
      <w:pPr>
        <w:spacing w:line="240" w:lineRule="auto"/>
        <w:rPr>
          <w:rFonts w:cs="Arial"/>
          <w:sz w:val="16"/>
          <w:szCs w:val="16"/>
          <w:lang w:val="fr-FR"/>
        </w:rPr>
      </w:pPr>
      <w:r w:rsidRPr="00E34332">
        <w:rPr>
          <w:rFonts w:cs="Arial"/>
          <w:sz w:val="16"/>
          <w:szCs w:val="16"/>
          <w:lang w:val="fr-FR"/>
        </w:rPr>
        <w:t xml:space="preserve">*Se réfère à l’évaluation pour l’Europe. Les inscriptions de l’Annexe II pour </w:t>
      </w:r>
      <w:proofErr w:type="spellStart"/>
      <w:r w:rsidRPr="00E34332">
        <w:rPr>
          <w:rFonts w:cs="Arial"/>
          <w:i/>
          <w:sz w:val="16"/>
          <w:szCs w:val="16"/>
          <w:lang w:val="fr-FR"/>
        </w:rPr>
        <w:t>Plecotus</w:t>
      </w:r>
      <w:proofErr w:type="spellEnd"/>
      <w:r w:rsidRPr="00E34332">
        <w:rPr>
          <w:rFonts w:cs="Arial"/>
          <w:i/>
          <w:sz w:val="16"/>
          <w:szCs w:val="16"/>
          <w:lang w:val="fr-FR"/>
        </w:rPr>
        <w:t xml:space="preserve"> </w:t>
      </w:r>
      <w:proofErr w:type="spellStart"/>
      <w:r w:rsidRPr="00E34332">
        <w:rPr>
          <w:rFonts w:cs="Arial"/>
          <w:i/>
          <w:sz w:val="16"/>
          <w:szCs w:val="16"/>
          <w:lang w:val="fr-FR"/>
        </w:rPr>
        <w:t>kolombatovici</w:t>
      </w:r>
      <w:proofErr w:type="spellEnd"/>
      <w:r w:rsidRPr="00E34332">
        <w:rPr>
          <w:rFonts w:cs="Arial"/>
          <w:i/>
          <w:sz w:val="16"/>
          <w:szCs w:val="16"/>
          <w:lang w:val="fr-FR"/>
        </w:rPr>
        <w:t xml:space="preserve"> </w:t>
      </w:r>
      <w:r w:rsidRPr="00E34332">
        <w:rPr>
          <w:rFonts w:cs="Arial"/>
          <w:sz w:val="16"/>
          <w:szCs w:val="16"/>
          <w:lang w:val="fr-FR"/>
        </w:rPr>
        <w:t xml:space="preserve">et </w:t>
      </w:r>
      <w:proofErr w:type="spellStart"/>
      <w:r w:rsidRPr="00E34332">
        <w:rPr>
          <w:rFonts w:cs="Arial"/>
          <w:i/>
          <w:sz w:val="16"/>
          <w:szCs w:val="16"/>
          <w:lang w:val="fr-FR"/>
        </w:rPr>
        <w:t>Acipenser</w:t>
      </w:r>
      <w:proofErr w:type="spellEnd"/>
      <w:r w:rsidRPr="00E34332">
        <w:rPr>
          <w:rFonts w:cs="Arial"/>
          <w:i/>
          <w:sz w:val="16"/>
          <w:szCs w:val="16"/>
          <w:lang w:val="fr-FR"/>
        </w:rPr>
        <w:t xml:space="preserve"> </w:t>
      </w:r>
      <w:proofErr w:type="spellStart"/>
      <w:r w:rsidRPr="00E34332">
        <w:rPr>
          <w:rFonts w:cs="Arial"/>
          <w:i/>
          <w:sz w:val="16"/>
          <w:szCs w:val="16"/>
          <w:lang w:val="fr-FR"/>
        </w:rPr>
        <w:t>ruthenus</w:t>
      </w:r>
      <w:proofErr w:type="spellEnd"/>
      <w:r w:rsidRPr="00E34332">
        <w:rPr>
          <w:rFonts w:cs="Arial"/>
          <w:sz w:val="16"/>
          <w:szCs w:val="16"/>
          <w:lang w:val="fr-FR"/>
        </w:rPr>
        <w:t xml:space="preserve"> concernent respectivement les populations européennes et du Danube.</w:t>
      </w:r>
    </w:p>
    <w:p w14:paraId="2BDBD2A3" w14:textId="77777777" w:rsidR="00AF1989" w:rsidRPr="00E34332" w:rsidRDefault="00AF1989">
      <w:pPr>
        <w:spacing w:line="240" w:lineRule="auto"/>
        <w:rPr>
          <w:rFonts w:cs="Arial"/>
          <w:sz w:val="16"/>
          <w:szCs w:val="16"/>
          <w:lang w:val="fr-FR"/>
        </w:rPr>
        <w:sectPr w:rsidR="00AF1989" w:rsidRPr="00E34332">
          <w:footnotePr>
            <w:numFmt w:val="lowerLetter"/>
          </w:footnotePr>
          <w:pgSz w:w="11906" w:h="16838"/>
          <w:pgMar w:top="1440" w:right="1440" w:bottom="1440" w:left="1440" w:header="708" w:footer="708" w:gutter="0"/>
          <w:pgNumType w:start="1"/>
          <w:cols w:space="708"/>
          <w:docGrid w:linePitch="360"/>
        </w:sectPr>
      </w:pPr>
    </w:p>
    <w:p w14:paraId="2B2C73FC" w14:textId="779C6EC2" w:rsidR="00AF1989" w:rsidRPr="003D66B8" w:rsidRDefault="0020159F">
      <w:pPr>
        <w:pStyle w:val="Heading1"/>
        <w:spacing w:before="0" w:line="240" w:lineRule="auto"/>
        <w:rPr>
          <w:rFonts w:ascii="Arial" w:hAnsi="Arial" w:cs="Arial"/>
          <w:b/>
          <w:bCs/>
          <w:color w:val="auto"/>
          <w:sz w:val="20"/>
          <w:szCs w:val="20"/>
          <w:lang w:val="fr-FR"/>
        </w:rPr>
      </w:pPr>
      <w:bookmarkStart w:id="14" w:name="_Toc210914226"/>
      <w:r w:rsidRPr="003D66B8">
        <w:rPr>
          <w:rFonts w:ascii="Arial" w:hAnsi="Arial" w:cs="Arial"/>
          <w:b/>
          <w:bCs/>
          <w:color w:val="auto"/>
          <w:sz w:val="20"/>
          <w:szCs w:val="20"/>
          <w:lang w:val="fr-FR"/>
        </w:rPr>
        <w:lastRenderedPageBreak/>
        <w:t>R</w:t>
      </w:r>
      <w:r w:rsidR="00B47CEB" w:rsidRPr="003D66B8">
        <w:rPr>
          <w:rFonts w:ascii="Arial" w:hAnsi="Arial" w:cs="Arial"/>
          <w:b/>
          <w:bCs/>
          <w:color w:val="auto"/>
          <w:sz w:val="20"/>
          <w:szCs w:val="20"/>
          <w:lang w:val="fr-FR"/>
        </w:rPr>
        <w:t>é</w:t>
      </w:r>
      <w:r w:rsidRPr="003D66B8">
        <w:rPr>
          <w:rFonts w:ascii="Arial" w:hAnsi="Arial" w:cs="Arial"/>
          <w:b/>
          <w:bCs/>
          <w:color w:val="auto"/>
          <w:sz w:val="20"/>
          <w:szCs w:val="20"/>
          <w:lang w:val="fr-FR"/>
        </w:rPr>
        <w:t>f</w:t>
      </w:r>
      <w:r w:rsidR="00B47CEB" w:rsidRPr="003D66B8">
        <w:rPr>
          <w:rFonts w:ascii="Arial" w:hAnsi="Arial" w:cs="Arial"/>
          <w:b/>
          <w:bCs/>
          <w:color w:val="auto"/>
          <w:sz w:val="20"/>
          <w:szCs w:val="20"/>
          <w:lang w:val="fr-FR"/>
        </w:rPr>
        <w:t>é</w:t>
      </w:r>
      <w:r w:rsidRPr="003D66B8">
        <w:rPr>
          <w:rFonts w:ascii="Arial" w:hAnsi="Arial" w:cs="Arial"/>
          <w:b/>
          <w:bCs/>
          <w:color w:val="auto"/>
          <w:sz w:val="20"/>
          <w:szCs w:val="20"/>
          <w:lang w:val="fr-FR"/>
        </w:rPr>
        <w:t>rences</w:t>
      </w:r>
      <w:bookmarkEnd w:id="14"/>
    </w:p>
    <w:p w14:paraId="636A49EF" w14:textId="77777777" w:rsidR="00AF1989" w:rsidRPr="00B47CEB" w:rsidRDefault="00AF1989">
      <w:pPr>
        <w:spacing w:after="0" w:line="240" w:lineRule="auto"/>
        <w:rPr>
          <w:lang w:val="fr-FR"/>
        </w:rPr>
      </w:pPr>
    </w:p>
    <w:p w14:paraId="363F7233" w14:textId="13F15129" w:rsidR="00AF1989" w:rsidRDefault="003D66B8" w:rsidP="003D66B8">
      <w:pPr>
        <w:pStyle w:val="ListParagraph"/>
        <w:numPr>
          <w:ilvl w:val="0"/>
          <w:numId w:val="46"/>
        </w:numPr>
        <w:spacing w:after="0" w:line="240" w:lineRule="auto"/>
        <w:ind w:left="567" w:hanging="567"/>
        <w:rPr>
          <w:rFonts w:cs="Arial"/>
          <w:b/>
          <w:bCs/>
          <w:sz w:val="20"/>
          <w:szCs w:val="20"/>
          <w:lang w:val="fr-FR"/>
        </w:rPr>
      </w:pPr>
      <w:r w:rsidRPr="003D66B8">
        <w:rPr>
          <w:rFonts w:cs="Arial"/>
          <w:b/>
          <w:bCs/>
          <w:sz w:val="20"/>
          <w:szCs w:val="20"/>
          <w:lang w:val="fr-FR"/>
        </w:rPr>
        <w:t>Changements dans le statut de conservation des espèces inscrites</w:t>
      </w:r>
      <w:r>
        <w:rPr>
          <w:rFonts w:cs="Arial"/>
          <w:b/>
          <w:bCs/>
          <w:sz w:val="20"/>
          <w:szCs w:val="20"/>
          <w:lang w:val="fr-FR"/>
        </w:rPr>
        <w:t xml:space="preserve"> aux Annexes de</w:t>
      </w:r>
      <w:r w:rsidRPr="003D66B8">
        <w:rPr>
          <w:rFonts w:cs="Arial"/>
          <w:b/>
          <w:bCs/>
          <w:sz w:val="20"/>
          <w:szCs w:val="20"/>
          <w:lang w:val="fr-FR"/>
        </w:rPr>
        <w:t xml:space="preserve"> la CMS</w:t>
      </w:r>
    </w:p>
    <w:p w14:paraId="1F6CD3BB" w14:textId="77777777" w:rsidR="003D66B8" w:rsidRPr="00EF2424" w:rsidRDefault="003D66B8" w:rsidP="00EF2424">
      <w:pPr>
        <w:spacing w:after="0" w:line="240" w:lineRule="auto"/>
        <w:rPr>
          <w:rFonts w:cs="Arial"/>
          <w:b/>
          <w:bCs/>
          <w:sz w:val="20"/>
          <w:szCs w:val="20"/>
          <w:lang w:val="fr-FR"/>
        </w:rPr>
      </w:pPr>
    </w:p>
    <w:p w14:paraId="3B0CF1F5" w14:textId="77777777" w:rsidR="00AF1989" w:rsidRPr="00B47CEB" w:rsidRDefault="0020159F">
      <w:pPr>
        <w:pStyle w:val="FootnoteText"/>
        <w:numPr>
          <w:ilvl w:val="0"/>
          <w:numId w:val="17"/>
        </w:numPr>
        <w:spacing w:after="40"/>
        <w:ind w:left="714" w:hanging="357"/>
        <w:rPr>
          <w:rFonts w:cs="Arial"/>
        </w:rPr>
      </w:pPr>
      <w:proofErr w:type="spellStart"/>
      <w:r w:rsidRPr="00B47CEB">
        <w:rPr>
          <w:rFonts w:cs="Arial"/>
        </w:rPr>
        <w:t>BirdLife</w:t>
      </w:r>
      <w:proofErr w:type="spellEnd"/>
      <w:r w:rsidRPr="00B47CEB">
        <w:rPr>
          <w:rFonts w:cs="Arial"/>
        </w:rPr>
        <w:t xml:space="preserve"> International. 2023. </w:t>
      </w:r>
      <w:r w:rsidRPr="00B47CEB">
        <w:rPr>
          <w:rFonts w:cs="Arial"/>
          <w:i/>
          <w:iCs/>
        </w:rPr>
        <w:t xml:space="preserve">Otis </w:t>
      </w:r>
      <w:proofErr w:type="spellStart"/>
      <w:r w:rsidRPr="00B47CEB">
        <w:rPr>
          <w:rFonts w:cs="Arial"/>
          <w:i/>
          <w:iCs/>
        </w:rPr>
        <w:t>tarda</w:t>
      </w:r>
      <w:proofErr w:type="spellEnd"/>
      <w:r w:rsidRPr="00B47CEB">
        <w:rPr>
          <w:rFonts w:cs="Arial"/>
        </w:rPr>
        <w:t xml:space="preserve">. </w:t>
      </w:r>
      <w:r w:rsidRPr="00B47CEB">
        <w:rPr>
          <w:rFonts w:cs="Arial"/>
          <w:i/>
          <w:iCs/>
        </w:rPr>
        <w:t>The IUCN Red List of Threatened Species</w:t>
      </w:r>
      <w:r w:rsidRPr="00B47CEB">
        <w:rPr>
          <w:rFonts w:cs="Arial"/>
        </w:rPr>
        <w:t xml:space="preserve"> 2023: e.T22691900A226280431. </w:t>
      </w:r>
    </w:p>
    <w:p w14:paraId="7AAB1F43" w14:textId="77777777" w:rsidR="00AF1989" w:rsidRPr="00B47CEB" w:rsidRDefault="0020159F">
      <w:pPr>
        <w:pStyle w:val="FootnoteText"/>
        <w:numPr>
          <w:ilvl w:val="0"/>
          <w:numId w:val="17"/>
        </w:numPr>
        <w:spacing w:after="40"/>
        <w:ind w:left="714" w:hanging="357"/>
        <w:rPr>
          <w:rFonts w:cs="Arial"/>
        </w:rPr>
      </w:pPr>
      <w:proofErr w:type="spellStart"/>
      <w:r w:rsidRPr="00B47CEB">
        <w:rPr>
          <w:rFonts w:cs="Arial"/>
        </w:rPr>
        <w:t>BirdLife</w:t>
      </w:r>
      <w:proofErr w:type="spellEnd"/>
      <w:r w:rsidRPr="00B47CEB">
        <w:rPr>
          <w:rFonts w:cs="Arial"/>
        </w:rPr>
        <w:t xml:space="preserve"> International. 2024. </w:t>
      </w:r>
      <w:r w:rsidRPr="00B47CEB">
        <w:rPr>
          <w:rFonts w:cs="Arial"/>
          <w:i/>
          <w:iCs/>
        </w:rPr>
        <w:t>Press Release: New report reveals plummeting migratory shorebird populations globally</w:t>
      </w:r>
      <w:r w:rsidRPr="00B47CEB">
        <w:rPr>
          <w:rFonts w:cs="Arial"/>
        </w:rPr>
        <w:t>. Available at: https://www.birdlife.org/news/2024/10/28/press-release-new-report-reveals-plummeting-migratory-shorebird-populations-globally [Accessed 29 August 2025]</w:t>
      </w:r>
    </w:p>
    <w:p w14:paraId="11DB56B0" w14:textId="77777777" w:rsidR="00AF1989" w:rsidRPr="00B47CEB" w:rsidRDefault="0020159F">
      <w:pPr>
        <w:pStyle w:val="FootnoteText"/>
        <w:numPr>
          <w:ilvl w:val="0"/>
          <w:numId w:val="17"/>
        </w:numPr>
        <w:spacing w:after="40"/>
        <w:ind w:left="714" w:hanging="357"/>
        <w:rPr>
          <w:rFonts w:cs="Arial"/>
        </w:rPr>
      </w:pPr>
      <w:proofErr w:type="spellStart"/>
      <w:r w:rsidRPr="00B47CEB">
        <w:rPr>
          <w:rFonts w:cs="Arial"/>
        </w:rPr>
        <w:t>BirdLife</w:t>
      </w:r>
      <w:proofErr w:type="spellEnd"/>
      <w:r w:rsidRPr="00B47CEB">
        <w:rPr>
          <w:rFonts w:cs="Arial"/>
        </w:rPr>
        <w:t xml:space="preserve"> International. 2024. </w:t>
      </w:r>
      <w:r w:rsidRPr="00B47CEB">
        <w:rPr>
          <w:rFonts w:cs="Arial"/>
          <w:i/>
          <w:iCs/>
        </w:rPr>
        <w:t xml:space="preserve">Calidris </w:t>
      </w:r>
      <w:proofErr w:type="spellStart"/>
      <w:r w:rsidRPr="00B47CEB">
        <w:rPr>
          <w:rFonts w:cs="Arial"/>
          <w:i/>
          <w:iCs/>
        </w:rPr>
        <w:t>subruficollis</w:t>
      </w:r>
      <w:proofErr w:type="spellEnd"/>
      <w:r w:rsidRPr="00B47CEB">
        <w:rPr>
          <w:rFonts w:cs="Arial"/>
        </w:rPr>
        <w:t xml:space="preserve">. </w:t>
      </w:r>
      <w:r w:rsidRPr="00B47CEB">
        <w:rPr>
          <w:rFonts w:cs="Arial"/>
          <w:i/>
          <w:iCs/>
        </w:rPr>
        <w:t>The IUCN Red List of Threatened Species</w:t>
      </w:r>
      <w:r w:rsidRPr="00B47CEB">
        <w:rPr>
          <w:rFonts w:cs="Arial"/>
        </w:rPr>
        <w:t xml:space="preserve"> 2024: e.T22693447A256354281.</w:t>
      </w:r>
    </w:p>
    <w:p w14:paraId="26994F78" w14:textId="77777777" w:rsidR="00AF1989" w:rsidRPr="00B47CEB" w:rsidRDefault="0020159F">
      <w:pPr>
        <w:pStyle w:val="FootnoteText"/>
        <w:numPr>
          <w:ilvl w:val="0"/>
          <w:numId w:val="17"/>
        </w:numPr>
        <w:spacing w:after="40"/>
        <w:ind w:left="714" w:hanging="357"/>
        <w:rPr>
          <w:rFonts w:cs="Arial"/>
        </w:rPr>
      </w:pPr>
      <w:r w:rsidRPr="00B47CEB">
        <w:rPr>
          <w:rFonts w:cs="Arial"/>
        </w:rPr>
        <w:t xml:space="preserve">IUCN SSC Antelope Specialist Group. 2023. </w:t>
      </w:r>
      <w:r w:rsidRPr="00B47CEB">
        <w:rPr>
          <w:rFonts w:cs="Arial"/>
          <w:i/>
          <w:iCs/>
        </w:rPr>
        <w:t xml:space="preserve">Oryx </w:t>
      </w:r>
      <w:proofErr w:type="spellStart"/>
      <w:r w:rsidRPr="00B47CEB">
        <w:rPr>
          <w:rFonts w:cs="Arial"/>
          <w:i/>
          <w:iCs/>
        </w:rPr>
        <w:t>dammah</w:t>
      </w:r>
      <w:proofErr w:type="spellEnd"/>
      <w:r w:rsidRPr="00B47CEB">
        <w:rPr>
          <w:rFonts w:cs="Arial"/>
          <w:i/>
          <w:iCs/>
        </w:rPr>
        <w:t>. The IUCN Red List of Threatened Species</w:t>
      </w:r>
      <w:r w:rsidRPr="00B47CEB">
        <w:rPr>
          <w:rFonts w:cs="Arial"/>
        </w:rPr>
        <w:t xml:space="preserve"> 2023: e.T15568A197393805. </w:t>
      </w:r>
    </w:p>
    <w:p w14:paraId="628A648A" w14:textId="77777777" w:rsidR="00AF1989" w:rsidRPr="00B47CEB" w:rsidRDefault="0020159F">
      <w:pPr>
        <w:pStyle w:val="FootnoteText"/>
        <w:numPr>
          <w:ilvl w:val="0"/>
          <w:numId w:val="17"/>
        </w:numPr>
        <w:spacing w:after="40"/>
        <w:ind w:left="714" w:hanging="357"/>
        <w:rPr>
          <w:rFonts w:cs="Arial"/>
        </w:rPr>
      </w:pPr>
      <w:r w:rsidRPr="00B47CEB">
        <w:rPr>
          <w:rFonts w:cs="Arial"/>
          <w:lang w:val="pt-PT"/>
        </w:rPr>
        <w:t xml:space="preserve">Karamanlidis, A.A., Dendrinos, P., Fernandez de Larrinoa, P., Kıraç, C.O., Nicolaou, H. &amp; Pires, R. 2023. </w:t>
      </w:r>
      <w:r w:rsidRPr="00B47CEB">
        <w:rPr>
          <w:rFonts w:cs="Arial"/>
          <w:i/>
          <w:iCs/>
        </w:rPr>
        <w:t xml:space="preserve">Monachus </w:t>
      </w:r>
      <w:proofErr w:type="spellStart"/>
      <w:r w:rsidRPr="00B47CEB">
        <w:rPr>
          <w:rFonts w:cs="Arial"/>
          <w:i/>
          <w:iCs/>
        </w:rPr>
        <w:t>monachus</w:t>
      </w:r>
      <w:proofErr w:type="spellEnd"/>
      <w:r w:rsidRPr="00B47CEB">
        <w:rPr>
          <w:rFonts w:cs="Arial"/>
        </w:rPr>
        <w:t xml:space="preserve">. </w:t>
      </w:r>
      <w:r w:rsidRPr="00B47CEB">
        <w:rPr>
          <w:rFonts w:cs="Arial"/>
          <w:i/>
          <w:iCs/>
        </w:rPr>
        <w:t>The IUCN Red List of Threatened Species</w:t>
      </w:r>
      <w:r w:rsidRPr="00B47CEB">
        <w:rPr>
          <w:rFonts w:cs="Arial"/>
        </w:rPr>
        <w:t xml:space="preserve"> 2023: e.T13653A238637039.</w:t>
      </w:r>
    </w:p>
    <w:p w14:paraId="723FF9F1" w14:textId="77777777" w:rsidR="00AF1989" w:rsidRPr="00B47CEB" w:rsidRDefault="0020159F">
      <w:pPr>
        <w:pStyle w:val="FootnoteText"/>
        <w:numPr>
          <w:ilvl w:val="0"/>
          <w:numId w:val="17"/>
        </w:numPr>
        <w:spacing w:after="40"/>
        <w:ind w:left="714" w:hanging="357"/>
        <w:rPr>
          <w:rFonts w:cs="Arial"/>
        </w:rPr>
      </w:pPr>
      <w:proofErr w:type="spellStart"/>
      <w:r w:rsidRPr="00B47CEB">
        <w:rPr>
          <w:rFonts w:cs="Arial"/>
        </w:rPr>
        <w:t>Karamanlidis</w:t>
      </w:r>
      <w:proofErr w:type="spellEnd"/>
      <w:r w:rsidRPr="00B47CEB">
        <w:rPr>
          <w:rFonts w:cs="Arial"/>
        </w:rPr>
        <w:t xml:space="preserve">, A. A. 2024. Current status, biology, threats and conservation priorities of the Vulnerable Mediterranean monk seal. </w:t>
      </w:r>
      <w:r w:rsidRPr="00B47CEB">
        <w:rPr>
          <w:rFonts w:cs="Arial"/>
          <w:i/>
          <w:iCs/>
        </w:rPr>
        <w:t xml:space="preserve">Endang. Species Res. </w:t>
      </w:r>
      <w:r w:rsidRPr="00B47CEB">
        <w:rPr>
          <w:rFonts w:cs="Arial"/>
        </w:rPr>
        <w:t xml:space="preserve">53, 341-361. </w:t>
      </w:r>
      <w:hyperlink r:id="rId90" w:history="1">
        <w:r w:rsidRPr="00B47CEB">
          <w:rPr>
            <w:rStyle w:val="Hyperlink"/>
            <w:rFonts w:cs="Arial"/>
          </w:rPr>
          <w:t>https://doi.org/10.3354/esr01304</w:t>
        </w:r>
      </w:hyperlink>
    </w:p>
    <w:p w14:paraId="1B647D67" w14:textId="77777777" w:rsidR="00AF1989" w:rsidRPr="00B47CEB" w:rsidRDefault="0020159F">
      <w:pPr>
        <w:pStyle w:val="FootnoteText"/>
        <w:numPr>
          <w:ilvl w:val="0"/>
          <w:numId w:val="17"/>
        </w:numPr>
        <w:spacing w:after="40"/>
        <w:ind w:left="714" w:hanging="357"/>
        <w:rPr>
          <w:rFonts w:cs="Arial"/>
        </w:rPr>
      </w:pPr>
      <w:r w:rsidRPr="00B47CEB">
        <w:rPr>
          <w:rFonts w:cs="Arial"/>
        </w:rPr>
        <w:t xml:space="preserve">IUCN SSC Antelope Specialist Group. 2023. </w:t>
      </w:r>
      <w:r w:rsidRPr="00B47CEB">
        <w:rPr>
          <w:rFonts w:cs="Arial"/>
          <w:i/>
          <w:iCs/>
        </w:rPr>
        <w:t xml:space="preserve">Saiga </w:t>
      </w:r>
      <w:proofErr w:type="spellStart"/>
      <w:r w:rsidRPr="00B47CEB">
        <w:rPr>
          <w:rFonts w:cs="Arial"/>
          <w:i/>
          <w:iCs/>
        </w:rPr>
        <w:t>tatarica</w:t>
      </w:r>
      <w:proofErr w:type="spellEnd"/>
      <w:r w:rsidRPr="00B47CEB">
        <w:rPr>
          <w:rFonts w:cs="Arial"/>
        </w:rPr>
        <w:t xml:space="preserve">. </w:t>
      </w:r>
      <w:r w:rsidRPr="00B47CEB">
        <w:rPr>
          <w:rFonts w:cs="Arial"/>
          <w:i/>
          <w:iCs/>
        </w:rPr>
        <w:t>The IUCN Red List of Threatened Species</w:t>
      </w:r>
      <w:r w:rsidRPr="00B47CEB">
        <w:rPr>
          <w:rFonts w:cs="Arial"/>
        </w:rPr>
        <w:t xml:space="preserve"> 2023: e e.T19832A233712210.</w:t>
      </w:r>
    </w:p>
    <w:p w14:paraId="792B8CCA" w14:textId="77777777" w:rsidR="00AF1989" w:rsidRPr="00B47CEB" w:rsidRDefault="0020159F">
      <w:pPr>
        <w:pStyle w:val="FootnoteText"/>
        <w:numPr>
          <w:ilvl w:val="0"/>
          <w:numId w:val="17"/>
        </w:numPr>
        <w:ind w:left="714" w:hanging="357"/>
        <w:rPr>
          <w:rFonts w:cs="Arial"/>
        </w:rPr>
      </w:pPr>
      <w:r w:rsidRPr="00B47CEB">
        <w:rPr>
          <w:rFonts w:cs="Arial"/>
        </w:rPr>
        <w:t xml:space="preserve">Milner-Gulland, E. &amp; Mallon, D. P. 2024. </w:t>
      </w:r>
      <w:r w:rsidRPr="00B47CEB">
        <w:rPr>
          <w:rFonts w:cs="Arial"/>
          <w:i/>
          <w:iCs/>
        </w:rPr>
        <w:t xml:space="preserve">Saiga </w:t>
      </w:r>
      <w:proofErr w:type="spellStart"/>
      <w:r w:rsidRPr="00B47CEB">
        <w:rPr>
          <w:rFonts w:cs="Arial"/>
          <w:i/>
          <w:iCs/>
        </w:rPr>
        <w:t>tatarica</w:t>
      </w:r>
      <w:proofErr w:type="spellEnd"/>
      <w:r w:rsidRPr="00B47CEB">
        <w:rPr>
          <w:rFonts w:cs="Arial"/>
        </w:rPr>
        <w:t xml:space="preserve"> (Green Status assessment). </w:t>
      </w:r>
      <w:r w:rsidRPr="00B47CEB">
        <w:rPr>
          <w:rFonts w:cs="Arial"/>
          <w:i/>
          <w:iCs/>
        </w:rPr>
        <w:t>The IUCN Red List of Threatened Species</w:t>
      </w:r>
      <w:r w:rsidRPr="00B47CEB">
        <w:rPr>
          <w:rFonts w:cs="Arial"/>
        </w:rPr>
        <w:t xml:space="preserve"> 2024: eT19832A1983220251.</w:t>
      </w:r>
    </w:p>
    <w:p w14:paraId="16C52050" w14:textId="77777777" w:rsidR="00AF1989" w:rsidRPr="00B47CEB" w:rsidRDefault="00AF1989">
      <w:pPr>
        <w:pStyle w:val="FootnoteText"/>
        <w:ind w:left="714"/>
        <w:rPr>
          <w:rFonts w:cs="Arial"/>
          <w:lang w:val="fr-FR"/>
        </w:rPr>
      </w:pPr>
    </w:p>
    <w:p w14:paraId="23756B84" w14:textId="7453025D" w:rsidR="00AF1989" w:rsidRPr="003D2868" w:rsidRDefault="003D2868" w:rsidP="000D06C2">
      <w:pPr>
        <w:pStyle w:val="ListParagraph"/>
        <w:numPr>
          <w:ilvl w:val="0"/>
          <w:numId w:val="47"/>
        </w:numPr>
        <w:spacing w:after="0" w:line="240" w:lineRule="auto"/>
        <w:contextualSpacing w:val="0"/>
        <w:rPr>
          <w:rFonts w:cs="Arial"/>
          <w:b/>
          <w:sz w:val="20"/>
          <w:szCs w:val="20"/>
          <w:lang w:val="fr-FR"/>
        </w:rPr>
      </w:pPr>
      <w:r>
        <w:rPr>
          <w:rFonts w:cs="Arial"/>
          <w:b/>
          <w:bCs/>
          <w:sz w:val="20"/>
          <w:szCs w:val="20"/>
          <w:lang w:val="fr-FR"/>
        </w:rPr>
        <w:t>A</w:t>
      </w:r>
      <w:r w:rsidRPr="003D2868">
        <w:rPr>
          <w:rFonts w:cs="Arial"/>
          <w:b/>
          <w:bCs/>
          <w:sz w:val="20"/>
          <w:szCs w:val="20"/>
          <w:lang w:val="fr-FR"/>
        </w:rPr>
        <w:t>ccent mis sur les changements démographiques récemment signalés</w:t>
      </w:r>
    </w:p>
    <w:p w14:paraId="6AAA613F" w14:textId="77777777" w:rsidR="00AF1989" w:rsidRPr="003D2868" w:rsidRDefault="00AF1989">
      <w:pPr>
        <w:pStyle w:val="ListParagraph"/>
        <w:spacing w:after="40" w:line="240" w:lineRule="auto"/>
        <w:ind w:left="357"/>
        <w:contextualSpacing w:val="0"/>
        <w:jc w:val="both"/>
        <w:rPr>
          <w:rFonts w:cs="Arial"/>
          <w:b/>
          <w:sz w:val="20"/>
          <w:szCs w:val="20"/>
          <w:lang w:val="fr-FR"/>
        </w:rPr>
      </w:pPr>
    </w:p>
    <w:p w14:paraId="256193DE" w14:textId="77777777" w:rsidR="00AF1989" w:rsidRPr="00B47CEB" w:rsidRDefault="0020159F">
      <w:pPr>
        <w:pStyle w:val="ListParagraph"/>
        <w:numPr>
          <w:ilvl w:val="0"/>
          <w:numId w:val="18"/>
        </w:numPr>
        <w:spacing w:after="40" w:line="240" w:lineRule="auto"/>
        <w:contextualSpacing w:val="0"/>
        <w:jc w:val="both"/>
        <w:rPr>
          <w:rStyle w:val="Hyperlink"/>
          <w:rFonts w:eastAsia="Calibri" w:cs="Arial"/>
          <w:sz w:val="20"/>
          <w:szCs w:val="20"/>
        </w:rPr>
      </w:pPr>
      <w:r w:rsidRPr="00B47CEB">
        <w:rPr>
          <w:rFonts w:eastAsia="Calibri" w:cs="Arial"/>
          <w:sz w:val="20"/>
          <w:szCs w:val="20"/>
        </w:rPr>
        <w:t xml:space="preserve">Lambertucci, S. A, Santangeli, A, &amp; Plaza, P. I. 2025. The threat of avian influenza H5N1 looms over global biodiversity. </w:t>
      </w:r>
      <w:r w:rsidRPr="00B47CEB">
        <w:rPr>
          <w:rFonts w:eastAsia="Calibri" w:cs="Arial"/>
          <w:i/>
          <w:iCs/>
          <w:sz w:val="20"/>
          <w:szCs w:val="20"/>
        </w:rPr>
        <w:t xml:space="preserve">Nat. Rev. </w:t>
      </w:r>
      <w:proofErr w:type="spellStart"/>
      <w:r w:rsidRPr="00B47CEB">
        <w:rPr>
          <w:rFonts w:eastAsia="Calibri" w:cs="Arial"/>
          <w:i/>
          <w:iCs/>
          <w:sz w:val="20"/>
          <w:szCs w:val="20"/>
        </w:rPr>
        <w:t>Biodivers</w:t>
      </w:r>
      <w:proofErr w:type="spellEnd"/>
      <w:r w:rsidRPr="00B47CEB">
        <w:rPr>
          <w:rFonts w:eastAsia="Calibri" w:cs="Arial"/>
          <w:i/>
          <w:iCs/>
          <w:sz w:val="20"/>
          <w:szCs w:val="20"/>
        </w:rPr>
        <w:t xml:space="preserve">. </w:t>
      </w:r>
      <w:r w:rsidRPr="00B47CEB">
        <w:rPr>
          <w:rFonts w:eastAsia="Calibri" w:cs="Arial"/>
          <w:sz w:val="20"/>
          <w:szCs w:val="20"/>
        </w:rPr>
        <w:t xml:space="preserve">1, 7-9. </w:t>
      </w:r>
      <w:hyperlink r:id="rId91" w:history="1">
        <w:r w:rsidRPr="00B47CEB">
          <w:rPr>
            <w:rStyle w:val="Hyperlink"/>
            <w:rFonts w:eastAsia="Calibri" w:cs="Arial"/>
            <w:sz w:val="20"/>
            <w:szCs w:val="20"/>
          </w:rPr>
          <w:t>https://doi.org/10.1038/s44358-024-00008-7</w:t>
        </w:r>
      </w:hyperlink>
    </w:p>
    <w:p w14:paraId="2B72674B"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CMS FAO Co-convened Scientific Task Force on Avian Influenza and Wild Birds. 2023. Scientific Task Force on Avian Influenza and Wild Birds: Statement on H5N1 high pathogenicity avian influenza in wild birds – Unprecedented conservation impacts and urgent needs. Available at: https://www.cms.int/sites/default/files/publication/avian_influenza_2023_aug.pdf</w:t>
      </w:r>
    </w:p>
    <w:p w14:paraId="5EF17233"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Kuiken, T. </w:t>
      </w:r>
      <w:r w:rsidRPr="00B47CEB">
        <w:rPr>
          <w:rFonts w:eastAsia="Calibri" w:cs="Arial"/>
          <w:i/>
          <w:iCs/>
          <w:sz w:val="20"/>
          <w:szCs w:val="20"/>
        </w:rPr>
        <w:t>et al</w:t>
      </w:r>
      <w:r w:rsidRPr="00B47CEB">
        <w:rPr>
          <w:rFonts w:eastAsia="Calibri" w:cs="Arial"/>
          <w:sz w:val="20"/>
          <w:szCs w:val="20"/>
        </w:rPr>
        <w:t xml:space="preserve">. 2025. Emergence, spread, and impact of high-pathogenicity avian influenza H5 in wild birds and mammals of South America and Antarctica. </w:t>
      </w:r>
      <w:r w:rsidRPr="00B47CEB">
        <w:rPr>
          <w:rFonts w:eastAsia="Calibri" w:cs="Arial"/>
          <w:i/>
          <w:iCs/>
          <w:sz w:val="20"/>
          <w:szCs w:val="20"/>
        </w:rPr>
        <w:t>Cons. Biol</w:t>
      </w:r>
      <w:r w:rsidRPr="00B47CEB">
        <w:rPr>
          <w:rFonts w:eastAsia="Calibri" w:cs="Arial"/>
          <w:sz w:val="20"/>
          <w:szCs w:val="20"/>
        </w:rPr>
        <w:t xml:space="preserve">. e70052. </w:t>
      </w:r>
      <w:hyperlink r:id="rId92" w:history="1">
        <w:r w:rsidRPr="00B47CEB">
          <w:rPr>
            <w:rStyle w:val="Hyperlink"/>
            <w:rFonts w:eastAsia="Calibri" w:cs="Arial"/>
            <w:sz w:val="20"/>
            <w:szCs w:val="20"/>
          </w:rPr>
          <w:t>https://doi.org/10.1111/cobi.70052</w:t>
        </w:r>
      </w:hyperlink>
    </w:p>
    <w:p w14:paraId="6FB6F314"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Alexandrou, O., </w:t>
      </w:r>
      <w:proofErr w:type="spellStart"/>
      <w:r w:rsidRPr="00B47CEB">
        <w:rPr>
          <w:rFonts w:eastAsia="Calibri" w:cs="Arial"/>
          <w:sz w:val="20"/>
          <w:szCs w:val="20"/>
        </w:rPr>
        <w:t>Malakou</w:t>
      </w:r>
      <w:proofErr w:type="spellEnd"/>
      <w:r w:rsidRPr="00B47CEB">
        <w:rPr>
          <w:rFonts w:eastAsia="Calibri" w:cs="Arial"/>
          <w:sz w:val="20"/>
          <w:szCs w:val="20"/>
        </w:rPr>
        <w:t xml:space="preserve">, M., &amp; </w:t>
      </w:r>
      <w:proofErr w:type="spellStart"/>
      <w:r w:rsidRPr="00B47CEB">
        <w:rPr>
          <w:rFonts w:eastAsia="Calibri" w:cs="Arial"/>
          <w:sz w:val="20"/>
          <w:szCs w:val="20"/>
        </w:rPr>
        <w:t>Catsadorakis</w:t>
      </w:r>
      <w:proofErr w:type="spellEnd"/>
      <w:r w:rsidRPr="00B47CEB">
        <w:rPr>
          <w:rFonts w:eastAsia="Calibri" w:cs="Arial"/>
          <w:sz w:val="20"/>
          <w:szCs w:val="20"/>
        </w:rPr>
        <w:t xml:space="preserve">, G. 2022 The impact of avian influenza 2022 on Dalmatian pelicans was the worst ever wildlife disaster in Greece. </w:t>
      </w:r>
      <w:r w:rsidRPr="00B47CEB">
        <w:rPr>
          <w:rFonts w:eastAsia="Calibri" w:cs="Arial"/>
          <w:i/>
          <w:iCs/>
          <w:sz w:val="20"/>
          <w:szCs w:val="20"/>
        </w:rPr>
        <w:t>Oryx</w:t>
      </w:r>
      <w:r w:rsidRPr="00B47CEB">
        <w:rPr>
          <w:rFonts w:eastAsia="Calibri" w:cs="Arial"/>
          <w:sz w:val="20"/>
          <w:szCs w:val="20"/>
        </w:rPr>
        <w:t xml:space="preserve"> 56(6), 813.</w:t>
      </w:r>
    </w:p>
    <w:p w14:paraId="58983D53"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EAAFP. 2022. Updates of HPAI recorded in East Asian – Australasian Flyway. </w:t>
      </w:r>
      <w:r w:rsidRPr="00B47CEB">
        <w:rPr>
          <w:rFonts w:eastAsia="Calibri" w:cs="Arial"/>
          <w:i/>
          <w:iCs/>
          <w:sz w:val="20"/>
          <w:szCs w:val="20"/>
        </w:rPr>
        <w:t>East Asian – Australasian Flyway Partnership</w:t>
      </w:r>
      <w:r w:rsidRPr="00B47CEB">
        <w:rPr>
          <w:rFonts w:eastAsia="Calibri" w:cs="Arial"/>
          <w:sz w:val="20"/>
          <w:szCs w:val="20"/>
        </w:rPr>
        <w:t xml:space="preserve">. Available at: </w:t>
      </w:r>
      <w:hyperlink r:id="rId93" w:history="1">
        <w:r w:rsidRPr="00B47CEB">
          <w:rPr>
            <w:rStyle w:val="Hyperlink"/>
            <w:rFonts w:eastAsia="Calibri" w:cs="Arial"/>
            <w:sz w:val="20"/>
            <w:szCs w:val="20"/>
          </w:rPr>
          <w:t>https://www.eaaflyway.net/updates-hpai-eaaf/</w:t>
        </w:r>
      </w:hyperlink>
    </w:p>
    <w:p w14:paraId="63758B1E"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BirdLife</w:t>
      </w:r>
      <w:proofErr w:type="spellEnd"/>
      <w:r w:rsidRPr="00B47CEB">
        <w:rPr>
          <w:rFonts w:eastAsia="Calibri" w:cs="Arial"/>
          <w:sz w:val="20"/>
          <w:szCs w:val="20"/>
        </w:rPr>
        <w:t xml:space="preserve"> International. 2024. </w:t>
      </w:r>
      <w:r w:rsidRPr="00B47CEB">
        <w:rPr>
          <w:rFonts w:eastAsia="Calibri" w:cs="Arial"/>
          <w:i/>
          <w:iCs/>
          <w:sz w:val="20"/>
          <w:szCs w:val="20"/>
        </w:rPr>
        <w:t xml:space="preserve">Spheniscus </w:t>
      </w:r>
      <w:proofErr w:type="spellStart"/>
      <w:r w:rsidRPr="00B47CEB">
        <w:rPr>
          <w:rFonts w:eastAsia="Calibri" w:cs="Arial"/>
          <w:i/>
          <w:iCs/>
          <w:sz w:val="20"/>
          <w:szCs w:val="20"/>
        </w:rPr>
        <w:t>demersus</w:t>
      </w:r>
      <w:proofErr w:type="spellEnd"/>
      <w:r w:rsidRPr="00B47CEB">
        <w:rPr>
          <w:rFonts w:eastAsia="Calibri" w:cs="Arial"/>
          <w:sz w:val="20"/>
          <w:szCs w:val="20"/>
        </w:rPr>
        <w:t xml:space="preserve">. </w:t>
      </w:r>
      <w:r w:rsidRPr="00B47CEB">
        <w:rPr>
          <w:rFonts w:eastAsia="Calibri" w:cs="Arial"/>
          <w:i/>
          <w:iCs/>
          <w:sz w:val="20"/>
          <w:szCs w:val="20"/>
        </w:rPr>
        <w:t>The IUCN Red List of Threatened Species</w:t>
      </w:r>
      <w:r w:rsidRPr="00B47CEB">
        <w:rPr>
          <w:rFonts w:eastAsia="Calibri" w:cs="Arial"/>
          <w:sz w:val="20"/>
          <w:szCs w:val="20"/>
        </w:rPr>
        <w:t xml:space="preserve"> 2024: e.T22697810A256021744. </w:t>
      </w:r>
    </w:p>
    <w:p w14:paraId="2F66E24E"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lang w:val="da-DK"/>
        </w:rPr>
        <w:t xml:space="preserve">Kauffman, M. J. </w:t>
      </w:r>
      <w:r w:rsidRPr="00B47CEB">
        <w:rPr>
          <w:rFonts w:eastAsia="Calibri" w:cs="Arial"/>
          <w:i/>
          <w:sz w:val="20"/>
          <w:szCs w:val="20"/>
          <w:lang w:val="da-DK"/>
        </w:rPr>
        <w:t>et al</w:t>
      </w:r>
      <w:r w:rsidRPr="00B47CEB">
        <w:rPr>
          <w:rFonts w:eastAsia="Calibri" w:cs="Arial"/>
          <w:sz w:val="20"/>
          <w:szCs w:val="20"/>
          <w:lang w:val="da-DK"/>
        </w:rPr>
        <w:t xml:space="preserve">. 2021. </w:t>
      </w:r>
      <w:r w:rsidRPr="00B47CEB">
        <w:rPr>
          <w:rFonts w:eastAsia="Calibri" w:cs="Arial"/>
          <w:sz w:val="20"/>
          <w:szCs w:val="20"/>
        </w:rPr>
        <w:t xml:space="preserve">Causes, consequences, and conservation of ungulate migration. </w:t>
      </w:r>
      <w:r w:rsidRPr="00B47CEB">
        <w:rPr>
          <w:rFonts w:eastAsia="Calibri" w:cs="Arial"/>
          <w:i/>
          <w:iCs/>
          <w:sz w:val="20"/>
          <w:szCs w:val="20"/>
        </w:rPr>
        <w:t xml:space="preserve">Annu. Rev. Ecol. Evol. Syst. </w:t>
      </w:r>
      <w:r w:rsidRPr="00B47CEB">
        <w:rPr>
          <w:rFonts w:eastAsia="Calibri" w:cs="Arial"/>
          <w:sz w:val="20"/>
          <w:szCs w:val="20"/>
        </w:rPr>
        <w:t>52, 453-478. https://doi.org/10.1146/annurev-ecolsys-012021-011516</w:t>
      </w:r>
    </w:p>
    <w:p w14:paraId="19048D1A"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UNEP/CMS, Eds. 2025. Central Asian Mammals Migration and Linear Infrastructure Atlas. CMS Technical Series No. 41. Bonn, Germany. Available at: https://www.cms.int/cami/es/node/26514</w:t>
      </w:r>
    </w:p>
    <w:p w14:paraId="5EA5CBDA"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Mengden</w:t>
      </w:r>
      <w:proofErr w:type="spellEnd"/>
      <w:r w:rsidRPr="00B47CEB">
        <w:rPr>
          <w:rFonts w:eastAsia="Calibri" w:cs="Arial"/>
          <w:sz w:val="20"/>
          <w:szCs w:val="20"/>
        </w:rPr>
        <w:t xml:space="preserve">, P. </w:t>
      </w:r>
      <w:r w:rsidRPr="00B47CEB">
        <w:rPr>
          <w:rFonts w:eastAsia="Calibri" w:cs="Arial"/>
          <w:i/>
          <w:iCs/>
          <w:sz w:val="20"/>
          <w:szCs w:val="20"/>
        </w:rPr>
        <w:t>et al</w:t>
      </w:r>
      <w:r w:rsidRPr="00B47CEB">
        <w:rPr>
          <w:rFonts w:eastAsia="Calibri" w:cs="Arial"/>
          <w:sz w:val="20"/>
          <w:szCs w:val="20"/>
        </w:rPr>
        <w:t xml:space="preserve">. 2023. Nomadic movements under threat: declining mobility of Mongolian gazelles in the Eastern Steppe of Mongolia. </w:t>
      </w:r>
      <w:r w:rsidRPr="00B47CEB">
        <w:rPr>
          <w:rFonts w:eastAsia="Calibri" w:cs="Arial"/>
          <w:i/>
          <w:iCs/>
          <w:sz w:val="20"/>
          <w:szCs w:val="20"/>
        </w:rPr>
        <w:t xml:space="preserve">Biol. Cons. </w:t>
      </w:r>
      <w:r w:rsidRPr="00B47CEB">
        <w:rPr>
          <w:rFonts w:eastAsia="Calibri" w:cs="Arial"/>
          <w:sz w:val="20"/>
          <w:szCs w:val="20"/>
        </w:rPr>
        <w:t xml:space="preserve">286, 110271. </w:t>
      </w:r>
      <w:hyperlink r:id="rId94" w:history="1">
        <w:r w:rsidRPr="00B47CEB">
          <w:rPr>
            <w:rStyle w:val="Hyperlink"/>
            <w:rFonts w:eastAsia="Calibri" w:cs="Arial"/>
            <w:sz w:val="20"/>
            <w:szCs w:val="20"/>
          </w:rPr>
          <w:t>https://doi.org/10.1016/j.biocon.2023.110271</w:t>
        </w:r>
      </w:hyperlink>
    </w:p>
    <w:p w14:paraId="198A46E2" w14:textId="14EA84DC" w:rsidR="00AF1989" w:rsidRPr="00AB44C4" w:rsidRDefault="00AB44C4" w:rsidP="00AB44C4">
      <w:pPr>
        <w:pStyle w:val="ListParagraph"/>
        <w:numPr>
          <w:ilvl w:val="0"/>
          <w:numId w:val="18"/>
        </w:numPr>
        <w:spacing w:after="40" w:line="240" w:lineRule="auto"/>
        <w:contextualSpacing w:val="0"/>
        <w:jc w:val="both"/>
        <w:rPr>
          <w:rFonts w:eastAsia="Calibri" w:cs="Arial"/>
          <w:sz w:val="20"/>
          <w:szCs w:val="20"/>
        </w:rPr>
      </w:pPr>
      <w:r w:rsidRPr="009C0262">
        <w:rPr>
          <w:rFonts w:eastAsia="Calibri" w:cs="Arial"/>
          <w:sz w:val="20"/>
          <w:szCs w:val="20"/>
        </w:rPr>
        <w:t xml:space="preserve">Kauffman, M., S. </w:t>
      </w:r>
      <w:proofErr w:type="spellStart"/>
      <w:r w:rsidRPr="009C0262">
        <w:rPr>
          <w:rFonts w:eastAsia="Calibri" w:cs="Arial"/>
          <w:sz w:val="20"/>
          <w:szCs w:val="20"/>
        </w:rPr>
        <w:t>Albeke</w:t>
      </w:r>
      <w:proofErr w:type="spellEnd"/>
      <w:r w:rsidRPr="009C0262">
        <w:rPr>
          <w:rFonts w:eastAsia="Calibri" w:cs="Arial"/>
          <w:sz w:val="20"/>
          <w:szCs w:val="20"/>
        </w:rPr>
        <w:t xml:space="preserve">, M. Atallah, M. Boyers, F. Cagnacci, S. </w:t>
      </w:r>
      <w:proofErr w:type="spellStart"/>
      <w:r w:rsidRPr="009C0262">
        <w:rPr>
          <w:rFonts w:eastAsia="Calibri" w:cs="Arial"/>
          <w:sz w:val="20"/>
          <w:szCs w:val="20"/>
        </w:rPr>
        <w:t>Chamaille</w:t>
      </w:r>
      <w:proofErr w:type="spellEnd"/>
      <w:r w:rsidRPr="009C0262">
        <w:rPr>
          <w:rFonts w:eastAsia="Calibri" w:cs="Arial"/>
          <w:sz w:val="20"/>
          <w:szCs w:val="20"/>
        </w:rPr>
        <w:t xml:space="preserve">-Jammes, J. Fugate, I. Freeman, J. Gage, M. </w:t>
      </w:r>
      <w:proofErr w:type="spellStart"/>
      <w:r w:rsidRPr="009C0262">
        <w:rPr>
          <w:rFonts w:eastAsia="Calibri" w:cs="Arial"/>
          <w:sz w:val="20"/>
          <w:szCs w:val="20"/>
        </w:rPr>
        <w:t>Hebblewhite</w:t>
      </w:r>
      <w:proofErr w:type="spellEnd"/>
      <w:r w:rsidRPr="009C0262">
        <w:rPr>
          <w:rFonts w:eastAsia="Calibri" w:cs="Arial"/>
          <w:sz w:val="20"/>
          <w:szCs w:val="20"/>
        </w:rPr>
        <w:t xml:space="preserve">, G. Hopcraft, W. Kirkpatrick, J. Merkle, J. Merson, T. Mueller, S. Mumme, A. </w:t>
      </w:r>
      <w:proofErr w:type="spellStart"/>
      <w:r w:rsidRPr="009C0262">
        <w:rPr>
          <w:rFonts w:eastAsia="Calibri" w:cs="Arial"/>
          <w:sz w:val="20"/>
          <w:szCs w:val="20"/>
        </w:rPr>
        <w:t>Mysterud</w:t>
      </w:r>
      <w:proofErr w:type="spellEnd"/>
      <w:r w:rsidRPr="009C0262">
        <w:rPr>
          <w:rFonts w:eastAsia="Calibri" w:cs="Arial"/>
          <w:sz w:val="20"/>
          <w:szCs w:val="20"/>
        </w:rPr>
        <w:t xml:space="preserve">, C. Nobbe, W. Peters, E. Steiner, A. </w:t>
      </w:r>
      <w:proofErr w:type="spellStart"/>
      <w:r w:rsidRPr="009C0262">
        <w:rPr>
          <w:rFonts w:eastAsia="Calibri" w:cs="Arial"/>
          <w:sz w:val="20"/>
          <w:szCs w:val="20"/>
        </w:rPr>
        <w:t>Steingisser</w:t>
      </w:r>
      <w:proofErr w:type="spellEnd"/>
      <w:r w:rsidRPr="009C0262">
        <w:rPr>
          <w:rFonts w:eastAsia="Calibri" w:cs="Arial"/>
          <w:sz w:val="20"/>
          <w:szCs w:val="20"/>
        </w:rPr>
        <w:t xml:space="preserve">, </w:t>
      </w:r>
      <w:r w:rsidRPr="009C0262">
        <w:rPr>
          <w:rFonts w:eastAsia="Calibri" w:cs="Arial"/>
          <w:sz w:val="20"/>
          <w:szCs w:val="20"/>
        </w:rPr>
        <w:lastRenderedPageBreak/>
        <w:t xml:space="preserve">editors. 2024. </w:t>
      </w:r>
      <w:r w:rsidRPr="00E7787F">
        <w:rPr>
          <w:rFonts w:eastAsia="Calibri" w:cs="Arial"/>
          <w:i/>
          <w:iCs/>
          <w:sz w:val="20"/>
          <w:szCs w:val="20"/>
        </w:rPr>
        <w:t>Atlas of Ungulate Migration</w:t>
      </w:r>
      <w:r w:rsidRPr="009C0262">
        <w:rPr>
          <w:rFonts w:eastAsia="Calibri" w:cs="Arial"/>
          <w:sz w:val="20"/>
          <w:szCs w:val="20"/>
        </w:rPr>
        <w:t>. Convention on the Conservation of Migratory Species of Wild Animals.</w:t>
      </w:r>
      <w:r>
        <w:rPr>
          <w:rFonts w:eastAsia="Calibri" w:cs="Arial"/>
          <w:sz w:val="20"/>
          <w:szCs w:val="20"/>
        </w:rPr>
        <w:t xml:space="preserve"> </w:t>
      </w:r>
      <w:r w:rsidRPr="00767A81">
        <w:rPr>
          <w:rFonts w:eastAsia="Calibri" w:cs="Arial"/>
          <w:sz w:val="20"/>
          <w:szCs w:val="20"/>
        </w:rPr>
        <w:t>Available at:</w:t>
      </w:r>
      <w:r>
        <w:rPr>
          <w:rFonts w:eastAsia="Calibri" w:cs="Arial"/>
          <w:sz w:val="20"/>
          <w:szCs w:val="20"/>
        </w:rPr>
        <w:t xml:space="preserve"> </w:t>
      </w:r>
      <w:r w:rsidRPr="00D64062">
        <w:rPr>
          <w:rFonts w:eastAsia="Calibri" w:cs="Arial"/>
          <w:sz w:val="20"/>
          <w:szCs w:val="20"/>
        </w:rPr>
        <w:t>https://www.cms.int/gium</w:t>
      </w:r>
    </w:p>
    <w:p w14:paraId="68CE1A06"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lang w:val="da-DK"/>
        </w:rPr>
        <w:t xml:space="preserve">Stabach, J. A. </w:t>
      </w:r>
      <w:r w:rsidRPr="00B47CEB">
        <w:rPr>
          <w:rFonts w:eastAsia="Calibri" w:cs="Arial"/>
          <w:i/>
          <w:sz w:val="20"/>
          <w:szCs w:val="20"/>
          <w:lang w:val="da-DK"/>
        </w:rPr>
        <w:t>et al.</w:t>
      </w:r>
      <w:r w:rsidRPr="00B47CEB">
        <w:rPr>
          <w:rFonts w:eastAsia="Calibri" w:cs="Arial"/>
          <w:sz w:val="20"/>
          <w:szCs w:val="20"/>
          <w:lang w:val="da-DK"/>
        </w:rPr>
        <w:t xml:space="preserve"> 2022. </w:t>
      </w:r>
      <w:r w:rsidRPr="00B47CEB">
        <w:rPr>
          <w:rFonts w:eastAsia="Calibri" w:cs="Arial"/>
          <w:sz w:val="20"/>
          <w:szCs w:val="20"/>
        </w:rPr>
        <w:t xml:space="preserve">Increasing anthropogenic disturbance restricts wildebeest movement across East African grazing systems. </w:t>
      </w:r>
      <w:r w:rsidRPr="00B47CEB">
        <w:rPr>
          <w:rFonts w:eastAsia="Calibri" w:cs="Arial"/>
          <w:i/>
          <w:iCs/>
          <w:sz w:val="20"/>
          <w:szCs w:val="20"/>
        </w:rPr>
        <w:t xml:space="preserve">Front. Ecol. Evol. </w:t>
      </w:r>
      <w:r w:rsidRPr="00B47CEB">
        <w:rPr>
          <w:rFonts w:eastAsia="Calibri" w:cs="Arial"/>
          <w:sz w:val="20"/>
          <w:szCs w:val="20"/>
        </w:rPr>
        <w:t>10, 846171. https://doi.org/10.3389/fevo.2022.846171</w:t>
      </w:r>
    </w:p>
    <w:p w14:paraId="45C954C9"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Gunn, A. </w:t>
      </w:r>
      <w:r w:rsidRPr="00B47CEB">
        <w:rPr>
          <w:rFonts w:eastAsia="Calibri" w:cs="Arial"/>
          <w:i/>
          <w:iCs/>
          <w:sz w:val="20"/>
          <w:szCs w:val="20"/>
        </w:rPr>
        <w:t>et al</w:t>
      </w:r>
      <w:r w:rsidRPr="00B47CEB">
        <w:rPr>
          <w:rFonts w:eastAsia="Calibri" w:cs="Arial"/>
          <w:sz w:val="20"/>
          <w:szCs w:val="20"/>
        </w:rPr>
        <w:t xml:space="preserve">.2024. Migratory tundra caribou in a warmer climate. </w:t>
      </w:r>
      <w:r w:rsidRPr="00B47CEB">
        <w:rPr>
          <w:rFonts w:eastAsia="Calibri" w:cs="Arial"/>
          <w:i/>
          <w:iCs/>
          <w:sz w:val="20"/>
          <w:szCs w:val="20"/>
        </w:rPr>
        <w:t>Arctic Report Card: Update for 2024</w:t>
      </w:r>
      <w:r w:rsidRPr="00B47CEB">
        <w:rPr>
          <w:rFonts w:eastAsia="Calibri" w:cs="Arial"/>
          <w:sz w:val="20"/>
          <w:szCs w:val="20"/>
        </w:rPr>
        <w:t xml:space="preserve">. </w:t>
      </w:r>
      <w:hyperlink r:id="rId95" w:history="1">
        <w:r w:rsidRPr="00B47CEB">
          <w:rPr>
            <w:rStyle w:val="Hyperlink"/>
            <w:rFonts w:eastAsia="Calibri" w:cs="Arial"/>
            <w:sz w:val="20"/>
            <w:szCs w:val="20"/>
          </w:rPr>
          <w:t>https://doi.org/10.25923/qn4a-td90</w:t>
        </w:r>
      </w:hyperlink>
    </w:p>
    <w:p w14:paraId="57C67F7B"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Gunn, A. &amp; Russell, D. 2022. Update on the global status of wild reindeer and caribou. Available at: </w:t>
      </w:r>
      <w:hyperlink r:id="rId96" w:history="1">
        <w:r w:rsidRPr="00B47CEB">
          <w:rPr>
            <w:rStyle w:val="Hyperlink"/>
            <w:rFonts w:eastAsia="Calibri" w:cs="Arial"/>
            <w:sz w:val="20"/>
            <w:szCs w:val="20"/>
          </w:rPr>
          <w:t>https://www.deerspecialistgroup.org/article/1060/</w:t>
        </w:r>
      </w:hyperlink>
      <w:r w:rsidRPr="00B47CEB">
        <w:rPr>
          <w:rFonts w:eastAsia="Calibri" w:cs="Arial"/>
          <w:sz w:val="20"/>
          <w:szCs w:val="20"/>
        </w:rPr>
        <w:t xml:space="preserve"> </w:t>
      </w:r>
    </w:p>
    <w:p w14:paraId="75157110"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lang w:val="es-ES"/>
        </w:rPr>
        <w:t>Donadio</w:t>
      </w:r>
      <w:proofErr w:type="spellEnd"/>
      <w:r w:rsidRPr="00B47CEB">
        <w:rPr>
          <w:rFonts w:eastAsia="Calibri" w:cs="Arial"/>
          <w:sz w:val="20"/>
          <w:szCs w:val="20"/>
          <w:lang w:val="es-ES"/>
        </w:rPr>
        <w:t xml:space="preserve">, E. </w:t>
      </w:r>
      <w:r w:rsidRPr="00B47CEB">
        <w:rPr>
          <w:rFonts w:eastAsia="Calibri" w:cs="Arial"/>
          <w:i/>
          <w:sz w:val="20"/>
          <w:szCs w:val="20"/>
          <w:lang w:val="es-ES"/>
        </w:rPr>
        <w:t>et al</w:t>
      </w:r>
      <w:r w:rsidRPr="00B47CEB">
        <w:rPr>
          <w:rFonts w:eastAsia="Calibri" w:cs="Arial"/>
          <w:sz w:val="20"/>
          <w:szCs w:val="20"/>
          <w:lang w:val="es-ES"/>
        </w:rPr>
        <w:t xml:space="preserve">. 2024. Guanaco: Meseta del Lago Buenos Aires, Argentina. </w:t>
      </w:r>
      <w:r w:rsidRPr="00B47CEB">
        <w:rPr>
          <w:rFonts w:eastAsia="Calibri" w:cs="Arial"/>
          <w:sz w:val="20"/>
          <w:szCs w:val="20"/>
        </w:rPr>
        <w:t xml:space="preserve">Global Initiative on Ungulate Migration, editors. </w:t>
      </w:r>
      <w:r w:rsidRPr="00B47CEB">
        <w:rPr>
          <w:rFonts w:eastAsia="Calibri" w:cs="Arial"/>
          <w:i/>
          <w:iCs/>
          <w:sz w:val="20"/>
          <w:szCs w:val="20"/>
        </w:rPr>
        <w:t>Atlas of Ungulate Migration</w:t>
      </w:r>
      <w:r w:rsidRPr="00B47CEB">
        <w:rPr>
          <w:rFonts w:eastAsia="Calibri" w:cs="Arial"/>
          <w:sz w:val="20"/>
          <w:szCs w:val="20"/>
        </w:rPr>
        <w:t>. Convention on the Conservation of Migratory Species of Wild Animals.</w:t>
      </w:r>
    </w:p>
    <w:p w14:paraId="529F7BC8"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lang w:val="es-ES"/>
        </w:rPr>
        <w:t xml:space="preserve">Jones, V. R., Haskell, L. &amp; </w:t>
      </w:r>
      <w:proofErr w:type="spellStart"/>
      <w:r w:rsidRPr="00B47CEB">
        <w:rPr>
          <w:rFonts w:eastAsia="Calibri" w:cs="Arial"/>
          <w:sz w:val="20"/>
          <w:szCs w:val="20"/>
          <w:lang w:val="es-ES"/>
        </w:rPr>
        <w:t>Serratosa</w:t>
      </w:r>
      <w:proofErr w:type="spellEnd"/>
      <w:r w:rsidRPr="00B47CEB">
        <w:rPr>
          <w:rFonts w:eastAsia="Calibri" w:cs="Arial"/>
          <w:sz w:val="20"/>
          <w:szCs w:val="20"/>
          <w:lang w:val="es-ES"/>
        </w:rPr>
        <w:t xml:space="preserve"> </w:t>
      </w:r>
      <w:proofErr w:type="spellStart"/>
      <w:r w:rsidRPr="00B47CEB">
        <w:rPr>
          <w:rFonts w:eastAsia="Calibri" w:cs="Arial"/>
          <w:sz w:val="20"/>
          <w:szCs w:val="20"/>
          <w:lang w:val="es-ES"/>
        </w:rPr>
        <w:t>Lopez</w:t>
      </w:r>
      <w:proofErr w:type="spellEnd"/>
      <w:r w:rsidRPr="00B47CEB">
        <w:rPr>
          <w:rFonts w:eastAsia="Calibri" w:cs="Arial"/>
          <w:sz w:val="20"/>
          <w:szCs w:val="20"/>
          <w:lang w:val="es-ES"/>
        </w:rPr>
        <w:t xml:space="preserve">, J. 2023. </w:t>
      </w:r>
      <w:r w:rsidRPr="00B47CEB">
        <w:rPr>
          <w:rFonts w:eastAsia="Calibri" w:cs="Arial"/>
          <w:sz w:val="20"/>
          <w:szCs w:val="20"/>
        </w:rPr>
        <w:t xml:space="preserve">Raptors MOU Conservation Status Assessment Report MOS3 (2023), available at: </w:t>
      </w:r>
      <w:hyperlink r:id="rId97" w:history="1">
        <w:r w:rsidRPr="00B47CEB">
          <w:rPr>
            <w:rStyle w:val="Hyperlink"/>
            <w:rFonts w:cs="Arial"/>
            <w:sz w:val="20"/>
            <w:szCs w:val="20"/>
          </w:rPr>
          <w:t>UNEP/CMS/Raptors/MOS3/Doc.12.3/Annex1</w:t>
        </w:r>
      </w:hyperlink>
      <w:r w:rsidRPr="00B47CEB">
        <w:rPr>
          <w:rFonts w:cs="Arial"/>
          <w:sz w:val="20"/>
          <w:szCs w:val="20"/>
        </w:rPr>
        <w:t>.</w:t>
      </w:r>
    </w:p>
    <w:p w14:paraId="4B5C82FE"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Shaw, P., Ogada, D., Dunn, L., </w:t>
      </w:r>
      <w:proofErr w:type="spellStart"/>
      <w:r w:rsidRPr="00B47CEB">
        <w:rPr>
          <w:rFonts w:eastAsia="Calibri" w:cs="Arial"/>
          <w:sz w:val="20"/>
          <w:szCs w:val="20"/>
        </w:rPr>
        <w:t>Buij</w:t>
      </w:r>
      <w:proofErr w:type="spellEnd"/>
      <w:r w:rsidRPr="00B47CEB">
        <w:rPr>
          <w:rFonts w:eastAsia="Calibri" w:cs="Arial"/>
          <w:sz w:val="20"/>
          <w:szCs w:val="20"/>
        </w:rPr>
        <w:t xml:space="preserve">, R., Amar, A., Garbett, R., </w:t>
      </w:r>
      <w:proofErr w:type="spellStart"/>
      <w:r w:rsidRPr="00B47CEB">
        <w:rPr>
          <w:rFonts w:eastAsia="Calibri" w:cs="Arial"/>
          <w:sz w:val="20"/>
          <w:szCs w:val="20"/>
        </w:rPr>
        <w:t>Herremans</w:t>
      </w:r>
      <w:proofErr w:type="spellEnd"/>
      <w:r w:rsidRPr="00B47CEB">
        <w:rPr>
          <w:rFonts w:eastAsia="Calibri" w:cs="Arial"/>
          <w:sz w:val="20"/>
          <w:szCs w:val="20"/>
        </w:rPr>
        <w:t xml:space="preserve">, M., Virani, M. Z., Kendall, C. J., Croes, B. M., Odino, M., Kapila, S., </w:t>
      </w:r>
      <w:proofErr w:type="spellStart"/>
      <w:r w:rsidRPr="00B47CEB">
        <w:rPr>
          <w:rFonts w:eastAsia="Calibri" w:cs="Arial"/>
          <w:sz w:val="20"/>
          <w:szCs w:val="20"/>
        </w:rPr>
        <w:t>Wairasho</w:t>
      </w:r>
      <w:proofErr w:type="spellEnd"/>
      <w:r w:rsidRPr="00B47CEB">
        <w:rPr>
          <w:rFonts w:eastAsia="Calibri" w:cs="Arial"/>
          <w:sz w:val="20"/>
          <w:szCs w:val="20"/>
        </w:rPr>
        <w:t xml:space="preserve">, P., Rutz, C., Botha, A., Gallo-Orsi, U., Murn, C., Maude, G. &amp; Thomsett, S. 2024. African savanna raptors show evidence of widespread population collapse and a growing dependence on protected areas. </w:t>
      </w:r>
      <w:r w:rsidRPr="00B47CEB">
        <w:rPr>
          <w:rFonts w:eastAsia="Calibri" w:cs="Arial"/>
          <w:i/>
          <w:iCs/>
          <w:sz w:val="20"/>
          <w:szCs w:val="20"/>
        </w:rPr>
        <w:t>Nat. Ecol. Evol.</w:t>
      </w:r>
      <w:r w:rsidRPr="00B47CEB">
        <w:rPr>
          <w:rFonts w:eastAsia="Calibri" w:cs="Arial"/>
          <w:sz w:val="20"/>
          <w:szCs w:val="20"/>
        </w:rPr>
        <w:t xml:space="preserve"> 8, 45–56. </w:t>
      </w:r>
      <w:hyperlink r:id="rId98" w:history="1">
        <w:r w:rsidRPr="00B47CEB">
          <w:rPr>
            <w:rStyle w:val="Hyperlink"/>
            <w:rFonts w:eastAsia="Calibri" w:cs="Arial"/>
            <w:sz w:val="20"/>
            <w:szCs w:val="20"/>
          </w:rPr>
          <w:t>https://doi.org/10.1038/s41559-023-02236-0</w:t>
        </w:r>
      </w:hyperlink>
    </w:p>
    <w:p w14:paraId="371A3439"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Botha, A. </w:t>
      </w:r>
      <w:r w:rsidRPr="00B47CEB">
        <w:rPr>
          <w:rFonts w:eastAsia="Calibri" w:cs="Arial"/>
          <w:i/>
          <w:iCs/>
          <w:sz w:val="20"/>
          <w:szCs w:val="20"/>
        </w:rPr>
        <w:t>et al</w:t>
      </w:r>
      <w:r w:rsidRPr="00B47CEB">
        <w:rPr>
          <w:rFonts w:eastAsia="Calibri" w:cs="Arial"/>
          <w:sz w:val="20"/>
          <w:szCs w:val="20"/>
        </w:rPr>
        <w:t xml:space="preserve">. 2024. Report on the Mid-term Implementation Review of the Vulture Multi-species Action Plan to conserve African-Eurasian Vultures. Abu Dhabi: CMS Raptors MOU Secretariat. </w:t>
      </w:r>
    </w:p>
    <w:p w14:paraId="03524268"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Prakash, V. </w:t>
      </w:r>
      <w:r w:rsidRPr="00B47CEB">
        <w:rPr>
          <w:rFonts w:eastAsia="Calibri" w:cs="Arial"/>
          <w:i/>
          <w:iCs/>
          <w:sz w:val="20"/>
          <w:szCs w:val="20"/>
        </w:rPr>
        <w:t>et al</w:t>
      </w:r>
      <w:r w:rsidRPr="00B47CEB">
        <w:rPr>
          <w:rFonts w:eastAsia="Calibri" w:cs="Arial"/>
          <w:sz w:val="20"/>
          <w:szCs w:val="20"/>
        </w:rPr>
        <w:t xml:space="preserve">. 2024. Recent trends in populations of Critically Endangered Gyps vultures in India. </w:t>
      </w:r>
      <w:r w:rsidRPr="00B47CEB">
        <w:rPr>
          <w:rFonts w:eastAsia="Calibri" w:cs="Arial"/>
          <w:i/>
          <w:iCs/>
          <w:sz w:val="20"/>
          <w:szCs w:val="20"/>
        </w:rPr>
        <w:t xml:space="preserve">Bird </w:t>
      </w:r>
      <w:proofErr w:type="spellStart"/>
      <w:r w:rsidRPr="00B47CEB">
        <w:rPr>
          <w:rFonts w:eastAsia="Calibri" w:cs="Arial"/>
          <w:i/>
          <w:iCs/>
          <w:sz w:val="20"/>
          <w:szCs w:val="20"/>
        </w:rPr>
        <w:t>Conserv</w:t>
      </w:r>
      <w:proofErr w:type="spellEnd"/>
      <w:r w:rsidRPr="00B47CEB">
        <w:rPr>
          <w:rFonts w:eastAsia="Calibri" w:cs="Arial"/>
          <w:i/>
          <w:iCs/>
          <w:sz w:val="20"/>
          <w:szCs w:val="20"/>
        </w:rPr>
        <w:t>. Int.</w:t>
      </w:r>
      <w:r w:rsidRPr="00B47CEB">
        <w:rPr>
          <w:rFonts w:eastAsia="Calibri" w:cs="Arial"/>
          <w:sz w:val="20"/>
          <w:szCs w:val="20"/>
        </w:rPr>
        <w:t xml:space="preserve"> 34(e1), 1-6. https://doi.org/10.1017/S0959270923000394</w:t>
      </w:r>
    </w:p>
    <w:p w14:paraId="05CA3F24"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Oppel, S. </w:t>
      </w:r>
      <w:r w:rsidRPr="00B47CEB">
        <w:rPr>
          <w:rFonts w:eastAsia="Calibri" w:cs="Arial"/>
          <w:i/>
          <w:iCs/>
          <w:sz w:val="20"/>
          <w:szCs w:val="20"/>
        </w:rPr>
        <w:t>et al</w:t>
      </w:r>
      <w:r w:rsidRPr="00B47CEB">
        <w:rPr>
          <w:rFonts w:eastAsia="Calibri" w:cs="Arial"/>
          <w:sz w:val="20"/>
          <w:szCs w:val="20"/>
        </w:rPr>
        <w:t xml:space="preserve">. 2024. Long-term conservation efforts at flyway scale can halt the population decline in a globally endangered migratory raptor. </w:t>
      </w:r>
      <w:r w:rsidRPr="00B47CEB">
        <w:rPr>
          <w:rFonts w:eastAsia="Calibri" w:cs="Arial"/>
          <w:i/>
          <w:iCs/>
          <w:sz w:val="20"/>
          <w:szCs w:val="20"/>
        </w:rPr>
        <w:t xml:space="preserve">Anim. </w:t>
      </w:r>
      <w:proofErr w:type="spellStart"/>
      <w:r w:rsidRPr="00B47CEB">
        <w:rPr>
          <w:rFonts w:eastAsia="Calibri" w:cs="Arial"/>
          <w:i/>
          <w:iCs/>
          <w:sz w:val="20"/>
          <w:szCs w:val="20"/>
        </w:rPr>
        <w:t>Conserv</w:t>
      </w:r>
      <w:proofErr w:type="spellEnd"/>
      <w:r w:rsidRPr="00B47CEB">
        <w:rPr>
          <w:rFonts w:eastAsia="Calibri" w:cs="Arial"/>
          <w:i/>
          <w:iCs/>
          <w:sz w:val="20"/>
          <w:szCs w:val="20"/>
        </w:rPr>
        <w:t xml:space="preserve">. </w:t>
      </w:r>
      <w:r w:rsidRPr="00B47CEB">
        <w:rPr>
          <w:rFonts w:eastAsia="Calibri" w:cs="Arial"/>
          <w:sz w:val="20"/>
          <w:szCs w:val="20"/>
        </w:rPr>
        <w:t>27(3), 374-385. https://doi.org/10.1111/acv.12917</w:t>
      </w:r>
    </w:p>
    <w:p w14:paraId="3AE4F3C4"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Serratosa</w:t>
      </w:r>
      <w:proofErr w:type="spellEnd"/>
      <w:r w:rsidRPr="00B47CEB">
        <w:rPr>
          <w:rFonts w:eastAsia="Calibri" w:cs="Arial"/>
          <w:sz w:val="20"/>
          <w:szCs w:val="20"/>
        </w:rPr>
        <w:t xml:space="preserve">, J. </w:t>
      </w:r>
      <w:r w:rsidRPr="00B47CEB">
        <w:rPr>
          <w:rFonts w:eastAsia="Calibri" w:cs="Arial"/>
          <w:i/>
          <w:iCs/>
          <w:sz w:val="20"/>
          <w:szCs w:val="20"/>
        </w:rPr>
        <w:t>et al</w:t>
      </w:r>
      <w:r w:rsidRPr="00B47CEB">
        <w:rPr>
          <w:rFonts w:eastAsia="Calibri" w:cs="Arial"/>
          <w:sz w:val="20"/>
          <w:szCs w:val="20"/>
        </w:rPr>
        <w:t>. 2024. Tracking data highlight the importance of human-induced mortality for large migratory birds at a flyway scale</w:t>
      </w:r>
      <w:r w:rsidRPr="00B47CEB">
        <w:rPr>
          <w:rFonts w:eastAsia="Calibri" w:cs="Arial"/>
          <w:i/>
          <w:iCs/>
          <w:sz w:val="20"/>
          <w:szCs w:val="20"/>
        </w:rPr>
        <w:t xml:space="preserve">. Biol. </w:t>
      </w:r>
      <w:proofErr w:type="spellStart"/>
      <w:r w:rsidRPr="00B47CEB">
        <w:rPr>
          <w:rFonts w:eastAsia="Calibri" w:cs="Arial"/>
          <w:i/>
          <w:iCs/>
          <w:sz w:val="20"/>
          <w:szCs w:val="20"/>
        </w:rPr>
        <w:t>Conserv</w:t>
      </w:r>
      <w:proofErr w:type="spellEnd"/>
      <w:r w:rsidRPr="00B47CEB">
        <w:rPr>
          <w:rFonts w:eastAsia="Calibri" w:cs="Arial"/>
          <w:i/>
          <w:iCs/>
          <w:sz w:val="20"/>
          <w:szCs w:val="20"/>
        </w:rPr>
        <w:t>.</w:t>
      </w:r>
      <w:r w:rsidRPr="00B47CEB">
        <w:rPr>
          <w:rFonts w:eastAsia="Calibri" w:cs="Arial"/>
          <w:sz w:val="20"/>
          <w:szCs w:val="20"/>
        </w:rPr>
        <w:t xml:space="preserve"> 293, 110525. </w:t>
      </w:r>
      <w:hyperlink r:id="rId99" w:history="1">
        <w:r w:rsidRPr="00B47CEB">
          <w:rPr>
            <w:rStyle w:val="Hyperlink"/>
            <w:rFonts w:eastAsia="Calibri" w:cs="Arial"/>
            <w:sz w:val="20"/>
            <w:szCs w:val="20"/>
          </w:rPr>
          <w:t>https://doi.org/10.1016/j.biocon.2024.110525</w:t>
        </w:r>
      </w:hyperlink>
    </w:p>
    <w:p w14:paraId="7C686CB3"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Nussbaumer, R., Nussbaumer, A., </w:t>
      </w:r>
      <w:proofErr w:type="spellStart"/>
      <w:r w:rsidRPr="00B47CEB">
        <w:rPr>
          <w:rFonts w:eastAsia="Calibri" w:cs="Arial"/>
          <w:sz w:val="20"/>
          <w:szCs w:val="20"/>
        </w:rPr>
        <w:t>Guchu</w:t>
      </w:r>
      <w:proofErr w:type="spellEnd"/>
      <w:r w:rsidRPr="00B47CEB">
        <w:rPr>
          <w:rFonts w:eastAsia="Calibri" w:cs="Arial"/>
          <w:sz w:val="20"/>
          <w:szCs w:val="20"/>
        </w:rPr>
        <w:t xml:space="preserve">, S., Stratton Hadfield, R., Kanga, E. M., </w:t>
      </w:r>
      <w:proofErr w:type="spellStart"/>
      <w:r w:rsidRPr="00B47CEB">
        <w:rPr>
          <w:rFonts w:eastAsia="Calibri" w:cs="Arial"/>
          <w:sz w:val="20"/>
          <w:szCs w:val="20"/>
        </w:rPr>
        <w:t>Nyakeru</w:t>
      </w:r>
      <w:proofErr w:type="spellEnd"/>
      <w:r w:rsidRPr="00B47CEB">
        <w:rPr>
          <w:rFonts w:eastAsia="Calibri" w:cs="Arial"/>
          <w:sz w:val="20"/>
          <w:szCs w:val="20"/>
        </w:rPr>
        <w:t xml:space="preserve"> Kung’u, G., Kuria, A., Miller, E., Kariuki </w:t>
      </w:r>
      <w:proofErr w:type="spellStart"/>
      <w:r w:rsidRPr="00B47CEB">
        <w:rPr>
          <w:rFonts w:eastAsia="Calibri" w:cs="Arial"/>
          <w:sz w:val="20"/>
          <w:szCs w:val="20"/>
        </w:rPr>
        <w:t>Ndang’ang’a</w:t>
      </w:r>
      <w:proofErr w:type="spellEnd"/>
      <w:r w:rsidRPr="00B47CEB">
        <w:rPr>
          <w:rFonts w:eastAsia="Calibri" w:cs="Arial"/>
          <w:sz w:val="20"/>
          <w:szCs w:val="20"/>
        </w:rPr>
        <w:t xml:space="preserve">, P., Njoroge, P., Ogada, D., Shema, S. &amp; Jackson, C. 2024. Historical bird atlas and contemporary citizen science data reveal long-term changes in geographic range of Kenyan birds. </w:t>
      </w:r>
      <w:r w:rsidRPr="00B47CEB">
        <w:rPr>
          <w:rFonts w:eastAsia="Calibri" w:cs="Arial"/>
          <w:i/>
          <w:iCs/>
          <w:sz w:val="20"/>
          <w:szCs w:val="20"/>
        </w:rPr>
        <w:t xml:space="preserve">Divers. </w:t>
      </w:r>
      <w:proofErr w:type="spellStart"/>
      <w:r w:rsidRPr="00B47CEB">
        <w:rPr>
          <w:rFonts w:eastAsia="Calibri" w:cs="Arial"/>
          <w:i/>
          <w:iCs/>
          <w:sz w:val="20"/>
          <w:szCs w:val="20"/>
        </w:rPr>
        <w:t>Distrib</w:t>
      </w:r>
      <w:proofErr w:type="spellEnd"/>
      <w:r w:rsidRPr="00B47CEB">
        <w:rPr>
          <w:rFonts w:eastAsia="Calibri" w:cs="Arial"/>
          <w:i/>
          <w:iCs/>
          <w:sz w:val="20"/>
          <w:szCs w:val="20"/>
        </w:rPr>
        <w:t>.</w:t>
      </w:r>
      <w:r w:rsidRPr="00B47CEB">
        <w:rPr>
          <w:rFonts w:eastAsia="Calibri" w:cs="Arial"/>
          <w:sz w:val="20"/>
          <w:szCs w:val="20"/>
        </w:rPr>
        <w:t xml:space="preserve"> 31(2), e13935. </w:t>
      </w:r>
      <w:hyperlink r:id="rId100" w:history="1">
        <w:r w:rsidRPr="00B47CEB">
          <w:rPr>
            <w:rStyle w:val="Hyperlink"/>
            <w:rFonts w:eastAsia="Calibri" w:cs="Arial"/>
            <w:sz w:val="20"/>
            <w:szCs w:val="20"/>
          </w:rPr>
          <w:t>https://doi.org/10.1111/ddi.13935</w:t>
        </w:r>
      </w:hyperlink>
    </w:p>
    <w:p w14:paraId="4D1EFD06"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Vickery, J. A., Mallord, J. W., Adams, W. M., Beresford, A. E., Both, C., Cresswell, W., Diop, N., Ewing, S. R., Gregory, R. D., Morrison, C. A., Sanderson, F. J., Thorup, K., Van Wijk, R. E. &amp; Hewson, C. M. 2023. The conservation of Afro-Palaearctic migrants: What we are learning and what we need to know? </w:t>
      </w:r>
      <w:r w:rsidRPr="00B47CEB">
        <w:rPr>
          <w:rFonts w:eastAsia="Calibri" w:cs="Arial"/>
          <w:i/>
          <w:iCs/>
          <w:sz w:val="20"/>
          <w:szCs w:val="20"/>
        </w:rPr>
        <w:t>Ibis</w:t>
      </w:r>
      <w:r w:rsidRPr="00B47CEB">
        <w:rPr>
          <w:rFonts w:eastAsia="Calibri" w:cs="Arial"/>
          <w:sz w:val="20"/>
          <w:szCs w:val="20"/>
        </w:rPr>
        <w:t xml:space="preserve"> 165, 717-738. </w:t>
      </w:r>
      <w:hyperlink r:id="rId101" w:history="1">
        <w:r w:rsidRPr="00B47CEB">
          <w:rPr>
            <w:rStyle w:val="Hyperlink"/>
            <w:rFonts w:eastAsia="Calibri" w:cs="Arial"/>
            <w:sz w:val="20"/>
            <w:szCs w:val="20"/>
          </w:rPr>
          <w:t>https://doi.org/10.1111/ibi.13171</w:t>
        </w:r>
      </w:hyperlink>
    </w:p>
    <w:p w14:paraId="38DD9B88"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Rigal </w:t>
      </w:r>
      <w:r w:rsidRPr="00B47CEB">
        <w:rPr>
          <w:rFonts w:eastAsia="Calibri" w:cs="Arial"/>
          <w:i/>
          <w:iCs/>
          <w:sz w:val="20"/>
          <w:szCs w:val="20"/>
        </w:rPr>
        <w:t>et al</w:t>
      </w:r>
      <w:r w:rsidRPr="00B47CEB">
        <w:rPr>
          <w:rFonts w:eastAsia="Calibri" w:cs="Arial"/>
          <w:sz w:val="20"/>
          <w:szCs w:val="20"/>
        </w:rPr>
        <w:t xml:space="preserve">. 2023. Farmland practices are driving bird population decline across Europe. </w:t>
      </w:r>
      <w:r w:rsidRPr="00B47CEB">
        <w:rPr>
          <w:rFonts w:eastAsia="Calibri" w:cs="Arial"/>
          <w:i/>
          <w:iCs/>
          <w:sz w:val="20"/>
          <w:szCs w:val="20"/>
        </w:rPr>
        <w:t>Proc. Natl. Acad. Sci.</w:t>
      </w:r>
      <w:r w:rsidRPr="00B47CEB">
        <w:rPr>
          <w:rFonts w:eastAsia="Calibri" w:cs="Arial"/>
          <w:sz w:val="20"/>
          <w:szCs w:val="20"/>
        </w:rPr>
        <w:t xml:space="preserve"> 120, e2216573120. </w:t>
      </w:r>
      <w:hyperlink r:id="rId102" w:history="1">
        <w:r w:rsidRPr="00B47CEB">
          <w:rPr>
            <w:rStyle w:val="Hyperlink"/>
            <w:rFonts w:eastAsia="Calibri" w:cs="Arial"/>
            <w:sz w:val="20"/>
            <w:szCs w:val="20"/>
          </w:rPr>
          <w:t>https://doi.org/10.1073/pnas.2216573120</w:t>
        </w:r>
      </w:hyperlink>
    </w:p>
    <w:p w14:paraId="28A48DC5"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Howard </w:t>
      </w:r>
      <w:r w:rsidRPr="00B47CEB">
        <w:rPr>
          <w:rFonts w:eastAsia="Calibri" w:cs="Arial"/>
          <w:i/>
          <w:iCs/>
          <w:sz w:val="20"/>
          <w:szCs w:val="20"/>
        </w:rPr>
        <w:t>et al</w:t>
      </w:r>
      <w:r w:rsidRPr="00B47CEB">
        <w:rPr>
          <w:rFonts w:eastAsia="Calibri" w:cs="Arial"/>
          <w:sz w:val="20"/>
          <w:szCs w:val="20"/>
        </w:rPr>
        <w:t xml:space="preserve">. 2020. Disentangling the relative roles of climate and land cover change in driving the long-term population trends of European migratory birds. </w:t>
      </w:r>
      <w:r w:rsidRPr="00B47CEB">
        <w:rPr>
          <w:rFonts w:eastAsia="Calibri" w:cs="Arial"/>
          <w:i/>
          <w:iCs/>
          <w:sz w:val="20"/>
          <w:szCs w:val="20"/>
        </w:rPr>
        <w:t xml:space="preserve">Divers. </w:t>
      </w:r>
      <w:proofErr w:type="spellStart"/>
      <w:r w:rsidRPr="00B47CEB">
        <w:rPr>
          <w:rFonts w:eastAsia="Calibri" w:cs="Arial"/>
          <w:i/>
          <w:iCs/>
          <w:sz w:val="20"/>
          <w:szCs w:val="20"/>
        </w:rPr>
        <w:t>Distrib</w:t>
      </w:r>
      <w:proofErr w:type="spellEnd"/>
      <w:r w:rsidRPr="00B47CEB">
        <w:rPr>
          <w:rFonts w:eastAsia="Calibri" w:cs="Arial"/>
          <w:i/>
          <w:iCs/>
          <w:sz w:val="20"/>
          <w:szCs w:val="20"/>
        </w:rPr>
        <w:t xml:space="preserve">. </w:t>
      </w:r>
      <w:r w:rsidRPr="00B47CEB">
        <w:rPr>
          <w:rFonts w:eastAsia="Calibri" w:cs="Arial"/>
          <w:sz w:val="20"/>
          <w:szCs w:val="20"/>
        </w:rPr>
        <w:t>26, 1442-1455. https://doi.org/10.1111/ddi.13144</w:t>
      </w:r>
    </w:p>
    <w:p w14:paraId="4BDF7E7B"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BirdLife</w:t>
      </w:r>
      <w:proofErr w:type="spellEnd"/>
      <w:r w:rsidRPr="00B47CEB">
        <w:rPr>
          <w:rFonts w:eastAsia="Calibri" w:cs="Arial"/>
          <w:sz w:val="20"/>
          <w:szCs w:val="20"/>
        </w:rPr>
        <w:t xml:space="preserve"> International. 2021. </w:t>
      </w:r>
      <w:r w:rsidRPr="00B47CEB">
        <w:rPr>
          <w:rFonts w:eastAsia="Calibri" w:cs="Arial"/>
          <w:i/>
          <w:sz w:val="20"/>
          <w:szCs w:val="20"/>
        </w:rPr>
        <w:t>Aquila nipalensis.</w:t>
      </w:r>
      <w:r w:rsidRPr="00B47CEB">
        <w:rPr>
          <w:rFonts w:eastAsia="Calibri" w:cs="Arial"/>
          <w:sz w:val="20"/>
          <w:szCs w:val="20"/>
        </w:rPr>
        <w:t xml:space="preserve"> </w:t>
      </w:r>
      <w:r w:rsidRPr="00B47CEB">
        <w:rPr>
          <w:rFonts w:eastAsia="Calibri" w:cs="Arial"/>
          <w:i/>
          <w:sz w:val="20"/>
          <w:szCs w:val="20"/>
        </w:rPr>
        <w:t>The IUCN Red List of Threatened Species</w:t>
      </w:r>
      <w:r w:rsidRPr="00B47CEB">
        <w:rPr>
          <w:rFonts w:eastAsia="Calibri" w:cs="Arial"/>
          <w:sz w:val="20"/>
          <w:szCs w:val="20"/>
        </w:rPr>
        <w:t xml:space="preserve"> 2021: e.T22696038A205452572. </w:t>
      </w:r>
    </w:p>
    <w:p w14:paraId="58040C33"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Buchanan, G. M., Chapple, B., Berryman, A. J., Crockford, N., Jansen, J. J. F. J. &amp; Bond, A. L. 2025. Global extinction of Slender-billed Curlew (</w:t>
      </w:r>
      <w:r w:rsidRPr="00B47CEB">
        <w:rPr>
          <w:rFonts w:eastAsia="Calibri" w:cs="Arial"/>
          <w:i/>
          <w:iCs/>
          <w:sz w:val="20"/>
          <w:szCs w:val="20"/>
        </w:rPr>
        <w:t>Numenius tenuirostris</w:t>
      </w:r>
      <w:r w:rsidRPr="00B47CEB">
        <w:rPr>
          <w:rFonts w:eastAsia="Calibri" w:cs="Arial"/>
          <w:sz w:val="20"/>
          <w:szCs w:val="20"/>
        </w:rPr>
        <w:t xml:space="preserve">). </w:t>
      </w:r>
      <w:r w:rsidRPr="00B47CEB">
        <w:rPr>
          <w:rFonts w:eastAsia="Calibri" w:cs="Arial"/>
          <w:i/>
          <w:iCs/>
          <w:sz w:val="20"/>
          <w:szCs w:val="20"/>
        </w:rPr>
        <w:t>Ibis</w:t>
      </w:r>
      <w:r w:rsidRPr="00B47CEB">
        <w:rPr>
          <w:rFonts w:eastAsia="Calibri" w:cs="Arial"/>
          <w:sz w:val="20"/>
          <w:szCs w:val="20"/>
        </w:rPr>
        <w:t xml:space="preserve"> 167(2), 357-370. </w:t>
      </w:r>
      <w:hyperlink r:id="rId103" w:history="1">
        <w:r w:rsidRPr="00B47CEB">
          <w:rPr>
            <w:rStyle w:val="Hyperlink"/>
            <w:rFonts w:eastAsia="Calibri" w:cs="Arial"/>
            <w:sz w:val="20"/>
            <w:szCs w:val="20"/>
          </w:rPr>
          <w:t>https://doi.org/10.1111/ibi.13368</w:t>
        </w:r>
      </w:hyperlink>
    </w:p>
    <w:p w14:paraId="2E54E05D"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Smith, P. A., Smith, A. C., Andres, B., Francis, C. M., Harrington, B., Friis, C., Morrison, R. I. G., Paquet, J., Winn, B. &amp; Brown, S. 2023. Accelerating declines of North America’s shorebirds signal the need for urgent conservation action. </w:t>
      </w:r>
      <w:r w:rsidRPr="00B47CEB">
        <w:rPr>
          <w:rFonts w:eastAsia="Calibri" w:cs="Arial"/>
          <w:i/>
          <w:iCs/>
          <w:sz w:val="20"/>
          <w:szCs w:val="20"/>
        </w:rPr>
        <w:t>Ornithological Applications</w:t>
      </w:r>
      <w:r w:rsidRPr="00B47CEB">
        <w:rPr>
          <w:rFonts w:eastAsia="Calibri" w:cs="Arial"/>
          <w:sz w:val="20"/>
          <w:szCs w:val="20"/>
        </w:rPr>
        <w:t xml:space="preserve"> 125(2), duad003. </w:t>
      </w:r>
      <w:hyperlink r:id="rId104" w:history="1">
        <w:r w:rsidRPr="00B47CEB">
          <w:rPr>
            <w:rStyle w:val="Hyperlink"/>
            <w:rFonts w:eastAsia="Calibri" w:cs="Arial"/>
            <w:sz w:val="20"/>
            <w:szCs w:val="20"/>
          </w:rPr>
          <w:t>https://doi.org/10.1093/ornithapp/duad003</w:t>
        </w:r>
      </w:hyperlink>
    </w:p>
    <w:p w14:paraId="09300F7A"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Rogers, A., Fuller, R. A. &amp; Amano, T. 2023. Australia’s migratory shorebirds: trends and prospects. </w:t>
      </w:r>
      <w:r w:rsidRPr="00B47CEB">
        <w:rPr>
          <w:rFonts w:eastAsia="Calibri" w:cs="Arial"/>
          <w:i/>
          <w:sz w:val="20"/>
          <w:szCs w:val="20"/>
        </w:rPr>
        <w:t>Report to the National Environmental Science Program</w:t>
      </w:r>
      <w:r w:rsidRPr="00B47CEB">
        <w:rPr>
          <w:rFonts w:eastAsia="Calibri" w:cs="Arial"/>
          <w:sz w:val="20"/>
          <w:szCs w:val="20"/>
        </w:rPr>
        <w:t xml:space="preserve">. University of Queensland, </w:t>
      </w:r>
      <w:r w:rsidRPr="00B47CEB">
        <w:rPr>
          <w:rFonts w:eastAsia="Calibri" w:cs="Arial"/>
          <w:sz w:val="20"/>
          <w:szCs w:val="20"/>
        </w:rPr>
        <w:lastRenderedPageBreak/>
        <w:t xml:space="preserve">Brisbane. Available at: </w:t>
      </w:r>
      <w:hyperlink r:id="rId105" w:history="1">
        <w:r w:rsidRPr="00B47CEB">
          <w:rPr>
            <w:rStyle w:val="Hyperlink"/>
            <w:rFonts w:eastAsia="Calibri" w:cs="Arial"/>
            <w:sz w:val="20"/>
            <w:szCs w:val="20"/>
          </w:rPr>
          <w:t>https://www.nespmarinecoastal.edu.au/wp-content/uploads/2023/10/Project-1.21_Final-report.pdf</w:t>
        </w:r>
      </w:hyperlink>
    </w:p>
    <w:p w14:paraId="13CE7DEF"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van Roomen, M., </w:t>
      </w:r>
      <w:proofErr w:type="spellStart"/>
      <w:r w:rsidRPr="00B47CEB">
        <w:rPr>
          <w:rFonts w:eastAsia="Calibri" w:cs="Arial"/>
          <w:sz w:val="20"/>
          <w:szCs w:val="20"/>
        </w:rPr>
        <w:t>Reneerkens</w:t>
      </w:r>
      <w:proofErr w:type="spellEnd"/>
      <w:r w:rsidRPr="00B47CEB">
        <w:rPr>
          <w:rFonts w:eastAsia="Calibri" w:cs="Arial"/>
          <w:sz w:val="20"/>
          <w:szCs w:val="20"/>
        </w:rPr>
        <w:t xml:space="preserve">, J., </w:t>
      </w:r>
      <w:proofErr w:type="spellStart"/>
      <w:r w:rsidRPr="00B47CEB">
        <w:rPr>
          <w:rFonts w:eastAsia="Calibri" w:cs="Arial"/>
          <w:sz w:val="20"/>
          <w:szCs w:val="20"/>
        </w:rPr>
        <w:t>Citegetse</w:t>
      </w:r>
      <w:proofErr w:type="spellEnd"/>
      <w:r w:rsidRPr="00B47CEB">
        <w:rPr>
          <w:rFonts w:eastAsia="Calibri" w:cs="Arial"/>
          <w:sz w:val="20"/>
          <w:szCs w:val="20"/>
        </w:rPr>
        <w:t xml:space="preserve">, G., Crowe, O., Gueye, K., </w:t>
      </w:r>
      <w:proofErr w:type="spellStart"/>
      <w:r w:rsidRPr="00B47CEB">
        <w:rPr>
          <w:rFonts w:eastAsia="Calibri" w:cs="Arial"/>
          <w:sz w:val="20"/>
          <w:szCs w:val="20"/>
        </w:rPr>
        <w:t>Langendoen</w:t>
      </w:r>
      <w:proofErr w:type="spellEnd"/>
      <w:r w:rsidRPr="00B47CEB">
        <w:rPr>
          <w:rFonts w:eastAsia="Calibri" w:cs="Arial"/>
          <w:sz w:val="20"/>
          <w:szCs w:val="20"/>
        </w:rPr>
        <w:t xml:space="preserve">, T., Dodman, T., Meise, K &amp; </w:t>
      </w:r>
      <w:proofErr w:type="spellStart"/>
      <w:r w:rsidRPr="00B47CEB">
        <w:rPr>
          <w:rFonts w:eastAsia="Calibri" w:cs="Arial"/>
          <w:sz w:val="20"/>
          <w:szCs w:val="20"/>
        </w:rPr>
        <w:t>Schekkerman</w:t>
      </w:r>
      <w:proofErr w:type="spellEnd"/>
      <w:r w:rsidRPr="00B47CEB">
        <w:rPr>
          <w:rFonts w:eastAsia="Calibri" w:cs="Arial"/>
          <w:sz w:val="20"/>
          <w:szCs w:val="20"/>
        </w:rPr>
        <w:t xml:space="preserve">, H. 2023. East Atlantic Flyway Assessment 2023. The status of coastal waterbird populations and their sites. Available at: </w:t>
      </w:r>
      <w:hyperlink r:id="rId106" w:history="1">
        <w:r w:rsidRPr="00B47CEB">
          <w:rPr>
            <w:rStyle w:val="Hyperlink"/>
            <w:rFonts w:eastAsia="Calibri" w:cs="Arial"/>
            <w:sz w:val="20"/>
            <w:szCs w:val="20"/>
          </w:rPr>
          <w:t>https://zenodo.org/records/15423626</w:t>
        </w:r>
      </w:hyperlink>
    </w:p>
    <w:p w14:paraId="73C1FFA8"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SoIB</w:t>
      </w:r>
      <w:proofErr w:type="spellEnd"/>
      <w:r w:rsidRPr="00B47CEB">
        <w:rPr>
          <w:rFonts w:eastAsia="Calibri" w:cs="Arial"/>
          <w:sz w:val="20"/>
          <w:szCs w:val="20"/>
        </w:rPr>
        <w:t xml:space="preserve">. 2023. State of India’s Birds, 2023: Range, trends, and conservation status. Pp. 119. The </w:t>
      </w:r>
      <w:proofErr w:type="spellStart"/>
      <w:r w:rsidRPr="00B47CEB">
        <w:rPr>
          <w:rFonts w:eastAsia="Calibri" w:cs="Arial"/>
          <w:sz w:val="20"/>
          <w:szCs w:val="20"/>
        </w:rPr>
        <w:t>SoIB</w:t>
      </w:r>
      <w:proofErr w:type="spellEnd"/>
      <w:r w:rsidRPr="00B47CEB">
        <w:rPr>
          <w:rFonts w:eastAsia="Calibri" w:cs="Arial"/>
          <w:sz w:val="20"/>
          <w:szCs w:val="20"/>
        </w:rPr>
        <w:t xml:space="preserve"> Partnership. </w:t>
      </w:r>
      <w:hyperlink r:id="rId107" w:history="1">
        <w:r w:rsidRPr="00B47CEB">
          <w:rPr>
            <w:rStyle w:val="Hyperlink"/>
            <w:rFonts w:eastAsia="Calibri" w:cs="Arial"/>
            <w:sz w:val="20"/>
            <w:szCs w:val="20"/>
          </w:rPr>
          <w:t>https://doi.org/10.5281/zenodo.11124590</w:t>
        </w:r>
      </w:hyperlink>
    </w:p>
    <w:p w14:paraId="7479B4F5"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Studds, C., Kendall, B., Murray, N., Wilson, H. B., Rogers, D. I., Clemens, R. S., </w:t>
      </w:r>
      <w:proofErr w:type="spellStart"/>
      <w:r w:rsidRPr="00B47CEB">
        <w:rPr>
          <w:rFonts w:eastAsia="Calibri" w:cs="Arial"/>
          <w:sz w:val="20"/>
          <w:szCs w:val="20"/>
        </w:rPr>
        <w:t>Gosbell</w:t>
      </w:r>
      <w:proofErr w:type="spellEnd"/>
      <w:r w:rsidRPr="00B47CEB">
        <w:rPr>
          <w:rFonts w:eastAsia="Calibri" w:cs="Arial"/>
          <w:sz w:val="20"/>
          <w:szCs w:val="20"/>
        </w:rPr>
        <w:t xml:space="preserve">, K., Hassell, C. J., Jessop, R., Melville, D. S., Milton, D. A., Minton, C. D. T., Pssingham, H. P., </w:t>
      </w:r>
      <w:proofErr w:type="spellStart"/>
      <w:r w:rsidRPr="00B47CEB">
        <w:rPr>
          <w:rFonts w:eastAsia="Calibri" w:cs="Arial"/>
          <w:sz w:val="20"/>
          <w:szCs w:val="20"/>
        </w:rPr>
        <w:t>Riegen</w:t>
      </w:r>
      <w:proofErr w:type="spellEnd"/>
      <w:r w:rsidRPr="00B47CEB">
        <w:rPr>
          <w:rFonts w:eastAsia="Calibri" w:cs="Arial"/>
          <w:sz w:val="20"/>
          <w:szCs w:val="20"/>
        </w:rPr>
        <w:t xml:space="preserve">, A. C., Straw, P., Woehler, E. J. &amp; Fuller, R. A. 2017. Rapid population decline in migratory shorebirds relying on Yellow Sea tidal mudflats as stopover sites. </w:t>
      </w:r>
      <w:r w:rsidRPr="00B47CEB">
        <w:rPr>
          <w:rFonts w:eastAsia="Calibri" w:cs="Arial"/>
          <w:i/>
          <w:iCs/>
          <w:sz w:val="20"/>
          <w:szCs w:val="20"/>
        </w:rPr>
        <w:t>Nat. Commun</w:t>
      </w:r>
      <w:r w:rsidRPr="00B47CEB">
        <w:rPr>
          <w:rFonts w:eastAsia="Calibri" w:cs="Arial"/>
          <w:sz w:val="20"/>
          <w:szCs w:val="20"/>
        </w:rPr>
        <w:t xml:space="preserve">. 8, 14895. </w:t>
      </w:r>
      <w:hyperlink r:id="rId108" w:history="1">
        <w:r w:rsidRPr="00B47CEB">
          <w:rPr>
            <w:rStyle w:val="Hyperlink"/>
            <w:rFonts w:eastAsia="Calibri" w:cs="Arial"/>
            <w:sz w:val="20"/>
            <w:szCs w:val="20"/>
          </w:rPr>
          <w:t>https://doi.org/10.1038/ncomms14895</w:t>
        </w:r>
      </w:hyperlink>
    </w:p>
    <w:p w14:paraId="7C200E9D"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IUCN. 2023. </w:t>
      </w:r>
      <w:r w:rsidRPr="00B47CEB">
        <w:rPr>
          <w:rFonts w:eastAsia="Calibri" w:cs="Arial"/>
          <w:i/>
          <w:sz w:val="20"/>
          <w:szCs w:val="20"/>
        </w:rPr>
        <w:t>The 2023 IUCN Situation analysis on ecosystems of the Yellow Sea with particular reference to intertidal and associated coastal habitats</w:t>
      </w:r>
      <w:r w:rsidRPr="00B47CEB">
        <w:rPr>
          <w:rFonts w:eastAsia="Calibri" w:cs="Arial"/>
          <w:sz w:val="20"/>
          <w:szCs w:val="20"/>
        </w:rPr>
        <w:t xml:space="preserve">. Bangkok, Thailand: IUCN. Available at: </w:t>
      </w:r>
      <w:hyperlink r:id="rId109" w:history="1">
        <w:r w:rsidRPr="00B47CEB">
          <w:rPr>
            <w:rStyle w:val="Hyperlink"/>
            <w:rFonts w:eastAsia="Calibri" w:cs="Arial"/>
            <w:sz w:val="20"/>
            <w:szCs w:val="20"/>
          </w:rPr>
          <w:t>https://iucn.org/sites/default/files/2023-04/iucn-ys-situation-analysis-2023-final_0.pdf</w:t>
        </w:r>
      </w:hyperlink>
    </w:p>
    <w:p w14:paraId="74DDA7B9"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Gallo-Cajiao, E., Morrison, T. H., Woodworth, B. K., Lees, A. C., Naves, L. C., Yong, D. L., Choi, C.-Y., Mundkur, T., Bird, J., Jain, A., Klokov, K., </w:t>
      </w:r>
      <w:proofErr w:type="spellStart"/>
      <w:r w:rsidRPr="00B47CEB">
        <w:rPr>
          <w:rFonts w:eastAsia="Calibri" w:cs="Arial"/>
          <w:sz w:val="20"/>
          <w:szCs w:val="20"/>
        </w:rPr>
        <w:t>Syroechkovskiy</w:t>
      </w:r>
      <w:proofErr w:type="spellEnd"/>
      <w:r w:rsidRPr="00B47CEB">
        <w:rPr>
          <w:rFonts w:eastAsia="Calibri" w:cs="Arial"/>
          <w:sz w:val="20"/>
          <w:szCs w:val="20"/>
        </w:rPr>
        <w:t xml:space="preserve">, E., Chowdhury, S. U., Wing Kan Fu, V.,  Watson, J. E. M. &amp; Fuller, R. A. 2020. Extent and potential impact of hunting on migratory shorebirds in the Asia-Pacific. </w:t>
      </w:r>
      <w:r w:rsidRPr="00B47CEB">
        <w:rPr>
          <w:rFonts w:eastAsia="Calibri" w:cs="Arial"/>
          <w:i/>
          <w:sz w:val="20"/>
          <w:szCs w:val="20"/>
        </w:rPr>
        <w:t xml:space="preserve">Biol. </w:t>
      </w:r>
      <w:proofErr w:type="spellStart"/>
      <w:r w:rsidRPr="00B47CEB">
        <w:rPr>
          <w:rFonts w:eastAsia="Calibri" w:cs="Arial"/>
          <w:i/>
          <w:sz w:val="20"/>
          <w:szCs w:val="20"/>
        </w:rPr>
        <w:t>Conserv</w:t>
      </w:r>
      <w:proofErr w:type="spellEnd"/>
      <w:r w:rsidRPr="00B47CEB">
        <w:rPr>
          <w:rFonts w:eastAsia="Calibri" w:cs="Arial"/>
          <w:sz w:val="20"/>
          <w:szCs w:val="20"/>
        </w:rPr>
        <w:t xml:space="preserve">. 246, 108582. </w:t>
      </w:r>
      <w:hyperlink r:id="rId110" w:history="1">
        <w:r w:rsidRPr="00B47CEB">
          <w:rPr>
            <w:rStyle w:val="Hyperlink"/>
            <w:rFonts w:eastAsia="Calibri" w:cs="Arial"/>
            <w:sz w:val="20"/>
            <w:szCs w:val="20"/>
          </w:rPr>
          <w:t>https://doi.org/10.1016/j.biocon.2020.108582</w:t>
        </w:r>
      </w:hyperlink>
    </w:p>
    <w:p w14:paraId="76786CCC"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Kubelka, V., Šálek, M., Tomkovich, P., Végvári, Z., </w:t>
      </w:r>
      <w:proofErr w:type="spellStart"/>
      <w:r w:rsidRPr="00B47CEB">
        <w:rPr>
          <w:rFonts w:eastAsia="Calibri" w:cs="Arial"/>
          <w:sz w:val="20"/>
          <w:szCs w:val="20"/>
        </w:rPr>
        <w:t>Freckleton,R</w:t>
      </w:r>
      <w:proofErr w:type="spellEnd"/>
      <w:r w:rsidRPr="00B47CEB">
        <w:rPr>
          <w:rFonts w:eastAsia="Calibri" w:cs="Arial"/>
          <w:sz w:val="20"/>
          <w:szCs w:val="20"/>
        </w:rPr>
        <w:t xml:space="preserve">. P. &amp; Székely, T. 2018. Global pattern of nest predation is disrupted by climate change in shorebirds. </w:t>
      </w:r>
      <w:r w:rsidRPr="00B47CEB">
        <w:rPr>
          <w:rFonts w:eastAsia="Calibri" w:cs="Arial"/>
          <w:i/>
          <w:iCs/>
          <w:sz w:val="20"/>
          <w:szCs w:val="20"/>
        </w:rPr>
        <w:t>Science</w:t>
      </w:r>
      <w:r w:rsidRPr="00B47CEB">
        <w:rPr>
          <w:rFonts w:eastAsia="Calibri" w:cs="Arial"/>
          <w:sz w:val="20"/>
          <w:szCs w:val="20"/>
        </w:rPr>
        <w:t xml:space="preserve"> 362, 680-683. </w:t>
      </w:r>
      <w:hyperlink r:id="rId111" w:history="1">
        <w:r w:rsidRPr="00B47CEB">
          <w:rPr>
            <w:rStyle w:val="Hyperlink"/>
            <w:rFonts w:eastAsia="Calibri" w:cs="Arial"/>
            <w:sz w:val="20"/>
            <w:szCs w:val="20"/>
          </w:rPr>
          <w:t>https://doi.org/10.1126/science.aat8695</w:t>
        </w:r>
      </w:hyperlink>
    </w:p>
    <w:p w14:paraId="04F2D369"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BirdLife</w:t>
      </w:r>
      <w:proofErr w:type="spellEnd"/>
      <w:r w:rsidRPr="00B47CEB">
        <w:rPr>
          <w:rFonts w:eastAsia="Calibri" w:cs="Arial"/>
          <w:sz w:val="20"/>
          <w:szCs w:val="20"/>
        </w:rPr>
        <w:t xml:space="preserve"> International. 2021. </w:t>
      </w:r>
      <w:r w:rsidRPr="00B47CEB">
        <w:rPr>
          <w:rFonts w:eastAsia="Calibri" w:cs="Arial"/>
          <w:i/>
          <w:sz w:val="20"/>
          <w:szCs w:val="20"/>
        </w:rPr>
        <w:t>Calidris pygmaea</w:t>
      </w:r>
      <w:r w:rsidRPr="00B47CEB">
        <w:rPr>
          <w:rFonts w:eastAsia="Calibri" w:cs="Arial"/>
          <w:sz w:val="20"/>
          <w:szCs w:val="20"/>
        </w:rPr>
        <w:t xml:space="preserve">. </w:t>
      </w:r>
      <w:r w:rsidRPr="00B47CEB">
        <w:rPr>
          <w:rFonts w:eastAsia="Calibri" w:cs="Arial"/>
          <w:i/>
          <w:sz w:val="20"/>
          <w:szCs w:val="20"/>
        </w:rPr>
        <w:t>The IUCN Red List of Threatened Species</w:t>
      </w:r>
      <w:r w:rsidRPr="00B47CEB">
        <w:rPr>
          <w:rFonts w:eastAsia="Calibri" w:cs="Arial"/>
          <w:sz w:val="20"/>
          <w:szCs w:val="20"/>
        </w:rPr>
        <w:t xml:space="preserve"> 2021: e.T22693452A154738156.</w:t>
      </w:r>
    </w:p>
    <w:p w14:paraId="72A51C03"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Deinet, S., Flint, R., Puleston, H., </w:t>
      </w:r>
      <w:proofErr w:type="spellStart"/>
      <w:r w:rsidRPr="00B47CEB">
        <w:rPr>
          <w:rFonts w:eastAsia="Calibri" w:cs="Arial"/>
          <w:sz w:val="20"/>
          <w:szCs w:val="20"/>
        </w:rPr>
        <w:t>Baratech</w:t>
      </w:r>
      <w:proofErr w:type="spellEnd"/>
      <w:r w:rsidRPr="00B47CEB">
        <w:rPr>
          <w:rFonts w:eastAsia="Calibri" w:cs="Arial"/>
          <w:sz w:val="20"/>
          <w:szCs w:val="20"/>
        </w:rPr>
        <w:t xml:space="preserve">, A., Royte, J., Thieme, M. L., Nagy, S., Hogan, Z. S., Januchowski-Hartley, S. &amp; </w:t>
      </w:r>
      <w:proofErr w:type="spellStart"/>
      <w:r w:rsidRPr="00B47CEB">
        <w:rPr>
          <w:rFonts w:eastAsia="Calibri" w:cs="Arial"/>
          <w:sz w:val="20"/>
          <w:szCs w:val="20"/>
        </w:rPr>
        <w:t>Wanningen</w:t>
      </w:r>
      <w:proofErr w:type="spellEnd"/>
      <w:r w:rsidRPr="00B47CEB">
        <w:rPr>
          <w:rFonts w:eastAsia="Calibri" w:cs="Arial"/>
          <w:sz w:val="20"/>
          <w:szCs w:val="20"/>
        </w:rPr>
        <w:t xml:space="preserve">, H. 2024. </w:t>
      </w:r>
      <w:r w:rsidRPr="00B47CEB">
        <w:rPr>
          <w:rFonts w:eastAsia="Calibri" w:cs="Arial"/>
          <w:i/>
          <w:iCs/>
          <w:sz w:val="20"/>
          <w:szCs w:val="20"/>
        </w:rPr>
        <w:t>The Living Planet Index (LPI) for migratory freshwater fish 2024 update - Technical Report</w:t>
      </w:r>
      <w:r w:rsidRPr="00B47CEB">
        <w:rPr>
          <w:rFonts w:eastAsia="Calibri" w:cs="Arial"/>
          <w:sz w:val="20"/>
          <w:szCs w:val="20"/>
        </w:rPr>
        <w:t xml:space="preserve">. World Fish Migration Foundation, The Netherlands. Available at: </w:t>
      </w:r>
      <w:hyperlink r:id="rId112" w:history="1">
        <w:r w:rsidRPr="00B47CEB">
          <w:rPr>
            <w:rStyle w:val="Hyperlink"/>
            <w:rFonts w:eastAsia="Calibri" w:cs="Arial"/>
            <w:sz w:val="20"/>
            <w:szCs w:val="20"/>
          </w:rPr>
          <w:t>https://worldfishmigrationfoundation.com/wp-content/uploads/2024/05/LPI_migratory-freshwater-fishes-2024_Technical-report.pdf</w:t>
        </w:r>
      </w:hyperlink>
    </w:p>
    <w:p w14:paraId="43309A1F"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Barbarossa, V., Schmitt, R.J.P., </w:t>
      </w:r>
      <w:proofErr w:type="spellStart"/>
      <w:r w:rsidRPr="00B47CEB">
        <w:rPr>
          <w:rFonts w:eastAsia="Calibri" w:cs="Arial"/>
          <w:sz w:val="20"/>
          <w:szCs w:val="20"/>
        </w:rPr>
        <w:t>Huijbregts</w:t>
      </w:r>
      <w:proofErr w:type="spellEnd"/>
      <w:r w:rsidRPr="00B47CEB">
        <w:rPr>
          <w:rFonts w:eastAsia="Calibri" w:cs="Arial"/>
          <w:sz w:val="20"/>
          <w:szCs w:val="20"/>
        </w:rPr>
        <w:t xml:space="preserve">, M.A.J., Zarfl, C., King, H. &amp; Schipper, A.M. 2020. Impacts of current and future large dams on the geographic range connectivity of freshwater fish worldwide. </w:t>
      </w:r>
      <w:r w:rsidRPr="00B47CEB">
        <w:rPr>
          <w:rFonts w:eastAsia="Calibri" w:cs="Arial"/>
          <w:i/>
          <w:iCs/>
          <w:sz w:val="20"/>
          <w:szCs w:val="20"/>
        </w:rPr>
        <w:t>Proc. Natl. Acad. Sci. U.S.A.</w:t>
      </w:r>
      <w:r w:rsidRPr="00B47CEB">
        <w:rPr>
          <w:rFonts w:eastAsia="Calibri" w:cs="Arial"/>
          <w:sz w:val="20"/>
          <w:szCs w:val="20"/>
        </w:rPr>
        <w:t xml:space="preserve"> 117(7): 3648-3655. </w:t>
      </w:r>
      <w:hyperlink r:id="rId113" w:history="1">
        <w:r w:rsidRPr="00B47CEB">
          <w:rPr>
            <w:rStyle w:val="Hyperlink"/>
            <w:rFonts w:eastAsia="Calibri" w:cs="Arial"/>
            <w:sz w:val="20"/>
            <w:szCs w:val="20"/>
          </w:rPr>
          <w:t>https://doi.org/10.1073/pnas.1912776117</w:t>
        </w:r>
      </w:hyperlink>
    </w:p>
    <w:p w14:paraId="3A957AFE"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Caldas, B. </w:t>
      </w:r>
      <w:r w:rsidRPr="00B47CEB">
        <w:rPr>
          <w:rFonts w:eastAsia="Calibri" w:cs="Arial"/>
          <w:i/>
          <w:iCs/>
          <w:sz w:val="20"/>
          <w:szCs w:val="20"/>
        </w:rPr>
        <w:t>et al.</w:t>
      </w:r>
      <w:r w:rsidRPr="00B47CEB">
        <w:rPr>
          <w:rFonts w:eastAsia="Calibri" w:cs="Arial"/>
          <w:sz w:val="20"/>
          <w:szCs w:val="20"/>
        </w:rPr>
        <w:t xml:space="preserve"> 2023. Identifying the current and future status of freshwater connectivity corridors in the Amazon Basin. </w:t>
      </w:r>
      <w:proofErr w:type="spellStart"/>
      <w:r w:rsidRPr="00B47CEB">
        <w:rPr>
          <w:rFonts w:eastAsia="Calibri" w:cs="Arial"/>
          <w:i/>
          <w:iCs/>
          <w:sz w:val="20"/>
          <w:szCs w:val="20"/>
        </w:rPr>
        <w:t>Conserv</w:t>
      </w:r>
      <w:proofErr w:type="spellEnd"/>
      <w:r w:rsidRPr="00B47CEB">
        <w:rPr>
          <w:rFonts w:eastAsia="Calibri" w:cs="Arial"/>
          <w:i/>
          <w:iCs/>
          <w:sz w:val="20"/>
          <w:szCs w:val="20"/>
        </w:rPr>
        <w:t xml:space="preserve">. Sci. </w:t>
      </w:r>
      <w:proofErr w:type="spellStart"/>
      <w:r w:rsidRPr="00B47CEB">
        <w:rPr>
          <w:rFonts w:eastAsia="Calibri" w:cs="Arial"/>
          <w:i/>
          <w:iCs/>
          <w:sz w:val="20"/>
          <w:szCs w:val="20"/>
        </w:rPr>
        <w:t>Pract</w:t>
      </w:r>
      <w:proofErr w:type="spellEnd"/>
      <w:r w:rsidRPr="00B47CEB">
        <w:rPr>
          <w:rFonts w:eastAsia="Calibri" w:cs="Arial"/>
          <w:i/>
          <w:iCs/>
          <w:sz w:val="20"/>
          <w:szCs w:val="20"/>
        </w:rPr>
        <w:t>.</w:t>
      </w:r>
      <w:r w:rsidRPr="00B47CEB">
        <w:rPr>
          <w:rFonts w:eastAsia="Calibri" w:cs="Arial"/>
          <w:sz w:val="20"/>
          <w:szCs w:val="20"/>
        </w:rPr>
        <w:t xml:space="preserve"> 5(1): e12853. </w:t>
      </w:r>
      <w:hyperlink r:id="rId114" w:history="1">
        <w:r w:rsidRPr="00B47CEB">
          <w:rPr>
            <w:rStyle w:val="Hyperlink"/>
            <w:rFonts w:eastAsia="Calibri" w:cs="Arial"/>
            <w:sz w:val="20"/>
            <w:szCs w:val="20"/>
          </w:rPr>
          <w:t>https://doi.org/10.1111/csp2.1285</w:t>
        </w:r>
      </w:hyperlink>
    </w:p>
    <w:p w14:paraId="139C330D"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Jabado, R.W., Morata, A.Z.A., Bennett, R.H., Finucci, B., Ellis, J.R., Fowler, S.L., Grant, M.I., Barbosa Martins, A.P., &amp; Sinclair, S.L. (</w:t>
      </w:r>
      <w:r w:rsidRPr="00B47CEB">
        <w:rPr>
          <w:rFonts w:eastAsia="Calibri" w:cs="Arial"/>
          <w:i/>
          <w:iCs/>
          <w:sz w:val="20"/>
          <w:szCs w:val="20"/>
        </w:rPr>
        <w:t>eds.</w:t>
      </w:r>
      <w:r w:rsidRPr="00B47CEB">
        <w:rPr>
          <w:rFonts w:eastAsia="Calibri" w:cs="Arial"/>
          <w:sz w:val="20"/>
          <w:szCs w:val="20"/>
        </w:rPr>
        <w:t xml:space="preserve">) 2024. </w:t>
      </w:r>
      <w:r w:rsidRPr="00B47CEB">
        <w:rPr>
          <w:rFonts w:eastAsia="Calibri" w:cs="Arial"/>
          <w:i/>
          <w:iCs/>
          <w:sz w:val="20"/>
          <w:szCs w:val="20"/>
        </w:rPr>
        <w:t>The global status of sharks, rays, and chimaeras</w:t>
      </w:r>
      <w:r w:rsidRPr="00B47CEB">
        <w:rPr>
          <w:rFonts w:eastAsia="Calibri" w:cs="Arial"/>
          <w:sz w:val="20"/>
          <w:szCs w:val="20"/>
        </w:rPr>
        <w:t xml:space="preserve">. Gland, Switzerland: IUCN. Available at: </w:t>
      </w:r>
      <w:hyperlink r:id="rId115" w:history="1">
        <w:r w:rsidRPr="00B47CEB">
          <w:rPr>
            <w:rStyle w:val="Hyperlink"/>
            <w:rFonts w:eastAsia="Calibri" w:cs="Arial"/>
            <w:sz w:val="20"/>
            <w:szCs w:val="20"/>
          </w:rPr>
          <w:t>https://iucn.org/resources/publication/global-status-sharks-rays-and-chimaeras</w:t>
        </w:r>
      </w:hyperlink>
    </w:p>
    <w:p w14:paraId="6A5F25DA"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Dulvy</w:t>
      </w:r>
      <w:proofErr w:type="spellEnd"/>
      <w:r w:rsidRPr="00B47CEB">
        <w:rPr>
          <w:rFonts w:eastAsia="Calibri" w:cs="Arial"/>
          <w:sz w:val="20"/>
          <w:szCs w:val="20"/>
        </w:rPr>
        <w:t xml:space="preserve">, N. K., </w:t>
      </w:r>
      <w:proofErr w:type="spellStart"/>
      <w:r w:rsidRPr="00B47CEB">
        <w:rPr>
          <w:rFonts w:eastAsia="Calibri" w:cs="Arial"/>
          <w:sz w:val="20"/>
          <w:szCs w:val="20"/>
        </w:rPr>
        <w:t>Pacoureau</w:t>
      </w:r>
      <w:proofErr w:type="spellEnd"/>
      <w:r w:rsidRPr="00B47CEB">
        <w:rPr>
          <w:rFonts w:eastAsia="Calibri" w:cs="Arial"/>
          <w:sz w:val="20"/>
          <w:szCs w:val="20"/>
        </w:rPr>
        <w:t xml:space="preserve">, N., </w:t>
      </w:r>
      <w:proofErr w:type="spellStart"/>
      <w:r w:rsidRPr="00B47CEB">
        <w:rPr>
          <w:rFonts w:eastAsia="Calibri" w:cs="Arial"/>
          <w:sz w:val="20"/>
          <w:szCs w:val="20"/>
        </w:rPr>
        <w:t>Matsushiba</w:t>
      </w:r>
      <w:proofErr w:type="spellEnd"/>
      <w:r w:rsidRPr="00B47CEB">
        <w:rPr>
          <w:rFonts w:eastAsia="Calibri" w:cs="Arial"/>
          <w:sz w:val="20"/>
          <w:szCs w:val="20"/>
        </w:rPr>
        <w:t xml:space="preserve">, J. H., Yan, H. F., </w:t>
      </w:r>
      <w:proofErr w:type="spellStart"/>
      <w:r w:rsidRPr="00B47CEB">
        <w:rPr>
          <w:rFonts w:eastAsia="Calibri" w:cs="Arial"/>
          <w:sz w:val="20"/>
          <w:szCs w:val="20"/>
        </w:rPr>
        <w:t>VanderWright</w:t>
      </w:r>
      <w:proofErr w:type="spellEnd"/>
      <w:r w:rsidRPr="00B47CEB">
        <w:rPr>
          <w:rFonts w:eastAsia="Calibri" w:cs="Arial"/>
          <w:sz w:val="20"/>
          <w:szCs w:val="20"/>
        </w:rPr>
        <w:t xml:space="preserve">, W. J., Rigby, C. L., Finucci, B., Sherman, C. S., Jabado, R. W., Carlson, J. K., Pollom, R. A., Charvet, P., Pollock, C. M., Hilton-Taylor, C. &amp; </w:t>
      </w:r>
      <w:proofErr w:type="spellStart"/>
      <w:r w:rsidRPr="00B47CEB">
        <w:rPr>
          <w:rFonts w:eastAsia="Calibri" w:cs="Arial"/>
          <w:sz w:val="20"/>
          <w:szCs w:val="20"/>
        </w:rPr>
        <w:t>Simpfendorfer</w:t>
      </w:r>
      <w:proofErr w:type="spellEnd"/>
      <w:r w:rsidRPr="00B47CEB">
        <w:rPr>
          <w:rFonts w:eastAsia="Calibri" w:cs="Arial"/>
          <w:sz w:val="20"/>
          <w:szCs w:val="20"/>
        </w:rPr>
        <w:t xml:space="preserve">, C. A. 2024. Ecological erosion and expanding extinction risk of sharks and rays. </w:t>
      </w:r>
      <w:r w:rsidRPr="00B47CEB">
        <w:rPr>
          <w:rFonts w:eastAsia="Calibri" w:cs="Arial"/>
          <w:i/>
          <w:iCs/>
          <w:sz w:val="20"/>
          <w:szCs w:val="20"/>
        </w:rPr>
        <w:t xml:space="preserve">Science </w:t>
      </w:r>
      <w:r w:rsidRPr="00B47CEB">
        <w:rPr>
          <w:rFonts w:eastAsia="Calibri" w:cs="Arial"/>
          <w:sz w:val="20"/>
          <w:szCs w:val="20"/>
        </w:rPr>
        <w:t xml:space="preserve">386, eadn1477. </w:t>
      </w:r>
      <w:hyperlink r:id="rId116" w:history="1">
        <w:r w:rsidRPr="00B47CEB">
          <w:rPr>
            <w:rStyle w:val="Hyperlink"/>
            <w:rFonts w:eastAsia="Calibri" w:cs="Arial"/>
            <w:sz w:val="20"/>
            <w:szCs w:val="20"/>
          </w:rPr>
          <w:t>https://doi.org/10.1126/science.adn1477</w:t>
        </w:r>
      </w:hyperlink>
      <w:r w:rsidRPr="00B47CEB">
        <w:rPr>
          <w:rStyle w:val="Hyperlink"/>
          <w:rFonts w:eastAsia="Calibri" w:cs="Arial"/>
          <w:sz w:val="20"/>
          <w:szCs w:val="20"/>
        </w:rPr>
        <w:t>7</w:t>
      </w:r>
    </w:p>
    <w:p w14:paraId="5F3C1BDF"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proofErr w:type="spellStart"/>
      <w:r w:rsidRPr="00B47CEB">
        <w:rPr>
          <w:rFonts w:eastAsia="Calibri" w:cs="Arial"/>
          <w:sz w:val="20"/>
          <w:szCs w:val="20"/>
        </w:rPr>
        <w:t>Pacoureau</w:t>
      </w:r>
      <w:proofErr w:type="spellEnd"/>
      <w:r w:rsidRPr="00B47CEB">
        <w:rPr>
          <w:rFonts w:eastAsia="Calibri" w:cs="Arial"/>
          <w:sz w:val="20"/>
          <w:szCs w:val="20"/>
        </w:rPr>
        <w:t xml:space="preserve">, N., Carlson, J. K., Kindsvater, H. K., Rigby, C. L., Winker, H., </w:t>
      </w:r>
      <w:proofErr w:type="spellStart"/>
      <w:r w:rsidRPr="00B47CEB">
        <w:rPr>
          <w:rFonts w:eastAsia="Calibri" w:cs="Arial"/>
          <w:sz w:val="20"/>
          <w:szCs w:val="20"/>
        </w:rPr>
        <w:t>Simpfendorfer</w:t>
      </w:r>
      <w:proofErr w:type="spellEnd"/>
      <w:r w:rsidRPr="00B47CEB">
        <w:rPr>
          <w:rFonts w:eastAsia="Calibri" w:cs="Arial"/>
          <w:sz w:val="20"/>
          <w:szCs w:val="20"/>
        </w:rPr>
        <w:t xml:space="preserve">, C.A., Charvet, P., Pollom, R. A., Barreto, R., Sherman, C. S., Talwar, B. S., Skerritt, D. J., Sumaila, U. R., </w:t>
      </w:r>
      <w:proofErr w:type="spellStart"/>
      <w:r w:rsidRPr="00B47CEB">
        <w:rPr>
          <w:rFonts w:eastAsia="Calibri" w:cs="Arial"/>
          <w:sz w:val="20"/>
          <w:szCs w:val="20"/>
        </w:rPr>
        <w:t>Matsushiba</w:t>
      </w:r>
      <w:proofErr w:type="spellEnd"/>
      <w:r w:rsidRPr="00B47CEB">
        <w:rPr>
          <w:rFonts w:eastAsia="Calibri" w:cs="Arial"/>
          <w:sz w:val="20"/>
          <w:szCs w:val="20"/>
        </w:rPr>
        <w:t xml:space="preserve">, J. H., </w:t>
      </w:r>
      <w:proofErr w:type="spellStart"/>
      <w:r w:rsidRPr="00B47CEB">
        <w:rPr>
          <w:rFonts w:eastAsia="Calibri" w:cs="Arial"/>
          <w:sz w:val="20"/>
          <w:szCs w:val="20"/>
        </w:rPr>
        <w:t>VanderWright</w:t>
      </w:r>
      <w:proofErr w:type="spellEnd"/>
      <w:r w:rsidRPr="00B47CEB">
        <w:rPr>
          <w:rFonts w:eastAsia="Calibri" w:cs="Arial"/>
          <w:sz w:val="20"/>
          <w:szCs w:val="20"/>
        </w:rPr>
        <w:t xml:space="preserve">, W.J., Yan, H. F. &amp; </w:t>
      </w:r>
      <w:proofErr w:type="spellStart"/>
      <w:r w:rsidRPr="00B47CEB">
        <w:rPr>
          <w:rFonts w:eastAsia="Calibri" w:cs="Arial"/>
          <w:sz w:val="20"/>
          <w:szCs w:val="20"/>
        </w:rPr>
        <w:t>Dulvy</w:t>
      </w:r>
      <w:proofErr w:type="spellEnd"/>
      <w:r w:rsidRPr="00B47CEB">
        <w:rPr>
          <w:rFonts w:eastAsia="Calibri" w:cs="Arial"/>
          <w:sz w:val="20"/>
          <w:szCs w:val="20"/>
        </w:rPr>
        <w:t xml:space="preserve">, N.K. 2023. Conservation successes and challenges for wide-ranging sharks and rays. </w:t>
      </w:r>
      <w:hyperlink r:id="rId117" w:history="1">
        <w:r w:rsidRPr="00B47CEB">
          <w:rPr>
            <w:rStyle w:val="Hyperlink"/>
            <w:rFonts w:eastAsia="Calibri" w:cs="Arial"/>
            <w:sz w:val="20"/>
            <w:szCs w:val="20"/>
          </w:rPr>
          <w:t>https://doi.org/10.1073/pnas.2216891120</w:t>
        </w:r>
      </w:hyperlink>
    </w:p>
    <w:p w14:paraId="200627A2"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Yan, H. F., Kyne, P. M., Jabado, R. W., Leeney, R. H., Davidson, L. N. K., Derrick, D. H., Finucci, B., Freckleton, R. P., Fordham, S. V. &amp; </w:t>
      </w:r>
      <w:proofErr w:type="spellStart"/>
      <w:r w:rsidRPr="00B47CEB">
        <w:rPr>
          <w:rFonts w:eastAsia="Calibri" w:cs="Arial"/>
          <w:sz w:val="20"/>
          <w:szCs w:val="20"/>
        </w:rPr>
        <w:t>Dulvy</w:t>
      </w:r>
      <w:proofErr w:type="spellEnd"/>
      <w:r w:rsidRPr="00B47CEB">
        <w:rPr>
          <w:rFonts w:eastAsia="Calibri" w:cs="Arial"/>
          <w:sz w:val="20"/>
          <w:szCs w:val="20"/>
        </w:rPr>
        <w:t xml:space="preserve">, N. K. 2021. Overfishing and habitat loss drive range contraction of iconic marine fishes to near extinction. </w:t>
      </w:r>
      <w:r w:rsidRPr="00B47CEB">
        <w:rPr>
          <w:rFonts w:eastAsia="Calibri" w:cs="Arial"/>
          <w:i/>
          <w:sz w:val="20"/>
          <w:szCs w:val="20"/>
        </w:rPr>
        <w:t>Sci. Adv</w:t>
      </w:r>
      <w:r w:rsidRPr="00B47CEB">
        <w:rPr>
          <w:rFonts w:eastAsia="Calibri" w:cs="Arial"/>
          <w:sz w:val="20"/>
          <w:szCs w:val="20"/>
        </w:rPr>
        <w:t xml:space="preserve">. 7, eabb6026. </w:t>
      </w:r>
      <w:hyperlink r:id="rId118" w:history="1">
        <w:r w:rsidRPr="00B47CEB">
          <w:rPr>
            <w:rStyle w:val="Hyperlink"/>
            <w:rFonts w:eastAsia="Calibri" w:cs="Arial"/>
            <w:sz w:val="20"/>
            <w:szCs w:val="20"/>
          </w:rPr>
          <w:t>https://doi.org/10.1126/sciadv.abb6026</w:t>
        </w:r>
      </w:hyperlink>
    </w:p>
    <w:p w14:paraId="272B41BA"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lastRenderedPageBreak/>
        <w:t xml:space="preserve">Harry, A. V., Carlson, J. K., Espinoza, M., Grant, M. I., Haque, A. B., Jabado, R. W. &amp; Rigby, C. L. 2024. All sawfish now Critically Endangered but sustained conservation efforts can lead to recovery. </w:t>
      </w:r>
      <w:r w:rsidRPr="00B47CEB">
        <w:rPr>
          <w:rFonts w:eastAsia="Calibri" w:cs="Arial"/>
          <w:i/>
          <w:iCs/>
          <w:sz w:val="20"/>
          <w:szCs w:val="20"/>
        </w:rPr>
        <w:t>Oryx</w:t>
      </w:r>
      <w:r w:rsidRPr="00B47CEB">
        <w:rPr>
          <w:rFonts w:eastAsia="Calibri" w:cs="Arial"/>
          <w:sz w:val="20"/>
          <w:szCs w:val="20"/>
        </w:rPr>
        <w:t xml:space="preserve"> 58(2), 146-146. </w:t>
      </w:r>
      <w:hyperlink r:id="rId119" w:history="1">
        <w:r w:rsidRPr="00B47CEB">
          <w:rPr>
            <w:rStyle w:val="Hyperlink"/>
            <w:rFonts w:eastAsia="Calibri" w:cs="Arial"/>
            <w:sz w:val="20"/>
            <w:szCs w:val="20"/>
          </w:rPr>
          <w:t>https://doi.org/10.1017/S0030605323001692</w:t>
        </w:r>
      </w:hyperlink>
    </w:p>
    <w:p w14:paraId="4185482C" w14:textId="77777777" w:rsidR="00AF1989" w:rsidRPr="00B47CEB" w:rsidRDefault="0020159F">
      <w:pPr>
        <w:pStyle w:val="ListParagraph"/>
        <w:numPr>
          <w:ilvl w:val="0"/>
          <w:numId w:val="18"/>
        </w:numPr>
        <w:spacing w:after="40" w:line="240" w:lineRule="auto"/>
        <w:contextualSpacing w:val="0"/>
        <w:jc w:val="both"/>
        <w:rPr>
          <w:rStyle w:val="Hyperlink"/>
          <w:rFonts w:eastAsia="Calibri" w:cs="Arial"/>
          <w:sz w:val="20"/>
          <w:szCs w:val="20"/>
        </w:rPr>
      </w:pPr>
      <w:r w:rsidRPr="00B47CEB">
        <w:rPr>
          <w:rFonts w:eastAsia="Calibri" w:cs="Arial"/>
          <w:sz w:val="20"/>
          <w:szCs w:val="20"/>
        </w:rPr>
        <w:t xml:space="preserve">Cerutti-Pereyra, F., </w:t>
      </w:r>
      <w:proofErr w:type="spellStart"/>
      <w:r w:rsidRPr="00B47CEB">
        <w:rPr>
          <w:rFonts w:eastAsia="Calibri" w:cs="Arial"/>
          <w:sz w:val="20"/>
          <w:szCs w:val="20"/>
        </w:rPr>
        <w:t>Drenkard</w:t>
      </w:r>
      <w:proofErr w:type="spellEnd"/>
      <w:r w:rsidRPr="00B47CEB">
        <w:rPr>
          <w:rFonts w:eastAsia="Calibri" w:cs="Arial"/>
          <w:sz w:val="20"/>
          <w:szCs w:val="20"/>
        </w:rPr>
        <w:t>, E. J., Espinoza, M., Finucci, B., Galván-Magaña, F., Hacohen-</w:t>
      </w:r>
      <w:proofErr w:type="spellStart"/>
      <w:r w:rsidRPr="00B47CEB">
        <w:rPr>
          <w:rFonts w:eastAsia="Calibri" w:cs="Arial"/>
          <w:sz w:val="20"/>
          <w:szCs w:val="20"/>
        </w:rPr>
        <w:t>Domené</w:t>
      </w:r>
      <w:proofErr w:type="spellEnd"/>
      <w:r w:rsidRPr="00B47CEB">
        <w:rPr>
          <w:rFonts w:eastAsia="Calibri" w:cs="Arial"/>
          <w:sz w:val="20"/>
          <w:szCs w:val="20"/>
        </w:rPr>
        <w:t xml:space="preserve">, A., Hearn, A., Hoyos-Padilla, M. E., Ketchum, J. T., Mejía-Falla, P. A., Moya-Serrano, A. V., Navia, A. F., </w:t>
      </w:r>
      <w:proofErr w:type="spellStart"/>
      <w:r w:rsidRPr="00B47CEB">
        <w:rPr>
          <w:rFonts w:eastAsia="Calibri" w:cs="Arial"/>
          <w:sz w:val="20"/>
          <w:szCs w:val="20"/>
        </w:rPr>
        <w:t>Pazmiño</w:t>
      </w:r>
      <w:proofErr w:type="spellEnd"/>
      <w:r w:rsidRPr="00B47CEB">
        <w:rPr>
          <w:rFonts w:eastAsia="Calibri" w:cs="Arial"/>
          <w:sz w:val="20"/>
          <w:szCs w:val="20"/>
        </w:rPr>
        <w:t xml:space="preserve">, D. A., Ramírez-Macías, D., Rummer, J. L., Salinas-de-León, P., Sosa-Nishizaki, O., Stock, C., &amp; Chin, A. 2024. Vulnerability of Eastern Tropical Pacific chondrichthyan fish to climate change. </w:t>
      </w:r>
      <w:r w:rsidRPr="00B47CEB">
        <w:rPr>
          <w:rFonts w:eastAsia="Calibri" w:cs="Arial"/>
          <w:i/>
          <w:iCs/>
          <w:sz w:val="20"/>
          <w:szCs w:val="20"/>
        </w:rPr>
        <w:t xml:space="preserve">Glob. Change Biol. </w:t>
      </w:r>
      <w:r w:rsidRPr="00B47CEB">
        <w:rPr>
          <w:rFonts w:eastAsia="Calibri" w:cs="Arial"/>
          <w:sz w:val="20"/>
          <w:szCs w:val="20"/>
        </w:rPr>
        <w:t xml:space="preserve">30, e17373. </w:t>
      </w:r>
      <w:hyperlink r:id="rId120" w:history="1">
        <w:r w:rsidRPr="00B47CEB">
          <w:rPr>
            <w:rStyle w:val="Hyperlink"/>
            <w:rFonts w:eastAsia="Calibri" w:cs="Arial"/>
            <w:sz w:val="20"/>
            <w:szCs w:val="20"/>
          </w:rPr>
          <w:t>https://doi.org/10.1111/gcb.17373</w:t>
        </w:r>
      </w:hyperlink>
    </w:p>
    <w:p w14:paraId="312EA464"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lang w:val="da-DK"/>
        </w:rPr>
        <w:t xml:space="preserve">Womersley, F. C. </w:t>
      </w:r>
      <w:r w:rsidRPr="00B47CEB">
        <w:rPr>
          <w:rFonts w:eastAsia="Calibri" w:cs="Arial"/>
          <w:i/>
          <w:iCs/>
          <w:sz w:val="20"/>
          <w:szCs w:val="20"/>
          <w:lang w:val="da-DK"/>
        </w:rPr>
        <w:t>et al</w:t>
      </w:r>
      <w:r w:rsidRPr="00B47CEB">
        <w:rPr>
          <w:rFonts w:eastAsia="Calibri" w:cs="Arial"/>
          <w:sz w:val="20"/>
          <w:szCs w:val="20"/>
          <w:lang w:val="da-DK"/>
        </w:rPr>
        <w:t>. 2024. </w:t>
      </w:r>
      <w:r w:rsidRPr="00B47CEB">
        <w:rPr>
          <w:rFonts w:eastAsia="Calibri" w:cs="Arial"/>
          <w:sz w:val="20"/>
          <w:szCs w:val="20"/>
        </w:rPr>
        <w:t>Climate-driven global redistribution of an ocean giant predicts increased threat from shipping. Nat. Clim. Chang. https://doi.org/10.1038/s41558-024-02129-5</w:t>
      </w:r>
    </w:p>
    <w:p w14:paraId="65655316"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Morey, G., Barker, J., Hood, A., Gordon, C., Bartolí, A., Meyers, E.K.M., Ellis, J.R., Sharp, R., Jiménez-Alvarado, D. &amp; Pollom, R. 2019. </w:t>
      </w:r>
      <w:r w:rsidRPr="00B47CEB">
        <w:rPr>
          <w:rFonts w:eastAsia="Calibri" w:cs="Arial"/>
          <w:i/>
          <w:iCs/>
          <w:sz w:val="20"/>
          <w:szCs w:val="20"/>
        </w:rPr>
        <w:t xml:space="preserve">Squatina </w:t>
      </w:r>
      <w:proofErr w:type="spellStart"/>
      <w:r w:rsidRPr="00B47CEB">
        <w:rPr>
          <w:rFonts w:eastAsia="Calibri" w:cs="Arial"/>
          <w:i/>
          <w:iCs/>
          <w:sz w:val="20"/>
          <w:szCs w:val="20"/>
        </w:rPr>
        <w:t>squatina</w:t>
      </w:r>
      <w:proofErr w:type="spellEnd"/>
      <w:r w:rsidRPr="00B47CEB">
        <w:rPr>
          <w:rFonts w:eastAsia="Calibri" w:cs="Arial"/>
          <w:sz w:val="20"/>
          <w:szCs w:val="20"/>
        </w:rPr>
        <w:t>. </w:t>
      </w:r>
      <w:r w:rsidRPr="00B47CEB">
        <w:rPr>
          <w:rFonts w:eastAsia="Calibri" w:cs="Arial"/>
          <w:i/>
          <w:iCs/>
          <w:sz w:val="20"/>
          <w:szCs w:val="20"/>
        </w:rPr>
        <w:t>The IUCN Red List of Threatened Species</w:t>
      </w:r>
      <w:r w:rsidRPr="00B47CEB">
        <w:rPr>
          <w:rFonts w:eastAsia="Calibri" w:cs="Arial"/>
          <w:sz w:val="20"/>
          <w:szCs w:val="20"/>
        </w:rPr>
        <w:t> 2019: e.T39332A117498371.</w:t>
      </w:r>
    </w:p>
    <w:p w14:paraId="7B316D1F"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lang w:val="fr-FR"/>
        </w:rPr>
        <w:t xml:space="preserve">Wallace, B. P. </w:t>
      </w:r>
      <w:r w:rsidRPr="00B47CEB">
        <w:rPr>
          <w:rFonts w:eastAsia="Calibri" w:cs="Arial"/>
          <w:i/>
          <w:iCs/>
          <w:sz w:val="20"/>
          <w:szCs w:val="20"/>
          <w:lang w:val="fr-FR"/>
        </w:rPr>
        <w:t>et al.</w:t>
      </w:r>
      <w:r w:rsidRPr="00B47CEB">
        <w:rPr>
          <w:rFonts w:eastAsia="Calibri" w:cs="Arial"/>
          <w:sz w:val="20"/>
          <w:szCs w:val="20"/>
          <w:lang w:val="fr-FR"/>
        </w:rPr>
        <w:t xml:space="preserve"> 2025. </w:t>
      </w:r>
      <w:r w:rsidRPr="00B47CEB">
        <w:rPr>
          <w:rFonts w:eastAsia="Calibri" w:cs="Arial"/>
          <w:sz w:val="20"/>
          <w:szCs w:val="20"/>
        </w:rPr>
        <w:t xml:space="preserve">Updated global conservation status and priorities for marine turtles. </w:t>
      </w:r>
      <w:r w:rsidRPr="00B47CEB">
        <w:rPr>
          <w:rFonts w:eastAsia="Calibri" w:cs="Arial"/>
          <w:i/>
          <w:iCs/>
          <w:sz w:val="20"/>
          <w:szCs w:val="20"/>
        </w:rPr>
        <w:t xml:space="preserve">Endang. Species Res. </w:t>
      </w:r>
      <w:r w:rsidRPr="00B47CEB">
        <w:rPr>
          <w:rFonts w:eastAsia="Calibri" w:cs="Arial"/>
          <w:sz w:val="20"/>
          <w:szCs w:val="20"/>
        </w:rPr>
        <w:t xml:space="preserve">56: 247-276. </w:t>
      </w:r>
      <w:hyperlink r:id="rId121" w:history="1">
        <w:r w:rsidRPr="00B47CEB">
          <w:rPr>
            <w:rStyle w:val="Hyperlink"/>
            <w:rFonts w:eastAsia="Calibri" w:cs="Arial"/>
            <w:sz w:val="20"/>
            <w:szCs w:val="20"/>
          </w:rPr>
          <w:t>https://doi.org/10.3354/esr01385</w:t>
        </w:r>
      </w:hyperlink>
    </w:p>
    <w:p w14:paraId="32344150"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 xml:space="preserve">Hays, G. C., Schofield, G., </w:t>
      </w:r>
      <w:proofErr w:type="spellStart"/>
      <w:r w:rsidRPr="00B47CEB">
        <w:rPr>
          <w:rFonts w:eastAsia="Calibri" w:cs="Arial"/>
          <w:sz w:val="20"/>
          <w:szCs w:val="20"/>
        </w:rPr>
        <w:t>Papazekou</w:t>
      </w:r>
      <w:proofErr w:type="spellEnd"/>
      <w:r w:rsidRPr="00B47CEB">
        <w:rPr>
          <w:rFonts w:eastAsia="Calibri" w:cs="Arial"/>
          <w:sz w:val="20"/>
          <w:szCs w:val="20"/>
        </w:rPr>
        <w:t xml:space="preserve">, M., </w:t>
      </w:r>
      <w:proofErr w:type="spellStart"/>
      <w:r w:rsidRPr="00B47CEB">
        <w:rPr>
          <w:rFonts w:eastAsia="Calibri" w:cs="Arial"/>
          <w:sz w:val="20"/>
          <w:szCs w:val="20"/>
        </w:rPr>
        <w:t>Chatzimentor</w:t>
      </w:r>
      <w:proofErr w:type="spellEnd"/>
      <w:r w:rsidRPr="00B47CEB">
        <w:rPr>
          <w:rFonts w:eastAsia="Calibri" w:cs="Arial"/>
          <w:sz w:val="20"/>
          <w:szCs w:val="20"/>
        </w:rPr>
        <w:t xml:space="preserve">, A., </w:t>
      </w:r>
      <w:proofErr w:type="spellStart"/>
      <w:r w:rsidRPr="00B47CEB">
        <w:rPr>
          <w:rFonts w:eastAsia="Calibri" w:cs="Arial"/>
          <w:sz w:val="20"/>
          <w:szCs w:val="20"/>
        </w:rPr>
        <w:t>Katsanevakis</w:t>
      </w:r>
      <w:proofErr w:type="spellEnd"/>
      <w:r w:rsidRPr="00B47CEB">
        <w:rPr>
          <w:rFonts w:eastAsia="Calibri" w:cs="Arial"/>
          <w:sz w:val="20"/>
          <w:szCs w:val="20"/>
        </w:rPr>
        <w:t xml:space="preserve">, S. &amp; Mazaris, A. D. 2024. A pulse check for trends in sea turtle numbers across the globe. </w:t>
      </w:r>
      <w:proofErr w:type="spellStart"/>
      <w:r w:rsidRPr="00B47CEB">
        <w:rPr>
          <w:rFonts w:eastAsia="Calibri" w:cs="Arial"/>
          <w:i/>
          <w:iCs/>
          <w:sz w:val="20"/>
          <w:szCs w:val="20"/>
        </w:rPr>
        <w:t>iScience</w:t>
      </w:r>
      <w:proofErr w:type="spellEnd"/>
      <w:r w:rsidRPr="00B47CEB">
        <w:rPr>
          <w:rFonts w:eastAsia="Calibri" w:cs="Arial"/>
          <w:sz w:val="20"/>
          <w:szCs w:val="20"/>
        </w:rPr>
        <w:t xml:space="preserve"> 27(3), 109071. </w:t>
      </w:r>
      <w:hyperlink r:id="rId122" w:history="1">
        <w:r w:rsidRPr="00B47CEB">
          <w:rPr>
            <w:rStyle w:val="Hyperlink"/>
            <w:rFonts w:eastAsia="Calibri" w:cs="Arial"/>
            <w:sz w:val="20"/>
            <w:szCs w:val="20"/>
          </w:rPr>
          <w:t>https://doi.org/10.1016/j.isci.2024.109071</w:t>
        </w:r>
      </w:hyperlink>
    </w:p>
    <w:p w14:paraId="19BA6811" w14:textId="77777777" w:rsidR="00AF1989" w:rsidRPr="00B47CEB" w:rsidRDefault="0020159F">
      <w:pPr>
        <w:pStyle w:val="ListParagraph"/>
        <w:numPr>
          <w:ilvl w:val="0"/>
          <w:numId w:val="18"/>
        </w:numPr>
        <w:spacing w:after="40" w:line="240" w:lineRule="auto"/>
        <w:contextualSpacing w:val="0"/>
        <w:jc w:val="both"/>
        <w:rPr>
          <w:rFonts w:eastAsia="Calibri" w:cs="Arial"/>
          <w:sz w:val="20"/>
          <w:szCs w:val="20"/>
        </w:rPr>
      </w:pPr>
      <w:r w:rsidRPr="00B47CEB">
        <w:rPr>
          <w:rFonts w:eastAsia="Calibri" w:cs="Arial"/>
          <w:sz w:val="20"/>
          <w:szCs w:val="20"/>
        </w:rPr>
        <w:t>Hays, G.C., Laloë, J.-O. &amp; Seminoff, J.A. Status, trends and conservation of global sea turtle populations. </w:t>
      </w:r>
      <w:r w:rsidRPr="00B47CEB">
        <w:rPr>
          <w:rFonts w:eastAsia="Calibri" w:cs="Arial"/>
          <w:i/>
          <w:iCs/>
          <w:sz w:val="20"/>
          <w:szCs w:val="20"/>
        </w:rPr>
        <w:t xml:space="preserve">Nat. Rev. </w:t>
      </w:r>
      <w:proofErr w:type="spellStart"/>
      <w:r w:rsidRPr="00B47CEB">
        <w:rPr>
          <w:rFonts w:eastAsia="Calibri" w:cs="Arial"/>
          <w:i/>
          <w:iCs/>
          <w:sz w:val="20"/>
          <w:szCs w:val="20"/>
        </w:rPr>
        <w:t>Biodivers</w:t>
      </w:r>
      <w:proofErr w:type="spellEnd"/>
      <w:r w:rsidRPr="00B47CEB">
        <w:rPr>
          <w:rFonts w:eastAsia="Calibri" w:cs="Arial"/>
          <w:i/>
          <w:iCs/>
          <w:sz w:val="20"/>
          <w:szCs w:val="20"/>
        </w:rPr>
        <w:t>.</w:t>
      </w:r>
      <w:r w:rsidRPr="00B47CEB">
        <w:rPr>
          <w:rFonts w:eastAsia="Calibri" w:cs="Arial"/>
          <w:sz w:val="20"/>
          <w:szCs w:val="20"/>
        </w:rPr>
        <w:t xml:space="preserve"> 1, 119-133. </w:t>
      </w:r>
      <w:hyperlink r:id="rId123" w:history="1">
        <w:r w:rsidRPr="00B47CEB">
          <w:rPr>
            <w:rStyle w:val="Hyperlink"/>
            <w:rFonts w:eastAsia="Calibri" w:cs="Arial"/>
            <w:sz w:val="20"/>
            <w:szCs w:val="20"/>
          </w:rPr>
          <w:t>https://doi.org/10.1038/s44358-024-00011-y</w:t>
        </w:r>
      </w:hyperlink>
    </w:p>
    <w:p w14:paraId="1F370B07" w14:textId="77777777" w:rsidR="00AF1989" w:rsidRPr="00B47CEB" w:rsidRDefault="0020159F">
      <w:pPr>
        <w:pStyle w:val="ListParagraph"/>
        <w:numPr>
          <w:ilvl w:val="0"/>
          <w:numId w:val="18"/>
        </w:numPr>
        <w:spacing w:after="40" w:line="240" w:lineRule="auto"/>
        <w:contextualSpacing w:val="0"/>
        <w:jc w:val="both"/>
        <w:rPr>
          <w:rFonts w:cs="Arial"/>
          <w:sz w:val="20"/>
          <w:szCs w:val="20"/>
        </w:rPr>
      </w:pPr>
      <w:r w:rsidRPr="00B47CEB">
        <w:rPr>
          <w:rFonts w:eastAsia="Calibri" w:cs="Arial"/>
          <w:sz w:val="20"/>
          <w:szCs w:val="20"/>
          <w:lang w:val="pt-PT"/>
        </w:rPr>
        <w:t xml:space="preserve">Restrepo, J., Webster, E. G., Ramos, I. &amp; Valverde, R. A. 2023. </w:t>
      </w:r>
      <w:r w:rsidRPr="00B47CEB">
        <w:rPr>
          <w:rFonts w:eastAsia="Calibri" w:cs="Arial"/>
          <w:sz w:val="20"/>
          <w:szCs w:val="20"/>
        </w:rPr>
        <w:t xml:space="preserve">Recent decline of green turtle </w:t>
      </w:r>
      <w:r w:rsidRPr="00B47CEB">
        <w:rPr>
          <w:rFonts w:eastAsia="Calibri" w:cs="Arial"/>
          <w:i/>
          <w:iCs/>
          <w:sz w:val="20"/>
          <w:szCs w:val="20"/>
        </w:rPr>
        <w:t>Chelonia mydas</w:t>
      </w:r>
      <w:r w:rsidRPr="00B47CEB">
        <w:rPr>
          <w:rFonts w:eastAsia="Calibri" w:cs="Arial"/>
          <w:sz w:val="20"/>
          <w:szCs w:val="20"/>
        </w:rPr>
        <w:t xml:space="preserve"> nesting trend at Tortuguero, Costa Rica. </w:t>
      </w:r>
      <w:r w:rsidRPr="00B47CEB">
        <w:rPr>
          <w:rFonts w:eastAsia="Calibri" w:cs="Arial"/>
          <w:i/>
          <w:iCs/>
          <w:sz w:val="20"/>
          <w:szCs w:val="20"/>
        </w:rPr>
        <w:t>Endang. Species Res</w:t>
      </w:r>
      <w:r w:rsidRPr="00B47CEB">
        <w:rPr>
          <w:rFonts w:eastAsia="Calibri" w:cs="Arial"/>
          <w:sz w:val="20"/>
          <w:szCs w:val="20"/>
        </w:rPr>
        <w:t xml:space="preserve">. 51, 59-72. </w:t>
      </w:r>
      <w:hyperlink r:id="rId124" w:history="1">
        <w:r w:rsidRPr="00B47CEB">
          <w:rPr>
            <w:rStyle w:val="Hyperlink"/>
            <w:rFonts w:eastAsia="Calibri" w:cs="Arial"/>
            <w:sz w:val="20"/>
            <w:szCs w:val="20"/>
          </w:rPr>
          <w:t>https://doi.org/10.3354/esr01237</w:t>
        </w:r>
      </w:hyperlink>
    </w:p>
    <w:p w14:paraId="1DAEBD86" w14:textId="77777777" w:rsidR="00AF1989" w:rsidRPr="00B47CEB" w:rsidRDefault="00AF1989">
      <w:pPr>
        <w:pStyle w:val="ListParagraph"/>
        <w:spacing w:after="40" w:line="240" w:lineRule="auto"/>
        <w:contextualSpacing w:val="0"/>
        <w:jc w:val="both"/>
        <w:rPr>
          <w:rFonts w:cs="Arial"/>
          <w:sz w:val="20"/>
          <w:szCs w:val="20"/>
          <w:lang w:val="fr-FR"/>
        </w:rPr>
      </w:pPr>
    </w:p>
    <w:p w14:paraId="53A97713" w14:textId="3D32AFA5" w:rsidR="00AF1989" w:rsidRPr="00ED00EE" w:rsidRDefault="00ED00EE" w:rsidP="000D06C2">
      <w:pPr>
        <w:pStyle w:val="ListParagraph"/>
        <w:numPr>
          <w:ilvl w:val="0"/>
          <w:numId w:val="47"/>
        </w:numPr>
        <w:spacing w:after="0" w:line="240" w:lineRule="auto"/>
        <w:ind w:left="357" w:hanging="357"/>
        <w:contextualSpacing w:val="0"/>
        <w:rPr>
          <w:rFonts w:cs="Arial"/>
          <w:b/>
          <w:sz w:val="20"/>
          <w:szCs w:val="20"/>
          <w:lang w:val="fr-FR"/>
        </w:rPr>
      </w:pPr>
      <w:r w:rsidRPr="00ED00EE">
        <w:rPr>
          <w:rFonts w:cs="Arial"/>
          <w:b/>
          <w:sz w:val="20"/>
          <w:szCs w:val="20"/>
          <w:lang w:val="fr-FR"/>
        </w:rPr>
        <w:t>Progrès réalisés dans l'identification et la protection des habitats importants pour les espèces inscrites aux Annexes de la CMS</w:t>
      </w:r>
    </w:p>
    <w:p w14:paraId="2749F2FD" w14:textId="77777777" w:rsidR="00AF1989" w:rsidRPr="00ED00EE" w:rsidRDefault="00AF1989">
      <w:pPr>
        <w:pStyle w:val="ListParagraph"/>
        <w:spacing w:after="0" w:line="240" w:lineRule="auto"/>
        <w:ind w:left="357"/>
        <w:contextualSpacing w:val="0"/>
        <w:rPr>
          <w:rFonts w:cs="Arial"/>
          <w:b/>
          <w:sz w:val="20"/>
          <w:szCs w:val="20"/>
          <w:lang w:val="fr-FR"/>
        </w:rPr>
      </w:pPr>
    </w:p>
    <w:p w14:paraId="5AFB9AA4"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proofErr w:type="spellStart"/>
      <w:r w:rsidRPr="00B47CEB">
        <w:rPr>
          <w:rFonts w:cs="Arial"/>
          <w:sz w:val="20"/>
          <w:szCs w:val="20"/>
          <w:lang w:val="fr-FR"/>
        </w:rPr>
        <w:t>Plumptre</w:t>
      </w:r>
      <w:proofErr w:type="spellEnd"/>
      <w:r w:rsidRPr="00B47CEB">
        <w:rPr>
          <w:rFonts w:cs="Arial"/>
          <w:sz w:val="20"/>
          <w:szCs w:val="20"/>
          <w:lang w:val="fr-FR"/>
        </w:rPr>
        <w:t xml:space="preserve">, A. J. </w:t>
      </w:r>
      <w:r w:rsidRPr="00B47CEB">
        <w:rPr>
          <w:rFonts w:cs="Arial"/>
          <w:i/>
          <w:sz w:val="20"/>
          <w:szCs w:val="20"/>
          <w:lang w:val="fr-FR"/>
        </w:rPr>
        <w:t>et al</w:t>
      </w:r>
      <w:r w:rsidRPr="00B47CEB">
        <w:rPr>
          <w:rFonts w:cs="Arial"/>
          <w:sz w:val="20"/>
          <w:szCs w:val="20"/>
          <w:lang w:val="fr-FR"/>
        </w:rPr>
        <w:t xml:space="preserve">. 2024. </w:t>
      </w:r>
      <w:r w:rsidRPr="00B47CEB">
        <w:rPr>
          <w:rFonts w:cs="Arial"/>
          <w:sz w:val="20"/>
          <w:szCs w:val="20"/>
        </w:rPr>
        <w:t xml:space="preserve">Targeting site conservation to increase the effectiveness of new global biodiversity targets. </w:t>
      </w:r>
      <w:r w:rsidRPr="00B47CEB">
        <w:rPr>
          <w:rFonts w:cs="Arial"/>
          <w:i/>
          <w:iCs/>
          <w:sz w:val="20"/>
          <w:szCs w:val="20"/>
        </w:rPr>
        <w:t>One Earth</w:t>
      </w:r>
      <w:r w:rsidRPr="00B47CEB">
        <w:rPr>
          <w:rFonts w:cs="Arial"/>
          <w:sz w:val="20"/>
          <w:szCs w:val="20"/>
        </w:rPr>
        <w:t xml:space="preserve"> 7(1), 11-17. </w:t>
      </w:r>
      <w:hyperlink r:id="rId125" w:history="1">
        <w:r w:rsidRPr="00B47CEB">
          <w:rPr>
            <w:rStyle w:val="Hyperlink"/>
            <w:rFonts w:cs="Arial"/>
            <w:sz w:val="20"/>
            <w:szCs w:val="20"/>
          </w:rPr>
          <w:t>https://doi.org/10.1016/j.oneear.2023.12.007</w:t>
        </w:r>
      </w:hyperlink>
    </w:p>
    <w:p w14:paraId="01687167"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r w:rsidRPr="00B47CEB">
        <w:rPr>
          <w:rFonts w:cs="Arial"/>
          <w:sz w:val="20"/>
          <w:szCs w:val="20"/>
        </w:rPr>
        <w:t xml:space="preserve">IUCN. 2016. </w:t>
      </w:r>
      <w:r w:rsidRPr="00B47CEB">
        <w:rPr>
          <w:rFonts w:cs="Arial"/>
          <w:i/>
          <w:iCs/>
          <w:sz w:val="20"/>
          <w:szCs w:val="20"/>
        </w:rPr>
        <w:t>A Global Standard for the Identification of Key Biodiversity Areas, Version 1.0</w:t>
      </w:r>
      <w:r w:rsidRPr="00B47CEB">
        <w:rPr>
          <w:rFonts w:cs="Arial"/>
          <w:sz w:val="20"/>
          <w:szCs w:val="20"/>
        </w:rPr>
        <w:t>. First edition. Gland, Switzerland: IUCN.</w:t>
      </w:r>
    </w:p>
    <w:p w14:paraId="1ED33E82" w14:textId="77777777" w:rsidR="00AF1989" w:rsidRPr="00B47CEB" w:rsidRDefault="0020159F">
      <w:pPr>
        <w:pStyle w:val="ListParagraph"/>
        <w:numPr>
          <w:ilvl w:val="0"/>
          <w:numId w:val="19"/>
        </w:numPr>
        <w:spacing w:after="40"/>
        <w:ind w:left="714" w:hanging="357"/>
        <w:contextualSpacing w:val="0"/>
        <w:jc w:val="both"/>
        <w:rPr>
          <w:rStyle w:val="Hyperlink"/>
          <w:rFonts w:cs="Arial"/>
          <w:sz w:val="20"/>
          <w:szCs w:val="20"/>
        </w:rPr>
      </w:pPr>
      <w:r w:rsidRPr="00B47CEB">
        <w:rPr>
          <w:rFonts w:cs="Arial"/>
          <w:sz w:val="20"/>
          <w:szCs w:val="20"/>
        </w:rPr>
        <w:t xml:space="preserve">Boyd, C. </w:t>
      </w:r>
      <w:r w:rsidRPr="00B47CEB">
        <w:rPr>
          <w:rFonts w:cs="Arial"/>
          <w:i/>
          <w:iCs/>
          <w:sz w:val="20"/>
          <w:szCs w:val="20"/>
        </w:rPr>
        <w:t>et al.</w:t>
      </w:r>
      <w:r w:rsidRPr="00B47CEB">
        <w:rPr>
          <w:rFonts w:cs="Arial"/>
          <w:sz w:val="20"/>
          <w:szCs w:val="20"/>
        </w:rPr>
        <w:t xml:space="preserve"> 2025. Applying the Key Biodiversity Area Standard to Important Sites for Sharks. </w:t>
      </w:r>
      <w:r w:rsidRPr="00B47CEB">
        <w:rPr>
          <w:rFonts w:cs="Arial"/>
          <w:i/>
          <w:iCs/>
          <w:sz w:val="20"/>
          <w:szCs w:val="20"/>
        </w:rPr>
        <w:t xml:space="preserve">Cons. Lett. </w:t>
      </w:r>
      <w:r w:rsidRPr="00B47CEB">
        <w:rPr>
          <w:rFonts w:cs="Arial"/>
          <w:sz w:val="20"/>
          <w:szCs w:val="20"/>
        </w:rPr>
        <w:t xml:space="preserve">18(5), e13177. </w:t>
      </w:r>
      <w:hyperlink r:id="rId126" w:history="1">
        <w:r w:rsidRPr="00B47CEB">
          <w:rPr>
            <w:rStyle w:val="Hyperlink"/>
            <w:rFonts w:cs="Arial"/>
            <w:sz w:val="20"/>
            <w:szCs w:val="20"/>
          </w:rPr>
          <w:t>https://doi.org/10.1111/conl.13117</w:t>
        </w:r>
      </w:hyperlink>
    </w:p>
    <w:p w14:paraId="2911BCA6" w14:textId="77777777" w:rsidR="00AF1989" w:rsidRPr="00B47CEB" w:rsidRDefault="0020159F">
      <w:pPr>
        <w:pStyle w:val="ListParagraph"/>
        <w:numPr>
          <w:ilvl w:val="0"/>
          <w:numId w:val="19"/>
        </w:numPr>
        <w:spacing w:after="40"/>
        <w:ind w:left="714" w:hanging="357"/>
        <w:contextualSpacing w:val="0"/>
        <w:jc w:val="both"/>
        <w:rPr>
          <w:rStyle w:val="Hyperlink"/>
          <w:rFonts w:cs="Arial"/>
          <w:color w:val="000000" w:themeColor="text1"/>
          <w:sz w:val="20"/>
          <w:szCs w:val="20"/>
          <w:u w:val="none"/>
        </w:rPr>
      </w:pPr>
      <w:r w:rsidRPr="00B47CEB">
        <w:rPr>
          <w:rStyle w:val="Hyperlink"/>
          <w:rFonts w:cs="Arial"/>
          <w:color w:val="000000" w:themeColor="text1"/>
          <w:sz w:val="20"/>
          <w:szCs w:val="20"/>
          <w:u w:val="none"/>
          <w:lang w:val="fr-FR"/>
        </w:rPr>
        <w:t xml:space="preserve">Hyde, C. A. </w:t>
      </w:r>
      <w:r w:rsidRPr="00B47CEB">
        <w:rPr>
          <w:rStyle w:val="Hyperlink"/>
          <w:rFonts w:cs="Arial"/>
          <w:i/>
          <w:color w:val="000000" w:themeColor="text1"/>
          <w:sz w:val="20"/>
          <w:szCs w:val="20"/>
          <w:u w:val="none"/>
          <w:lang w:val="fr-FR"/>
        </w:rPr>
        <w:t xml:space="preserve">et al. </w:t>
      </w:r>
      <w:r w:rsidRPr="00B47CEB">
        <w:rPr>
          <w:rStyle w:val="Hyperlink"/>
          <w:rFonts w:cs="Arial"/>
          <w:color w:val="000000" w:themeColor="text1"/>
          <w:sz w:val="20"/>
          <w:szCs w:val="20"/>
          <w:u w:val="none"/>
          <w:lang w:val="fr-FR"/>
        </w:rPr>
        <w:t xml:space="preserve">2022. </w:t>
      </w:r>
      <w:r w:rsidRPr="00B47CEB">
        <w:rPr>
          <w:rStyle w:val="Hyperlink"/>
          <w:rFonts w:cs="Arial"/>
          <w:color w:val="000000" w:themeColor="text1"/>
          <w:sz w:val="20"/>
          <w:szCs w:val="20"/>
          <w:u w:val="none"/>
        </w:rPr>
        <w:t xml:space="preserve">Putting sharks on the map: A global standard for improving shark area-based conservation. </w:t>
      </w:r>
      <w:r w:rsidRPr="00B47CEB">
        <w:rPr>
          <w:rStyle w:val="Hyperlink"/>
          <w:rFonts w:cs="Arial"/>
          <w:i/>
          <w:color w:val="000000" w:themeColor="text1"/>
          <w:sz w:val="20"/>
          <w:szCs w:val="20"/>
          <w:u w:val="none"/>
        </w:rPr>
        <w:t>Front. Mar. Sci</w:t>
      </w:r>
      <w:r w:rsidRPr="00B47CEB">
        <w:rPr>
          <w:rStyle w:val="Hyperlink"/>
          <w:rFonts w:cs="Arial"/>
          <w:color w:val="000000" w:themeColor="text1"/>
          <w:sz w:val="20"/>
          <w:szCs w:val="20"/>
          <w:u w:val="none"/>
        </w:rPr>
        <w:t xml:space="preserve">. 9, 968853. </w:t>
      </w:r>
      <w:hyperlink r:id="rId127" w:history="1">
        <w:r w:rsidRPr="00B47CEB">
          <w:rPr>
            <w:rStyle w:val="Hyperlink"/>
            <w:rFonts w:cs="Arial"/>
            <w:color w:val="000000" w:themeColor="text1"/>
            <w:sz w:val="20"/>
            <w:szCs w:val="20"/>
            <w:u w:val="none"/>
          </w:rPr>
          <w:t>https://doi.org/10.3389/fmars.2022.968853</w:t>
        </w:r>
      </w:hyperlink>
    </w:p>
    <w:p w14:paraId="287EECDB" w14:textId="77777777" w:rsidR="00AF1989" w:rsidRPr="00B47CEB" w:rsidRDefault="0020159F">
      <w:pPr>
        <w:pStyle w:val="ListParagraph"/>
        <w:numPr>
          <w:ilvl w:val="0"/>
          <w:numId w:val="19"/>
        </w:numPr>
        <w:spacing w:after="40"/>
        <w:ind w:left="714" w:hanging="357"/>
        <w:contextualSpacing w:val="0"/>
        <w:jc w:val="both"/>
        <w:rPr>
          <w:rStyle w:val="Hyperlink"/>
          <w:rFonts w:cs="Arial"/>
          <w:color w:val="000000" w:themeColor="text1"/>
          <w:sz w:val="20"/>
          <w:szCs w:val="20"/>
          <w:u w:val="none"/>
        </w:rPr>
      </w:pPr>
      <w:r w:rsidRPr="00B47CEB">
        <w:rPr>
          <w:rStyle w:val="Hyperlink"/>
          <w:rFonts w:cs="Arial"/>
          <w:color w:val="000000" w:themeColor="text1"/>
          <w:sz w:val="20"/>
          <w:szCs w:val="20"/>
          <w:u w:val="none"/>
        </w:rPr>
        <w:t>IUCN Marine Mammals Protected Areas Task Force. 2024. The IMMA Handbook. Version: March 2024. Pp. 67. Available at:</w:t>
      </w:r>
      <w:r w:rsidRPr="00B47CEB">
        <w:rPr>
          <w:rStyle w:val="Hyperlink"/>
          <w:rFonts w:cs="Arial"/>
          <w:color w:val="000000" w:themeColor="text1"/>
          <w:sz w:val="20"/>
          <w:szCs w:val="20"/>
        </w:rPr>
        <w:t xml:space="preserve"> </w:t>
      </w:r>
      <w:hyperlink r:id="rId128" w:history="1">
        <w:r w:rsidRPr="00B47CEB">
          <w:rPr>
            <w:rStyle w:val="Hyperlink"/>
            <w:rFonts w:cs="Arial"/>
            <w:sz w:val="20"/>
            <w:szCs w:val="20"/>
          </w:rPr>
          <w:t>https://www.marinemammalhabitat.org/download/handbook-on-the-use-of-selection-criteria-for-the-identification-of-important-marine-mammal-areas-immas/</w:t>
        </w:r>
      </w:hyperlink>
      <w:r w:rsidRPr="00B47CEB">
        <w:rPr>
          <w:rStyle w:val="Hyperlink"/>
          <w:rFonts w:cs="Arial"/>
          <w:color w:val="000000" w:themeColor="text1"/>
          <w:sz w:val="20"/>
          <w:szCs w:val="20"/>
          <w:u w:val="none"/>
        </w:rPr>
        <w:t xml:space="preserve"> [Accessed 11 September 2025]</w:t>
      </w:r>
    </w:p>
    <w:p w14:paraId="285166C3" w14:textId="77777777" w:rsidR="00AF1989" w:rsidRPr="00B47CEB" w:rsidRDefault="0020159F">
      <w:pPr>
        <w:pStyle w:val="ListParagraph"/>
        <w:numPr>
          <w:ilvl w:val="0"/>
          <w:numId w:val="19"/>
        </w:numPr>
        <w:spacing w:after="40"/>
        <w:ind w:left="714" w:hanging="357"/>
        <w:contextualSpacing w:val="0"/>
        <w:jc w:val="both"/>
        <w:rPr>
          <w:rStyle w:val="Hyperlink"/>
          <w:rFonts w:cs="Arial"/>
          <w:color w:val="000000" w:themeColor="text1"/>
          <w:sz w:val="20"/>
          <w:szCs w:val="20"/>
          <w:u w:val="none"/>
        </w:rPr>
      </w:pPr>
      <w:r w:rsidRPr="00B47CEB">
        <w:rPr>
          <w:rStyle w:val="Hyperlink"/>
          <w:rFonts w:cs="Arial"/>
          <w:color w:val="000000" w:themeColor="text1"/>
          <w:sz w:val="20"/>
          <w:szCs w:val="20"/>
          <w:u w:val="none"/>
        </w:rPr>
        <w:t xml:space="preserve">Important Marine Turtle Area (IMTA) Working Group. 2021. </w:t>
      </w:r>
      <w:r w:rsidRPr="00B47CEB">
        <w:rPr>
          <w:rStyle w:val="Hyperlink"/>
          <w:rFonts w:cs="Arial"/>
          <w:i/>
          <w:color w:val="000000" w:themeColor="text1"/>
          <w:sz w:val="20"/>
          <w:szCs w:val="20"/>
          <w:u w:val="none"/>
        </w:rPr>
        <w:t>Important Marine Turtle Areas Guidelines 1.0 (August 2021)</w:t>
      </w:r>
      <w:r w:rsidRPr="00B47CEB">
        <w:rPr>
          <w:rStyle w:val="Hyperlink"/>
          <w:rFonts w:cs="Arial"/>
          <w:color w:val="000000" w:themeColor="text1"/>
          <w:sz w:val="20"/>
          <w:szCs w:val="20"/>
          <w:u w:val="none"/>
        </w:rPr>
        <w:t>. Prepared for the 7</w:t>
      </w:r>
      <w:r w:rsidRPr="00B47CEB">
        <w:rPr>
          <w:rStyle w:val="Hyperlink"/>
          <w:rFonts w:cs="Arial"/>
          <w:color w:val="000000" w:themeColor="text1"/>
          <w:sz w:val="20"/>
          <w:szCs w:val="20"/>
          <w:u w:val="none"/>
          <w:vertAlign w:val="superscript"/>
        </w:rPr>
        <w:t>th</w:t>
      </w:r>
      <w:r w:rsidRPr="00B47CEB">
        <w:rPr>
          <w:rStyle w:val="Hyperlink"/>
          <w:rFonts w:cs="Arial"/>
          <w:color w:val="000000" w:themeColor="text1"/>
          <w:sz w:val="20"/>
          <w:szCs w:val="20"/>
          <w:u w:val="none"/>
        </w:rPr>
        <w:t xml:space="preserve"> Burning Issues Workshop (BI-7), IUCN-SSC Marine Turtle Specialist Group. Available at: </w:t>
      </w:r>
      <w:hyperlink r:id="rId129" w:history="1">
        <w:r w:rsidRPr="00B47CEB">
          <w:rPr>
            <w:rStyle w:val="Hyperlink"/>
            <w:rFonts w:cs="Arial"/>
            <w:color w:val="000000" w:themeColor="text1"/>
            <w:sz w:val="20"/>
            <w:szCs w:val="20"/>
            <w:u w:val="none"/>
          </w:rPr>
          <w:t>https://www.iucn-mtsg.org/s/IMTA-Guidelines-10.pdf</w:t>
        </w:r>
      </w:hyperlink>
      <w:r w:rsidRPr="00B47CEB">
        <w:rPr>
          <w:rStyle w:val="Hyperlink"/>
          <w:rFonts w:cs="Arial"/>
          <w:color w:val="000000" w:themeColor="text1"/>
          <w:sz w:val="20"/>
          <w:szCs w:val="20"/>
          <w:u w:val="none"/>
        </w:rPr>
        <w:t xml:space="preserve"> [Accessed 11 September 2025]</w:t>
      </w:r>
    </w:p>
    <w:p w14:paraId="55E016D3" w14:textId="77777777" w:rsidR="00AF1989" w:rsidRPr="00B47CEB" w:rsidRDefault="0020159F">
      <w:pPr>
        <w:pStyle w:val="ListParagraph"/>
        <w:numPr>
          <w:ilvl w:val="0"/>
          <w:numId w:val="19"/>
        </w:numPr>
        <w:spacing w:after="40"/>
        <w:ind w:left="714" w:hanging="357"/>
        <w:contextualSpacing w:val="0"/>
        <w:jc w:val="both"/>
        <w:rPr>
          <w:rStyle w:val="Hyperlink"/>
          <w:rFonts w:cs="Arial"/>
          <w:color w:val="000000" w:themeColor="text1"/>
          <w:sz w:val="20"/>
          <w:szCs w:val="20"/>
        </w:rPr>
      </w:pPr>
      <w:r w:rsidRPr="00B47CEB">
        <w:rPr>
          <w:rStyle w:val="Hyperlink"/>
          <w:rFonts w:cs="Arial"/>
          <w:color w:val="000000" w:themeColor="text1"/>
          <w:sz w:val="20"/>
          <w:szCs w:val="20"/>
          <w:u w:val="none"/>
        </w:rPr>
        <w:t>IUCN SSC Shark Specialist Group. 2025. Dataset of Important Shark and Ray Areas (IUCN SSC SSG-ISRA). Made available under a User Licence Agreement by the IUCN SSC Shark Specialist Group and accessible via the ISRA e-Atlas. Available at:</w:t>
      </w:r>
      <w:r w:rsidRPr="00B47CEB">
        <w:rPr>
          <w:rStyle w:val="Hyperlink"/>
          <w:rFonts w:cs="Arial"/>
          <w:color w:val="000000" w:themeColor="text1"/>
          <w:sz w:val="20"/>
          <w:szCs w:val="20"/>
        </w:rPr>
        <w:t xml:space="preserve"> </w:t>
      </w:r>
      <w:hyperlink r:id="rId130" w:history="1">
        <w:r w:rsidRPr="00B47CEB">
          <w:rPr>
            <w:rStyle w:val="Hyperlink"/>
            <w:rFonts w:cs="Arial"/>
            <w:sz w:val="20"/>
            <w:szCs w:val="20"/>
          </w:rPr>
          <w:t>https://sharkrayareas.org/e-atlas/</w:t>
        </w:r>
      </w:hyperlink>
      <w:r w:rsidRPr="00B47CEB">
        <w:rPr>
          <w:rStyle w:val="Hyperlink"/>
          <w:rFonts w:cs="Arial"/>
          <w:color w:val="000000" w:themeColor="text1"/>
          <w:sz w:val="20"/>
          <w:szCs w:val="20"/>
          <w:u w:val="none"/>
        </w:rPr>
        <w:t xml:space="preserve"> </w:t>
      </w:r>
      <w:r w:rsidRPr="00B47CEB">
        <w:rPr>
          <w:rStyle w:val="Hyperlink"/>
          <w:rFonts w:cs="Arial"/>
          <w:color w:val="000000" w:themeColor="text1"/>
          <w:sz w:val="20"/>
          <w:szCs w:val="20"/>
        </w:rPr>
        <w:t>[</w:t>
      </w:r>
      <w:r w:rsidRPr="00B47CEB">
        <w:rPr>
          <w:rStyle w:val="Hyperlink"/>
          <w:rFonts w:cs="Arial"/>
          <w:color w:val="000000" w:themeColor="text1"/>
          <w:sz w:val="20"/>
          <w:szCs w:val="20"/>
          <w:u w:val="none"/>
        </w:rPr>
        <w:t>Accessed 16 September 2025]</w:t>
      </w:r>
    </w:p>
    <w:p w14:paraId="10D885E4"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r w:rsidRPr="00B47CEB">
        <w:rPr>
          <w:rFonts w:cs="Arial"/>
          <w:sz w:val="20"/>
          <w:szCs w:val="20"/>
        </w:rPr>
        <w:t xml:space="preserve">IUCN Marine Mammal Protected Areas Task Force. 2025. </w:t>
      </w:r>
      <w:r w:rsidRPr="00B47CEB">
        <w:rPr>
          <w:rFonts w:cs="Arial"/>
          <w:i/>
          <w:iCs/>
          <w:sz w:val="20"/>
          <w:szCs w:val="20"/>
        </w:rPr>
        <w:t>3rd Information Note on Activities Related to the Identification of Important Marine Mammal Areas (IMMAs)</w:t>
      </w:r>
      <w:r w:rsidRPr="00B47CEB">
        <w:rPr>
          <w:rFonts w:cs="Arial"/>
          <w:sz w:val="20"/>
          <w:szCs w:val="20"/>
        </w:rPr>
        <w:t>. (UNEP/CMS/COP15/Inf. 25.3.1a/Annex 1).</w:t>
      </w:r>
    </w:p>
    <w:p w14:paraId="5D9546E8"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r w:rsidRPr="00B47CEB">
        <w:rPr>
          <w:rFonts w:cs="Arial"/>
          <w:sz w:val="20"/>
          <w:szCs w:val="20"/>
        </w:rPr>
        <w:lastRenderedPageBreak/>
        <w:t>IUCN Marine Mammal Areas Protected Areas Task Force. 2025</w:t>
      </w:r>
      <w:r w:rsidRPr="00B47CEB">
        <w:rPr>
          <w:rFonts w:cs="Arial"/>
          <w:i/>
          <w:iCs/>
          <w:sz w:val="20"/>
          <w:szCs w:val="20"/>
        </w:rPr>
        <w:t xml:space="preserve">. Moving from Important Marine Mammal Areas (IMMA) Identification to Marine Mammal Conservation Action: Evaluation and Implementation of Conservation Action in IMMAs – Summary Report. </w:t>
      </w:r>
      <w:r w:rsidRPr="00B47CEB">
        <w:rPr>
          <w:rFonts w:cs="Arial"/>
          <w:sz w:val="20"/>
          <w:szCs w:val="20"/>
        </w:rPr>
        <w:t>Pp. 28. Available at: https://www.marinemammalhabitat.org/download/moving-from-important-marine-mammal-area-imma-identification-to-marine-mammal-conservation-action-evaluation-and-implementation-of-conservation-action-in-immas/ [Accessed 11 September 2025]</w:t>
      </w:r>
    </w:p>
    <w:p w14:paraId="42CE0C45"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r w:rsidRPr="00B47CEB">
        <w:rPr>
          <w:rFonts w:cs="Arial"/>
          <w:sz w:val="20"/>
          <w:szCs w:val="20"/>
          <w:lang w:val="da-DK"/>
        </w:rPr>
        <w:t xml:space="preserve">Armstrong, A. O. </w:t>
      </w:r>
      <w:r w:rsidRPr="00B47CEB">
        <w:rPr>
          <w:rFonts w:cs="Arial"/>
          <w:i/>
          <w:iCs/>
          <w:sz w:val="20"/>
          <w:szCs w:val="20"/>
          <w:lang w:val="da-DK"/>
        </w:rPr>
        <w:t>et al</w:t>
      </w:r>
      <w:r w:rsidRPr="00B47CEB">
        <w:rPr>
          <w:rFonts w:cs="Arial"/>
          <w:sz w:val="20"/>
          <w:szCs w:val="20"/>
          <w:lang w:val="da-DK"/>
        </w:rPr>
        <w:t xml:space="preserve">. 2025. </w:t>
      </w:r>
      <w:r w:rsidRPr="00B47CEB">
        <w:rPr>
          <w:rFonts w:cs="Arial"/>
          <w:sz w:val="20"/>
          <w:szCs w:val="20"/>
        </w:rPr>
        <w:t xml:space="preserve">Turning the tide for sharks: Important Shark and Ray Areas. </w:t>
      </w:r>
      <w:r w:rsidRPr="00B47CEB">
        <w:rPr>
          <w:rFonts w:cs="Arial"/>
          <w:i/>
          <w:iCs/>
          <w:sz w:val="20"/>
          <w:szCs w:val="20"/>
        </w:rPr>
        <w:t xml:space="preserve">Oryx </w:t>
      </w:r>
      <w:r w:rsidRPr="00B47CEB">
        <w:rPr>
          <w:rFonts w:cs="Arial"/>
          <w:sz w:val="20"/>
          <w:szCs w:val="20"/>
        </w:rPr>
        <w:t xml:space="preserve">59(1), 11-12. </w:t>
      </w:r>
      <w:hyperlink r:id="rId131" w:history="1">
        <w:r w:rsidRPr="00B47CEB">
          <w:rPr>
            <w:rStyle w:val="Hyperlink"/>
            <w:rFonts w:cs="Arial"/>
            <w:sz w:val="20"/>
            <w:szCs w:val="20"/>
          </w:rPr>
          <w:t>https://doi.org/10.1017/S0030605324001790</w:t>
        </w:r>
      </w:hyperlink>
    </w:p>
    <w:p w14:paraId="75B992AC"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proofErr w:type="spellStart"/>
      <w:r w:rsidRPr="00B47CEB">
        <w:rPr>
          <w:rFonts w:eastAsia="Calibri" w:cs="Arial"/>
          <w:sz w:val="20"/>
          <w:szCs w:val="20"/>
        </w:rPr>
        <w:t>Nandintsetseg</w:t>
      </w:r>
      <w:proofErr w:type="spellEnd"/>
      <w:r w:rsidRPr="00B47CEB">
        <w:rPr>
          <w:rFonts w:eastAsia="Calibri" w:cs="Arial"/>
          <w:sz w:val="20"/>
          <w:szCs w:val="20"/>
        </w:rPr>
        <w:t xml:space="preserve">, D. </w:t>
      </w:r>
      <w:r w:rsidRPr="00B47CEB">
        <w:rPr>
          <w:rFonts w:eastAsia="Calibri" w:cs="Arial"/>
          <w:i/>
          <w:iCs/>
          <w:sz w:val="20"/>
          <w:szCs w:val="20"/>
        </w:rPr>
        <w:t>et al</w:t>
      </w:r>
      <w:r w:rsidRPr="00B47CEB">
        <w:rPr>
          <w:rFonts w:eastAsia="Calibri" w:cs="Arial"/>
          <w:sz w:val="20"/>
          <w:szCs w:val="20"/>
        </w:rPr>
        <w:t xml:space="preserve">. 2019. Challenges in the conservation of wide-ranging nomadic species. </w:t>
      </w:r>
      <w:r w:rsidRPr="00B47CEB">
        <w:rPr>
          <w:rFonts w:eastAsia="Calibri" w:cs="Arial"/>
          <w:i/>
          <w:iCs/>
          <w:sz w:val="20"/>
          <w:szCs w:val="20"/>
        </w:rPr>
        <w:t xml:space="preserve">J. Appl. Ecol. </w:t>
      </w:r>
      <w:r w:rsidRPr="00B47CEB">
        <w:rPr>
          <w:rFonts w:eastAsia="Calibri" w:cs="Arial"/>
          <w:sz w:val="20"/>
          <w:szCs w:val="20"/>
        </w:rPr>
        <w:t xml:space="preserve">56(8), 1916-1926. </w:t>
      </w:r>
      <w:hyperlink r:id="rId132" w:history="1">
        <w:r w:rsidRPr="00B47CEB">
          <w:rPr>
            <w:rStyle w:val="Hyperlink"/>
            <w:rFonts w:eastAsia="Calibri" w:cs="Arial"/>
            <w:sz w:val="20"/>
            <w:szCs w:val="20"/>
          </w:rPr>
          <w:t>https://doi.org/10.1111/1365-2664.13380</w:t>
        </w:r>
      </w:hyperlink>
    </w:p>
    <w:p w14:paraId="6B3CC7FE" w14:textId="77777777" w:rsidR="00AF1989" w:rsidRPr="00B47CEB" w:rsidRDefault="0020159F">
      <w:pPr>
        <w:pStyle w:val="ListParagraph"/>
        <w:numPr>
          <w:ilvl w:val="0"/>
          <w:numId w:val="19"/>
        </w:numPr>
        <w:spacing w:after="40" w:line="240" w:lineRule="auto"/>
        <w:ind w:left="714" w:hanging="357"/>
        <w:contextualSpacing w:val="0"/>
        <w:jc w:val="both"/>
        <w:rPr>
          <w:rFonts w:eastAsia="Calibri" w:cs="Arial"/>
          <w:sz w:val="20"/>
          <w:szCs w:val="20"/>
        </w:rPr>
      </w:pPr>
      <w:r w:rsidRPr="00B47CEB">
        <w:rPr>
          <w:rFonts w:eastAsia="Calibri" w:cs="Arial"/>
          <w:sz w:val="20"/>
          <w:szCs w:val="20"/>
        </w:rPr>
        <w:t xml:space="preserve">Vickery, J. A., Mallord, J. W., Adams, W. M., Beresford, A. E., Both, C., Cresswell, W., Diop, N., Ewing, S. R., Gregory, R. D., Morrison, C. A., Sanderson, F. J., Thorup, K., Van Wijk, R. E. &amp; Hewson, C. M. 2023. The conservation of Afro-Palaearctic migrants: What we are learning and what we need to know? </w:t>
      </w:r>
      <w:r w:rsidRPr="00B47CEB">
        <w:rPr>
          <w:rFonts w:eastAsia="Calibri" w:cs="Arial"/>
          <w:i/>
          <w:iCs/>
          <w:sz w:val="20"/>
          <w:szCs w:val="20"/>
        </w:rPr>
        <w:t>Ibis</w:t>
      </w:r>
      <w:r w:rsidRPr="00B47CEB">
        <w:rPr>
          <w:rFonts w:eastAsia="Calibri" w:cs="Arial"/>
          <w:sz w:val="20"/>
          <w:szCs w:val="20"/>
        </w:rPr>
        <w:t xml:space="preserve"> 165, 717-738. </w:t>
      </w:r>
      <w:hyperlink r:id="rId133" w:history="1">
        <w:r w:rsidRPr="00B47CEB">
          <w:rPr>
            <w:rStyle w:val="Hyperlink"/>
            <w:rFonts w:eastAsia="Calibri" w:cs="Arial"/>
            <w:sz w:val="20"/>
            <w:szCs w:val="20"/>
          </w:rPr>
          <w:t>https://doi.org/10.1111/ibi.13171</w:t>
        </w:r>
      </w:hyperlink>
    </w:p>
    <w:p w14:paraId="15D150B0" w14:textId="77777777" w:rsidR="00AF1989" w:rsidRPr="00B47CEB" w:rsidRDefault="0020159F">
      <w:pPr>
        <w:pStyle w:val="ListParagraph"/>
        <w:numPr>
          <w:ilvl w:val="0"/>
          <w:numId w:val="19"/>
        </w:numPr>
        <w:spacing w:after="40"/>
        <w:ind w:left="714" w:hanging="357"/>
        <w:contextualSpacing w:val="0"/>
        <w:jc w:val="both"/>
        <w:rPr>
          <w:rStyle w:val="Hyperlink"/>
          <w:rFonts w:cs="Arial"/>
          <w:sz w:val="20"/>
          <w:szCs w:val="20"/>
        </w:rPr>
      </w:pPr>
      <w:r w:rsidRPr="00B47CEB">
        <w:rPr>
          <w:rFonts w:cs="Arial"/>
          <w:sz w:val="20"/>
          <w:szCs w:val="20"/>
          <w:lang w:val="da-DK"/>
        </w:rPr>
        <w:t xml:space="preserve">Becker, S. L. </w:t>
      </w:r>
      <w:r w:rsidRPr="00B47CEB">
        <w:rPr>
          <w:rFonts w:cs="Arial"/>
          <w:i/>
          <w:sz w:val="20"/>
          <w:szCs w:val="20"/>
          <w:lang w:val="da-DK"/>
        </w:rPr>
        <w:t>et al</w:t>
      </w:r>
      <w:r w:rsidRPr="00B47CEB">
        <w:rPr>
          <w:rFonts w:cs="Arial"/>
          <w:sz w:val="20"/>
          <w:szCs w:val="20"/>
          <w:lang w:val="da-DK"/>
        </w:rPr>
        <w:t xml:space="preserve">. 2025. </w:t>
      </w:r>
      <w:r w:rsidRPr="00B47CEB">
        <w:rPr>
          <w:rFonts w:cs="Arial"/>
          <w:sz w:val="20"/>
          <w:szCs w:val="20"/>
        </w:rPr>
        <w:t xml:space="preserve">Scaling up ocean conservation through recognition of key biodiversity areas in the Southern Ocean from multispecies tracking data. </w:t>
      </w:r>
      <w:r w:rsidRPr="00B47CEB">
        <w:rPr>
          <w:rFonts w:cs="Arial"/>
          <w:i/>
          <w:iCs/>
          <w:sz w:val="20"/>
          <w:szCs w:val="20"/>
        </w:rPr>
        <w:t>Cons. Biol</w:t>
      </w:r>
      <w:r w:rsidRPr="00B47CEB">
        <w:rPr>
          <w:rFonts w:cs="Arial"/>
          <w:sz w:val="20"/>
          <w:szCs w:val="20"/>
        </w:rPr>
        <w:t xml:space="preserve">. 39(1), e14345. </w:t>
      </w:r>
      <w:hyperlink r:id="rId134" w:history="1">
        <w:r w:rsidRPr="00B47CEB">
          <w:rPr>
            <w:rStyle w:val="Hyperlink"/>
            <w:rFonts w:cs="Arial"/>
            <w:sz w:val="20"/>
            <w:szCs w:val="20"/>
          </w:rPr>
          <w:t>https://doi.org/10.1111/cobi.14345</w:t>
        </w:r>
      </w:hyperlink>
    </w:p>
    <w:p w14:paraId="1A113BB1" w14:textId="77777777" w:rsidR="00AF1989" w:rsidRPr="00B47CEB" w:rsidRDefault="0020159F">
      <w:pPr>
        <w:pStyle w:val="ListParagraph"/>
        <w:numPr>
          <w:ilvl w:val="0"/>
          <w:numId w:val="19"/>
        </w:numPr>
        <w:spacing w:after="40"/>
        <w:ind w:left="714" w:hanging="357"/>
        <w:contextualSpacing w:val="0"/>
        <w:jc w:val="both"/>
        <w:rPr>
          <w:rStyle w:val="Hyperlink"/>
          <w:rFonts w:cs="Arial"/>
          <w:sz w:val="20"/>
          <w:szCs w:val="20"/>
        </w:rPr>
      </w:pPr>
      <w:r w:rsidRPr="00B47CEB">
        <w:rPr>
          <w:rFonts w:cs="Arial"/>
          <w:sz w:val="20"/>
          <w:szCs w:val="20"/>
          <w:lang w:val="en-US"/>
        </w:rPr>
        <w:t xml:space="preserve">Bernard, A. </w:t>
      </w:r>
      <w:r w:rsidRPr="00B47CEB">
        <w:rPr>
          <w:rFonts w:cs="Arial"/>
          <w:i/>
          <w:iCs/>
          <w:sz w:val="20"/>
          <w:szCs w:val="20"/>
          <w:lang w:val="en-US"/>
        </w:rPr>
        <w:t>et al.</w:t>
      </w:r>
      <w:r w:rsidRPr="00B47CEB">
        <w:rPr>
          <w:rFonts w:cs="Arial"/>
          <w:sz w:val="20"/>
          <w:szCs w:val="20"/>
          <w:lang w:val="en-US"/>
        </w:rPr>
        <w:t xml:space="preserve"> 2021. Towards a global strategy for seabird tracking. </w:t>
      </w:r>
      <w:r w:rsidRPr="00B47CEB">
        <w:rPr>
          <w:rFonts w:cs="Arial"/>
          <w:i/>
          <w:iCs/>
          <w:sz w:val="20"/>
          <w:szCs w:val="20"/>
          <w:lang w:val="de-DE"/>
        </w:rPr>
        <w:t xml:space="preserve">Conserv. Lett. </w:t>
      </w:r>
      <w:r w:rsidRPr="00B47CEB">
        <w:rPr>
          <w:rFonts w:cs="Arial"/>
          <w:sz w:val="20"/>
          <w:szCs w:val="20"/>
          <w:lang w:val="de-DE"/>
        </w:rPr>
        <w:t xml:space="preserve">14, e12804. </w:t>
      </w:r>
      <w:hyperlink r:id="rId135" w:history="1">
        <w:r w:rsidRPr="00B47CEB">
          <w:rPr>
            <w:rStyle w:val="Hyperlink"/>
            <w:rFonts w:eastAsia="Calibri" w:cs="Arial"/>
            <w:sz w:val="20"/>
            <w:szCs w:val="20"/>
          </w:rPr>
          <w:t>https://doi.org/10.1111/cobi.14002</w:t>
        </w:r>
      </w:hyperlink>
    </w:p>
    <w:p w14:paraId="222BC148" w14:textId="77777777" w:rsidR="00AF1989" w:rsidRPr="00B47CEB" w:rsidRDefault="0020159F">
      <w:pPr>
        <w:pStyle w:val="ListParagraph"/>
        <w:numPr>
          <w:ilvl w:val="0"/>
          <w:numId w:val="19"/>
        </w:numPr>
        <w:spacing w:after="40" w:line="240" w:lineRule="auto"/>
        <w:ind w:left="714" w:hanging="357"/>
        <w:contextualSpacing w:val="0"/>
        <w:jc w:val="both"/>
        <w:rPr>
          <w:rStyle w:val="Hyperlink"/>
          <w:rFonts w:eastAsia="Calibri" w:cs="Arial"/>
          <w:sz w:val="20"/>
          <w:szCs w:val="20"/>
        </w:rPr>
      </w:pPr>
      <w:r w:rsidRPr="00B47CEB">
        <w:rPr>
          <w:rFonts w:eastAsia="Calibri" w:cs="Arial"/>
          <w:sz w:val="20"/>
          <w:szCs w:val="20"/>
          <w:lang w:val="fr-FR"/>
        </w:rPr>
        <w:t xml:space="preserve">Guilherme, J. L. </w:t>
      </w:r>
      <w:r w:rsidRPr="00B47CEB">
        <w:rPr>
          <w:rFonts w:eastAsia="Calibri" w:cs="Arial"/>
          <w:i/>
          <w:sz w:val="20"/>
          <w:szCs w:val="20"/>
          <w:lang w:val="fr-FR"/>
        </w:rPr>
        <w:t>et al.</w:t>
      </w:r>
      <w:r w:rsidRPr="00B47CEB">
        <w:rPr>
          <w:rFonts w:eastAsia="Calibri" w:cs="Arial"/>
          <w:sz w:val="20"/>
          <w:szCs w:val="20"/>
          <w:lang w:val="fr-FR"/>
        </w:rPr>
        <w:t xml:space="preserve"> 2023. </w:t>
      </w:r>
      <w:r w:rsidRPr="00B47CEB">
        <w:rPr>
          <w:rFonts w:eastAsia="Calibri" w:cs="Arial"/>
          <w:sz w:val="20"/>
          <w:szCs w:val="20"/>
        </w:rPr>
        <w:t xml:space="preserve">Connectivity between countries established by landbirds and raptors migrating along the African-Eurasian flyway. </w:t>
      </w:r>
      <w:r w:rsidRPr="00B47CEB">
        <w:rPr>
          <w:rFonts w:eastAsia="Calibri" w:cs="Arial"/>
          <w:i/>
          <w:iCs/>
          <w:sz w:val="20"/>
          <w:szCs w:val="20"/>
        </w:rPr>
        <w:t>Cons. Biol</w:t>
      </w:r>
      <w:r w:rsidRPr="00B47CEB">
        <w:rPr>
          <w:rFonts w:eastAsia="Calibri" w:cs="Arial"/>
          <w:sz w:val="20"/>
          <w:szCs w:val="20"/>
        </w:rPr>
        <w:t>. 37, e14002. https://doi.org/10.1111/conl.12804</w:t>
      </w:r>
    </w:p>
    <w:p w14:paraId="03A2A1AE" w14:textId="77777777" w:rsidR="00AF1989" w:rsidRPr="00B47CEB" w:rsidRDefault="0020159F">
      <w:pPr>
        <w:pStyle w:val="ListParagraph"/>
        <w:numPr>
          <w:ilvl w:val="0"/>
          <w:numId w:val="19"/>
        </w:numPr>
        <w:spacing w:after="40" w:line="240" w:lineRule="auto"/>
        <w:ind w:left="714" w:hanging="357"/>
        <w:contextualSpacing w:val="0"/>
        <w:jc w:val="both"/>
        <w:rPr>
          <w:rFonts w:eastAsia="Calibri" w:cs="Arial"/>
          <w:sz w:val="20"/>
          <w:szCs w:val="20"/>
        </w:rPr>
      </w:pPr>
      <w:r w:rsidRPr="00B47CEB">
        <w:rPr>
          <w:rFonts w:eastAsia="Calibri" w:cs="Arial"/>
          <w:sz w:val="20"/>
          <w:szCs w:val="20"/>
          <w:lang w:val="it-IT"/>
        </w:rPr>
        <w:t xml:space="preserve">Scarpignato, A. L. </w:t>
      </w:r>
      <w:r w:rsidRPr="00B47CEB">
        <w:rPr>
          <w:rFonts w:eastAsia="Calibri" w:cs="Arial"/>
          <w:i/>
          <w:sz w:val="20"/>
          <w:szCs w:val="20"/>
          <w:lang w:val="it-IT"/>
        </w:rPr>
        <w:t>et al</w:t>
      </w:r>
      <w:r w:rsidRPr="00B47CEB">
        <w:rPr>
          <w:rFonts w:eastAsia="Calibri" w:cs="Arial"/>
          <w:sz w:val="20"/>
          <w:szCs w:val="20"/>
          <w:lang w:val="it-IT"/>
        </w:rPr>
        <w:t xml:space="preserve">. 2023. </w:t>
      </w:r>
      <w:r w:rsidRPr="00B47CEB">
        <w:rPr>
          <w:rFonts w:eastAsia="Calibri" w:cs="Arial"/>
          <w:sz w:val="20"/>
          <w:szCs w:val="20"/>
        </w:rPr>
        <w:t xml:space="preserve">Shortfalls in tracking data available to inform North American migratory bird conservation. </w:t>
      </w:r>
      <w:r w:rsidRPr="00B47CEB">
        <w:rPr>
          <w:rFonts w:eastAsia="Calibri" w:cs="Arial"/>
          <w:i/>
          <w:iCs/>
          <w:sz w:val="20"/>
          <w:szCs w:val="20"/>
        </w:rPr>
        <w:t xml:space="preserve">Biol. Cons. </w:t>
      </w:r>
      <w:r w:rsidRPr="00B47CEB">
        <w:rPr>
          <w:rFonts w:eastAsia="Calibri" w:cs="Arial"/>
          <w:sz w:val="20"/>
          <w:szCs w:val="20"/>
        </w:rPr>
        <w:t xml:space="preserve">286, 110224. </w:t>
      </w:r>
      <w:hyperlink r:id="rId136" w:history="1">
        <w:r w:rsidRPr="00B47CEB">
          <w:rPr>
            <w:rStyle w:val="Hyperlink"/>
            <w:rFonts w:eastAsia="Calibri" w:cs="Arial"/>
            <w:sz w:val="20"/>
            <w:szCs w:val="20"/>
          </w:rPr>
          <w:t>https://doi.org/10.1016/j.biocon.2023.110224</w:t>
        </w:r>
      </w:hyperlink>
    </w:p>
    <w:p w14:paraId="11213E5F" w14:textId="77777777" w:rsidR="00AF1989" w:rsidRPr="00B47CEB" w:rsidRDefault="0020159F">
      <w:pPr>
        <w:pStyle w:val="ListParagraph"/>
        <w:numPr>
          <w:ilvl w:val="0"/>
          <w:numId w:val="19"/>
        </w:numPr>
        <w:spacing w:after="40" w:line="240" w:lineRule="auto"/>
        <w:ind w:left="714" w:hanging="357"/>
        <w:contextualSpacing w:val="0"/>
        <w:jc w:val="both"/>
        <w:rPr>
          <w:rFonts w:eastAsia="Calibri" w:cs="Arial"/>
          <w:sz w:val="20"/>
          <w:szCs w:val="20"/>
        </w:rPr>
      </w:pPr>
      <w:r w:rsidRPr="00B47CEB">
        <w:rPr>
          <w:rFonts w:eastAsia="Calibri" w:cs="Arial"/>
          <w:sz w:val="20"/>
          <w:szCs w:val="20"/>
        </w:rPr>
        <w:t xml:space="preserve">WILDLABS. 2024. </w:t>
      </w:r>
      <w:r w:rsidRPr="00B47CEB">
        <w:rPr>
          <w:rFonts w:eastAsia="Calibri" w:cs="Arial"/>
          <w:i/>
          <w:iCs/>
          <w:sz w:val="20"/>
          <w:szCs w:val="20"/>
        </w:rPr>
        <w:t>Introducing the Move BON Initiative</w:t>
      </w:r>
      <w:r w:rsidRPr="00B47CEB">
        <w:rPr>
          <w:rFonts w:eastAsia="Calibri" w:cs="Arial"/>
          <w:sz w:val="20"/>
          <w:szCs w:val="20"/>
        </w:rPr>
        <w:t xml:space="preserve">. </w:t>
      </w:r>
      <w:hyperlink r:id="rId137" w:history="1">
        <w:r w:rsidRPr="00B47CEB">
          <w:rPr>
            <w:rStyle w:val="Hyperlink"/>
            <w:rFonts w:eastAsia="Calibri" w:cs="Arial"/>
            <w:sz w:val="20"/>
            <w:szCs w:val="20"/>
          </w:rPr>
          <w:t>https://wildlabs.net/article/introducing-move-bon-initiative</w:t>
        </w:r>
      </w:hyperlink>
      <w:r w:rsidRPr="00B47CEB">
        <w:rPr>
          <w:rFonts w:eastAsia="Calibri" w:cs="Arial"/>
          <w:sz w:val="20"/>
          <w:szCs w:val="20"/>
        </w:rPr>
        <w:t xml:space="preserve"> [Accessed 9 October 2025]</w:t>
      </w:r>
    </w:p>
    <w:p w14:paraId="436271CB" w14:textId="77777777" w:rsidR="00AF1989" w:rsidRPr="00B47CEB" w:rsidRDefault="0020159F">
      <w:pPr>
        <w:pStyle w:val="ListParagraph"/>
        <w:numPr>
          <w:ilvl w:val="0"/>
          <w:numId w:val="19"/>
        </w:numPr>
        <w:spacing w:after="40"/>
        <w:ind w:left="714" w:hanging="357"/>
        <w:contextualSpacing w:val="0"/>
        <w:jc w:val="both"/>
        <w:rPr>
          <w:rStyle w:val="Hyperlink"/>
          <w:rFonts w:cs="Arial"/>
          <w:sz w:val="20"/>
          <w:szCs w:val="20"/>
        </w:rPr>
      </w:pPr>
      <w:r w:rsidRPr="00B47CEB">
        <w:rPr>
          <w:rStyle w:val="Hyperlink"/>
          <w:rFonts w:cs="Arial"/>
          <w:sz w:val="20"/>
          <w:szCs w:val="20"/>
        </w:rPr>
        <w:t xml:space="preserve">Convention on Wetlands. 2025. Global Wetland Outlook 2025: Valuing, conserving, restoring and financing wetlands. Gland, Switzerland: Secretariat of the Convention on Wetlands. </w:t>
      </w:r>
      <w:hyperlink r:id="rId138" w:history="1">
        <w:r w:rsidRPr="00B47CEB">
          <w:rPr>
            <w:rStyle w:val="Hyperlink"/>
            <w:rFonts w:cs="Arial"/>
            <w:sz w:val="20"/>
            <w:szCs w:val="20"/>
          </w:rPr>
          <w:t>https://doi.org/10.69556/GWO-2025-eng</w:t>
        </w:r>
      </w:hyperlink>
    </w:p>
    <w:p w14:paraId="32B443D3" w14:textId="77777777" w:rsidR="00AF1989" w:rsidRPr="00B47CEB" w:rsidRDefault="0020159F">
      <w:pPr>
        <w:pStyle w:val="ListParagraph"/>
        <w:numPr>
          <w:ilvl w:val="0"/>
          <w:numId w:val="19"/>
        </w:numPr>
        <w:spacing w:after="40"/>
        <w:ind w:left="714" w:hanging="357"/>
        <w:contextualSpacing w:val="0"/>
        <w:jc w:val="both"/>
        <w:rPr>
          <w:rFonts w:cs="Arial"/>
          <w:sz w:val="20"/>
          <w:szCs w:val="20"/>
        </w:rPr>
      </w:pPr>
      <w:r w:rsidRPr="00B47CEB">
        <w:rPr>
          <w:rFonts w:eastAsia="Calibri" w:cs="Arial"/>
          <w:sz w:val="20"/>
          <w:szCs w:val="20"/>
          <w:lang w:val="pt-PT"/>
        </w:rPr>
        <w:t xml:space="preserve">Sequeira, A. M. M. </w:t>
      </w:r>
      <w:r w:rsidRPr="00B47CEB">
        <w:rPr>
          <w:rFonts w:eastAsia="Calibri" w:cs="Arial"/>
          <w:i/>
          <w:sz w:val="20"/>
          <w:szCs w:val="20"/>
          <w:lang w:val="pt-PT"/>
        </w:rPr>
        <w:t>et al.</w:t>
      </w:r>
      <w:r w:rsidRPr="00B47CEB">
        <w:rPr>
          <w:rFonts w:eastAsia="Calibri" w:cs="Arial"/>
          <w:sz w:val="20"/>
          <w:szCs w:val="20"/>
          <w:lang w:val="pt-PT"/>
        </w:rPr>
        <w:t xml:space="preserve"> 2025. </w:t>
      </w:r>
      <w:r w:rsidRPr="00B47CEB">
        <w:rPr>
          <w:rFonts w:eastAsia="Calibri" w:cs="Arial"/>
          <w:sz w:val="20"/>
          <w:szCs w:val="20"/>
        </w:rPr>
        <w:t xml:space="preserve">Global tracking of marine megafauna space use reveals how to achieve conservation goals. </w:t>
      </w:r>
      <w:r w:rsidRPr="00B47CEB">
        <w:rPr>
          <w:rFonts w:eastAsia="Calibri" w:cs="Arial"/>
          <w:i/>
          <w:iCs/>
          <w:sz w:val="20"/>
          <w:szCs w:val="20"/>
        </w:rPr>
        <w:t>Science</w:t>
      </w:r>
      <w:r w:rsidRPr="00B47CEB">
        <w:rPr>
          <w:rFonts w:eastAsia="Calibri" w:cs="Arial"/>
          <w:sz w:val="20"/>
          <w:szCs w:val="20"/>
        </w:rPr>
        <w:t xml:space="preserve"> 388(6751), 1086-1097. </w:t>
      </w:r>
      <w:hyperlink r:id="rId139" w:history="1">
        <w:r w:rsidRPr="00B47CEB">
          <w:rPr>
            <w:rStyle w:val="Hyperlink"/>
            <w:rFonts w:eastAsia="Calibri" w:cs="Arial"/>
            <w:sz w:val="20"/>
            <w:szCs w:val="20"/>
          </w:rPr>
          <w:t>https://doi.org/10.1126/science.adl0239</w:t>
        </w:r>
      </w:hyperlink>
    </w:p>
    <w:p w14:paraId="489ACFA4" w14:textId="77777777" w:rsidR="00AF1989" w:rsidRPr="00B47CEB" w:rsidRDefault="0020159F">
      <w:pPr>
        <w:pStyle w:val="ListParagraph"/>
        <w:numPr>
          <w:ilvl w:val="0"/>
          <w:numId w:val="19"/>
        </w:numPr>
        <w:spacing w:after="40" w:line="240" w:lineRule="auto"/>
        <w:ind w:left="714" w:hanging="357"/>
        <w:contextualSpacing w:val="0"/>
        <w:jc w:val="both"/>
        <w:rPr>
          <w:rFonts w:eastAsia="Calibri" w:cs="Arial"/>
          <w:sz w:val="20"/>
          <w:szCs w:val="20"/>
        </w:rPr>
      </w:pPr>
      <w:proofErr w:type="spellStart"/>
      <w:r w:rsidRPr="00B47CEB">
        <w:rPr>
          <w:rFonts w:eastAsia="Calibri" w:cs="Arial"/>
          <w:sz w:val="20"/>
          <w:szCs w:val="20"/>
          <w:lang w:val="fr-FR"/>
        </w:rPr>
        <w:t>Nisi</w:t>
      </w:r>
      <w:proofErr w:type="spellEnd"/>
      <w:r w:rsidRPr="00B47CEB">
        <w:rPr>
          <w:rFonts w:eastAsia="Calibri" w:cs="Arial"/>
          <w:sz w:val="20"/>
          <w:szCs w:val="20"/>
          <w:lang w:val="fr-FR"/>
        </w:rPr>
        <w:t xml:space="preserve">, A. C. </w:t>
      </w:r>
      <w:r w:rsidRPr="00B47CEB">
        <w:rPr>
          <w:rFonts w:eastAsia="Calibri" w:cs="Arial"/>
          <w:i/>
          <w:sz w:val="20"/>
          <w:szCs w:val="20"/>
          <w:lang w:val="fr-FR"/>
        </w:rPr>
        <w:t>et al.</w:t>
      </w:r>
      <w:r w:rsidRPr="00B47CEB">
        <w:rPr>
          <w:rFonts w:eastAsia="Calibri" w:cs="Arial"/>
          <w:sz w:val="20"/>
          <w:szCs w:val="20"/>
          <w:lang w:val="fr-FR"/>
        </w:rPr>
        <w:t xml:space="preserve"> 2024. </w:t>
      </w:r>
      <w:r w:rsidRPr="00B47CEB">
        <w:rPr>
          <w:rFonts w:eastAsia="Calibri" w:cs="Arial"/>
          <w:sz w:val="20"/>
          <w:szCs w:val="20"/>
        </w:rPr>
        <w:t xml:space="preserve">Ship collision risk threatens whales across the world’s oceans. </w:t>
      </w:r>
      <w:r w:rsidRPr="00B47CEB">
        <w:rPr>
          <w:rFonts w:eastAsia="Calibri" w:cs="Arial"/>
          <w:i/>
          <w:iCs/>
          <w:sz w:val="20"/>
          <w:szCs w:val="20"/>
        </w:rPr>
        <w:t>Science</w:t>
      </w:r>
      <w:r w:rsidRPr="00B47CEB">
        <w:rPr>
          <w:rFonts w:eastAsia="Calibri" w:cs="Arial"/>
          <w:sz w:val="20"/>
          <w:szCs w:val="20"/>
        </w:rPr>
        <w:t xml:space="preserve"> 386(6724), 870-875. </w:t>
      </w:r>
      <w:hyperlink r:id="rId140" w:history="1">
        <w:r w:rsidRPr="00B47CEB">
          <w:rPr>
            <w:rStyle w:val="Hyperlink"/>
            <w:rFonts w:eastAsia="Calibri" w:cs="Arial"/>
            <w:sz w:val="20"/>
            <w:szCs w:val="20"/>
          </w:rPr>
          <w:t>https://doi.org/1126/science.adp1950</w:t>
        </w:r>
      </w:hyperlink>
    </w:p>
    <w:p w14:paraId="761CA62F" w14:textId="77777777" w:rsidR="00AF1989" w:rsidRPr="00B47CEB" w:rsidRDefault="00AF1989">
      <w:pPr>
        <w:pStyle w:val="ListParagraph"/>
        <w:spacing w:after="40" w:line="240" w:lineRule="auto"/>
        <w:ind w:left="714"/>
        <w:contextualSpacing w:val="0"/>
        <w:jc w:val="both"/>
        <w:rPr>
          <w:rFonts w:eastAsia="Calibri" w:cs="Arial"/>
          <w:sz w:val="20"/>
          <w:szCs w:val="20"/>
          <w:lang w:val="fr-FR"/>
        </w:rPr>
      </w:pPr>
    </w:p>
    <w:p w14:paraId="44205096" w14:textId="233D456E" w:rsidR="00AF1989" w:rsidRPr="00AE0F5C" w:rsidRDefault="00AE0F5C" w:rsidP="000D06C2">
      <w:pPr>
        <w:pStyle w:val="ListParagraph"/>
        <w:numPr>
          <w:ilvl w:val="0"/>
          <w:numId w:val="47"/>
        </w:numPr>
        <w:spacing w:after="0" w:line="240" w:lineRule="auto"/>
        <w:ind w:left="357" w:hanging="357"/>
        <w:contextualSpacing w:val="0"/>
        <w:rPr>
          <w:rFonts w:cs="Arial"/>
          <w:b/>
          <w:bCs/>
          <w:sz w:val="20"/>
          <w:szCs w:val="20"/>
          <w:lang w:val="fr-FR"/>
        </w:rPr>
      </w:pPr>
      <w:r w:rsidRPr="00AE0F5C">
        <w:rPr>
          <w:rFonts w:cs="Arial"/>
          <w:b/>
          <w:bCs/>
          <w:sz w:val="20"/>
          <w:szCs w:val="20"/>
          <w:lang w:val="fr-FR"/>
        </w:rPr>
        <w:t>Progrès récents dans la cartographie des voies migratoires</w:t>
      </w:r>
    </w:p>
    <w:p w14:paraId="26C0598B" w14:textId="77777777" w:rsidR="00AF1989" w:rsidRPr="00B47CEB" w:rsidRDefault="00AF1989">
      <w:pPr>
        <w:pStyle w:val="ListParagraph"/>
        <w:spacing w:after="0" w:line="240" w:lineRule="auto"/>
        <w:ind w:left="357"/>
        <w:contextualSpacing w:val="0"/>
        <w:rPr>
          <w:rFonts w:cs="Arial"/>
          <w:b/>
          <w:bCs/>
          <w:sz w:val="20"/>
          <w:szCs w:val="20"/>
          <w:lang w:val="fr-FR"/>
        </w:rPr>
      </w:pPr>
    </w:p>
    <w:p w14:paraId="3C37F52D"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lang w:val="pt-PT"/>
        </w:rPr>
        <w:t xml:space="preserve">Sequeira, A. M. M. </w:t>
      </w:r>
      <w:r w:rsidRPr="00B47CEB">
        <w:rPr>
          <w:rFonts w:eastAsia="Calibri" w:cs="Arial"/>
          <w:i/>
          <w:sz w:val="20"/>
          <w:szCs w:val="20"/>
          <w:lang w:val="pt-PT"/>
        </w:rPr>
        <w:t>et al.</w:t>
      </w:r>
      <w:r w:rsidRPr="00B47CEB">
        <w:rPr>
          <w:rFonts w:eastAsia="Calibri" w:cs="Arial"/>
          <w:sz w:val="20"/>
          <w:szCs w:val="20"/>
          <w:lang w:val="pt-PT"/>
        </w:rPr>
        <w:t xml:space="preserve"> 2025. </w:t>
      </w:r>
      <w:r w:rsidRPr="00B47CEB">
        <w:rPr>
          <w:rFonts w:eastAsia="Calibri" w:cs="Arial"/>
          <w:sz w:val="20"/>
          <w:szCs w:val="20"/>
        </w:rPr>
        <w:t xml:space="preserve">Global tracking of marine megafauna space use reveals how to achieve conservation goals. </w:t>
      </w:r>
      <w:r w:rsidRPr="00B47CEB">
        <w:rPr>
          <w:rFonts w:eastAsia="Calibri" w:cs="Arial"/>
          <w:i/>
          <w:iCs/>
          <w:sz w:val="20"/>
          <w:szCs w:val="20"/>
        </w:rPr>
        <w:t>Science</w:t>
      </w:r>
      <w:r w:rsidRPr="00B47CEB">
        <w:rPr>
          <w:rFonts w:eastAsia="Calibri" w:cs="Arial"/>
          <w:sz w:val="20"/>
          <w:szCs w:val="20"/>
        </w:rPr>
        <w:t xml:space="preserve"> 388(6751), 1086-1097. </w:t>
      </w:r>
      <w:hyperlink r:id="rId141" w:history="1">
        <w:r w:rsidRPr="00B47CEB">
          <w:rPr>
            <w:rStyle w:val="Hyperlink"/>
            <w:rFonts w:eastAsia="Calibri" w:cs="Arial"/>
            <w:sz w:val="20"/>
            <w:szCs w:val="20"/>
          </w:rPr>
          <w:t>https://doi.org/10.1126/science.adl0239</w:t>
        </w:r>
      </w:hyperlink>
    </w:p>
    <w:p w14:paraId="49C5845B"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proofErr w:type="spellStart"/>
      <w:r w:rsidRPr="00B47CEB">
        <w:rPr>
          <w:rFonts w:eastAsia="Calibri" w:cs="Arial"/>
          <w:sz w:val="20"/>
          <w:szCs w:val="20"/>
        </w:rPr>
        <w:t>Nandintsetseg</w:t>
      </w:r>
      <w:proofErr w:type="spellEnd"/>
      <w:r w:rsidRPr="00B47CEB">
        <w:rPr>
          <w:rFonts w:eastAsia="Calibri" w:cs="Arial"/>
          <w:sz w:val="20"/>
          <w:szCs w:val="20"/>
        </w:rPr>
        <w:t xml:space="preserve">, D. </w:t>
      </w:r>
      <w:r w:rsidRPr="00B47CEB">
        <w:rPr>
          <w:rFonts w:eastAsia="Calibri" w:cs="Arial"/>
          <w:i/>
          <w:iCs/>
          <w:sz w:val="20"/>
          <w:szCs w:val="20"/>
        </w:rPr>
        <w:t>et al</w:t>
      </w:r>
      <w:r w:rsidRPr="00B47CEB">
        <w:rPr>
          <w:rFonts w:eastAsia="Calibri" w:cs="Arial"/>
          <w:sz w:val="20"/>
          <w:szCs w:val="20"/>
        </w:rPr>
        <w:t xml:space="preserve">. 2019. Challenges in the conservation of wide-ranging nomadic species. </w:t>
      </w:r>
      <w:r w:rsidRPr="00B47CEB">
        <w:rPr>
          <w:rFonts w:eastAsia="Calibri" w:cs="Arial"/>
          <w:i/>
          <w:iCs/>
          <w:sz w:val="20"/>
          <w:szCs w:val="20"/>
        </w:rPr>
        <w:t xml:space="preserve">J. Appl. Ecol. </w:t>
      </w:r>
      <w:r w:rsidRPr="00B47CEB">
        <w:rPr>
          <w:rFonts w:eastAsia="Calibri" w:cs="Arial"/>
          <w:sz w:val="20"/>
          <w:szCs w:val="20"/>
        </w:rPr>
        <w:t xml:space="preserve">56(8), 1916-1926. </w:t>
      </w:r>
      <w:hyperlink r:id="rId142" w:history="1">
        <w:r w:rsidRPr="00B47CEB">
          <w:rPr>
            <w:rStyle w:val="Hyperlink"/>
            <w:rFonts w:eastAsia="Calibri" w:cs="Arial"/>
            <w:sz w:val="20"/>
            <w:szCs w:val="20"/>
          </w:rPr>
          <w:t>https://doi.org/10.1111/1365-2664.13380</w:t>
        </w:r>
      </w:hyperlink>
    </w:p>
    <w:p w14:paraId="39737C10"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proofErr w:type="spellStart"/>
      <w:r w:rsidRPr="00B47CEB">
        <w:rPr>
          <w:rFonts w:eastAsia="Calibri" w:cs="Arial"/>
          <w:sz w:val="20"/>
          <w:szCs w:val="20"/>
        </w:rPr>
        <w:t>Mendgen</w:t>
      </w:r>
      <w:proofErr w:type="spellEnd"/>
      <w:r w:rsidRPr="00B47CEB">
        <w:rPr>
          <w:rFonts w:eastAsia="Calibri" w:cs="Arial"/>
          <w:sz w:val="20"/>
          <w:szCs w:val="20"/>
        </w:rPr>
        <w:t xml:space="preserve">, P. </w:t>
      </w:r>
      <w:r w:rsidRPr="00B47CEB">
        <w:rPr>
          <w:rFonts w:eastAsia="Calibri" w:cs="Arial"/>
          <w:i/>
          <w:iCs/>
          <w:sz w:val="20"/>
          <w:szCs w:val="20"/>
        </w:rPr>
        <w:t>et al</w:t>
      </w:r>
      <w:r w:rsidRPr="00B47CEB">
        <w:rPr>
          <w:rFonts w:eastAsia="Calibri" w:cs="Arial"/>
          <w:sz w:val="20"/>
          <w:szCs w:val="20"/>
        </w:rPr>
        <w:t xml:space="preserve">. 2023. Nomadic ungulate movements under threat: Declining mobility of Mongolian gazelles in the Eastern Steppe of Mongolia. </w:t>
      </w:r>
      <w:r w:rsidRPr="00B47CEB">
        <w:rPr>
          <w:rFonts w:eastAsia="Calibri" w:cs="Arial"/>
          <w:i/>
          <w:iCs/>
          <w:sz w:val="20"/>
          <w:szCs w:val="20"/>
        </w:rPr>
        <w:t>Biol. Cons.</w:t>
      </w:r>
      <w:r w:rsidRPr="00B47CEB">
        <w:rPr>
          <w:rFonts w:eastAsia="Calibri" w:cs="Arial"/>
          <w:sz w:val="20"/>
          <w:szCs w:val="20"/>
        </w:rPr>
        <w:t xml:space="preserve"> 286, 110271. https://doi.org/10.1016/j.biocon.2023.110271</w:t>
      </w:r>
    </w:p>
    <w:p w14:paraId="1E6B45F6"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proofErr w:type="spellStart"/>
      <w:r w:rsidRPr="00B47CEB">
        <w:rPr>
          <w:rFonts w:eastAsia="Calibri" w:cs="Arial"/>
          <w:sz w:val="20"/>
          <w:szCs w:val="20"/>
          <w:lang w:val="fr-FR"/>
        </w:rPr>
        <w:t>Nisi</w:t>
      </w:r>
      <w:proofErr w:type="spellEnd"/>
      <w:r w:rsidRPr="00B47CEB">
        <w:rPr>
          <w:rFonts w:eastAsia="Calibri" w:cs="Arial"/>
          <w:sz w:val="20"/>
          <w:szCs w:val="20"/>
          <w:lang w:val="fr-FR"/>
        </w:rPr>
        <w:t xml:space="preserve">, A. C. </w:t>
      </w:r>
      <w:r w:rsidRPr="00B47CEB">
        <w:rPr>
          <w:rFonts w:eastAsia="Calibri" w:cs="Arial"/>
          <w:i/>
          <w:sz w:val="20"/>
          <w:szCs w:val="20"/>
          <w:lang w:val="fr-FR"/>
        </w:rPr>
        <w:t>et al.</w:t>
      </w:r>
      <w:r w:rsidRPr="00B47CEB">
        <w:rPr>
          <w:rFonts w:eastAsia="Calibri" w:cs="Arial"/>
          <w:sz w:val="20"/>
          <w:szCs w:val="20"/>
          <w:lang w:val="fr-FR"/>
        </w:rPr>
        <w:t xml:space="preserve"> 2024. </w:t>
      </w:r>
      <w:r w:rsidRPr="00B47CEB">
        <w:rPr>
          <w:rFonts w:eastAsia="Calibri" w:cs="Arial"/>
          <w:sz w:val="20"/>
          <w:szCs w:val="20"/>
        </w:rPr>
        <w:t xml:space="preserve">Ship collision risk threatens whales across the world’s oceans. </w:t>
      </w:r>
      <w:r w:rsidRPr="00B47CEB">
        <w:rPr>
          <w:rFonts w:eastAsia="Calibri" w:cs="Arial"/>
          <w:i/>
          <w:iCs/>
          <w:sz w:val="20"/>
          <w:szCs w:val="20"/>
        </w:rPr>
        <w:t>Science</w:t>
      </w:r>
      <w:r w:rsidRPr="00B47CEB">
        <w:rPr>
          <w:rFonts w:eastAsia="Calibri" w:cs="Arial"/>
          <w:sz w:val="20"/>
          <w:szCs w:val="20"/>
        </w:rPr>
        <w:t xml:space="preserve"> 386(6724), 870-875. </w:t>
      </w:r>
      <w:hyperlink r:id="rId143" w:history="1">
        <w:r w:rsidRPr="00B47CEB">
          <w:rPr>
            <w:rStyle w:val="Hyperlink"/>
            <w:rFonts w:eastAsia="Calibri" w:cs="Arial"/>
            <w:sz w:val="20"/>
            <w:szCs w:val="20"/>
          </w:rPr>
          <w:t>https://doi.org/1126/science.adp1950</w:t>
        </w:r>
      </w:hyperlink>
    </w:p>
    <w:p w14:paraId="1467A12C" w14:textId="77777777" w:rsidR="00AF1989" w:rsidRPr="00B47CEB" w:rsidRDefault="0020159F">
      <w:pPr>
        <w:pStyle w:val="ListParagraph"/>
        <w:numPr>
          <w:ilvl w:val="0"/>
          <w:numId w:val="20"/>
        </w:numPr>
        <w:spacing w:after="40" w:line="240" w:lineRule="auto"/>
        <w:ind w:left="714" w:hanging="357"/>
        <w:contextualSpacing w:val="0"/>
        <w:jc w:val="both"/>
        <w:rPr>
          <w:rStyle w:val="Hyperlink"/>
          <w:rFonts w:eastAsia="Calibri" w:cs="Arial"/>
          <w:sz w:val="20"/>
          <w:szCs w:val="20"/>
        </w:rPr>
      </w:pPr>
      <w:r w:rsidRPr="00B47CEB">
        <w:rPr>
          <w:rFonts w:eastAsia="Calibri" w:cs="Arial"/>
          <w:sz w:val="20"/>
          <w:szCs w:val="20"/>
        </w:rPr>
        <w:t xml:space="preserve">Sun, J. </w:t>
      </w:r>
      <w:r w:rsidRPr="00B47CEB">
        <w:rPr>
          <w:rFonts w:eastAsia="Calibri" w:cs="Arial"/>
          <w:i/>
          <w:iCs/>
          <w:sz w:val="20"/>
          <w:szCs w:val="20"/>
        </w:rPr>
        <w:t>et al</w:t>
      </w:r>
      <w:r w:rsidRPr="00B47CEB">
        <w:rPr>
          <w:rFonts w:eastAsia="Calibri" w:cs="Arial"/>
          <w:sz w:val="20"/>
          <w:szCs w:val="20"/>
        </w:rPr>
        <w:t xml:space="preserve">. 2025. Widespread and strong impacts of river fragmentation by anthropogenic barriers on fishes in the Mekong River Basin. </w:t>
      </w:r>
      <w:r w:rsidRPr="00B47CEB">
        <w:rPr>
          <w:rFonts w:eastAsia="Calibri" w:cs="Arial"/>
          <w:i/>
          <w:iCs/>
          <w:sz w:val="20"/>
          <w:szCs w:val="20"/>
        </w:rPr>
        <w:t xml:space="preserve">Commun. Earth. Environ. </w:t>
      </w:r>
      <w:r w:rsidRPr="00B47CEB">
        <w:rPr>
          <w:rFonts w:eastAsia="Calibri" w:cs="Arial"/>
          <w:sz w:val="20"/>
          <w:szCs w:val="20"/>
        </w:rPr>
        <w:t xml:space="preserve">6, 534. </w:t>
      </w:r>
      <w:hyperlink r:id="rId144" w:history="1">
        <w:r w:rsidRPr="00B47CEB">
          <w:rPr>
            <w:rStyle w:val="Hyperlink"/>
            <w:rFonts w:eastAsia="Calibri" w:cs="Arial"/>
            <w:sz w:val="20"/>
            <w:szCs w:val="20"/>
          </w:rPr>
          <w:t>https://doi.org/10.1038/s43247-025-02467-y</w:t>
        </w:r>
      </w:hyperlink>
    </w:p>
    <w:p w14:paraId="669ECE4D"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rPr>
        <w:t>UNEP/CMS, Eds. 2025. Central Asian Mammals Migration and Linear Infrastructure Atlas. CMS Technical Series No. 41. Bonn, Germany. Available at: https://www.cms.int/cami/es/node/26514</w:t>
      </w:r>
    </w:p>
    <w:p w14:paraId="755D5E73" w14:textId="77777777" w:rsidR="00AF1989" w:rsidRPr="00B47CEB" w:rsidRDefault="0020159F">
      <w:pPr>
        <w:pStyle w:val="ListParagraph"/>
        <w:numPr>
          <w:ilvl w:val="0"/>
          <w:numId w:val="20"/>
        </w:numPr>
        <w:spacing w:after="40" w:line="240" w:lineRule="auto"/>
        <w:ind w:left="714" w:hanging="357"/>
        <w:contextualSpacing w:val="0"/>
        <w:jc w:val="both"/>
        <w:rPr>
          <w:rStyle w:val="Hyperlink"/>
          <w:rFonts w:eastAsia="Calibri" w:cs="Arial"/>
          <w:sz w:val="20"/>
          <w:szCs w:val="20"/>
        </w:rPr>
      </w:pPr>
      <w:r w:rsidRPr="00B47CEB">
        <w:rPr>
          <w:rFonts w:eastAsia="Calibri" w:cs="Arial"/>
          <w:sz w:val="20"/>
          <w:szCs w:val="20"/>
        </w:rPr>
        <w:lastRenderedPageBreak/>
        <w:t xml:space="preserve">Womersley </w:t>
      </w:r>
      <w:r w:rsidRPr="00B47CEB">
        <w:rPr>
          <w:rFonts w:eastAsia="Calibri" w:cs="Arial"/>
          <w:i/>
          <w:iCs/>
          <w:sz w:val="20"/>
          <w:szCs w:val="20"/>
        </w:rPr>
        <w:t>et al</w:t>
      </w:r>
      <w:r w:rsidRPr="00B47CEB">
        <w:rPr>
          <w:rFonts w:eastAsia="Calibri" w:cs="Arial"/>
          <w:sz w:val="20"/>
          <w:szCs w:val="20"/>
        </w:rPr>
        <w:t xml:space="preserve">. 2024. Identifying priority sites for whale shark ship collision management globally. </w:t>
      </w:r>
      <w:r w:rsidRPr="00B47CEB">
        <w:rPr>
          <w:rFonts w:eastAsia="Calibri" w:cs="Arial"/>
          <w:i/>
          <w:iCs/>
          <w:sz w:val="20"/>
          <w:szCs w:val="20"/>
        </w:rPr>
        <w:t xml:space="preserve">Sci. Tot. Env. </w:t>
      </w:r>
      <w:r w:rsidRPr="00B47CEB">
        <w:rPr>
          <w:rFonts w:eastAsia="Calibri" w:cs="Arial"/>
          <w:sz w:val="20"/>
          <w:szCs w:val="20"/>
        </w:rPr>
        <w:t xml:space="preserve">934, 172776. </w:t>
      </w:r>
      <w:hyperlink r:id="rId145" w:history="1">
        <w:r w:rsidRPr="00B47CEB">
          <w:rPr>
            <w:rStyle w:val="Hyperlink"/>
            <w:rFonts w:eastAsia="Calibri" w:cs="Arial"/>
            <w:sz w:val="20"/>
            <w:szCs w:val="20"/>
          </w:rPr>
          <w:t>https://doi.org/10.1016/j.scitotenv.2024.172776</w:t>
        </w:r>
      </w:hyperlink>
    </w:p>
    <w:p w14:paraId="19FD52FF"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Style w:val="Hyperlink"/>
          <w:rFonts w:eastAsia="Calibri" w:cs="Arial"/>
          <w:color w:val="000000" w:themeColor="text1"/>
          <w:sz w:val="20"/>
          <w:szCs w:val="20"/>
          <w:u w:val="none"/>
          <w:lang w:val="fr-FR"/>
        </w:rPr>
        <w:t xml:space="preserve">Clark, B. L. </w:t>
      </w:r>
      <w:r w:rsidRPr="00B47CEB">
        <w:rPr>
          <w:rStyle w:val="Hyperlink"/>
          <w:rFonts w:eastAsia="Calibri" w:cs="Arial"/>
          <w:i/>
          <w:color w:val="000000" w:themeColor="text1"/>
          <w:sz w:val="20"/>
          <w:szCs w:val="20"/>
          <w:u w:val="none"/>
          <w:lang w:val="fr-FR"/>
        </w:rPr>
        <w:t>et al</w:t>
      </w:r>
      <w:r w:rsidRPr="00B47CEB">
        <w:rPr>
          <w:rStyle w:val="Hyperlink"/>
          <w:rFonts w:eastAsia="Calibri" w:cs="Arial"/>
          <w:color w:val="000000" w:themeColor="text1"/>
          <w:sz w:val="20"/>
          <w:szCs w:val="20"/>
          <w:u w:val="none"/>
          <w:lang w:val="fr-FR"/>
        </w:rPr>
        <w:t xml:space="preserve">. 2023. </w:t>
      </w:r>
      <w:r w:rsidRPr="00B47CEB">
        <w:rPr>
          <w:rStyle w:val="Hyperlink"/>
          <w:rFonts w:eastAsia="Calibri" w:cs="Arial"/>
          <w:color w:val="000000" w:themeColor="text1"/>
          <w:sz w:val="20"/>
          <w:szCs w:val="20"/>
          <w:u w:val="none"/>
        </w:rPr>
        <w:t xml:space="preserve">Global assessment of marine plastic exposure risk for oceanic birds. </w:t>
      </w:r>
      <w:r w:rsidRPr="00B47CEB">
        <w:rPr>
          <w:rStyle w:val="Hyperlink"/>
          <w:rFonts w:eastAsia="Calibri" w:cs="Arial"/>
          <w:i/>
          <w:color w:val="000000" w:themeColor="text1"/>
          <w:sz w:val="20"/>
          <w:szCs w:val="20"/>
          <w:u w:val="none"/>
        </w:rPr>
        <w:t xml:space="preserve">Nat. Commun. </w:t>
      </w:r>
      <w:r w:rsidRPr="00B47CEB">
        <w:rPr>
          <w:rStyle w:val="Hyperlink"/>
          <w:rFonts w:eastAsia="Calibri" w:cs="Arial"/>
          <w:color w:val="000000" w:themeColor="text1"/>
          <w:sz w:val="20"/>
          <w:szCs w:val="20"/>
          <w:u w:val="none"/>
        </w:rPr>
        <w:t>13, 3665. https://doi.org/10.1038/s41467-023-38900-z</w:t>
      </w:r>
    </w:p>
    <w:p w14:paraId="2665C5CC"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rPr>
        <w:t xml:space="preserve">Beal, M. </w:t>
      </w:r>
      <w:r w:rsidRPr="00B47CEB">
        <w:rPr>
          <w:rFonts w:eastAsia="Calibri" w:cs="Arial"/>
          <w:i/>
          <w:iCs/>
          <w:sz w:val="20"/>
          <w:szCs w:val="20"/>
        </w:rPr>
        <w:t>et al</w:t>
      </w:r>
      <w:r w:rsidRPr="00B47CEB">
        <w:rPr>
          <w:rFonts w:eastAsia="Calibri" w:cs="Arial"/>
          <w:sz w:val="20"/>
          <w:szCs w:val="20"/>
        </w:rPr>
        <w:t xml:space="preserve">. 2021. Global political responsibility for the conservation of albatrosses and large petrels. </w:t>
      </w:r>
      <w:r w:rsidRPr="00B47CEB">
        <w:rPr>
          <w:rFonts w:eastAsia="Calibri" w:cs="Arial"/>
          <w:i/>
          <w:iCs/>
          <w:sz w:val="20"/>
          <w:szCs w:val="20"/>
        </w:rPr>
        <w:t>Sci. Adv.</w:t>
      </w:r>
      <w:r w:rsidRPr="00B47CEB">
        <w:rPr>
          <w:rFonts w:eastAsia="Calibri" w:cs="Arial"/>
          <w:sz w:val="20"/>
          <w:szCs w:val="20"/>
        </w:rPr>
        <w:t xml:space="preserve"> 7(10), eabd7225. </w:t>
      </w:r>
      <w:hyperlink r:id="rId146" w:history="1">
        <w:r w:rsidRPr="00B47CEB">
          <w:rPr>
            <w:rStyle w:val="Hyperlink"/>
            <w:rFonts w:eastAsia="Calibri" w:cs="Arial"/>
            <w:sz w:val="20"/>
            <w:szCs w:val="20"/>
          </w:rPr>
          <w:t>https://doi.org/10.1126/sciadv.abd7225</w:t>
        </w:r>
      </w:hyperlink>
    </w:p>
    <w:p w14:paraId="2961EFB0"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bookmarkStart w:id="15" w:name="_Hlk210915273"/>
      <w:r w:rsidRPr="00B47CEB">
        <w:rPr>
          <w:rFonts w:eastAsia="Calibri" w:cs="Arial"/>
          <w:sz w:val="20"/>
          <w:szCs w:val="20"/>
          <w:lang w:val="fr-FR"/>
        </w:rPr>
        <w:t xml:space="preserve">Guilherme, J. L. </w:t>
      </w:r>
      <w:r w:rsidRPr="00B47CEB">
        <w:rPr>
          <w:rFonts w:eastAsia="Calibri" w:cs="Arial"/>
          <w:i/>
          <w:sz w:val="20"/>
          <w:szCs w:val="20"/>
          <w:lang w:val="fr-FR"/>
        </w:rPr>
        <w:t>et al.</w:t>
      </w:r>
      <w:r w:rsidRPr="00B47CEB">
        <w:rPr>
          <w:rFonts w:eastAsia="Calibri" w:cs="Arial"/>
          <w:sz w:val="20"/>
          <w:szCs w:val="20"/>
          <w:lang w:val="fr-FR"/>
        </w:rPr>
        <w:t xml:space="preserve"> 2023. </w:t>
      </w:r>
      <w:r w:rsidRPr="00B47CEB">
        <w:rPr>
          <w:rFonts w:eastAsia="Calibri" w:cs="Arial"/>
          <w:sz w:val="20"/>
          <w:szCs w:val="20"/>
        </w:rPr>
        <w:t xml:space="preserve">Connectivity between countries established by landbirds and raptors migrating along the African-Eurasian flyway. </w:t>
      </w:r>
      <w:r w:rsidRPr="00B47CEB">
        <w:rPr>
          <w:rFonts w:eastAsia="Calibri" w:cs="Arial"/>
          <w:i/>
          <w:iCs/>
          <w:sz w:val="20"/>
          <w:szCs w:val="20"/>
        </w:rPr>
        <w:t>Cons. Biol</w:t>
      </w:r>
      <w:r w:rsidRPr="00B47CEB">
        <w:rPr>
          <w:rFonts w:eastAsia="Calibri" w:cs="Arial"/>
          <w:sz w:val="20"/>
          <w:szCs w:val="20"/>
        </w:rPr>
        <w:t xml:space="preserve">. 37, e14002. </w:t>
      </w:r>
      <w:hyperlink r:id="rId147" w:history="1">
        <w:r w:rsidRPr="00B47CEB">
          <w:rPr>
            <w:rStyle w:val="Hyperlink"/>
            <w:rFonts w:eastAsia="Calibri" w:cs="Arial"/>
            <w:sz w:val="20"/>
            <w:szCs w:val="20"/>
          </w:rPr>
          <w:t>https://doi.org/10.1111/cobi.14002</w:t>
        </w:r>
      </w:hyperlink>
    </w:p>
    <w:bookmarkEnd w:id="15"/>
    <w:p w14:paraId="2D34FED7"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rPr>
        <w:t xml:space="preserve">Beal, M. </w:t>
      </w:r>
      <w:r w:rsidRPr="00B47CEB">
        <w:rPr>
          <w:rFonts w:eastAsia="Calibri" w:cs="Arial"/>
          <w:i/>
          <w:iCs/>
          <w:sz w:val="20"/>
          <w:szCs w:val="20"/>
        </w:rPr>
        <w:t xml:space="preserve">et al. </w:t>
      </w:r>
      <w:r w:rsidRPr="00B47CEB">
        <w:rPr>
          <w:rFonts w:eastAsia="Calibri" w:cs="Arial"/>
          <w:sz w:val="20"/>
          <w:szCs w:val="20"/>
        </w:rPr>
        <w:t xml:space="preserve">2025. Site-level connectivity identified from multiple sources of movement data to inform conservation of a migratory bird. </w:t>
      </w:r>
      <w:r w:rsidRPr="00B47CEB">
        <w:rPr>
          <w:rFonts w:eastAsia="Calibri" w:cs="Arial"/>
          <w:i/>
          <w:iCs/>
          <w:sz w:val="20"/>
          <w:szCs w:val="20"/>
        </w:rPr>
        <w:t xml:space="preserve">J. Appl. Ecol. </w:t>
      </w:r>
      <w:r w:rsidRPr="00B47CEB">
        <w:rPr>
          <w:rFonts w:eastAsia="Calibri" w:cs="Arial"/>
          <w:sz w:val="20"/>
          <w:szCs w:val="20"/>
        </w:rPr>
        <w:t xml:space="preserve">62(2), 303-316. </w:t>
      </w:r>
      <w:hyperlink r:id="rId148" w:history="1">
        <w:r w:rsidRPr="00B47CEB">
          <w:rPr>
            <w:rStyle w:val="Hyperlink"/>
            <w:rFonts w:eastAsia="Calibri" w:cs="Arial"/>
            <w:sz w:val="20"/>
            <w:szCs w:val="20"/>
          </w:rPr>
          <w:t>https://doi.org/10.1111/1365-2664.14839</w:t>
        </w:r>
      </w:hyperlink>
    </w:p>
    <w:p w14:paraId="65215804"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lang w:val="da-DK"/>
        </w:rPr>
        <w:t xml:space="preserve">Bentley, L. K. </w:t>
      </w:r>
      <w:r w:rsidRPr="00B47CEB">
        <w:rPr>
          <w:rFonts w:eastAsia="Calibri" w:cs="Arial"/>
          <w:i/>
          <w:iCs/>
          <w:sz w:val="20"/>
          <w:szCs w:val="20"/>
          <w:lang w:val="da-DK"/>
        </w:rPr>
        <w:t>et al</w:t>
      </w:r>
      <w:r w:rsidRPr="00B47CEB">
        <w:rPr>
          <w:rFonts w:eastAsia="Calibri" w:cs="Arial"/>
          <w:sz w:val="20"/>
          <w:szCs w:val="20"/>
          <w:lang w:val="da-DK"/>
        </w:rPr>
        <w:t xml:space="preserve">. 2025. </w:t>
      </w:r>
      <w:r w:rsidRPr="00B47CEB">
        <w:rPr>
          <w:rFonts w:eastAsia="Calibri" w:cs="Arial"/>
          <w:sz w:val="20"/>
          <w:szCs w:val="20"/>
        </w:rPr>
        <w:t xml:space="preserve">Marine </w:t>
      </w:r>
      <w:proofErr w:type="spellStart"/>
      <w:r w:rsidRPr="00B47CEB">
        <w:rPr>
          <w:rFonts w:eastAsia="Calibri" w:cs="Arial"/>
          <w:sz w:val="20"/>
          <w:szCs w:val="20"/>
        </w:rPr>
        <w:t>megavertebrate</w:t>
      </w:r>
      <w:proofErr w:type="spellEnd"/>
      <w:r w:rsidRPr="00B47CEB">
        <w:rPr>
          <w:rFonts w:eastAsia="Calibri" w:cs="Arial"/>
          <w:sz w:val="20"/>
          <w:szCs w:val="20"/>
        </w:rPr>
        <w:t xml:space="preserve"> migrations connect the global ocean. </w:t>
      </w:r>
      <w:r w:rsidRPr="00B47CEB">
        <w:rPr>
          <w:rFonts w:eastAsia="Calibri" w:cs="Arial"/>
          <w:i/>
          <w:iCs/>
          <w:sz w:val="20"/>
          <w:szCs w:val="20"/>
        </w:rPr>
        <w:t>Nat. Commun.</w:t>
      </w:r>
      <w:r w:rsidRPr="00B47CEB">
        <w:rPr>
          <w:rFonts w:eastAsia="Calibri" w:cs="Arial"/>
          <w:sz w:val="20"/>
          <w:szCs w:val="20"/>
        </w:rPr>
        <w:t xml:space="preserve"> 16, 4089. </w:t>
      </w:r>
      <w:hyperlink r:id="rId149" w:history="1">
        <w:r w:rsidRPr="00B47CEB">
          <w:rPr>
            <w:rStyle w:val="Hyperlink"/>
            <w:rFonts w:eastAsia="Calibri" w:cs="Arial"/>
            <w:sz w:val="20"/>
            <w:szCs w:val="20"/>
          </w:rPr>
          <w:t>https://doi.org/10.1038/s41467-025-59271-7</w:t>
        </w:r>
      </w:hyperlink>
    </w:p>
    <w:p w14:paraId="4B3A9075" w14:textId="77777777" w:rsidR="00AF1989" w:rsidRPr="00B47CEB" w:rsidRDefault="0020159F">
      <w:pPr>
        <w:pStyle w:val="ListParagraph"/>
        <w:numPr>
          <w:ilvl w:val="0"/>
          <w:numId w:val="20"/>
        </w:numPr>
        <w:spacing w:after="40" w:line="240" w:lineRule="auto"/>
        <w:ind w:left="714" w:hanging="357"/>
        <w:contextualSpacing w:val="0"/>
        <w:jc w:val="both"/>
        <w:rPr>
          <w:rFonts w:eastAsia="Calibri" w:cs="Arial"/>
          <w:sz w:val="20"/>
          <w:szCs w:val="20"/>
        </w:rPr>
      </w:pPr>
      <w:r w:rsidRPr="00B47CEB">
        <w:rPr>
          <w:rFonts w:eastAsia="Calibri" w:cs="Arial"/>
          <w:sz w:val="20"/>
          <w:szCs w:val="20"/>
          <w:lang w:val="da-DK"/>
        </w:rPr>
        <w:t xml:space="preserve">Morten, J. M. </w:t>
      </w:r>
      <w:r w:rsidRPr="00B47CEB">
        <w:rPr>
          <w:rFonts w:eastAsia="Calibri" w:cs="Arial"/>
          <w:i/>
          <w:sz w:val="20"/>
          <w:szCs w:val="20"/>
          <w:lang w:val="da-DK"/>
        </w:rPr>
        <w:t>et al</w:t>
      </w:r>
      <w:r w:rsidRPr="00B47CEB">
        <w:rPr>
          <w:rFonts w:eastAsia="Calibri" w:cs="Arial"/>
          <w:sz w:val="20"/>
          <w:szCs w:val="20"/>
          <w:lang w:val="da-DK"/>
        </w:rPr>
        <w:t xml:space="preserve">. 2025. </w:t>
      </w:r>
      <w:r w:rsidRPr="00B47CEB">
        <w:rPr>
          <w:rFonts w:eastAsia="Calibri" w:cs="Arial"/>
          <w:sz w:val="20"/>
          <w:szCs w:val="20"/>
        </w:rPr>
        <w:t xml:space="preserve">Global marine flyways identified for long-distance migrating seabirds from tracking data. </w:t>
      </w:r>
      <w:r w:rsidRPr="00B47CEB">
        <w:rPr>
          <w:rFonts w:eastAsia="Calibri" w:cs="Arial"/>
          <w:i/>
          <w:iCs/>
          <w:sz w:val="20"/>
          <w:szCs w:val="20"/>
        </w:rPr>
        <w:t xml:space="preserve">Glob. Ecol. </w:t>
      </w:r>
      <w:proofErr w:type="spellStart"/>
      <w:r w:rsidRPr="00B47CEB">
        <w:rPr>
          <w:rFonts w:eastAsia="Calibri" w:cs="Arial"/>
          <w:i/>
          <w:iCs/>
          <w:sz w:val="20"/>
          <w:szCs w:val="20"/>
        </w:rPr>
        <w:t>Biogeog</w:t>
      </w:r>
      <w:proofErr w:type="spellEnd"/>
      <w:r w:rsidRPr="00B47CEB">
        <w:rPr>
          <w:rFonts w:eastAsia="Calibri" w:cs="Arial"/>
          <w:i/>
          <w:iCs/>
          <w:sz w:val="20"/>
          <w:szCs w:val="20"/>
        </w:rPr>
        <w:t xml:space="preserve">. </w:t>
      </w:r>
      <w:r w:rsidRPr="00B47CEB">
        <w:rPr>
          <w:rFonts w:eastAsia="Calibri" w:cs="Arial"/>
          <w:sz w:val="20"/>
          <w:szCs w:val="20"/>
        </w:rPr>
        <w:t>34(2), e70004.</w:t>
      </w:r>
      <w:r w:rsidRPr="00B47CEB">
        <w:rPr>
          <w:rFonts w:eastAsia="Calibri" w:cs="Arial"/>
          <w:i/>
          <w:iCs/>
          <w:sz w:val="20"/>
          <w:szCs w:val="20"/>
        </w:rPr>
        <w:t xml:space="preserve"> </w:t>
      </w:r>
      <w:hyperlink r:id="rId150" w:history="1">
        <w:r w:rsidRPr="00B47CEB">
          <w:rPr>
            <w:rStyle w:val="Hyperlink"/>
            <w:rFonts w:eastAsia="Calibri" w:cs="Arial"/>
            <w:sz w:val="20"/>
            <w:szCs w:val="20"/>
          </w:rPr>
          <w:t>https://doi.org/10.1111/geb.70004</w:t>
        </w:r>
      </w:hyperlink>
    </w:p>
    <w:p w14:paraId="20C4ADC6" w14:textId="77777777" w:rsidR="00AF1989" w:rsidRPr="00E34332" w:rsidRDefault="00AF1989">
      <w:pPr>
        <w:pStyle w:val="Secondnumbering"/>
        <w:numPr>
          <w:ilvl w:val="0"/>
          <w:numId w:val="0"/>
        </w:numPr>
        <w:rPr>
          <w:rFonts w:cs="Arial"/>
          <w:lang w:val="fr-FR"/>
        </w:rPr>
      </w:pPr>
    </w:p>
    <w:sectPr w:rsidR="00AF1989" w:rsidRPr="00E34332" w:rsidSect="00AF1989">
      <w:headerReference w:type="even" r:id="rId151"/>
      <w:headerReference w:type="first" r:id="rId15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FEC73" w14:textId="77777777" w:rsidR="00BC7BCB" w:rsidRDefault="00BC7BCB">
      <w:pPr>
        <w:spacing w:after="0" w:line="240" w:lineRule="auto"/>
        <w:rPr>
          <w:lang w:val="fr-FR"/>
        </w:rPr>
      </w:pPr>
      <w:r>
        <w:rPr>
          <w:lang w:val="fr-FR"/>
        </w:rPr>
        <w:separator/>
      </w:r>
    </w:p>
  </w:endnote>
  <w:endnote w:type="continuationSeparator" w:id="0">
    <w:p w14:paraId="40CA5B59" w14:textId="77777777" w:rsidR="00BC7BCB" w:rsidRDefault="00BC7BCB">
      <w:pPr>
        <w:spacing w:after="0" w:line="240" w:lineRule="auto"/>
        <w:rPr>
          <w:lang w:val="fr-FR"/>
        </w:rPr>
      </w:pPr>
      <w:r>
        <w:rPr>
          <w:lang w:val="fr-FR"/>
        </w:rPr>
        <w:continuationSeparator/>
      </w:r>
    </w:p>
  </w:endnote>
  <w:endnote w:type="continuationNotice" w:id="1">
    <w:p w14:paraId="7ED8B763" w14:textId="77777777" w:rsidR="00BC7BCB" w:rsidRDefault="00BC7BCB">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2CEC" w14:textId="77777777" w:rsidR="00AF1989" w:rsidRDefault="00AF1989">
    <w:pPr>
      <w:pStyle w:val="Footer"/>
      <w:jc w:val="cente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809244"/>
      <w:docPartObj>
        <w:docPartGallery w:val="Page Numbers (Bottom of Page)"/>
        <w:docPartUnique/>
      </w:docPartObj>
    </w:sdtPr>
    <w:sdtContent>
      <w:p w14:paraId="1293F01D" w14:textId="77777777" w:rsidR="00114D21" w:rsidRPr="00106B1A" w:rsidRDefault="00AF1989" w:rsidP="00D52DD0">
        <w:pPr>
          <w:pStyle w:val="Footer"/>
          <w:jc w:val="center"/>
        </w:pPr>
        <w:r w:rsidRPr="00106B1A">
          <w:rPr>
            <w:rFonts w:ascii="Roboto" w:hAnsi="Roboto"/>
            <w:sz w:val="18"/>
            <w:szCs w:val="18"/>
          </w:rPr>
          <w:fldChar w:fldCharType="begin"/>
        </w:r>
        <w:r w:rsidR="007241F3" w:rsidRPr="00106B1A">
          <w:rPr>
            <w:rFonts w:ascii="Roboto" w:hAnsi="Roboto"/>
            <w:sz w:val="18"/>
            <w:szCs w:val="18"/>
          </w:rPr>
          <w:instrText>PAGE   \* MERGEFORMAT</w:instrText>
        </w:r>
        <w:r w:rsidRPr="00106B1A">
          <w:rPr>
            <w:rFonts w:ascii="Roboto" w:hAnsi="Roboto"/>
            <w:sz w:val="18"/>
            <w:szCs w:val="18"/>
          </w:rPr>
          <w:fldChar w:fldCharType="separate"/>
        </w:r>
        <w:r w:rsidR="00727BD6">
          <w:rPr>
            <w:rFonts w:ascii="Roboto" w:hAnsi="Roboto"/>
            <w:noProof/>
            <w:sz w:val="18"/>
            <w:szCs w:val="18"/>
          </w:rPr>
          <w:t>21</w:t>
        </w:r>
        <w:r w:rsidRPr="00106B1A">
          <w:rPr>
            <w:rFonts w:ascii="Roboto" w:hAnsi="Roboto"/>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6E72" w14:textId="77777777" w:rsidR="00AF1989" w:rsidRDefault="00AF1989">
    <w:pPr>
      <w:pStyle w:val="Footer"/>
      <w:jc w:val="center"/>
      <w:rPr>
        <w:rFonts w:ascii="Roboto" w:hAnsi="Roboto"/>
        <w:sz w:val="18"/>
        <w:szCs w:val="18"/>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950247"/>
      <w:docPartObj>
        <w:docPartGallery w:val="Page Numbers (Bottom of Page)"/>
        <w:docPartUnique/>
      </w:docPartObj>
    </w:sdtPr>
    <w:sdtContent>
      <w:p w14:paraId="69CE1364" w14:textId="77777777" w:rsidR="00F61D4D" w:rsidRPr="00106B1A" w:rsidRDefault="00AF1989" w:rsidP="00311817">
        <w:pPr>
          <w:pStyle w:val="Footer"/>
          <w:jc w:val="center"/>
        </w:pPr>
        <w:r w:rsidRPr="00106B1A">
          <w:rPr>
            <w:rFonts w:ascii="Roboto" w:hAnsi="Roboto"/>
            <w:sz w:val="18"/>
            <w:szCs w:val="18"/>
          </w:rPr>
          <w:fldChar w:fldCharType="begin"/>
        </w:r>
        <w:r w:rsidR="00311817" w:rsidRPr="00106B1A">
          <w:rPr>
            <w:rFonts w:ascii="Roboto" w:hAnsi="Roboto"/>
            <w:sz w:val="18"/>
            <w:szCs w:val="18"/>
          </w:rPr>
          <w:instrText>PAGE   \* MERGEFORMAT</w:instrText>
        </w:r>
        <w:r w:rsidRPr="00106B1A">
          <w:rPr>
            <w:rFonts w:ascii="Roboto" w:hAnsi="Roboto"/>
            <w:sz w:val="18"/>
            <w:szCs w:val="18"/>
          </w:rPr>
          <w:fldChar w:fldCharType="separate"/>
        </w:r>
        <w:r w:rsidR="00727BD6">
          <w:rPr>
            <w:rFonts w:ascii="Roboto" w:hAnsi="Roboto"/>
            <w:noProof/>
            <w:sz w:val="18"/>
            <w:szCs w:val="18"/>
          </w:rPr>
          <w:t>20</w:t>
        </w:r>
        <w:r w:rsidRPr="00106B1A">
          <w:rPr>
            <w:rFonts w:ascii="Roboto" w:hAnsi="Roboto"/>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9B04" w14:textId="77777777" w:rsidR="00BC7BCB" w:rsidRDefault="00BC7BCB">
      <w:pPr>
        <w:spacing w:after="0" w:line="240" w:lineRule="auto"/>
        <w:rPr>
          <w:lang w:val="fr-FR"/>
        </w:rPr>
      </w:pPr>
      <w:r>
        <w:rPr>
          <w:lang w:val="fr-FR"/>
        </w:rPr>
        <w:separator/>
      </w:r>
    </w:p>
  </w:footnote>
  <w:footnote w:type="continuationSeparator" w:id="0">
    <w:p w14:paraId="61FA2BE0" w14:textId="77777777" w:rsidR="00BC7BCB" w:rsidRDefault="00BC7BCB">
      <w:pPr>
        <w:spacing w:after="0" w:line="240" w:lineRule="auto"/>
        <w:rPr>
          <w:lang w:val="fr-FR"/>
        </w:rPr>
      </w:pPr>
      <w:r>
        <w:rPr>
          <w:lang w:val="fr-FR"/>
        </w:rPr>
        <w:continuationSeparator/>
      </w:r>
    </w:p>
  </w:footnote>
  <w:footnote w:type="continuationNotice" w:id="1">
    <w:p w14:paraId="17BE9AF3" w14:textId="77777777" w:rsidR="00BC7BCB" w:rsidRDefault="00BC7BCB">
      <w:pPr>
        <w:spacing w:after="0" w:line="240" w:lineRule="auto"/>
        <w:rPr>
          <w:lang w:val="fr-FR"/>
        </w:rPr>
      </w:pPr>
    </w:p>
  </w:footnote>
  <w:footnote w:id="2">
    <w:p w14:paraId="1E4C55A7"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Ce rapport utilise la version 2025-1 de la Liste rouge de l’UICN.</w:t>
      </w:r>
    </w:p>
  </w:footnote>
  <w:footnote w:id="3">
    <w:p w14:paraId="717EAABA"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Conformément au premier </w:t>
      </w:r>
      <w:r>
        <w:rPr>
          <w:rFonts w:cs="Arial"/>
          <w:i/>
          <w:iCs/>
          <w:sz w:val="16"/>
          <w:szCs w:val="16"/>
          <w:lang w:val="fr-FR"/>
        </w:rPr>
        <w:t>Rapport sur l’état des espèces migratrices dans le monde</w:t>
      </w:r>
      <w:r>
        <w:rPr>
          <w:rFonts w:cs="Arial"/>
          <w:sz w:val="16"/>
          <w:szCs w:val="16"/>
          <w:lang w:val="fr-FR"/>
        </w:rPr>
        <w:t xml:space="preserve">, les espèces inscrites aux Annexes de la CMS dont l’espèce parent est également inscrite àaux Annexes de la CMS ont été exclues de l’analyse afin d’éviter un double comptage (cinq sous-espèces inscrites aux Annexes de la CMS ont été exclues de cette manière : </w:t>
      </w:r>
      <w:r>
        <w:rPr>
          <w:rFonts w:cs="Arial"/>
          <w:i/>
          <w:iCs/>
          <w:sz w:val="16"/>
          <w:szCs w:val="16"/>
          <w:lang w:val="fr-FR"/>
        </w:rPr>
        <w:t>Calidris canutus rufa</w:t>
      </w:r>
      <w:r>
        <w:rPr>
          <w:rFonts w:cs="Arial"/>
          <w:sz w:val="16"/>
          <w:szCs w:val="16"/>
          <w:lang w:val="fr-FR"/>
        </w:rPr>
        <w:t xml:space="preserve">, </w:t>
      </w:r>
      <w:r>
        <w:rPr>
          <w:rFonts w:cs="Arial"/>
          <w:i/>
          <w:iCs/>
          <w:sz w:val="16"/>
          <w:szCs w:val="16"/>
          <w:lang w:val="fr-FR"/>
        </w:rPr>
        <w:t>Gypaetus barbatus meridionalis</w:t>
      </w:r>
      <w:r>
        <w:rPr>
          <w:rFonts w:cs="Arial"/>
          <w:sz w:val="16"/>
          <w:szCs w:val="16"/>
          <w:lang w:val="fr-FR"/>
        </w:rPr>
        <w:t xml:space="preserve">, </w:t>
      </w:r>
      <w:r>
        <w:rPr>
          <w:rFonts w:cs="Arial"/>
          <w:i/>
          <w:iCs/>
          <w:sz w:val="16"/>
          <w:szCs w:val="16"/>
          <w:lang w:val="fr-FR"/>
        </w:rPr>
        <w:t>Lynx lynx balcanicus</w:t>
      </w:r>
      <w:r>
        <w:rPr>
          <w:rFonts w:cs="Arial"/>
          <w:sz w:val="16"/>
          <w:szCs w:val="16"/>
          <w:lang w:val="fr-FR"/>
        </w:rPr>
        <w:t>,</w:t>
      </w:r>
      <w:r>
        <w:rPr>
          <w:rFonts w:cs="Arial"/>
          <w:i/>
          <w:iCs/>
          <w:sz w:val="16"/>
          <w:szCs w:val="16"/>
          <w:lang w:val="fr-FR"/>
        </w:rPr>
        <w:t xml:space="preserve"> Tursiops truncatus gephyreus</w:t>
      </w:r>
      <w:r>
        <w:rPr>
          <w:rFonts w:cs="Arial"/>
          <w:sz w:val="16"/>
          <w:szCs w:val="16"/>
          <w:lang w:val="fr-FR"/>
        </w:rPr>
        <w:t xml:space="preserve"> et</w:t>
      </w:r>
      <w:r>
        <w:rPr>
          <w:rFonts w:cs="Arial"/>
          <w:i/>
          <w:iCs/>
          <w:sz w:val="16"/>
          <w:szCs w:val="16"/>
          <w:lang w:val="fr-FR"/>
        </w:rPr>
        <w:t xml:space="preserve"> Tursiops truncatus ponticus</w:t>
      </w:r>
      <w:r>
        <w:rPr>
          <w:rFonts w:cs="Arial"/>
          <w:sz w:val="16"/>
          <w:szCs w:val="16"/>
          <w:lang w:val="fr-FR"/>
        </w:rPr>
        <w:t>).</w:t>
      </w:r>
    </w:p>
  </w:footnote>
  <w:footnote w:id="4">
    <w:p w14:paraId="23689137"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Les données provenant des évaluations de sous-espèces, de sous-populations et régionales ont été utilisées pour les taxons dont seule une sous-espèce ou une population est inscrite aux Annexes de la CMS, en excluant toute évaluation étiquetée « à mettre à jour » lorsqu’une évaluation plus récente au niveau de l’espèce était disponible. Des évaluations non globales ont été utilisées pour un total de trente-sept espèces, y compris pour vingt-huit espèces de chauves-souris dont l’inscription à la CMS ne concerne que les populations européennes. Les évaluations régionales pertinentes pour ces espèces ne sont devenues disponibles qu'après 2022.</w:t>
      </w:r>
    </w:p>
  </w:footnote>
  <w:footnote w:id="5">
    <w:p w14:paraId="7D97B754"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Une espèce (</w:t>
      </w:r>
      <w:r>
        <w:rPr>
          <w:rFonts w:cs="Arial"/>
          <w:i/>
          <w:iCs/>
          <w:sz w:val="16"/>
          <w:szCs w:val="16"/>
          <w:lang w:val="fr-FR"/>
        </w:rPr>
        <w:t>Charadrius dealbatus</w:t>
      </w:r>
      <w:r>
        <w:rPr>
          <w:rFonts w:cs="Arial"/>
          <w:sz w:val="16"/>
          <w:szCs w:val="16"/>
          <w:lang w:val="fr-FR"/>
        </w:rPr>
        <w:t>, pluvier de Swinhoe)</w:t>
      </w:r>
      <w:r>
        <w:rPr>
          <w:rFonts w:cs="Arial"/>
          <w:i/>
          <w:iCs/>
          <w:sz w:val="16"/>
          <w:szCs w:val="16"/>
          <w:lang w:val="fr-FR"/>
        </w:rPr>
        <w:t xml:space="preserve"> </w:t>
      </w:r>
      <w:r>
        <w:rPr>
          <w:rFonts w:cs="Arial"/>
          <w:sz w:val="16"/>
          <w:szCs w:val="16"/>
          <w:lang w:val="fr-FR"/>
        </w:rPr>
        <w:t>est passée de « Données insuffisantes » à « Préoccupation mineure ».</w:t>
      </w:r>
    </w:p>
  </w:footnote>
  <w:footnote w:id="6">
    <w:p w14:paraId="4061153D"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Les espèces menacées à l’échelle mondiale sont celles qui ont été classées « en danger critique », « en danger » ou « vulnérable ».</w:t>
      </w:r>
    </w:p>
  </w:footnote>
  <w:footnote w:id="7">
    <w:p w14:paraId="6778AB96"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Comme dans l’approche adoptée pour le premier </w:t>
      </w:r>
      <w:r>
        <w:rPr>
          <w:rFonts w:cs="Arial"/>
          <w:i/>
          <w:iCs/>
          <w:sz w:val="16"/>
          <w:szCs w:val="16"/>
          <w:lang w:val="fr-FR"/>
        </w:rPr>
        <w:t>Rapport sur l’état des espèces migratrices dans le monde</w:t>
      </w:r>
      <w:r>
        <w:rPr>
          <w:rFonts w:cs="Arial"/>
          <w:sz w:val="16"/>
          <w:szCs w:val="16"/>
          <w:lang w:val="fr-FR"/>
        </w:rPr>
        <w:t>, le nombre d’espèces d’oiseaux incluses sous des listings de niveau supérieur a été déterminé en procédant à une désagrégation conformément à la référence taxonomique standard de la CMS. Seuls les oiseaux évalués par le co-conseiller pour les oiseaux nommé par la Conférence des Parties de la CMS comme répondant aux critères de déplacement de la CMS, quel que soit leur état de conservation, ont été inclus.</w:t>
      </w:r>
    </w:p>
  </w:footnote>
  <w:footnote w:id="8">
    <w:p w14:paraId="1B5B7EF3" w14:textId="77777777" w:rsidR="00AF1989" w:rsidRDefault="0020159F">
      <w:pPr>
        <w:pStyle w:val="FootnoteText"/>
        <w:rPr>
          <w:rFonts w:cs="Arial"/>
          <w:sz w:val="16"/>
          <w:szCs w:val="16"/>
          <w:lang w:val="fr-FR"/>
        </w:rPr>
      </w:pPr>
      <w:r>
        <w:rPr>
          <w:rStyle w:val="FootnoteReference"/>
          <w:rFonts w:cs="Arial"/>
          <w:sz w:val="16"/>
          <w:szCs w:val="16"/>
          <w:lang w:val="fr-FR"/>
        </w:rPr>
        <w:footnoteRef/>
      </w:r>
      <w:r>
        <w:rPr>
          <w:rFonts w:cs="Arial"/>
          <w:sz w:val="16"/>
          <w:szCs w:val="16"/>
          <w:lang w:val="fr-FR"/>
        </w:rPr>
        <w:t xml:space="preserve"> Lors de la COP14, quatorze propositions de modification des Annexes de la CMS ont été adoptées. </w:t>
      </w:r>
    </w:p>
  </w:footnote>
  <w:footnote w:id="9">
    <w:p w14:paraId="2021E182" w14:textId="77777777" w:rsidR="00AF1989" w:rsidRDefault="0020159F">
      <w:pPr>
        <w:pStyle w:val="FootnoteText"/>
        <w:rPr>
          <w:rFonts w:cs="Arial"/>
          <w:sz w:val="16"/>
          <w:szCs w:val="16"/>
          <w:lang w:val="fr-FR"/>
        </w:rPr>
      </w:pPr>
      <w:r>
        <w:rPr>
          <w:rStyle w:val="FootnoteReference"/>
          <w:rFonts w:cs="Arial"/>
          <w:sz w:val="16"/>
          <w:szCs w:val="16"/>
          <w:lang w:val="fr-FR"/>
        </w:rPr>
        <w:footnoteRef/>
      </w:r>
      <w:r>
        <w:rPr>
          <w:rFonts w:cs="Arial"/>
          <w:sz w:val="16"/>
          <w:szCs w:val="16"/>
          <w:lang w:val="fr-FR"/>
        </w:rPr>
        <w:t xml:space="preserve"> Les publications parues après la fin 2023 sont sorties trop tard pour être incluses dans le premier </w:t>
      </w:r>
      <w:r>
        <w:rPr>
          <w:rFonts w:cs="Arial"/>
          <w:i/>
          <w:iCs/>
          <w:sz w:val="16"/>
          <w:szCs w:val="16"/>
          <w:lang w:val="fr-FR"/>
        </w:rPr>
        <w:t>Rapport sur l’état des espèces migratrices dans le monde</w:t>
      </w:r>
      <w:r>
        <w:rPr>
          <w:rFonts w:cs="Arial"/>
          <w:sz w:val="16"/>
          <w:szCs w:val="16"/>
          <w:lang w:val="fr-FR"/>
        </w:rPr>
        <w:t>.</w:t>
      </w:r>
    </w:p>
  </w:footnote>
  <w:footnote w:id="10">
    <w:p w14:paraId="4ED4F8AA" w14:textId="77777777" w:rsidR="00AF1989" w:rsidRDefault="0020159F">
      <w:pPr>
        <w:pStyle w:val="FootnoteText"/>
        <w:rPr>
          <w:rFonts w:cs="Arial"/>
          <w:sz w:val="16"/>
          <w:szCs w:val="16"/>
          <w:lang w:val="fr-FR"/>
        </w:rPr>
      </w:pPr>
      <w:r>
        <w:rPr>
          <w:rStyle w:val="FootnoteReference"/>
          <w:rFonts w:cs="Arial"/>
          <w:sz w:val="16"/>
          <w:szCs w:val="16"/>
          <w:lang w:val="fr-FR"/>
        </w:rPr>
        <w:footnoteRef/>
      </w:r>
      <w:r>
        <w:rPr>
          <w:rFonts w:cs="Arial"/>
          <w:sz w:val="16"/>
          <w:szCs w:val="16"/>
          <w:lang w:val="fr-FR"/>
        </w:rPr>
        <w:t xml:space="preserve"> D’autres publications récentes ont également été citées afin de fournir un contexte supplémentaire sur les facteurs de changement des populations, lorsque disponibles (c’est-à-dire les raisons de la reprise ou les pressions reconnues comme responsables des déclins).</w:t>
      </w:r>
    </w:p>
  </w:footnote>
  <w:footnote w:id="11">
    <w:p w14:paraId="5B5473B0"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Une série d’autres réseaux régionaux de sites sont également pertinents pour les espèces inscrites aux Annexes de la CMS, notamment : les sites d’importance internationale pour les rapaces recensés dans le cadre du </w:t>
      </w:r>
      <w:hyperlink r:id="rId1" w:history="1">
        <w:proofErr w:type="spellStart"/>
        <w:r>
          <w:rPr>
            <w:rStyle w:val="Hyperlink"/>
            <w:rFonts w:cs="Arial"/>
            <w:sz w:val="16"/>
            <w:szCs w:val="16"/>
            <w:lang w:val="fr-FR"/>
          </w:rPr>
          <w:t>MdE</w:t>
        </w:r>
        <w:proofErr w:type="spellEnd"/>
        <w:r>
          <w:rPr>
            <w:rStyle w:val="Hyperlink"/>
            <w:rFonts w:cs="Arial"/>
            <w:sz w:val="16"/>
            <w:szCs w:val="16"/>
            <w:lang w:val="fr-FR"/>
          </w:rPr>
          <w:t xml:space="preserve"> Rapaces</w:t>
        </w:r>
      </w:hyperlink>
      <w:r>
        <w:rPr>
          <w:rFonts w:cs="Arial"/>
          <w:sz w:val="16"/>
          <w:szCs w:val="16"/>
          <w:lang w:val="fr-FR"/>
        </w:rPr>
        <w:t xml:space="preserve"> (voir tableau 3, annexé à l’Annexe 3 du texte du MdE Rapaces), le réseau des sites critiques de l’AEWA, le réseau des sites de tortues marines de l’IOSEA, le Western Hemisphere Shorebird Reserve Network, le réseau des sites importants du partenariat de la voie migratoire est-asiatique et australasienne et les unités prioritaires de conservation transfrontalière identifiées dans le cadre de l’Initiative pour les mammifères d’Asie centrale (CAMI) (voir </w:t>
      </w:r>
      <w:hyperlink r:id="rId2" w:history="1">
        <w:r>
          <w:rPr>
            <w:rStyle w:val="Hyperlink"/>
            <w:rFonts w:cs="Arial"/>
            <w:sz w:val="16"/>
            <w:szCs w:val="16"/>
            <w:lang w:val="fr-FR"/>
          </w:rPr>
          <w:t>UNEP/CMS/CAMI-TW/Doc.3</w:t>
        </w:r>
      </w:hyperlink>
      <w:r>
        <w:rPr>
          <w:rFonts w:cs="Arial"/>
          <w:sz w:val="16"/>
          <w:szCs w:val="16"/>
          <w:lang w:val="fr-FR"/>
        </w:rPr>
        <w:t xml:space="preserve">). </w:t>
      </w:r>
    </w:p>
  </w:footnote>
  <w:footnote w:id="12">
    <w:p w14:paraId="51E71049" w14:textId="77777777" w:rsidR="00AF1989" w:rsidRDefault="0020159F">
      <w:pPr>
        <w:pStyle w:val="FootnoteText"/>
        <w:jc w:val="both"/>
        <w:rPr>
          <w:rFonts w:cs="Arial"/>
          <w:sz w:val="16"/>
          <w:szCs w:val="16"/>
          <w:lang w:val="fr-FR"/>
        </w:rPr>
      </w:pPr>
      <w:r>
        <w:rPr>
          <w:rStyle w:val="FootnoteReference"/>
          <w:rFonts w:cs="Arial"/>
          <w:sz w:val="16"/>
          <w:szCs w:val="16"/>
          <w:lang w:val="fr-FR"/>
        </w:rPr>
        <w:footnoteRef/>
      </w:r>
      <w:r>
        <w:rPr>
          <w:rFonts w:cs="Arial"/>
          <w:sz w:val="16"/>
          <w:szCs w:val="16"/>
          <w:lang w:val="fr-FR"/>
        </w:rPr>
        <w:t xml:space="preserve"> Parmi les autres modules actuels de l’</w:t>
      </w:r>
      <w:hyperlink r:id="rId3" w:history="1">
        <w:r>
          <w:rPr>
            <w:rStyle w:val="Hyperlink"/>
            <w:rFonts w:cs="Arial"/>
            <w:sz w:val="16"/>
            <w:szCs w:val="16"/>
            <w:lang w:val="fr-FR"/>
          </w:rPr>
          <w:t>Atlas des migrations de la CMS figurent l’Atlas de la migration des mammifères d’Asie centrale et des infrastructures linéaires (CAMI)</w:t>
        </w:r>
      </w:hyperlink>
      <w:r>
        <w:rPr>
          <w:rFonts w:cs="Arial"/>
          <w:sz w:val="16"/>
          <w:szCs w:val="16"/>
          <w:lang w:val="fr-FR"/>
        </w:rPr>
        <w:t>, l’</w:t>
      </w:r>
      <w:hyperlink r:id="rId4" w:history="1">
        <w:r>
          <w:rPr>
            <w:rStyle w:val="Hyperlink"/>
            <w:rFonts w:cs="Arial"/>
            <w:sz w:val="16"/>
            <w:szCs w:val="16"/>
            <w:lang w:val="fr-FR"/>
          </w:rPr>
          <w:t>Atlas de la migration des oiseaux eurasiens-africains</w:t>
        </w:r>
      </w:hyperlink>
      <w:r>
        <w:rPr>
          <w:rFonts w:cs="Arial"/>
          <w:sz w:val="16"/>
          <w:szCs w:val="16"/>
          <w:lang w:val="fr-FR"/>
        </w:rPr>
        <w:t xml:space="preserve"> et l’</w:t>
      </w:r>
      <w:hyperlink r:id="rId5" w:history="1">
        <w:r>
          <w:rPr>
            <w:rStyle w:val="Hyperlink"/>
            <w:rFonts w:cs="Arial"/>
            <w:sz w:val="16"/>
            <w:szCs w:val="16"/>
            <w:lang w:val="fr-FR"/>
          </w:rPr>
          <w:t>Atlas de reproduction et de migration des tortues marines</w:t>
        </w:r>
      </w:hyperlink>
      <w:r>
        <w:rPr>
          <w:rFonts w:cs="Arial"/>
          <w:sz w:val="16"/>
          <w:szCs w:val="16"/>
          <w:lang w:val="fr-FR"/>
        </w:rPr>
        <w:t xml:space="preserve"> (« TurtleNet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D3D5" w14:textId="77777777" w:rsidR="002E0DE9" w:rsidRPr="00106B1A" w:rsidRDefault="002E0DE9" w:rsidP="002E0DE9">
    <w:pPr>
      <w:pStyle w:val="Header"/>
      <w:pBdr>
        <w:bottom w:val="single" w:sz="4" w:space="1" w:color="auto"/>
      </w:pBdr>
      <w:rPr>
        <w:i/>
        <w:sz w:val="18"/>
        <w:szCs w:val="18"/>
      </w:rPr>
    </w:pPr>
    <w:r w:rsidRPr="00106B1A">
      <w:rPr>
        <w:rFonts w:eastAsia="Times New Roman" w:cs="Arial"/>
        <w:i/>
        <w:sz w:val="18"/>
        <w:szCs w:val="18"/>
      </w:rPr>
      <w:t>UNEP/CMS/COP1</w:t>
    </w:r>
    <w:r w:rsidR="00160053" w:rsidRPr="00106B1A">
      <w:rPr>
        <w:rFonts w:eastAsia="Times New Roman" w:cs="Arial"/>
        <w:i/>
        <w:sz w:val="18"/>
        <w:szCs w:val="18"/>
      </w:rPr>
      <w:t>5</w:t>
    </w:r>
    <w:r w:rsidRPr="00106B1A">
      <w:rPr>
        <w:rFonts w:eastAsia="Times New Roman" w:cs="Arial"/>
        <w:i/>
        <w:sz w:val="18"/>
        <w:szCs w:val="18"/>
      </w:rPr>
      <w:t>/</w:t>
    </w:r>
    <w:r w:rsidR="005E738D" w:rsidRPr="00106B1A">
      <w:rPr>
        <w:rFonts w:eastAsia="Times New Roman" w:cs="Arial"/>
        <w:i/>
        <w:sz w:val="18"/>
        <w:szCs w:val="18"/>
      </w:rPr>
      <w:t>Doc</w:t>
    </w:r>
    <w:r w:rsidR="001E05CA" w:rsidRPr="00106B1A">
      <w:rPr>
        <w:rFonts w:eastAsia="Times New Roman" w:cs="Arial"/>
        <w:i/>
        <w:sz w:val="18"/>
        <w:szCs w:val="18"/>
      </w:rPr>
      <w:t>.</w:t>
    </w:r>
    <w:r w:rsidR="00160053" w:rsidRPr="00106B1A">
      <w:rPr>
        <w:rFonts w:eastAsia="Times New Roman" w:cs="Arial"/>
        <w:i/>
        <w:sz w:val="18"/>
        <w:szCs w:val="18"/>
      </w:rPr>
      <w:t>20.2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53F44" w14:textId="77777777" w:rsidR="00AF1989" w:rsidRDefault="0020159F">
    <w:pPr>
      <w:pStyle w:val="Header"/>
      <w:pBdr>
        <w:bottom w:val="single" w:sz="4" w:space="1" w:color="auto"/>
      </w:pBdr>
      <w:jc w:val="right"/>
      <w:rPr>
        <w:i/>
        <w:sz w:val="18"/>
        <w:szCs w:val="18"/>
      </w:rPr>
    </w:pPr>
    <w:r>
      <w:rPr>
        <w:rFonts w:eastAsia="Times New Roman" w:cs="Arial"/>
        <w:i/>
        <w:sz w:val="18"/>
        <w:szCs w:val="18"/>
      </w:rPr>
      <w:t>UNEP/CMS/COP15/Doc.20.2</w:t>
    </w:r>
  </w:p>
  <w:p w14:paraId="2DA8D6FD" w14:textId="77777777" w:rsidR="00AF1989" w:rsidRDefault="00AF1989">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40C3" w14:textId="77777777" w:rsidR="00185A43" w:rsidRPr="00FF59D5" w:rsidRDefault="00185A43" w:rsidP="00185A43">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rPr>
    </w:pPr>
    <w:bookmarkStart w:id="2" w:name="_Hlk208560916"/>
    <w:bookmarkStart w:id="3" w:name="_Hlk208560917"/>
    <w:r>
      <w:rPr>
        <w:noProof/>
      </w:rPr>
      <w:drawing>
        <wp:anchor distT="0" distB="0" distL="114300" distR="114300" simplePos="0" relativeHeight="251661312" behindDoc="0" locked="0" layoutInCell="1" allowOverlap="1" wp14:anchorId="494D5527" wp14:editId="36C88A9E">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467A93E2" wp14:editId="62154082">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rPr>
      <w:drawing>
        <wp:anchor distT="0" distB="0" distL="114300" distR="114300" simplePos="0" relativeHeight="251660288" behindDoc="0" locked="0" layoutInCell="1" allowOverlap="1" wp14:anchorId="6C3493ED" wp14:editId="381BE801">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0DA6E06C" w14:textId="77777777" w:rsidR="00185A43" w:rsidRDefault="00185A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78F8" w14:textId="77777777" w:rsidR="006532D5" w:rsidRPr="00106B1A" w:rsidRDefault="006532D5" w:rsidP="00AE588C">
    <w:pPr>
      <w:pStyle w:val="Header"/>
      <w:pBdr>
        <w:bottom w:val="single" w:sz="4" w:space="1" w:color="auto"/>
      </w:pBdr>
      <w:jc w:val="right"/>
      <w:rPr>
        <w:i/>
        <w:sz w:val="18"/>
        <w:szCs w:val="18"/>
        <w:lang w:val="fr-FR"/>
      </w:rPr>
    </w:pPr>
    <w:r w:rsidRPr="00106B1A">
      <w:rPr>
        <w:rFonts w:eastAsia="Times New Roman" w:cs="Arial"/>
        <w:i/>
        <w:sz w:val="18"/>
        <w:szCs w:val="18"/>
        <w:lang w:val="fr-FR"/>
      </w:rPr>
      <w:t>UNEP/CMS/UNEP/CMS/COP15/Doc.20.2</w:t>
    </w:r>
  </w:p>
  <w:p w14:paraId="5B66BD6D" w14:textId="77777777" w:rsidR="006532D5" w:rsidRPr="00106B1A" w:rsidRDefault="006532D5" w:rsidP="002D3CA5">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7429" w14:textId="77777777" w:rsidR="00DC79A2" w:rsidRPr="00106B1A" w:rsidRDefault="00DC79A2" w:rsidP="00AE588C">
    <w:pPr>
      <w:pStyle w:val="Header"/>
      <w:pBdr>
        <w:bottom w:val="single" w:sz="4" w:space="1" w:color="auto"/>
      </w:pBdr>
      <w:jc w:val="right"/>
      <w:rPr>
        <w:i/>
        <w:sz w:val="18"/>
        <w:szCs w:val="18"/>
        <w:lang w:val="fr-FR"/>
      </w:rPr>
    </w:pPr>
    <w:r w:rsidRPr="00106B1A">
      <w:rPr>
        <w:rFonts w:eastAsia="Times New Roman" w:cs="Arial"/>
        <w:i/>
        <w:sz w:val="18"/>
        <w:szCs w:val="18"/>
        <w:lang w:val="fr-FR"/>
      </w:rPr>
      <w:t>UNEP/CMS/COP15/Doc.20.2</w:t>
    </w:r>
  </w:p>
  <w:p w14:paraId="7920572E" w14:textId="77777777" w:rsidR="00DC79A2" w:rsidRPr="00106B1A" w:rsidRDefault="00DC79A2" w:rsidP="002D3CA5">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09E5" w14:textId="77777777" w:rsidR="00AF1989" w:rsidRDefault="0020159F">
    <w:pPr>
      <w:pStyle w:val="Header"/>
      <w:pBdr>
        <w:bottom w:val="single" w:sz="4" w:space="1" w:color="auto"/>
      </w:pBdr>
      <w:rPr>
        <w:i/>
        <w:sz w:val="18"/>
        <w:szCs w:val="18"/>
      </w:rPr>
    </w:pPr>
    <w:r>
      <w:rPr>
        <w:rFonts w:eastAsia="Times New Roman" w:cs="Arial"/>
        <w:i/>
        <w:sz w:val="18"/>
        <w:szCs w:val="18"/>
      </w:rPr>
      <w:t>UNEP/CMS/COP15/Doc.20.2</w:t>
    </w:r>
  </w:p>
  <w:p w14:paraId="32D960F9" w14:textId="77777777" w:rsidR="00AF1989" w:rsidRDefault="00AF1989">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4721" w14:textId="77777777" w:rsidR="00AF1989" w:rsidRDefault="0020159F">
    <w:pPr>
      <w:pStyle w:val="Header"/>
      <w:pBdr>
        <w:bottom w:val="single" w:sz="4" w:space="1" w:color="auto"/>
      </w:pBdr>
      <w:jc w:val="right"/>
      <w:rPr>
        <w:i/>
        <w:sz w:val="18"/>
        <w:szCs w:val="18"/>
      </w:rPr>
    </w:pPr>
    <w:r>
      <w:rPr>
        <w:rFonts w:eastAsia="Times New Roman" w:cs="Arial"/>
        <w:i/>
        <w:sz w:val="18"/>
        <w:szCs w:val="18"/>
      </w:rPr>
      <w:t>UNEP/CMS/COP15/Doc.20.2</w:t>
    </w:r>
  </w:p>
  <w:p w14:paraId="539FB300" w14:textId="77777777" w:rsidR="00AF1989" w:rsidRDefault="00AF1989">
    <w:pPr>
      <w:tabs>
        <w:tab w:val="center" w:pos="4680"/>
        <w:tab w:val="right" w:pos="9360"/>
      </w:tabs>
      <w:suppressAutoHyphens/>
      <w:autoSpaceDN w:val="0"/>
      <w:spacing w:after="0" w:line="240" w:lineRule="auto"/>
      <w:ind w:right="-547"/>
      <w:textAlignment w:val="baseline"/>
      <w:rPr>
        <w:rFonts w:ascii="Calibri" w:eastAsia="Calibri" w:hAnsi="Calibri" w:cs="Times New Roman"/>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0464"/>
    <w:multiLevelType w:val="hybridMultilevel"/>
    <w:tmpl w:val="EAB260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1F1F30"/>
    <w:multiLevelType w:val="hybridMultilevel"/>
    <w:tmpl w:val="373C5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AD5028"/>
    <w:multiLevelType w:val="hybridMultilevel"/>
    <w:tmpl w:val="9FAC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61124"/>
    <w:multiLevelType w:val="hybridMultilevel"/>
    <w:tmpl w:val="6B7AA99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15:restartNumberingAfterBreak="0">
    <w:nsid w:val="118B2228"/>
    <w:multiLevelType w:val="hybridMultilevel"/>
    <w:tmpl w:val="32A0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E72D7"/>
    <w:multiLevelType w:val="hybridMultilevel"/>
    <w:tmpl w:val="DCEE3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8C724F"/>
    <w:multiLevelType w:val="hybridMultilevel"/>
    <w:tmpl w:val="568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3D73297"/>
    <w:multiLevelType w:val="hybridMultilevel"/>
    <w:tmpl w:val="BE46135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3DA147F"/>
    <w:multiLevelType w:val="hybridMultilevel"/>
    <w:tmpl w:val="5C3602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DF48E4"/>
    <w:multiLevelType w:val="hybridMultilevel"/>
    <w:tmpl w:val="708C2EB6"/>
    <w:lvl w:ilvl="0" w:tplc="2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6356CE8"/>
    <w:multiLevelType w:val="hybridMultilevel"/>
    <w:tmpl w:val="8FFC21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E4C9B"/>
    <w:multiLevelType w:val="hybridMultilevel"/>
    <w:tmpl w:val="41583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167577"/>
    <w:multiLevelType w:val="hybridMultilevel"/>
    <w:tmpl w:val="884C3FE8"/>
    <w:lvl w:ilvl="0" w:tplc="F9BE89DC">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91B2E24"/>
    <w:multiLevelType w:val="hybridMultilevel"/>
    <w:tmpl w:val="414EA7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BE93595"/>
    <w:multiLevelType w:val="hybridMultilevel"/>
    <w:tmpl w:val="9562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746BC4"/>
    <w:multiLevelType w:val="hybridMultilevel"/>
    <w:tmpl w:val="0FD0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E619BB"/>
    <w:multiLevelType w:val="hybridMultilevel"/>
    <w:tmpl w:val="BDAC2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5C0E34"/>
    <w:multiLevelType w:val="hybridMultilevel"/>
    <w:tmpl w:val="67FCB8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B172AAF"/>
    <w:multiLevelType w:val="hybridMultilevel"/>
    <w:tmpl w:val="DCA8CAE2"/>
    <w:lvl w:ilvl="0" w:tplc="0809000F">
      <w:start w:val="3"/>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50809DC"/>
    <w:multiLevelType w:val="hybridMultilevel"/>
    <w:tmpl w:val="46429EAE"/>
    <w:lvl w:ilvl="0" w:tplc="C9DA6ADE">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753405"/>
    <w:multiLevelType w:val="hybridMultilevel"/>
    <w:tmpl w:val="AB381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F4340B"/>
    <w:multiLevelType w:val="hybridMultilevel"/>
    <w:tmpl w:val="9A123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A3C9D"/>
    <w:multiLevelType w:val="hybridMultilevel"/>
    <w:tmpl w:val="2350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E7B57"/>
    <w:multiLevelType w:val="hybridMultilevel"/>
    <w:tmpl w:val="F5E4D7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19777E"/>
    <w:multiLevelType w:val="hybridMultilevel"/>
    <w:tmpl w:val="42809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E20F5"/>
    <w:multiLevelType w:val="hybridMultilevel"/>
    <w:tmpl w:val="11683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28" w15:restartNumberingAfterBreak="0">
    <w:nsid w:val="53ED5FCF"/>
    <w:multiLevelType w:val="hybridMultilevel"/>
    <w:tmpl w:val="A3183A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58212DC"/>
    <w:multiLevelType w:val="hybridMultilevel"/>
    <w:tmpl w:val="9796CBB0"/>
    <w:lvl w:ilvl="0" w:tplc="73BECF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624EC"/>
    <w:multiLevelType w:val="hybridMultilevel"/>
    <w:tmpl w:val="687A9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40026"/>
    <w:multiLevelType w:val="hybridMultilevel"/>
    <w:tmpl w:val="CD1E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CA1D35"/>
    <w:multiLevelType w:val="hybridMultilevel"/>
    <w:tmpl w:val="8300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CD72A5"/>
    <w:multiLevelType w:val="hybridMultilevel"/>
    <w:tmpl w:val="019656D0"/>
    <w:lvl w:ilvl="0" w:tplc="0E1484B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4666FD0"/>
    <w:multiLevelType w:val="hybridMultilevel"/>
    <w:tmpl w:val="6374F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9830AF4"/>
    <w:multiLevelType w:val="hybridMultilevel"/>
    <w:tmpl w:val="D46E3436"/>
    <w:lvl w:ilvl="0" w:tplc="ED2EB8DE">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BE7505"/>
    <w:multiLevelType w:val="hybridMultilevel"/>
    <w:tmpl w:val="A55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A6489"/>
    <w:multiLevelType w:val="hybridMultilevel"/>
    <w:tmpl w:val="52480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B5914B2"/>
    <w:multiLevelType w:val="hybridMultilevel"/>
    <w:tmpl w:val="42EA833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BD46EAF"/>
    <w:multiLevelType w:val="hybridMultilevel"/>
    <w:tmpl w:val="A16C44CE"/>
    <w:lvl w:ilvl="0" w:tplc="8E1C72C0">
      <w:start w:val="1"/>
      <w:numFmt w:val="decimal"/>
      <w:lvlText w:val="%1)"/>
      <w:lvlJc w:val="left"/>
      <w:pPr>
        <w:ind w:left="720" w:hanging="360"/>
      </w:pPr>
      <w:rPr>
        <w:rFonts w:eastAsia="Calibri" w:cs="Times New Roman"/>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D753FC"/>
    <w:multiLevelType w:val="hybridMultilevel"/>
    <w:tmpl w:val="458EE81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4DE3684"/>
    <w:multiLevelType w:val="hybridMultilevel"/>
    <w:tmpl w:val="4A1A5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82461CE"/>
    <w:multiLevelType w:val="hybridMultilevel"/>
    <w:tmpl w:val="EC24B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658115">
    <w:abstractNumId w:val="40"/>
  </w:num>
  <w:num w:numId="2" w16cid:durableId="158346263">
    <w:abstractNumId w:val="27"/>
  </w:num>
  <w:num w:numId="3" w16cid:durableId="384185353">
    <w:abstractNumId w:val="4"/>
  </w:num>
  <w:num w:numId="4" w16cid:durableId="7336223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54065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7751045">
    <w:abstractNumId w:val="1"/>
  </w:num>
  <w:num w:numId="7" w16cid:durableId="598611120">
    <w:abstractNumId w:val="7"/>
  </w:num>
  <w:num w:numId="8" w16cid:durableId="132410471">
    <w:abstractNumId w:val="21"/>
  </w:num>
  <w:num w:numId="9" w16cid:durableId="126319035">
    <w:abstractNumId w:val="12"/>
  </w:num>
  <w:num w:numId="10" w16cid:durableId="1217811565">
    <w:abstractNumId w:val="6"/>
  </w:num>
  <w:num w:numId="11" w16cid:durableId="1416049925">
    <w:abstractNumId w:val="34"/>
  </w:num>
  <w:num w:numId="12" w16cid:durableId="1788616788">
    <w:abstractNumId w:val="37"/>
  </w:num>
  <w:num w:numId="13" w16cid:durableId="216361314">
    <w:abstractNumId w:val="8"/>
  </w:num>
  <w:num w:numId="14" w16cid:durableId="2061857582">
    <w:abstractNumId w:val="42"/>
  </w:num>
  <w:num w:numId="15" w16cid:durableId="1941133587">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2170007">
    <w:abstractNumId w:val="18"/>
  </w:num>
  <w:num w:numId="17" w16cid:durableId="695883185">
    <w:abstractNumId w:val="28"/>
  </w:num>
  <w:num w:numId="18" w16cid:durableId="315645834">
    <w:abstractNumId w:val="13"/>
  </w:num>
  <w:num w:numId="19" w16cid:durableId="1177884326">
    <w:abstractNumId w:val="39"/>
  </w:num>
  <w:num w:numId="20" w16cid:durableId="1514565932">
    <w:abstractNumId w:val="3"/>
  </w:num>
  <w:num w:numId="21" w16cid:durableId="573273335">
    <w:abstractNumId w:val="29"/>
  </w:num>
  <w:num w:numId="22" w16cid:durableId="1343048483">
    <w:abstractNumId w:val="25"/>
  </w:num>
  <w:num w:numId="23" w16cid:durableId="1379162490">
    <w:abstractNumId w:val="26"/>
  </w:num>
  <w:num w:numId="24" w16cid:durableId="402988649">
    <w:abstractNumId w:val="0"/>
  </w:num>
  <w:num w:numId="25" w16cid:durableId="745957370">
    <w:abstractNumId w:val="30"/>
  </w:num>
  <w:num w:numId="26" w16cid:durableId="689991167">
    <w:abstractNumId w:val="2"/>
  </w:num>
  <w:num w:numId="27" w16cid:durableId="84573029">
    <w:abstractNumId w:val="32"/>
  </w:num>
  <w:num w:numId="28" w16cid:durableId="1544639385">
    <w:abstractNumId w:val="43"/>
  </w:num>
  <w:num w:numId="29" w16cid:durableId="605427385">
    <w:abstractNumId w:val="35"/>
  </w:num>
  <w:num w:numId="30" w16cid:durableId="1788964475">
    <w:abstractNumId w:val="20"/>
  </w:num>
  <w:num w:numId="31" w16cid:durableId="1522165223">
    <w:abstractNumId w:val="16"/>
  </w:num>
  <w:num w:numId="32" w16cid:durableId="661470210">
    <w:abstractNumId w:val="38"/>
  </w:num>
  <w:num w:numId="33" w16cid:durableId="1964923220">
    <w:abstractNumId w:val="15"/>
  </w:num>
  <w:num w:numId="34" w16cid:durableId="1497764378">
    <w:abstractNumId w:val="5"/>
  </w:num>
  <w:num w:numId="35" w16cid:durableId="1819610918">
    <w:abstractNumId w:val="36"/>
  </w:num>
  <w:num w:numId="36" w16cid:durableId="1077094581">
    <w:abstractNumId w:val="23"/>
  </w:num>
  <w:num w:numId="37" w16cid:durableId="1800756701">
    <w:abstractNumId w:val="31"/>
  </w:num>
  <w:num w:numId="38" w16cid:durableId="1633363455">
    <w:abstractNumId w:val="24"/>
  </w:num>
  <w:num w:numId="39" w16cid:durableId="1488474353">
    <w:abstractNumId w:val="17"/>
  </w:num>
  <w:num w:numId="40" w16cid:durableId="1940797620">
    <w:abstractNumId w:val="14"/>
  </w:num>
  <w:num w:numId="41" w16cid:durableId="636880839">
    <w:abstractNumId w:val="19"/>
  </w:num>
  <w:num w:numId="42" w16cid:durableId="242181190">
    <w:abstractNumId w:val="22"/>
  </w:num>
  <w:num w:numId="43" w16cid:durableId="1829203278">
    <w:abstractNumId w:val="11"/>
  </w:num>
  <w:num w:numId="44" w16cid:durableId="313721343">
    <w:abstractNumId w:val="9"/>
  </w:num>
  <w:num w:numId="45" w16cid:durableId="293371409">
    <w:abstractNumId w:val="10"/>
  </w:num>
  <w:num w:numId="46" w16cid:durableId="1218203242">
    <w:abstractNumId w:val="41"/>
  </w:num>
  <w:num w:numId="47" w16cid:durableId="2054843608">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97"/>
  <w:hyphenationZone w:val="425"/>
  <w:evenAndOddHeaders/>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E0DE9"/>
    <w:rsid w:val="000024C8"/>
    <w:rsid w:val="00004218"/>
    <w:rsid w:val="000044A4"/>
    <w:rsid w:val="00004AC6"/>
    <w:rsid w:val="00006301"/>
    <w:rsid w:val="00006B46"/>
    <w:rsid w:val="00006C47"/>
    <w:rsid w:val="00007528"/>
    <w:rsid w:val="0001212C"/>
    <w:rsid w:val="00012192"/>
    <w:rsid w:val="00020C95"/>
    <w:rsid w:val="0002105A"/>
    <w:rsid w:val="00022107"/>
    <w:rsid w:val="0002210E"/>
    <w:rsid w:val="00022F03"/>
    <w:rsid w:val="000250CC"/>
    <w:rsid w:val="0002519B"/>
    <w:rsid w:val="00025CFF"/>
    <w:rsid w:val="00031F0B"/>
    <w:rsid w:val="00033569"/>
    <w:rsid w:val="00035CB2"/>
    <w:rsid w:val="00041776"/>
    <w:rsid w:val="00042704"/>
    <w:rsid w:val="00045A31"/>
    <w:rsid w:val="00045D6C"/>
    <w:rsid w:val="00047FA5"/>
    <w:rsid w:val="00052636"/>
    <w:rsid w:val="00056D98"/>
    <w:rsid w:val="000576D1"/>
    <w:rsid w:val="00067C15"/>
    <w:rsid w:val="0007004F"/>
    <w:rsid w:val="000724FB"/>
    <w:rsid w:val="00075B40"/>
    <w:rsid w:val="000762D2"/>
    <w:rsid w:val="000816DC"/>
    <w:rsid w:val="0008293C"/>
    <w:rsid w:val="00083752"/>
    <w:rsid w:val="00090D14"/>
    <w:rsid w:val="00091E2E"/>
    <w:rsid w:val="00094577"/>
    <w:rsid w:val="00094AB7"/>
    <w:rsid w:val="00094FA9"/>
    <w:rsid w:val="00096B62"/>
    <w:rsid w:val="00096E3D"/>
    <w:rsid w:val="000A0422"/>
    <w:rsid w:val="000A08BE"/>
    <w:rsid w:val="000A1981"/>
    <w:rsid w:val="000A4016"/>
    <w:rsid w:val="000A4C50"/>
    <w:rsid w:val="000A537E"/>
    <w:rsid w:val="000A5A1E"/>
    <w:rsid w:val="000A782B"/>
    <w:rsid w:val="000B1A95"/>
    <w:rsid w:val="000B47A8"/>
    <w:rsid w:val="000B50AD"/>
    <w:rsid w:val="000B676D"/>
    <w:rsid w:val="000B7CE6"/>
    <w:rsid w:val="000B7D58"/>
    <w:rsid w:val="000C0C6D"/>
    <w:rsid w:val="000C23BD"/>
    <w:rsid w:val="000C349E"/>
    <w:rsid w:val="000D06C2"/>
    <w:rsid w:val="000D318F"/>
    <w:rsid w:val="000D3F69"/>
    <w:rsid w:val="000E0325"/>
    <w:rsid w:val="000E465E"/>
    <w:rsid w:val="000E65DB"/>
    <w:rsid w:val="000E778D"/>
    <w:rsid w:val="000F1830"/>
    <w:rsid w:val="000F2FBE"/>
    <w:rsid w:val="000F6D54"/>
    <w:rsid w:val="00100A08"/>
    <w:rsid w:val="00100AF1"/>
    <w:rsid w:val="00106B1A"/>
    <w:rsid w:val="0010769B"/>
    <w:rsid w:val="00111987"/>
    <w:rsid w:val="00112D9A"/>
    <w:rsid w:val="00114D21"/>
    <w:rsid w:val="001169E6"/>
    <w:rsid w:val="00117747"/>
    <w:rsid w:val="00117E96"/>
    <w:rsid w:val="00120752"/>
    <w:rsid w:val="001227B5"/>
    <w:rsid w:val="00130DE1"/>
    <w:rsid w:val="001325FD"/>
    <w:rsid w:val="00133D7B"/>
    <w:rsid w:val="00133E0D"/>
    <w:rsid w:val="00134B58"/>
    <w:rsid w:val="00134CC3"/>
    <w:rsid w:val="001351B6"/>
    <w:rsid w:val="0013732D"/>
    <w:rsid w:val="001410BF"/>
    <w:rsid w:val="00145DCE"/>
    <w:rsid w:val="001463BB"/>
    <w:rsid w:val="0015003D"/>
    <w:rsid w:val="001508C7"/>
    <w:rsid w:val="00155833"/>
    <w:rsid w:val="00160053"/>
    <w:rsid w:val="00160C29"/>
    <w:rsid w:val="001639ED"/>
    <w:rsid w:val="001644D1"/>
    <w:rsid w:val="001658C3"/>
    <w:rsid w:val="0017266D"/>
    <w:rsid w:val="00180BD5"/>
    <w:rsid w:val="0018243E"/>
    <w:rsid w:val="00182591"/>
    <w:rsid w:val="00185A43"/>
    <w:rsid w:val="00186760"/>
    <w:rsid w:val="00187723"/>
    <w:rsid w:val="001878D6"/>
    <w:rsid w:val="00187A72"/>
    <w:rsid w:val="001926F2"/>
    <w:rsid w:val="0019381B"/>
    <w:rsid w:val="0019594F"/>
    <w:rsid w:val="00196EE9"/>
    <w:rsid w:val="001A2ED9"/>
    <w:rsid w:val="001A3920"/>
    <w:rsid w:val="001A4152"/>
    <w:rsid w:val="001A5DEC"/>
    <w:rsid w:val="001A5F70"/>
    <w:rsid w:val="001A7527"/>
    <w:rsid w:val="001B219C"/>
    <w:rsid w:val="001B59BE"/>
    <w:rsid w:val="001C6D1C"/>
    <w:rsid w:val="001D143D"/>
    <w:rsid w:val="001D1BD1"/>
    <w:rsid w:val="001D3402"/>
    <w:rsid w:val="001D379B"/>
    <w:rsid w:val="001D4FD8"/>
    <w:rsid w:val="001D5019"/>
    <w:rsid w:val="001D53C7"/>
    <w:rsid w:val="001D5CBA"/>
    <w:rsid w:val="001D7FCE"/>
    <w:rsid w:val="001E0430"/>
    <w:rsid w:val="001E05CA"/>
    <w:rsid w:val="001E0741"/>
    <w:rsid w:val="001E1D74"/>
    <w:rsid w:val="001F1D53"/>
    <w:rsid w:val="001F2968"/>
    <w:rsid w:val="001F4F83"/>
    <w:rsid w:val="001F515B"/>
    <w:rsid w:val="001F5C18"/>
    <w:rsid w:val="0020159F"/>
    <w:rsid w:val="00201DFA"/>
    <w:rsid w:val="002108C3"/>
    <w:rsid w:val="0021517B"/>
    <w:rsid w:val="00216146"/>
    <w:rsid w:val="00221119"/>
    <w:rsid w:val="00221B43"/>
    <w:rsid w:val="002227A2"/>
    <w:rsid w:val="002233A3"/>
    <w:rsid w:val="00223F44"/>
    <w:rsid w:val="00224365"/>
    <w:rsid w:val="00226B1D"/>
    <w:rsid w:val="00227DA1"/>
    <w:rsid w:val="00230B2A"/>
    <w:rsid w:val="002331B9"/>
    <w:rsid w:val="002343EF"/>
    <w:rsid w:val="002345B4"/>
    <w:rsid w:val="002364D3"/>
    <w:rsid w:val="0023673F"/>
    <w:rsid w:val="00240F90"/>
    <w:rsid w:val="0024268D"/>
    <w:rsid w:val="00243D8D"/>
    <w:rsid w:val="00243EAE"/>
    <w:rsid w:val="0025303B"/>
    <w:rsid w:val="002546AE"/>
    <w:rsid w:val="002550B9"/>
    <w:rsid w:val="00256AC8"/>
    <w:rsid w:val="00261624"/>
    <w:rsid w:val="0026181D"/>
    <w:rsid w:val="00261E77"/>
    <w:rsid w:val="00263B3D"/>
    <w:rsid w:val="00264EED"/>
    <w:rsid w:val="002652F3"/>
    <w:rsid w:val="00267C6B"/>
    <w:rsid w:val="002721EE"/>
    <w:rsid w:val="0027617B"/>
    <w:rsid w:val="00277633"/>
    <w:rsid w:val="00281B9F"/>
    <w:rsid w:val="00281BAF"/>
    <w:rsid w:val="0028319F"/>
    <w:rsid w:val="00285234"/>
    <w:rsid w:val="00286CCD"/>
    <w:rsid w:val="00286F9C"/>
    <w:rsid w:val="0029024B"/>
    <w:rsid w:val="00293122"/>
    <w:rsid w:val="002A012C"/>
    <w:rsid w:val="002A0A6B"/>
    <w:rsid w:val="002A1FD6"/>
    <w:rsid w:val="002A2D44"/>
    <w:rsid w:val="002A376D"/>
    <w:rsid w:val="002A440F"/>
    <w:rsid w:val="002A71FF"/>
    <w:rsid w:val="002A7F53"/>
    <w:rsid w:val="002B0E18"/>
    <w:rsid w:val="002B3496"/>
    <w:rsid w:val="002B7D09"/>
    <w:rsid w:val="002C1135"/>
    <w:rsid w:val="002C1E39"/>
    <w:rsid w:val="002C3A39"/>
    <w:rsid w:val="002C6BD6"/>
    <w:rsid w:val="002D3CA5"/>
    <w:rsid w:val="002D3E4B"/>
    <w:rsid w:val="002D6582"/>
    <w:rsid w:val="002D72AD"/>
    <w:rsid w:val="002D7492"/>
    <w:rsid w:val="002D798A"/>
    <w:rsid w:val="002E0DE9"/>
    <w:rsid w:val="002E5872"/>
    <w:rsid w:val="002E5BE2"/>
    <w:rsid w:val="002E6A6C"/>
    <w:rsid w:val="002F0D55"/>
    <w:rsid w:val="002F19EB"/>
    <w:rsid w:val="002F3056"/>
    <w:rsid w:val="002F412F"/>
    <w:rsid w:val="002F5B06"/>
    <w:rsid w:val="00300412"/>
    <w:rsid w:val="0030410D"/>
    <w:rsid w:val="00304FA0"/>
    <w:rsid w:val="00305918"/>
    <w:rsid w:val="00305BA4"/>
    <w:rsid w:val="00307531"/>
    <w:rsid w:val="0030765A"/>
    <w:rsid w:val="003109DF"/>
    <w:rsid w:val="00310B43"/>
    <w:rsid w:val="00311817"/>
    <w:rsid w:val="00316E81"/>
    <w:rsid w:val="003204D6"/>
    <w:rsid w:val="00321FF8"/>
    <w:rsid w:val="00322248"/>
    <w:rsid w:val="003229AE"/>
    <w:rsid w:val="00324448"/>
    <w:rsid w:val="00324BBA"/>
    <w:rsid w:val="00326074"/>
    <w:rsid w:val="00326FD4"/>
    <w:rsid w:val="00326FE6"/>
    <w:rsid w:val="00327ACD"/>
    <w:rsid w:val="00331167"/>
    <w:rsid w:val="00332A68"/>
    <w:rsid w:val="00332EA8"/>
    <w:rsid w:val="00334FC9"/>
    <w:rsid w:val="00335E2E"/>
    <w:rsid w:val="003363B0"/>
    <w:rsid w:val="0033652B"/>
    <w:rsid w:val="003378DA"/>
    <w:rsid w:val="00342921"/>
    <w:rsid w:val="003434A3"/>
    <w:rsid w:val="003434EF"/>
    <w:rsid w:val="00343715"/>
    <w:rsid w:val="00343D7D"/>
    <w:rsid w:val="00344195"/>
    <w:rsid w:val="003467BC"/>
    <w:rsid w:val="0034769E"/>
    <w:rsid w:val="003531B9"/>
    <w:rsid w:val="00353EE1"/>
    <w:rsid w:val="00354966"/>
    <w:rsid w:val="00356C4C"/>
    <w:rsid w:val="00360838"/>
    <w:rsid w:val="003622DF"/>
    <w:rsid w:val="00362B87"/>
    <w:rsid w:val="0036496E"/>
    <w:rsid w:val="003654C7"/>
    <w:rsid w:val="00366140"/>
    <w:rsid w:val="00367CC3"/>
    <w:rsid w:val="00371DE1"/>
    <w:rsid w:val="00380652"/>
    <w:rsid w:val="00383651"/>
    <w:rsid w:val="00384563"/>
    <w:rsid w:val="00386A00"/>
    <w:rsid w:val="00392513"/>
    <w:rsid w:val="00394AFB"/>
    <w:rsid w:val="0039652B"/>
    <w:rsid w:val="003A017E"/>
    <w:rsid w:val="003A0555"/>
    <w:rsid w:val="003A2ED9"/>
    <w:rsid w:val="003A3CD1"/>
    <w:rsid w:val="003A5C59"/>
    <w:rsid w:val="003A6070"/>
    <w:rsid w:val="003A750B"/>
    <w:rsid w:val="003B13DB"/>
    <w:rsid w:val="003B210B"/>
    <w:rsid w:val="003B25AB"/>
    <w:rsid w:val="003B6574"/>
    <w:rsid w:val="003B7D17"/>
    <w:rsid w:val="003C041A"/>
    <w:rsid w:val="003C08E7"/>
    <w:rsid w:val="003C0FE2"/>
    <w:rsid w:val="003C131D"/>
    <w:rsid w:val="003C2606"/>
    <w:rsid w:val="003C7641"/>
    <w:rsid w:val="003C7FC2"/>
    <w:rsid w:val="003D22AB"/>
    <w:rsid w:val="003D2868"/>
    <w:rsid w:val="003D2CA6"/>
    <w:rsid w:val="003D337A"/>
    <w:rsid w:val="003D387F"/>
    <w:rsid w:val="003D6226"/>
    <w:rsid w:val="003D66B8"/>
    <w:rsid w:val="003E0726"/>
    <w:rsid w:val="003E0F1E"/>
    <w:rsid w:val="003E62B3"/>
    <w:rsid w:val="003E7324"/>
    <w:rsid w:val="003E7DB2"/>
    <w:rsid w:val="003F0F62"/>
    <w:rsid w:val="003F6B67"/>
    <w:rsid w:val="0040049A"/>
    <w:rsid w:val="004017A3"/>
    <w:rsid w:val="00410B40"/>
    <w:rsid w:val="00415E1A"/>
    <w:rsid w:val="00417239"/>
    <w:rsid w:val="0042262E"/>
    <w:rsid w:val="00425E88"/>
    <w:rsid w:val="00426731"/>
    <w:rsid w:val="004269F9"/>
    <w:rsid w:val="00431AB7"/>
    <w:rsid w:val="00432503"/>
    <w:rsid w:val="004332DA"/>
    <w:rsid w:val="0044002B"/>
    <w:rsid w:val="00443448"/>
    <w:rsid w:val="00443751"/>
    <w:rsid w:val="0044560F"/>
    <w:rsid w:val="0044687F"/>
    <w:rsid w:val="0044745A"/>
    <w:rsid w:val="004521FB"/>
    <w:rsid w:val="00452C31"/>
    <w:rsid w:val="00452CF8"/>
    <w:rsid w:val="00453B71"/>
    <w:rsid w:val="0045548C"/>
    <w:rsid w:val="00456D2F"/>
    <w:rsid w:val="00462A14"/>
    <w:rsid w:val="00463731"/>
    <w:rsid w:val="0046394B"/>
    <w:rsid w:val="00465ED2"/>
    <w:rsid w:val="00467571"/>
    <w:rsid w:val="0047477C"/>
    <w:rsid w:val="0048118D"/>
    <w:rsid w:val="0048305E"/>
    <w:rsid w:val="004831BB"/>
    <w:rsid w:val="00483F04"/>
    <w:rsid w:val="00490495"/>
    <w:rsid w:val="00492194"/>
    <w:rsid w:val="00492D6F"/>
    <w:rsid w:val="004A21BC"/>
    <w:rsid w:val="004A3485"/>
    <w:rsid w:val="004A3915"/>
    <w:rsid w:val="004A6C98"/>
    <w:rsid w:val="004A6F5D"/>
    <w:rsid w:val="004B0FC5"/>
    <w:rsid w:val="004B1166"/>
    <w:rsid w:val="004B6FC5"/>
    <w:rsid w:val="004B7071"/>
    <w:rsid w:val="004C4B51"/>
    <w:rsid w:val="004D12BB"/>
    <w:rsid w:val="004D1EDC"/>
    <w:rsid w:val="004D2D5C"/>
    <w:rsid w:val="004D3829"/>
    <w:rsid w:val="004D3C90"/>
    <w:rsid w:val="004D5686"/>
    <w:rsid w:val="004E299B"/>
    <w:rsid w:val="004F1B5A"/>
    <w:rsid w:val="004F406A"/>
    <w:rsid w:val="004F4DFD"/>
    <w:rsid w:val="004F6FE9"/>
    <w:rsid w:val="005015AD"/>
    <w:rsid w:val="00504A23"/>
    <w:rsid w:val="00504AF1"/>
    <w:rsid w:val="00505052"/>
    <w:rsid w:val="00506254"/>
    <w:rsid w:val="00507669"/>
    <w:rsid w:val="005168DC"/>
    <w:rsid w:val="005214E3"/>
    <w:rsid w:val="005267DF"/>
    <w:rsid w:val="00526AB7"/>
    <w:rsid w:val="005309D1"/>
    <w:rsid w:val="00532AFF"/>
    <w:rsid w:val="005330F7"/>
    <w:rsid w:val="00537668"/>
    <w:rsid w:val="00540C89"/>
    <w:rsid w:val="00541D9E"/>
    <w:rsid w:val="0054456C"/>
    <w:rsid w:val="005453D5"/>
    <w:rsid w:val="0054696B"/>
    <w:rsid w:val="00547439"/>
    <w:rsid w:val="005479CC"/>
    <w:rsid w:val="005530D1"/>
    <w:rsid w:val="005560B0"/>
    <w:rsid w:val="00556E4C"/>
    <w:rsid w:val="00557D5E"/>
    <w:rsid w:val="00561EFF"/>
    <w:rsid w:val="00562348"/>
    <w:rsid w:val="00562A3C"/>
    <w:rsid w:val="00563598"/>
    <w:rsid w:val="00565814"/>
    <w:rsid w:val="00567B56"/>
    <w:rsid w:val="00571AE1"/>
    <w:rsid w:val="00571E6C"/>
    <w:rsid w:val="00573F94"/>
    <w:rsid w:val="00575A8A"/>
    <w:rsid w:val="00581FEF"/>
    <w:rsid w:val="00583C4C"/>
    <w:rsid w:val="00585182"/>
    <w:rsid w:val="00585ADA"/>
    <w:rsid w:val="00591632"/>
    <w:rsid w:val="00593D80"/>
    <w:rsid w:val="005A124C"/>
    <w:rsid w:val="005A1C26"/>
    <w:rsid w:val="005A2951"/>
    <w:rsid w:val="005A4CC2"/>
    <w:rsid w:val="005A7782"/>
    <w:rsid w:val="005B075A"/>
    <w:rsid w:val="005B419A"/>
    <w:rsid w:val="005B5815"/>
    <w:rsid w:val="005B5B46"/>
    <w:rsid w:val="005B6406"/>
    <w:rsid w:val="005B77B9"/>
    <w:rsid w:val="005C182B"/>
    <w:rsid w:val="005C18E1"/>
    <w:rsid w:val="005C1E35"/>
    <w:rsid w:val="005C200E"/>
    <w:rsid w:val="005C283A"/>
    <w:rsid w:val="005C4233"/>
    <w:rsid w:val="005C570B"/>
    <w:rsid w:val="005C6784"/>
    <w:rsid w:val="005D0BFA"/>
    <w:rsid w:val="005D1D51"/>
    <w:rsid w:val="005D2258"/>
    <w:rsid w:val="005D2C76"/>
    <w:rsid w:val="005D3326"/>
    <w:rsid w:val="005D345E"/>
    <w:rsid w:val="005D488F"/>
    <w:rsid w:val="005D50EE"/>
    <w:rsid w:val="005E17E6"/>
    <w:rsid w:val="005E1DAD"/>
    <w:rsid w:val="005E354B"/>
    <w:rsid w:val="005E5A53"/>
    <w:rsid w:val="005E738D"/>
    <w:rsid w:val="005F1F45"/>
    <w:rsid w:val="005F38D3"/>
    <w:rsid w:val="005F6F0F"/>
    <w:rsid w:val="006005F8"/>
    <w:rsid w:val="00600B90"/>
    <w:rsid w:val="00601847"/>
    <w:rsid w:val="00602E98"/>
    <w:rsid w:val="006033DA"/>
    <w:rsid w:val="006054D8"/>
    <w:rsid w:val="00605A70"/>
    <w:rsid w:val="006067A8"/>
    <w:rsid w:val="006071CB"/>
    <w:rsid w:val="006100C4"/>
    <w:rsid w:val="00610A17"/>
    <w:rsid w:val="006136F1"/>
    <w:rsid w:val="0061633A"/>
    <w:rsid w:val="00622573"/>
    <w:rsid w:val="0063026B"/>
    <w:rsid w:val="00631BB0"/>
    <w:rsid w:val="00632355"/>
    <w:rsid w:val="00632AD2"/>
    <w:rsid w:val="00635587"/>
    <w:rsid w:val="00637019"/>
    <w:rsid w:val="00640E47"/>
    <w:rsid w:val="00652364"/>
    <w:rsid w:val="006532D5"/>
    <w:rsid w:val="006566E2"/>
    <w:rsid w:val="00656F39"/>
    <w:rsid w:val="0065793B"/>
    <w:rsid w:val="006603C2"/>
    <w:rsid w:val="00660A58"/>
    <w:rsid w:val="00661875"/>
    <w:rsid w:val="006624D6"/>
    <w:rsid w:val="00663F86"/>
    <w:rsid w:val="00665600"/>
    <w:rsid w:val="0066631F"/>
    <w:rsid w:val="006678D3"/>
    <w:rsid w:val="00670235"/>
    <w:rsid w:val="00672525"/>
    <w:rsid w:val="00676BBD"/>
    <w:rsid w:val="00681B6C"/>
    <w:rsid w:val="00682ECA"/>
    <w:rsid w:val="00685C10"/>
    <w:rsid w:val="00695AAD"/>
    <w:rsid w:val="00696257"/>
    <w:rsid w:val="0069797E"/>
    <w:rsid w:val="006A0651"/>
    <w:rsid w:val="006A0F38"/>
    <w:rsid w:val="006A137E"/>
    <w:rsid w:val="006A2CD9"/>
    <w:rsid w:val="006A32BF"/>
    <w:rsid w:val="006A5EA8"/>
    <w:rsid w:val="006B0B4A"/>
    <w:rsid w:val="006B1A68"/>
    <w:rsid w:val="006B75FA"/>
    <w:rsid w:val="006C0EC4"/>
    <w:rsid w:val="006C130B"/>
    <w:rsid w:val="006C2675"/>
    <w:rsid w:val="006C4352"/>
    <w:rsid w:val="006C4636"/>
    <w:rsid w:val="006C5998"/>
    <w:rsid w:val="006C69C9"/>
    <w:rsid w:val="006C7112"/>
    <w:rsid w:val="006D55C0"/>
    <w:rsid w:val="006D5D57"/>
    <w:rsid w:val="006D66B3"/>
    <w:rsid w:val="006E0CEF"/>
    <w:rsid w:val="006E192D"/>
    <w:rsid w:val="006E1B5F"/>
    <w:rsid w:val="006E4D4C"/>
    <w:rsid w:val="006E5314"/>
    <w:rsid w:val="006E5EA3"/>
    <w:rsid w:val="006F38D7"/>
    <w:rsid w:val="006F5169"/>
    <w:rsid w:val="007003AA"/>
    <w:rsid w:val="0070218E"/>
    <w:rsid w:val="00703A91"/>
    <w:rsid w:val="007043E8"/>
    <w:rsid w:val="00704731"/>
    <w:rsid w:val="00704C87"/>
    <w:rsid w:val="00705D5C"/>
    <w:rsid w:val="00707F50"/>
    <w:rsid w:val="00710E16"/>
    <w:rsid w:val="007116CE"/>
    <w:rsid w:val="00711A29"/>
    <w:rsid w:val="00711E2A"/>
    <w:rsid w:val="00713B8E"/>
    <w:rsid w:val="00716051"/>
    <w:rsid w:val="00716E2B"/>
    <w:rsid w:val="007211A0"/>
    <w:rsid w:val="00722559"/>
    <w:rsid w:val="007241F3"/>
    <w:rsid w:val="007267AD"/>
    <w:rsid w:val="00727BD6"/>
    <w:rsid w:val="0073325B"/>
    <w:rsid w:val="007433AD"/>
    <w:rsid w:val="007436A3"/>
    <w:rsid w:val="0074432A"/>
    <w:rsid w:val="00745272"/>
    <w:rsid w:val="0074634C"/>
    <w:rsid w:val="007475B9"/>
    <w:rsid w:val="00747CBE"/>
    <w:rsid w:val="00751EA7"/>
    <w:rsid w:val="00752B07"/>
    <w:rsid w:val="00756442"/>
    <w:rsid w:val="007572E4"/>
    <w:rsid w:val="00761481"/>
    <w:rsid w:val="00763D65"/>
    <w:rsid w:val="00766185"/>
    <w:rsid w:val="00770AB3"/>
    <w:rsid w:val="007730B0"/>
    <w:rsid w:val="007763FC"/>
    <w:rsid w:val="007765A7"/>
    <w:rsid w:val="00777B9C"/>
    <w:rsid w:val="007823FD"/>
    <w:rsid w:val="00784917"/>
    <w:rsid w:val="00786115"/>
    <w:rsid w:val="00793043"/>
    <w:rsid w:val="00793387"/>
    <w:rsid w:val="007A2F3C"/>
    <w:rsid w:val="007A43C6"/>
    <w:rsid w:val="007A5939"/>
    <w:rsid w:val="007A61DB"/>
    <w:rsid w:val="007B1E13"/>
    <w:rsid w:val="007B2989"/>
    <w:rsid w:val="007B55D3"/>
    <w:rsid w:val="007B5E2B"/>
    <w:rsid w:val="007B64F1"/>
    <w:rsid w:val="007B7089"/>
    <w:rsid w:val="007B74EF"/>
    <w:rsid w:val="007B7D9F"/>
    <w:rsid w:val="007C0889"/>
    <w:rsid w:val="007C112E"/>
    <w:rsid w:val="007C3DFF"/>
    <w:rsid w:val="007C3E82"/>
    <w:rsid w:val="007C486C"/>
    <w:rsid w:val="007C565C"/>
    <w:rsid w:val="007C666D"/>
    <w:rsid w:val="007C7454"/>
    <w:rsid w:val="007D1011"/>
    <w:rsid w:val="007D77D9"/>
    <w:rsid w:val="007E1751"/>
    <w:rsid w:val="007E2B3E"/>
    <w:rsid w:val="007E2F77"/>
    <w:rsid w:val="007E491E"/>
    <w:rsid w:val="007E4F8A"/>
    <w:rsid w:val="007E595E"/>
    <w:rsid w:val="007E641E"/>
    <w:rsid w:val="007E77AE"/>
    <w:rsid w:val="007E7AD0"/>
    <w:rsid w:val="007F16AB"/>
    <w:rsid w:val="007F56FA"/>
    <w:rsid w:val="007F6662"/>
    <w:rsid w:val="00800ED8"/>
    <w:rsid w:val="00802A0C"/>
    <w:rsid w:val="008038B5"/>
    <w:rsid w:val="00803CE1"/>
    <w:rsid w:val="00804ADE"/>
    <w:rsid w:val="0080629B"/>
    <w:rsid w:val="00806431"/>
    <w:rsid w:val="008100AD"/>
    <w:rsid w:val="00810AE8"/>
    <w:rsid w:val="00811C0E"/>
    <w:rsid w:val="008156DF"/>
    <w:rsid w:val="008226C3"/>
    <w:rsid w:val="00822CC3"/>
    <w:rsid w:val="008249E2"/>
    <w:rsid w:val="00825C3A"/>
    <w:rsid w:val="00826747"/>
    <w:rsid w:val="00826D4A"/>
    <w:rsid w:val="00831057"/>
    <w:rsid w:val="00831DC2"/>
    <w:rsid w:val="00834B45"/>
    <w:rsid w:val="008355C0"/>
    <w:rsid w:val="0083603C"/>
    <w:rsid w:val="00836EE6"/>
    <w:rsid w:val="00841FF0"/>
    <w:rsid w:val="00843044"/>
    <w:rsid w:val="008449FC"/>
    <w:rsid w:val="00845558"/>
    <w:rsid w:val="00845BF2"/>
    <w:rsid w:val="00846F1C"/>
    <w:rsid w:val="00847984"/>
    <w:rsid w:val="00853577"/>
    <w:rsid w:val="00853D09"/>
    <w:rsid w:val="00854541"/>
    <w:rsid w:val="008547B0"/>
    <w:rsid w:val="0085526D"/>
    <w:rsid w:val="008574D5"/>
    <w:rsid w:val="00857850"/>
    <w:rsid w:val="008601C5"/>
    <w:rsid w:val="008605FD"/>
    <w:rsid w:val="00861A94"/>
    <w:rsid w:val="008624AD"/>
    <w:rsid w:val="008628F5"/>
    <w:rsid w:val="00863CF0"/>
    <w:rsid w:val="00870055"/>
    <w:rsid w:val="008737EA"/>
    <w:rsid w:val="00873A23"/>
    <w:rsid w:val="00877F0A"/>
    <w:rsid w:val="008809FF"/>
    <w:rsid w:val="00880A80"/>
    <w:rsid w:val="00880DC4"/>
    <w:rsid w:val="00885144"/>
    <w:rsid w:val="008867FD"/>
    <w:rsid w:val="00892A41"/>
    <w:rsid w:val="00893ED8"/>
    <w:rsid w:val="00897FFB"/>
    <w:rsid w:val="008A08DC"/>
    <w:rsid w:val="008A0C5D"/>
    <w:rsid w:val="008A1BD6"/>
    <w:rsid w:val="008A2730"/>
    <w:rsid w:val="008A5D05"/>
    <w:rsid w:val="008A6C17"/>
    <w:rsid w:val="008B0AC3"/>
    <w:rsid w:val="008B1154"/>
    <w:rsid w:val="008B18C5"/>
    <w:rsid w:val="008B1B57"/>
    <w:rsid w:val="008B2B09"/>
    <w:rsid w:val="008B4700"/>
    <w:rsid w:val="008C3429"/>
    <w:rsid w:val="008C3546"/>
    <w:rsid w:val="008D2632"/>
    <w:rsid w:val="008D5169"/>
    <w:rsid w:val="008D66E6"/>
    <w:rsid w:val="008D6D32"/>
    <w:rsid w:val="008D74FD"/>
    <w:rsid w:val="008E04E8"/>
    <w:rsid w:val="008E0C45"/>
    <w:rsid w:val="008E0D44"/>
    <w:rsid w:val="008E2AB2"/>
    <w:rsid w:val="008E5E46"/>
    <w:rsid w:val="008E692D"/>
    <w:rsid w:val="008E6FCF"/>
    <w:rsid w:val="008E73F4"/>
    <w:rsid w:val="008F176A"/>
    <w:rsid w:val="008F39D8"/>
    <w:rsid w:val="008F401D"/>
    <w:rsid w:val="009004F7"/>
    <w:rsid w:val="0090362D"/>
    <w:rsid w:val="00903D5B"/>
    <w:rsid w:val="0090648C"/>
    <w:rsid w:val="00912393"/>
    <w:rsid w:val="009128C5"/>
    <w:rsid w:val="00913736"/>
    <w:rsid w:val="0092134E"/>
    <w:rsid w:val="00926087"/>
    <w:rsid w:val="00931143"/>
    <w:rsid w:val="00931FCA"/>
    <w:rsid w:val="00933A49"/>
    <w:rsid w:val="00936288"/>
    <w:rsid w:val="00937242"/>
    <w:rsid w:val="009415CD"/>
    <w:rsid w:val="00943DBF"/>
    <w:rsid w:val="00945679"/>
    <w:rsid w:val="009469B3"/>
    <w:rsid w:val="00947FE4"/>
    <w:rsid w:val="009502FD"/>
    <w:rsid w:val="009505ED"/>
    <w:rsid w:val="00952B0C"/>
    <w:rsid w:val="009555C6"/>
    <w:rsid w:val="0096066B"/>
    <w:rsid w:val="00962A3D"/>
    <w:rsid w:val="00964C43"/>
    <w:rsid w:val="009651D4"/>
    <w:rsid w:val="009654C0"/>
    <w:rsid w:val="00965D9F"/>
    <w:rsid w:val="0096690F"/>
    <w:rsid w:val="00971B82"/>
    <w:rsid w:val="0097216C"/>
    <w:rsid w:val="00973EA0"/>
    <w:rsid w:val="00975EC3"/>
    <w:rsid w:val="00980B9B"/>
    <w:rsid w:val="00981C2B"/>
    <w:rsid w:val="009837E7"/>
    <w:rsid w:val="009863DD"/>
    <w:rsid w:val="00986991"/>
    <w:rsid w:val="0099140C"/>
    <w:rsid w:val="00993AB9"/>
    <w:rsid w:val="00997CE9"/>
    <w:rsid w:val="00997FEA"/>
    <w:rsid w:val="009A72B5"/>
    <w:rsid w:val="009A76F8"/>
    <w:rsid w:val="009B34FA"/>
    <w:rsid w:val="009B4731"/>
    <w:rsid w:val="009B4DE6"/>
    <w:rsid w:val="009B55A4"/>
    <w:rsid w:val="009B6318"/>
    <w:rsid w:val="009B6888"/>
    <w:rsid w:val="009C1079"/>
    <w:rsid w:val="009C72FB"/>
    <w:rsid w:val="009D44B0"/>
    <w:rsid w:val="009D49BC"/>
    <w:rsid w:val="009D76A6"/>
    <w:rsid w:val="009E107F"/>
    <w:rsid w:val="009E4B76"/>
    <w:rsid w:val="009E7C39"/>
    <w:rsid w:val="009F031A"/>
    <w:rsid w:val="009F18D9"/>
    <w:rsid w:val="009F2C2F"/>
    <w:rsid w:val="009F3474"/>
    <w:rsid w:val="009F4CFF"/>
    <w:rsid w:val="00A05E3B"/>
    <w:rsid w:val="00A06C34"/>
    <w:rsid w:val="00A06E69"/>
    <w:rsid w:val="00A10BB0"/>
    <w:rsid w:val="00A14155"/>
    <w:rsid w:val="00A14E4A"/>
    <w:rsid w:val="00A21785"/>
    <w:rsid w:val="00A21813"/>
    <w:rsid w:val="00A22F7C"/>
    <w:rsid w:val="00A245D4"/>
    <w:rsid w:val="00A34291"/>
    <w:rsid w:val="00A44254"/>
    <w:rsid w:val="00A445BF"/>
    <w:rsid w:val="00A45EE9"/>
    <w:rsid w:val="00A471F0"/>
    <w:rsid w:val="00A54B1C"/>
    <w:rsid w:val="00A57CC0"/>
    <w:rsid w:val="00A65B14"/>
    <w:rsid w:val="00A66B59"/>
    <w:rsid w:val="00A7055A"/>
    <w:rsid w:val="00A723E8"/>
    <w:rsid w:val="00A76723"/>
    <w:rsid w:val="00A77275"/>
    <w:rsid w:val="00A836DB"/>
    <w:rsid w:val="00A86681"/>
    <w:rsid w:val="00A8684B"/>
    <w:rsid w:val="00A907D6"/>
    <w:rsid w:val="00A92EFB"/>
    <w:rsid w:val="00A97FBF"/>
    <w:rsid w:val="00AA0055"/>
    <w:rsid w:val="00AA15F5"/>
    <w:rsid w:val="00AA55CE"/>
    <w:rsid w:val="00AB4428"/>
    <w:rsid w:val="00AB44C4"/>
    <w:rsid w:val="00AB5301"/>
    <w:rsid w:val="00AB5F72"/>
    <w:rsid w:val="00AB6F23"/>
    <w:rsid w:val="00AC1A0B"/>
    <w:rsid w:val="00AC55D0"/>
    <w:rsid w:val="00AD1B5E"/>
    <w:rsid w:val="00AD2DD6"/>
    <w:rsid w:val="00AD3799"/>
    <w:rsid w:val="00AD4D67"/>
    <w:rsid w:val="00AD73A9"/>
    <w:rsid w:val="00AE0933"/>
    <w:rsid w:val="00AE0F5C"/>
    <w:rsid w:val="00AE3FCD"/>
    <w:rsid w:val="00AE588C"/>
    <w:rsid w:val="00AE78BB"/>
    <w:rsid w:val="00AF00BF"/>
    <w:rsid w:val="00AF05D9"/>
    <w:rsid w:val="00AF1989"/>
    <w:rsid w:val="00AF33FF"/>
    <w:rsid w:val="00AF678E"/>
    <w:rsid w:val="00B0304F"/>
    <w:rsid w:val="00B03789"/>
    <w:rsid w:val="00B04409"/>
    <w:rsid w:val="00B062E9"/>
    <w:rsid w:val="00B0758F"/>
    <w:rsid w:val="00B0768A"/>
    <w:rsid w:val="00B1115D"/>
    <w:rsid w:val="00B134F5"/>
    <w:rsid w:val="00B14A50"/>
    <w:rsid w:val="00B167F4"/>
    <w:rsid w:val="00B24318"/>
    <w:rsid w:val="00B31287"/>
    <w:rsid w:val="00B3196D"/>
    <w:rsid w:val="00B31CDB"/>
    <w:rsid w:val="00B333AB"/>
    <w:rsid w:val="00B343FD"/>
    <w:rsid w:val="00B34F60"/>
    <w:rsid w:val="00B3670B"/>
    <w:rsid w:val="00B36D75"/>
    <w:rsid w:val="00B36E8D"/>
    <w:rsid w:val="00B37A19"/>
    <w:rsid w:val="00B476C9"/>
    <w:rsid w:val="00B47CEB"/>
    <w:rsid w:val="00B47E21"/>
    <w:rsid w:val="00B50644"/>
    <w:rsid w:val="00B507CA"/>
    <w:rsid w:val="00B5142A"/>
    <w:rsid w:val="00B53A52"/>
    <w:rsid w:val="00B53D81"/>
    <w:rsid w:val="00B57E93"/>
    <w:rsid w:val="00B63F06"/>
    <w:rsid w:val="00B6411A"/>
    <w:rsid w:val="00B66027"/>
    <w:rsid w:val="00B66AED"/>
    <w:rsid w:val="00B708FF"/>
    <w:rsid w:val="00B73AFE"/>
    <w:rsid w:val="00B80CDC"/>
    <w:rsid w:val="00B80D42"/>
    <w:rsid w:val="00B82A74"/>
    <w:rsid w:val="00B867A5"/>
    <w:rsid w:val="00B872EA"/>
    <w:rsid w:val="00B91262"/>
    <w:rsid w:val="00B94C7A"/>
    <w:rsid w:val="00B94CE5"/>
    <w:rsid w:val="00BA00D6"/>
    <w:rsid w:val="00BA120C"/>
    <w:rsid w:val="00BA21E4"/>
    <w:rsid w:val="00BB00DE"/>
    <w:rsid w:val="00BB1DC6"/>
    <w:rsid w:val="00BB2683"/>
    <w:rsid w:val="00BB4BDA"/>
    <w:rsid w:val="00BB5C08"/>
    <w:rsid w:val="00BB7C62"/>
    <w:rsid w:val="00BC1FF2"/>
    <w:rsid w:val="00BC2351"/>
    <w:rsid w:val="00BC2D18"/>
    <w:rsid w:val="00BC7BCB"/>
    <w:rsid w:val="00BD1C5C"/>
    <w:rsid w:val="00BD30CA"/>
    <w:rsid w:val="00BD57AA"/>
    <w:rsid w:val="00BD6E37"/>
    <w:rsid w:val="00BE0EA7"/>
    <w:rsid w:val="00BE27CF"/>
    <w:rsid w:val="00BE31F8"/>
    <w:rsid w:val="00BE50EF"/>
    <w:rsid w:val="00BE6F3B"/>
    <w:rsid w:val="00BE743D"/>
    <w:rsid w:val="00BF2F5A"/>
    <w:rsid w:val="00BF3159"/>
    <w:rsid w:val="00BF3266"/>
    <w:rsid w:val="00BF3A3D"/>
    <w:rsid w:val="00BF4444"/>
    <w:rsid w:val="00BF5DC8"/>
    <w:rsid w:val="00BF781D"/>
    <w:rsid w:val="00C007D1"/>
    <w:rsid w:val="00C019B5"/>
    <w:rsid w:val="00C043EE"/>
    <w:rsid w:val="00C04E1C"/>
    <w:rsid w:val="00C07606"/>
    <w:rsid w:val="00C07FF5"/>
    <w:rsid w:val="00C11964"/>
    <w:rsid w:val="00C15318"/>
    <w:rsid w:val="00C15971"/>
    <w:rsid w:val="00C15A7C"/>
    <w:rsid w:val="00C1747D"/>
    <w:rsid w:val="00C2025E"/>
    <w:rsid w:val="00C20A0C"/>
    <w:rsid w:val="00C22602"/>
    <w:rsid w:val="00C229C4"/>
    <w:rsid w:val="00C23FAD"/>
    <w:rsid w:val="00C24FD3"/>
    <w:rsid w:val="00C25E64"/>
    <w:rsid w:val="00C263AF"/>
    <w:rsid w:val="00C2719B"/>
    <w:rsid w:val="00C304D2"/>
    <w:rsid w:val="00C31F85"/>
    <w:rsid w:val="00C32E9C"/>
    <w:rsid w:val="00C342C2"/>
    <w:rsid w:val="00C34432"/>
    <w:rsid w:val="00C35A98"/>
    <w:rsid w:val="00C426EA"/>
    <w:rsid w:val="00C431F5"/>
    <w:rsid w:val="00C45914"/>
    <w:rsid w:val="00C508F9"/>
    <w:rsid w:val="00C51CAB"/>
    <w:rsid w:val="00C56661"/>
    <w:rsid w:val="00C60512"/>
    <w:rsid w:val="00C62D26"/>
    <w:rsid w:val="00C654C6"/>
    <w:rsid w:val="00C655C6"/>
    <w:rsid w:val="00C71D76"/>
    <w:rsid w:val="00C73185"/>
    <w:rsid w:val="00C82977"/>
    <w:rsid w:val="00C82AF0"/>
    <w:rsid w:val="00C83083"/>
    <w:rsid w:val="00C9197A"/>
    <w:rsid w:val="00C921DB"/>
    <w:rsid w:val="00C93C78"/>
    <w:rsid w:val="00C93CF5"/>
    <w:rsid w:val="00C94751"/>
    <w:rsid w:val="00C953B5"/>
    <w:rsid w:val="00C95592"/>
    <w:rsid w:val="00C97681"/>
    <w:rsid w:val="00CA2B5A"/>
    <w:rsid w:val="00CA674F"/>
    <w:rsid w:val="00CB4CDA"/>
    <w:rsid w:val="00CC1D06"/>
    <w:rsid w:val="00CC5ED5"/>
    <w:rsid w:val="00CC6797"/>
    <w:rsid w:val="00CC6C69"/>
    <w:rsid w:val="00CD0D91"/>
    <w:rsid w:val="00CD3F7C"/>
    <w:rsid w:val="00CD49A3"/>
    <w:rsid w:val="00CD52D2"/>
    <w:rsid w:val="00CE0FDC"/>
    <w:rsid w:val="00CE2FD2"/>
    <w:rsid w:val="00CE6284"/>
    <w:rsid w:val="00CE6791"/>
    <w:rsid w:val="00CF16C6"/>
    <w:rsid w:val="00CF4B55"/>
    <w:rsid w:val="00CF6CA9"/>
    <w:rsid w:val="00D005F9"/>
    <w:rsid w:val="00D0065F"/>
    <w:rsid w:val="00D00F0F"/>
    <w:rsid w:val="00D0256B"/>
    <w:rsid w:val="00D12C77"/>
    <w:rsid w:val="00D13129"/>
    <w:rsid w:val="00D132B3"/>
    <w:rsid w:val="00D16E17"/>
    <w:rsid w:val="00D17054"/>
    <w:rsid w:val="00D1720D"/>
    <w:rsid w:val="00D3261F"/>
    <w:rsid w:val="00D33A2D"/>
    <w:rsid w:val="00D3519B"/>
    <w:rsid w:val="00D41485"/>
    <w:rsid w:val="00D4296B"/>
    <w:rsid w:val="00D45234"/>
    <w:rsid w:val="00D45B43"/>
    <w:rsid w:val="00D46B37"/>
    <w:rsid w:val="00D52689"/>
    <w:rsid w:val="00D52DD0"/>
    <w:rsid w:val="00D537E4"/>
    <w:rsid w:val="00D554BC"/>
    <w:rsid w:val="00D602A3"/>
    <w:rsid w:val="00D61908"/>
    <w:rsid w:val="00D90A32"/>
    <w:rsid w:val="00D90C58"/>
    <w:rsid w:val="00D93A10"/>
    <w:rsid w:val="00D95944"/>
    <w:rsid w:val="00DA146C"/>
    <w:rsid w:val="00DA4544"/>
    <w:rsid w:val="00DA5FDA"/>
    <w:rsid w:val="00DB03D7"/>
    <w:rsid w:val="00DB281E"/>
    <w:rsid w:val="00DB4AF3"/>
    <w:rsid w:val="00DC09AE"/>
    <w:rsid w:val="00DC2523"/>
    <w:rsid w:val="00DC3D0F"/>
    <w:rsid w:val="00DC4B9A"/>
    <w:rsid w:val="00DC79A2"/>
    <w:rsid w:val="00DD07FD"/>
    <w:rsid w:val="00DD17F4"/>
    <w:rsid w:val="00DD3E44"/>
    <w:rsid w:val="00DD6F10"/>
    <w:rsid w:val="00DE18FA"/>
    <w:rsid w:val="00DE1992"/>
    <w:rsid w:val="00DE1AD5"/>
    <w:rsid w:val="00DE247B"/>
    <w:rsid w:val="00DE2828"/>
    <w:rsid w:val="00DE46B1"/>
    <w:rsid w:val="00DE68FF"/>
    <w:rsid w:val="00DF024A"/>
    <w:rsid w:val="00DF595B"/>
    <w:rsid w:val="00DF6027"/>
    <w:rsid w:val="00DF6258"/>
    <w:rsid w:val="00DF7DE7"/>
    <w:rsid w:val="00E01F36"/>
    <w:rsid w:val="00E02A70"/>
    <w:rsid w:val="00E04F2D"/>
    <w:rsid w:val="00E05F27"/>
    <w:rsid w:val="00E06547"/>
    <w:rsid w:val="00E108E4"/>
    <w:rsid w:val="00E13865"/>
    <w:rsid w:val="00E140C4"/>
    <w:rsid w:val="00E14411"/>
    <w:rsid w:val="00E16BDD"/>
    <w:rsid w:val="00E2125D"/>
    <w:rsid w:val="00E234BF"/>
    <w:rsid w:val="00E34332"/>
    <w:rsid w:val="00E34C1C"/>
    <w:rsid w:val="00E34E3A"/>
    <w:rsid w:val="00E36794"/>
    <w:rsid w:val="00E37A10"/>
    <w:rsid w:val="00E40B70"/>
    <w:rsid w:val="00E4386B"/>
    <w:rsid w:val="00E444D0"/>
    <w:rsid w:val="00E45607"/>
    <w:rsid w:val="00E47034"/>
    <w:rsid w:val="00E5188E"/>
    <w:rsid w:val="00E55CDD"/>
    <w:rsid w:val="00E6033E"/>
    <w:rsid w:val="00E6174D"/>
    <w:rsid w:val="00E6282A"/>
    <w:rsid w:val="00E63CAC"/>
    <w:rsid w:val="00E64BA1"/>
    <w:rsid w:val="00E66CB9"/>
    <w:rsid w:val="00E67C41"/>
    <w:rsid w:val="00E70813"/>
    <w:rsid w:val="00E7107B"/>
    <w:rsid w:val="00E7485B"/>
    <w:rsid w:val="00E76646"/>
    <w:rsid w:val="00E77A9E"/>
    <w:rsid w:val="00E82D24"/>
    <w:rsid w:val="00E86054"/>
    <w:rsid w:val="00E867A2"/>
    <w:rsid w:val="00E9146F"/>
    <w:rsid w:val="00E97F40"/>
    <w:rsid w:val="00EA1133"/>
    <w:rsid w:val="00EA154F"/>
    <w:rsid w:val="00EA2587"/>
    <w:rsid w:val="00EA297C"/>
    <w:rsid w:val="00EA36A3"/>
    <w:rsid w:val="00EA7126"/>
    <w:rsid w:val="00EA72D7"/>
    <w:rsid w:val="00EB730A"/>
    <w:rsid w:val="00EC0AB5"/>
    <w:rsid w:val="00EC23AE"/>
    <w:rsid w:val="00EC24DE"/>
    <w:rsid w:val="00EC32BB"/>
    <w:rsid w:val="00EC4F04"/>
    <w:rsid w:val="00EC6386"/>
    <w:rsid w:val="00EC67B5"/>
    <w:rsid w:val="00EC6EE1"/>
    <w:rsid w:val="00EC6F72"/>
    <w:rsid w:val="00ED00EE"/>
    <w:rsid w:val="00ED0707"/>
    <w:rsid w:val="00ED08E4"/>
    <w:rsid w:val="00ED0994"/>
    <w:rsid w:val="00ED550E"/>
    <w:rsid w:val="00ED5A72"/>
    <w:rsid w:val="00ED5C91"/>
    <w:rsid w:val="00ED7CEE"/>
    <w:rsid w:val="00EE4363"/>
    <w:rsid w:val="00EE7D9B"/>
    <w:rsid w:val="00EF0BEB"/>
    <w:rsid w:val="00EF2424"/>
    <w:rsid w:val="00EF3B2D"/>
    <w:rsid w:val="00EF7153"/>
    <w:rsid w:val="00EF7FAF"/>
    <w:rsid w:val="00F04260"/>
    <w:rsid w:val="00F118AA"/>
    <w:rsid w:val="00F118DB"/>
    <w:rsid w:val="00F145AE"/>
    <w:rsid w:val="00F16DFA"/>
    <w:rsid w:val="00F17510"/>
    <w:rsid w:val="00F219AA"/>
    <w:rsid w:val="00F25E90"/>
    <w:rsid w:val="00F2747A"/>
    <w:rsid w:val="00F31CD8"/>
    <w:rsid w:val="00F33D7F"/>
    <w:rsid w:val="00F34C5D"/>
    <w:rsid w:val="00F358A5"/>
    <w:rsid w:val="00F42D67"/>
    <w:rsid w:val="00F437E8"/>
    <w:rsid w:val="00F44373"/>
    <w:rsid w:val="00F50569"/>
    <w:rsid w:val="00F55FF3"/>
    <w:rsid w:val="00F61D4D"/>
    <w:rsid w:val="00F6394D"/>
    <w:rsid w:val="00F70C29"/>
    <w:rsid w:val="00F72490"/>
    <w:rsid w:val="00F72C55"/>
    <w:rsid w:val="00F76D0D"/>
    <w:rsid w:val="00F77C25"/>
    <w:rsid w:val="00F77EC3"/>
    <w:rsid w:val="00F81B4A"/>
    <w:rsid w:val="00F82B18"/>
    <w:rsid w:val="00F833C5"/>
    <w:rsid w:val="00F838B6"/>
    <w:rsid w:val="00F86E8F"/>
    <w:rsid w:val="00F90F43"/>
    <w:rsid w:val="00F9305F"/>
    <w:rsid w:val="00F94C1D"/>
    <w:rsid w:val="00F96CF4"/>
    <w:rsid w:val="00FA11C8"/>
    <w:rsid w:val="00FA4815"/>
    <w:rsid w:val="00FA4A78"/>
    <w:rsid w:val="00FB1D1E"/>
    <w:rsid w:val="00FB1D73"/>
    <w:rsid w:val="00FB754B"/>
    <w:rsid w:val="00FC2283"/>
    <w:rsid w:val="00FC272C"/>
    <w:rsid w:val="00FC31A4"/>
    <w:rsid w:val="00FC391D"/>
    <w:rsid w:val="00FC6429"/>
    <w:rsid w:val="00FC79C9"/>
    <w:rsid w:val="00FD0A38"/>
    <w:rsid w:val="00FD1457"/>
    <w:rsid w:val="00FD1793"/>
    <w:rsid w:val="00FD2B7C"/>
    <w:rsid w:val="00FD32C2"/>
    <w:rsid w:val="00FD3734"/>
    <w:rsid w:val="00FD4EAD"/>
    <w:rsid w:val="00FD533B"/>
    <w:rsid w:val="00FD6520"/>
    <w:rsid w:val="00FD6E3E"/>
    <w:rsid w:val="00FE00E5"/>
    <w:rsid w:val="00FE3BF0"/>
    <w:rsid w:val="00FE42FC"/>
    <w:rsid w:val="00FE484F"/>
    <w:rsid w:val="00FE50BC"/>
    <w:rsid w:val="00FE5A0C"/>
    <w:rsid w:val="00FF095D"/>
    <w:rsid w:val="00FF2B96"/>
    <w:rsid w:val="00FF48B5"/>
    <w:rsid w:val="00FF4D84"/>
    <w:rsid w:val="00FF72DB"/>
    <w:rsid w:val="051539C0"/>
    <w:rsid w:val="0BF52A8B"/>
    <w:rsid w:val="0F0E472F"/>
    <w:rsid w:val="0FF7640F"/>
    <w:rsid w:val="149A3190"/>
    <w:rsid w:val="1C68F2DE"/>
    <w:rsid w:val="27CBDEDE"/>
    <w:rsid w:val="28CDD443"/>
    <w:rsid w:val="299C4AD3"/>
    <w:rsid w:val="3416049C"/>
    <w:rsid w:val="34ED6356"/>
    <w:rsid w:val="356EEF46"/>
    <w:rsid w:val="36FFA279"/>
    <w:rsid w:val="37797D32"/>
    <w:rsid w:val="3E03B54C"/>
    <w:rsid w:val="46097392"/>
    <w:rsid w:val="4A4EC0A9"/>
    <w:rsid w:val="4BCCA035"/>
    <w:rsid w:val="50D489C6"/>
    <w:rsid w:val="57D29872"/>
    <w:rsid w:val="580C7681"/>
    <w:rsid w:val="5CD30717"/>
    <w:rsid w:val="5E25A5E3"/>
    <w:rsid w:val="5FBD06A2"/>
    <w:rsid w:val="62837DBD"/>
    <w:rsid w:val="67A58FA3"/>
    <w:rsid w:val="6FD7C01F"/>
    <w:rsid w:val="751BB53A"/>
    <w:rsid w:val="7C655FE3"/>
    <w:rsid w:val="7E07EA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E94F852"/>
  <w15:docId w15:val="{F76E0BD7-412F-492E-92FC-46BFD0FD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989"/>
    <w:rPr>
      <w:lang w:val="en-GB"/>
    </w:rPr>
  </w:style>
  <w:style w:type="paragraph" w:styleId="Heading1">
    <w:name w:val="heading 1"/>
    <w:basedOn w:val="Normal"/>
    <w:next w:val="Normal"/>
    <w:link w:val="Heading1Char"/>
    <w:uiPriority w:val="9"/>
    <w:qFormat/>
    <w:rsid w:val="002D72AD"/>
    <w:pPr>
      <w:keepNext/>
      <w:keepLines/>
      <w:spacing w:before="240" w:after="0"/>
      <w:outlineLvl w:val="0"/>
    </w:pPr>
    <w:rPr>
      <w:rFonts w:ascii="Calibri Light" w:eastAsia="Yu Gothic Light" w:hAnsi="Calibri Light" w:cs="Times New Roman"/>
      <w:color w:val="2F5496"/>
      <w:kern w:val="2"/>
      <w:sz w:val="32"/>
      <w:szCs w:val="32"/>
    </w:rPr>
  </w:style>
  <w:style w:type="paragraph" w:styleId="Heading2">
    <w:name w:val="heading 2"/>
    <w:basedOn w:val="Normal"/>
    <w:next w:val="Normal"/>
    <w:link w:val="Heading2Char"/>
    <w:uiPriority w:val="9"/>
    <w:unhideWhenUsed/>
    <w:qFormat/>
    <w:rsid w:val="002D72AD"/>
    <w:pPr>
      <w:keepNext/>
      <w:keepLines/>
      <w:spacing w:before="40" w:after="0"/>
      <w:outlineLvl w:val="1"/>
    </w:pPr>
    <w:rPr>
      <w:rFonts w:ascii="Calibri Light" w:eastAsia="Yu Gothic Light" w:hAnsi="Calibri Light" w:cs="Times New Roman"/>
      <w:color w:val="2F5496"/>
      <w:kern w:val="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BalloonText">
    <w:name w:val="Balloon Text"/>
    <w:basedOn w:val="Normal"/>
    <w:link w:val="BalloonTextChar"/>
    <w:uiPriority w:val="99"/>
    <w:semiHidden/>
    <w:unhideWhenUsed/>
    <w:rsid w:val="00EC6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E1"/>
    <w:rPr>
      <w:rFonts w:ascii="Segoe UI" w:hAnsi="Segoe UI" w:cs="Segoe UI"/>
      <w:sz w:val="18"/>
      <w:szCs w:val="18"/>
    </w:rPr>
  </w:style>
  <w:style w:type="paragraph" w:styleId="ListParagraph">
    <w:name w:val="List Paragraph"/>
    <w:basedOn w:val="Normal"/>
    <w:link w:val="ListParagraphChar"/>
    <w:uiPriority w:val="34"/>
    <w:qFormat/>
    <w:rsid w:val="00DD3E44"/>
    <w:pPr>
      <w:ind w:left="720"/>
      <w:contextualSpacing/>
    </w:pPr>
  </w:style>
  <w:style w:type="paragraph" w:customStyle="1" w:styleId="Firstnumbering">
    <w:name w:val="First numbering"/>
    <w:basedOn w:val="ListParagraph"/>
    <w:link w:val="FirstnumberingChar"/>
    <w:qFormat/>
    <w:rsid w:val="008C3546"/>
    <w:pPr>
      <w:numPr>
        <w:numId w:val="1"/>
      </w:numPr>
      <w:spacing w:after="0" w:line="240" w:lineRule="auto"/>
      <w:ind w:left="567" w:hanging="567"/>
      <w:contextualSpacing w:val="0"/>
    </w:pPr>
  </w:style>
  <w:style w:type="paragraph" w:customStyle="1" w:styleId="Secondnumbering">
    <w:name w:val="Second numbering"/>
    <w:basedOn w:val="Firstnumbering"/>
    <w:link w:val="SecondnumberingChar"/>
    <w:qFormat/>
    <w:rsid w:val="00360838"/>
    <w:pPr>
      <w:numPr>
        <w:numId w:val="4"/>
      </w:numPr>
    </w:pPr>
  </w:style>
  <w:style w:type="character" w:customStyle="1" w:styleId="ListParagraphChar">
    <w:name w:val="List Paragraph Char"/>
    <w:basedOn w:val="DefaultParagraphFont"/>
    <w:link w:val="ListParagraph"/>
    <w:uiPriority w:val="34"/>
    <w:rsid w:val="008C3546"/>
    <w:rPr>
      <w:lang w:val="en-GB"/>
    </w:rPr>
  </w:style>
  <w:style w:type="character" w:customStyle="1" w:styleId="FirstnumberingChar">
    <w:name w:val="First numbering Char"/>
    <w:basedOn w:val="ListParagraphChar"/>
    <w:link w:val="Firstnumbering"/>
    <w:rsid w:val="008C3546"/>
    <w:rPr>
      <w:lang w:val="en-GB"/>
    </w:rPr>
  </w:style>
  <w:style w:type="paragraph" w:customStyle="1" w:styleId="Thirdnumberingi">
    <w:name w:val="Third numbering i)"/>
    <w:basedOn w:val="Secondnumbering"/>
    <w:link w:val="ThirdnumberingiChar"/>
    <w:qFormat/>
    <w:rsid w:val="00360838"/>
    <w:pPr>
      <w:numPr>
        <w:numId w:val="2"/>
      </w:numPr>
      <w:ind w:left="1701" w:hanging="283"/>
    </w:pPr>
  </w:style>
  <w:style w:type="character" w:customStyle="1" w:styleId="SecondnumberingChar">
    <w:name w:val="Second numbering Char"/>
    <w:basedOn w:val="FirstnumberingChar"/>
    <w:link w:val="Secondnumbering"/>
    <w:rsid w:val="00360838"/>
    <w:rPr>
      <w:lang w:val="en-GB"/>
    </w:rPr>
  </w:style>
  <w:style w:type="paragraph" w:customStyle="1" w:styleId="FourthnumberingA">
    <w:name w:val="Fourth numbering A."/>
    <w:basedOn w:val="Thirdnumberingi"/>
    <w:link w:val="FourthnumberingAChar"/>
    <w:qFormat/>
    <w:rsid w:val="00360838"/>
    <w:pPr>
      <w:numPr>
        <w:numId w:val="3"/>
      </w:numPr>
      <w:ind w:left="2268" w:hanging="283"/>
    </w:pPr>
  </w:style>
  <w:style w:type="character" w:customStyle="1" w:styleId="ThirdnumberingiChar">
    <w:name w:val="Third numbering i) Char"/>
    <w:basedOn w:val="SecondnumberingChar"/>
    <w:link w:val="Thirdnumberingi"/>
    <w:rsid w:val="00360838"/>
    <w:rPr>
      <w:lang w:val="en-GB"/>
    </w:rPr>
  </w:style>
  <w:style w:type="paragraph" w:customStyle="1" w:styleId="Title1">
    <w:name w:val="Title1"/>
    <w:basedOn w:val="Normal"/>
    <w:link w:val="TITLEChar"/>
    <w:qFormat/>
    <w:rsid w:val="004B707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rPr>
  </w:style>
  <w:style w:type="character" w:customStyle="1" w:styleId="FourthnumberingAChar">
    <w:name w:val="Fourth numbering A. Char"/>
    <w:basedOn w:val="ThirdnumberingiChar"/>
    <w:link w:val="FourthnumberingA"/>
    <w:rsid w:val="00360838"/>
    <w:rPr>
      <w:lang w:val="en-GB"/>
    </w:rPr>
  </w:style>
  <w:style w:type="character" w:customStyle="1" w:styleId="TITLEChar">
    <w:name w:val="TITLE Char"/>
    <w:basedOn w:val="DefaultParagraphFont"/>
    <w:link w:val="Title1"/>
    <w:rsid w:val="004B7071"/>
    <w:rPr>
      <w:rFonts w:eastAsia="Times New Roman" w:cs="Arial"/>
      <w:b/>
      <w:caps/>
      <w:lang w:val="en-GB"/>
    </w:rPr>
  </w:style>
  <w:style w:type="paragraph" w:styleId="Revision">
    <w:name w:val="Revision"/>
    <w:hidden/>
    <w:uiPriority w:val="99"/>
    <w:semiHidden/>
    <w:rsid w:val="00BE0EA7"/>
    <w:pPr>
      <w:spacing w:after="0" w:line="240" w:lineRule="auto"/>
    </w:pPr>
    <w:rPr>
      <w:lang w:val="en-GB"/>
    </w:rPr>
  </w:style>
  <w:style w:type="paragraph" w:styleId="EndnoteText">
    <w:name w:val="endnote text"/>
    <w:basedOn w:val="Normal"/>
    <w:link w:val="EndnoteTextChar"/>
    <w:uiPriority w:val="99"/>
    <w:semiHidden/>
    <w:unhideWhenUsed/>
    <w:rsid w:val="005C423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4233"/>
    <w:rPr>
      <w:sz w:val="20"/>
      <w:szCs w:val="20"/>
      <w:lang w:val="en-GB"/>
    </w:rPr>
  </w:style>
  <w:style w:type="character" w:styleId="EndnoteReference">
    <w:name w:val="endnote reference"/>
    <w:basedOn w:val="DefaultParagraphFont"/>
    <w:uiPriority w:val="99"/>
    <w:semiHidden/>
    <w:unhideWhenUsed/>
    <w:rsid w:val="005C4233"/>
    <w:rPr>
      <w:vertAlign w:val="superscript"/>
    </w:rPr>
  </w:style>
  <w:style w:type="character" w:styleId="CommentReference">
    <w:name w:val="annotation reference"/>
    <w:basedOn w:val="DefaultParagraphFont"/>
    <w:uiPriority w:val="99"/>
    <w:semiHidden/>
    <w:unhideWhenUsed/>
    <w:rsid w:val="002B0E18"/>
    <w:rPr>
      <w:sz w:val="16"/>
      <w:szCs w:val="16"/>
    </w:rPr>
  </w:style>
  <w:style w:type="paragraph" w:styleId="CommentText">
    <w:name w:val="annotation text"/>
    <w:basedOn w:val="Normal"/>
    <w:link w:val="CommentTextChar"/>
    <w:uiPriority w:val="99"/>
    <w:unhideWhenUsed/>
    <w:rsid w:val="002B0E18"/>
    <w:pPr>
      <w:spacing w:line="240" w:lineRule="auto"/>
    </w:pPr>
    <w:rPr>
      <w:sz w:val="20"/>
      <w:szCs w:val="20"/>
    </w:rPr>
  </w:style>
  <w:style w:type="character" w:customStyle="1" w:styleId="CommentTextChar">
    <w:name w:val="Comment Text Char"/>
    <w:basedOn w:val="DefaultParagraphFont"/>
    <w:link w:val="CommentText"/>
    <w:uiPriority w:val="99"/>
    <w:rsid w:val="002B0E18"/>
    <w:rPr>
      <w:sz w:val="20"/>
      <w:szCs w:val="20"/>
      <w:lang w:val="en-GB"/>
    </w:rPr>
  </w:style>
  <w:style w:type="paragraph" w:styleId="CommentSubject">
    <w:name w:val="annotation subject"/>
    <w:basedOn w:val="CommentText"/>
    <w:next w:val="CommentText"/>
    <w:link w:val="CommentSubjectChar"/>
    <w:uiPriority w:val="99"/>
    <w:semiHidden/>
    <w:unhideWhenUsed/>
    <w:rsid w:val="002B0E18"/>
    <w:rPr>
      <w:b/>
      <w:bCs/>
    </w:rPr>
  </w:style>
  <w:style w:type="character" w:customStyle="1" w:styleId="CommentSubjectChar">
    <w:name w:val="Comment Subject Char"/>
    <w:basedOn w:val="CommentTextChar"/>
    <w:link w:val="CommentSubject"/>
    <w:uiPriority w:val="99"/>
    <w:semiHidden/>
    <w:rsid w:val="002B0E18"/>
    <w:rPr>
      <w:b/>
      <w:bCs/>
      <w:sz w:val="20"/>
      <w:szCs w:val="20"/>
      <w:lang w:val="en-GB"/>
    </w:rPr>
  </w:style>
  <w:style w:type="character" w:customStyle="1" w:styleId="Mention1">
    <w:name w:val="Mention1"/>
    <w:basedOn w:val="DefaultParagraphFont"/>
    <w:uiPriority w:val="99"/>
    <w:unhideWhenUsed/>
    <w:rsid w:val="00B53A52"/>
    <w:rPr>
      <w:color w:val="2B579A"/>
      <w:shd w:val="clear" w:color="auto" w:fill="E1DFDD"/>
    </w:rPr>
  </w:style>
  <w:style w:type="character" w:styleId="Hyperlink">
    <w:name w:val="Hyperlink"/>
    <w:basedOn w:val="DefaultParagraphFont"/>
    <w:uiPriority w:val="99"/>
    <w:unhideWhenUsed/>
    <w:rsid w:val="00B53A52"/>
    <w:rPr>
      <w:color w:val="0563C1" w:themeColor="hyperlink"/>
      <w:u w:val="single"/>
    </w:rPr>
  </w:style>
  <w:style w:type="character" w:customStyle="1" w:styleId="UnresolvedMention1">
    <w:name w:val="Unresolved Mention1"/>
    <w:basedOn w:val="DefaultParagraphFont"/>
    <w:uiPriority w:val="99"/>
    <w:semiHidden/>
    <w:unhideWhenUsed/>
    <w:rsid w:val="00B53A52"/>
    <w:rPr>
      <w:color w:val="605E5C"/>
      <w:shd w:val="clear" w:color="auto" w:fill="E1DFDD"/>
    </w:rPr>
  </w:style>
  <w:style w:type="character" w:styleId="FollowedHyperlink">
    <w:name w:val="FollowedHyperlink"/>
    <w:basedOn w:val="DefaultParagraphFont"/>
    <w:uiPriority w:val="99"/>
    <w:semiHidden/>
    <w:unhideWhenUsed/>
    <w:rsid w:val="006A0F38"/>
    <w:rPr>
      <w:color w:val="954F72" w:themeColor="followedHyperlink"/>
      <w:u w:val="single"/>
    </w:rPr>
  </w:style>
  <w:style w:type="paragraph" w:styleId="FootnoteText">
    <w:name w:val="footnote text"/>
    <w:basedOn w:val="Normal"/>
    <w:link w:val="FootnoteTextChar"/>
    <w:uiPriority w:val="99"/>
    <w:unhideWhenUsed/>
    <w:rsid w:val="00196EE9"/>
    <w:pPr>
      <w:spacing w:after="0" w:line="240" w:lineRule="auto"/>
    </w:pPr>
    <w:rPr>
      <w:sz w:val="20"/>
      <w:szCs w:val="20"/>
    </w:rPr>
  </w:style>
  <w:style w:type="character" w:customStyle="1" w:styleId="FootnoteTextChar">
    <w:name w:val="Footnote Text Char"/>
    <w:basedOn w:val="DefaultParagraphFont"/>
    <w:link w:val="FootnoteText"/>
    <w:uiPriority w:val="99"/>
    <w:rsid w:val="00196EE9"/>
    <w:rPr>
      <w:sz w:val="20"/>
      <w:szCs w:val="20"/>
      <w:lang w:val="en-GB"/>
    </w:rPr>
  </w:style>
  <w:style w:type="character" w:styleId="FootnoteReference">
    <w:name w:val="footnote reference"/>
    <w:basedOn w:val="DefaultParagraphFont"/>
    <w:uiPriority w:val="99"/>
    <w:semiHidden/>
    <w:unhideWhenUsed/>
    <w:rsid w:val="00196EE9"/>
    <w:rPr>
      <w:vertAlign w:val="superscript"/>
    </w:rPr>
  </w:style>
  <w:style w:type="paragraph" w:customStyle="1" w:styleId="Heading11">
    <w:name w:val="Heading 11"/>
    <w:basedOn w:val="Normal"/>
    <w:next w:val="Normal"/>
    <w:uiPriority w:val="9"/>
    <w:qFormat/>
    <w:rsid w:val="002D72AD"/>
    <w:pPr>
      <w:keepNext/>
      <w:keepLines/>
      <w:spacing w:before="240" w:after="0" w:line="256" w:lineRule="auto"/>
      <w:outlineLvl w:val="0"/>
    </w:pPr>
    <w:rPr>
      <w:rFonts w:ascii="Calibri Light" w:eastAsia="Yu Gothic Light" w:hAnsi="Calibri Light" w:cs="Times New Roman"/>
      <w:color w:val="2F5496"/>
      <w:kern w:val="2"/>
      <w:sz w:val="32"/>
      <w:szCs w:val="32"/>
    </w:rPr>
  </w:style>
  <w:style w:type="paragraph" w:customStyle="1" w:styleId="Heading21">
    <w:name w:val="Heading 21"/>
    <w:basedOn w:val="Normal"/>
    <w:next w:val="Normal"/>
    <w:uiPriority w:val="9"/>
    <w:semiHidden/>
    <w:unhideWhenUsed/>
    <w:qFormat/>
    <w:rsid w:val="002D72AD"/>
    <w:pPr>
      <w:keepNext/>
      <w:keepLines/>
      <w:spacing w:before="40" w:after="0" w:line="256" w:lineRule="auto"/>
      <w:outlineLvl w:val="1"/>
    </w:pPr>
    <w:rPr>
      <w:rFonts w:ascii="Calibri Light" w:eastAsia="Yu Gothic Light" w:hAnsi="Calibri Light" w:cs="Times New Roman"/>
      <w:color w:val="2F5496"/>
      <w:kern w:val="2"/>
      <w:sz w:val="26"/>
      <w:szCs w:val="26"/>
    </w:rPr>
  </w:style>
  <w:style w:type="numbering" w:customStyle="1" w:styleId="NoList1">
    <w:name w:val="No List1"/>
    <w:next w:val="NoList"/>
    <w:uiPriority w:val="99"/>
    <w:semiHidden/>
    <w:unhideWhenUsed/>
    <w:rsid w:val="002D72AD"/>
  </w:style>
  <w:style w:type="character" w:customStyle="1" w:styleId="Heading1Char">
    <w:name w:val="Heading 1 Char"/>
    <w:basedOn w:val="DefaultParagraphFont"/>
    <w:link w:val="Heading1"/>
    <w:uiPriority w:val="9"/>
    <w:rsid w:val="002D72AD"/>
    <w:rPr>
      <w:rFonts w:ascii="Calibri Light" w:eastAsia="Yu Gothic Light" w:hAnsi="Calibri Light" w:cs="Times New Roman"/>
      <w:color w:val="2F5496"/>
      <w:kern w:val="2"/>
      <w:sz w:val="32"/>
      <w:szCs w:val="32"/>
      <w:lang w:val="en-GB"/>
    </w:rPr>
  </w:style>
  <w:style w:type="character" w:customStyle="1" w:styleId="Heading2Char">
    <w:name w:val="Heading 2 Char"/>
    <w:basedOn w:val="DefaultParagraphFont"/>
    <w:link w:val="Heading2"/>
    <w:uiPriority w:val="9"/>
    <w:rsid w:val="002D72AD"/>
    <w:rPr>
      <w:rFonts w:ascii="Calibri Light" w:eastAsia="Yu Gothic Light" w:hAnsi="Calibri Light" w:cs="Times New Roman"/>
      <w:color w:val="2F5496"/>
      <w:kern w:val="2"/>
      <w:sz w:val="26"/>
      <w:szCs w:val="26"/>
      <w:lang w:val="en-GB"/>
    </w:rPr>
  </w:style>
  <w:style w:type="paragraph" w:customStyle="1" w:styleId="msonormal0">
    <w:name w:val="msonormal"/>
    <w:basedOn w:val="Normal"/>
    <w:uiPriority w:val="99"/>
    <w:semiHidden/>
    <w:rsid w:val="002D72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D72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2D72AD"/>
    <w:pPr>
      <w:spacing w:after="100" w:line="256" w:lineRule="auto"/>
    </w:pPr>
    <w:rPr>
      <w:rFonts w:ascii="Calibri" w:eastAsia="Calibri" w:hAnsi="Calibri" w:cs="Arial"/>
      <w:kern w:val="2"/>
    </w:rPr>
  </w:style>
  <w:style w:type="table" w:styleId="TableGrid">
    <w:name w:val="Table Grid"/>
    <w:basedOn w:val="TableNormal"/>
    <w:uiPriority w:val="39"/>
    <w:rsid w:val="002D72AD"/>
    <w:pPr>
      <w:spacing w:after="0" w:line="240" w:lineRule="auto"/>
    </w:pPr>
    <w:rPr>
      <w:rFonts w:ascii="Calibri" w:eastAsia="Calibri" w:hAnsi="Calibri" w:cs="Arial"/>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2D72AD"/>
    <w:rPr>
      <w:rFonts w:asciiTheme="majorHAnsi" w:eastAsiaTheme="majorEastAsia" w:hAnsiTheme="majorHAnsi" w:cstheme="majorBidi"/>
      <w:color w:val="2F5496" w:themeColor="accent1" w:themeShade="BF"/>
      <w:sz w:val="32"/>
      <w:szCs w:val="32"/>
      <w:lang w:val="en-GB"/>
    </w:rPr>
  </w:style>
  <w:style w:type="character" w:customStyle="1" w:styleId="Heading2Char1">
    <w:name w:val="Heading 2 Char1"/>
    <w:basedOn w:val="DefaultParagraphFont"/>
    <w:uiPriority w:val="9"/>
    <w:semiHidden/>
    <w:rsid w:val="002D72AD"/>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4024">
      <w:bodyDiv w:val="1"/>
      <w:marLeft w:val="0"/>
      <w:marRight w:val="0"/>
      <w:marTop w:val="0"/>
      <w:marBottom w:val="0"/>
      <w:divBdr>
        <w:top w:val="none" w:sz="0" w:space="0" w:color="auto"/>
        <w:left w:val="none" w:sz="0" w:space="0" w:color="auto"/>
        <w:bottom w:val="none" w:sz="0" w:space="0" w:color="auto"/>
        <w:right w:val="none" w:sz="0" w:space="0" w:color="auto"/>
      </w:divBdr>
    </w:div>
    <w:div w:id="89859176">
      <w:bodyDiv w:val="1"/>
      <w:marLeft w:val="0"/>
      <w:marRight w:val="0"/>
      <w:marTop w:val="0"/>
      <w:marBottom w:val="0"/>
      <w:divBdr>
        <w:top w:val="none" w:sz="0" w:space="0" w:color="auto"/>
        <w:left w:val="none" w:sz="0" w:space="0" w:color="auto"/>
        <w:bottom w:val="none" w:sz="0" w:space="0" w:color="auto"/>
        <w:right w:val="none" w:sz="0" w:space="0" w:color="auto"/>
      </w:divBdr>
    </w:div>
    <w:div w:id="102573277">
      <w:bodyDiv w:val="1"/>
      <w:marLeft w:val="0"/>
      <w:marRight w:val="0"/>
      <w:marTop w:val="0"/>
      <w:marBottom w:val="0"/>
      <w:divBdr>
        <w:top w:val="none" w:sz="0" w:space="0" w:color="auto"/>
        <w:left w:val="none" w:sz="0" w:space="0" w:color="auto"/>
        <w:bottom w:val="none" w:sz="0" w:space="0" w:color="auto"/>
        <w:right w:val="none" w:sz="0" w:space="0" w:color="auto"/>
      </w:divBdr>
    </w:div>
    <w:div w:id="112525925">
      <w:bodyDiv w:val="1"/>
      <w:marLeft w:val="0"/>
      <w:marRight w:val="0"/>
      <w:marTop w:val="0"/>
      <w:marBottom w:val="0"/>
      <w:divBdr>
        <w:top w:val="none" w:sz="0" w:space="0" w:color="auto"/>
        <w:left w:val="none" w:sz="0" w:space="0" w:color="auto"/>
        <w:bottom w:val="none" w:sz="0" w:space="0" w:color="auto"/>
        <w:right w:val="none" w:sz="0" w:space="0" w:color="auto"/>
      </w:divBdr>
    </w:div>
    <w:div w:id="415980441">
      <w:bodyDiv w:val="1"/>
      <w:marLeft w:val="0"/>
      <w:marRight w:val="0"/>
      <w:marTop w:val="0"/>
      <w:marBottom w:val="0"/>
      <w:divBdr>
        <w:top w:val="none" w:sz="0" w:space="0" w:color="auto"/>
        <w:left w:val="none" w:sz="0" w:space="0" w:color="auto"/>
        <w:bottom w:val="none" w:sz="0" w:space="0" w:color="auto"/>
        <w:right w:val="none" w:sz="0" w:space="0" w:color="auto"/>
      </w:divBdr>
    </w:div>
    <w:div w:id="438453090">
      <w:bodyDiv w:val="1"/>
      <w:marLeft w:val="0"/>
      <w:marRight w:val="0"/>
      <w:marTop w:val="0"/>
      <w:marBottom w:val="0"/>
      <w:divBdr>
        <w:top w:val="none" w:sz="0" w:space="0" w:color="auto"/>
        <w:left w:val="none" w:sz="0" w:space="0" w:color="auto"/>
        <w:bottom w:val="none" w:sz="0" w:space="0" w:color="auto"/>
        <w:right w:val="none" w:sz="0" w:space="0" w:color="auto"/>
      </w:divBdr>
    </w:div>
    <w:div w:id="718016665">
      <w:bodyDiv w:val="1"/>
      <w:marLeft w:val="0"/>
      <w:marRight w:val="0"/>
      <w:marTop w:val="0"/>
      <w:marBottom w:val="0"/>
      <w:divBdr>
        <w:top w:val="none" w:sz="0" w:space="0" w:color="auto"/>
        <w:left w:val="none" w:sz="0" w:space="0" w:color="auto"/>
        <w:bottom w:val="none" w:sz="0" w:space="0" w:color="auto"/>
        <w:right w:val="none" w:sz="0" w:space="0" w:color="auto"/>
      </w:divBdr>
    </w:div>
    <w:div w:id="772362452">
      <w:bodyDiv w:val="1"/>
      <w:marLeft w:val="0"/>
      <w:marRight w:val="0"/>
      <w:marTop w:val="0"/>
      <w:marBottom w:val="0"/>
      <w:divBdr>
        <w:top w:val="none" w:sz="0" w:space="0" w:color="auto"/>
        <w:left w:val="none" w:sz="0" w:space="0" w:color="auto"/>
        <w:bottom w:val="none" w:sz="0" w:space="0" w:color="auto"/>
        <w:right w:val="none" w:sz="0" w:space="0" w:color="auto"/>
      </w:divBdr>
    </w:div>
    <w:div w:id="777989973">
      <w:bodyDiv w:val="1"/>
      <w:marLeft w:val="0"/>
      <w:marRight w:val="0"/>
      <w:marTop w:val="0"/>
      <w:marBottom w:val="0"/>
      <w:divBdr>
        <w:top w:val="none" w:sz="0" w:space="0" w:color="auto"/>
        <w:left w:val="none" w:sz="0" w:space="0" w:color="auto"/>
        <w:bottom w:val="none" w:sz="0" w:space="0" w:color="auto"/>
        <w:right w:val="none" w:sz="0" w:space="0" w:color="auto"/>
      </w:divBdr>
    </w:div>
    <w:div w:id="811559894">
      <w:bodyDiv w:val="1"/>
      <w:marLeft w:val="0"/>
      <w:marRight w:val="0"/>
      <w:marTop w:val="0"/>
      <w:marBottom w:val="0"/>
      <w:divBdr>
        <w:top w:val="none" w:sz="0" w:space="0" w:color="auto"/>
        <w:left w:val="none" w:sz="0" w:space="0" w:color="auto"/>
        <w:bottom w:val="none" w:sz="0" w:space="0" w:color="auto"/>
        <w:right w:val="none" w:sz="0" w:space="0" w:color="auto"/>
      </w:divBdr>
    </w:div>
    <w:div w:id="829178652">
      <w:bodyDiv w:val="1"/>
      <w:marLeft w:val="0"/>
      <w:marRight w:val="0"/>
      <w:marTop w:val="0"/>
      <w:marBottom w:val="0"/>
      <w:divBdr>
        <w:top w:val="none" w:sz="0" w:space="0" w:color="auto"/>
        <w:left w:val="none" w:sz="0" w:space="0" w:color="auto"/>
        <w:bottom w:val="none" w:sz="0" w:space="0" w:color="auto"/>
        <w:right w:val="none" w:sz="0" w:space="0" w:color="auto"/>
      </w:divBdr>
    </w:div>
    <w:div w:id="1001201195">
      <w:bodyDiv w:val="1"/>
      <w:marLeft w:val="0"/>
      <w:marRight w:val="0"/>
      <w:marTop w:val="0"/>
      <w:marBottom w:val="0"/>
      <w:divBdr>
        <w:top w:val="none" w:sz="0" w:space="0" w:color="auto"/>
        <w:left w:val="none" w:sz="0" w:space="0" w:color="auto"/>
        <w:bottom w:val="none" w:sz="0" w:space="0" w:color="auto"/>
        <w:right w:val="none" w:sz="0" w:space="0" w:color="auto"/>
      </w:divBdr>
    </w:div>
    <w:div w:id="1039890436">
      <w:bodyDiv w:val="1"/>
      <w:marLeft w:val="0"/>
      <w:marRight w:val="0"/>
      <w:marTop w:val="0"/>
      <w:marBottom w:val="0"/>
      <w:divBdr>
        <w:top w:val="none" w:sz="0" w:space="0" w:color="auto"/>
        <w:left w:val="none" w:sz="0" w:space="0" w:color="auto"/>
        <w:bottom w:val="none" w:sz="0" w:space="0" w:color="auto"/>
        <w:right w:val="none" w:sz="0" w:space="0" w:color="auto"/>
      </w:divBdr>
    </w:div>
    <w:div w:id="1303731131">
      <w:bodyDiv w:val="1"/>
      <w:marLeft w:val="0"/>
      <w:marRight w:val="0"/>
      <w:marTop w:val="0"/>
      <w:marBottom w:val="0"/>
      <w:divBdr>
        <w:top w:val="none" w:sz="0" w:space="0" w:color="auto"/>
        <w:left w:val="none" w:sz="0" w:space="0" w:color="auto"/>
        <w:bottom w:val="none" w:sz="0" w:space="0" w:color="auto"/>
        <w:right w:val="none" w:sz="0" w:space="0" w:color="auto"/>
      </w:divBdr>
    </w:div>
    <w:div w:id="1398866749">
      <w:bodyDiv w:val="1"/>
      <w:marLeft w:val="0"/>
      <w:marRight w:val="0"/>
      <w:marTop w:val="0"/>
      <w:marBottom w:val="0"/>
      <w:divBdr>
        <w:top w:val="none" w:sz="0" w:space="0" w:color="auto"/>
        <w:left w:val="none" w:sz="0" w:space="0" w:color="auto"/>
        <w:bottom w:val="none" w:sz="0" w:space="0" w:color="auto"/>
        <w:right w:val="none" w:sz="0" w:space="0" w:color="auto"/>
      </w:divBdr>
    </w:div>
    <w:div w:id="1577933443">
      <w:bodyDiv w:val="1"/>
      <w:marLeft w:val="0"/>
      <w:marRight w:val="0"/>
      <w:marTop w:val="0"/>
      <w:marBottom w:val="0"/>
      <w:divBdr>
        <w:top w:val="none" w:sz="0" w:space="0" w:color="auto"/>
        <w:left w:val="none" w:sz="0" w:space="0" w:color="auto"/>
        <w:bottom w:val="none" w:sz="0" w:space="0" w:color="auto"/>
        <w:right w:val="none" w:sz="0" w:space="0" w:color="auto"/>
      </w:divBdr>
    </w:div>
    <w:div w:id="1727020830">
      <w:bodyDiv w:val="1"/>
      <w:marLeft w:val="0"/>
      <w:marRight w:val="0"/>
      <w:marTop w:val="0"/>
      <w:marBottom w:val="0"/>
      <w:divBdr>
        <w:top w:val="none" w:sz="0" w:space="0" w:color="auto"/>
        <w:left w:val="none" w:sz="0" w:space="0" w:color="auto"/>
        <w:bottom w:val="none" w:sz="0" w:space="0" w:color="auto"/>
        <w:right w:val="none" w:sz="0" w:space="0" w:color="auto"/>
      </w:divBdr>
      <w:divsChild>
        <w:div w:id="224293318">
          <w:marLeft w:val="0"/>
          <w:marRight w:val="0"/>
          <w:marTop w:val="0"/>
          <w:marBottom w:val="0"/>
          <w:divBdr>
            <w:top w:val="none" w:sz="0" w:space="0" w:color="auto"/>
            <w:left w:val="none" w:sz="0" w:space="0" w:color="auto"/>
            <w:bottom w:val="none" w:sz="0" w:space="0" w:color="auto"/>
            <w:right w:val="none" w:sz="0" w:space="0" w:color="auto"/>
          </w:divBdr>
        </w:div>
      </w:divsChild>
    </w:div>
    <w:div w:id="178869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73/pnas.2216891120" TargetMode="External"/><Relationship Id="rId21" Type="http://schemas.openxmlformats.org/officeDocument/2006/relationships/header" Target="header4.xml"/><Relationship Id="rId42" Type="http://schemas.openxmlformats.org/officeDocument/2006/relationships/hyperlink" Target="https://www.cms.int/raptors/sites/default/files/document/MOS3_DOC.%2012.3_Annex%201_Conservation%20Status%20Assessment%20Report_EN.pdf" TargetMode="External"/><Relationship Id="rId63" Type="http://schemas.openxmlformats.org/officeDocument/2006/relationships/image" Target="media/image18.jpeg"/><Relationship Id="rId84" Type="http://schemas.openxmlformats.org/officeDocument/2006/relationships/hyperlink" Target="https://www.nature.com/articles/s41467-025-59271-7" TargetMode="External"/><Relationship Id="rId138" Type="http://schemas.openxmlformats.org/officeDocument/2006/relationships/hyperlink" Target="https://doi.org/10.69556/GWO-2025-eng" TargetMode="External"/><Relationship Id="rId107" Type="http://schemas.openxmlformats.org/officeDocument/2006/relationships/hyperlink" Target="https://doi.org/10.5281/zenodo.11124590" TargetMode="External"/><Relationship Id="rId11" Type="http://schemas.openxmlformats.org/officeDocument/2006/relationships/image" Target="media/image1.wmf"/><Relationship Id="rId32" Type="http://schemas.openxmlformats.org/officeDocument/2006/relationships/image" Target="media/image10.png"/><Relationship Id="rId53" Type="http://schemas.openxmlformats.org/officeDocument/2006/relationships/hyperlink" Target="https://www.cms.int/fr/node/41564" TargetMode="External"/><Relationship Id="rId74" Type="http://schemas.openxmlformats.org/officeDocument/2006/relationships/hyperlink" Target="https://geobon.org/" TargetMode="External"/><Relationship Id="rId128" Type="http://schemas.openxmlformats.org/officeDocument/2006/relationships/hyperlink" Target="https://www.marinemammalhabitat.org/download/handbook-on-the-use-of-selection-criteria-for-the-identification-of-important-marine-mammal-areas-immas/" TargetMode="External"/><Relationship Id="rId149" Type="http://schemas.openxmlformats.org/officeDocument/2006/relationships/hyperlink" Target="https://doi.org/10.1038/s41467-025-59271-7" TargetMode="External"/><Relationship Id="rId5" Type="http://schemas.openxmlformats.org/officeDocument/2006/relationships/numbering" Target="numbering.xml"/><Relationship Id="rId95" Type="http://schemas.openxmlformats.org/officeDocument/2006/relationships/hyperlink" Target="https://doi.org/10.25923/qn4a-td90" TargetMode="External"/><Relationship Id="rId22" Type="http://schemas.openxmlformats.org/officeDocument/2006/relationships/image" Target="media/image8.jpeg"/><Relationship Id="rId27" Type="http://schemas.openxmlformats.org/officeDocument/2006/relationships/hyperlink" Target="https://www.cms.int/fr/node/41564" TargetMode="External"/><Relationship Id="rId43" Type="http://schemas.openxmlformats.org/officeDocument/2006/relationships/hyperlink" Target="https://www.nature.com/articles/s41559-023-02236-0" TargetMode="External"/><Relationship Id="rId48" Type="http://schemas.openxmlformats.org/officeDocument/2006/relationships/hyperlink" Target="https://stock.adobe.com/uk/images/the-steppe-eagle-aquila-nipalensis-at-bikaner-rajasthan-india/898194898?prev_url=detail" TargetMode="External"/><Relationship Id="rId64" Type="http://schemas.openxmlformats.org/officeDocument/2006/relationships/hyperlink" Target="https://stock.adobe.com/uk/images/green-sea-turtle/536146467" TargetMode="External"/><Relationship Id="rId69" Type="http://schemas.openxmlformats.org/officeDocument/2006/relationships/hyperlink" Target="https://www.iucn-mtsg.org/imtas" TargetMode="External"/><Relationship Id="rId113" Type="http://schemas.openxmlformats.org/officeDocument/2006/relationships/hyperlink" Target="https://doi.org/10.1073/pnas.1912776117" TargetMode="External"/><Relationship Id="rId118" Type="http://schemas.openxmlformats.org/officeDocument/2006/relationships/hyperlink" Target="https://doi.org/10.1126/sciadv.abb6026" TargetMode="External"/><Relationship Id="rId134" Type="http://schemas.openxmlformats.org/officeDocument/2006/relationships/hyperlink" Target="https://doi.org/10.1111/cobi.14345" TargetMode="External"/><Relationship Id="rId139" Type="http://schemas.openxmlformats.org/officeDocument/2006/relationships/hyperlink" Target="https://doi.org/10.1126/science.adl0239" TargetMode="External"/><Relationship Id="rId80" Type="http://schemas.openxmlformats.org/officeDocument/2006/relationships/hyperlink" Target="https://megamove.org/" TargetMode="External"/><Relationship Id="rId85" Type="http://schemas.openxmlformats.org/officeDocument/2006/relationships/image" Target="media/image24.png"/><Relationship Id="rId150" Type="http://schemas.openxmlformats.org/officeDocument/2006/relationships/hyperlink" Target="https://doi.org/10.1111/geb.70004"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1.jpeg"/><Relationship Id="rId38" Type="http://schemas.openxmlformats.org/officeDocument/2006/relationships/hyperlink" Target="https://www.flickr.com/photos/nationalzoo/26341273851/in/album-72157666993317991" TargetMode="External"/><Relationship Id="rId59" Type="http://schemas.openxmlformats.org/officeDocument/2006/relationships/hyperlink" Target="https://stock.adobe.com/uk/images/swimming-angelshark-over-sand-in-blue-ocean-in-canary-island/220283534?prev_url=detail" TargetMode="External"/><Relationship Id="rId103" Type="http://schemas.openxmlformats.org/officeDocument/2006/relationships/hyperlink" Target="https://doi.org/10.1111/ibi.13368" TargetMode="External"/><Relationship Id="rId108" Type="http://schemas.openxmlformats.org/officeDocument/2006/relationships/hyperlink" Target="https://doi.org/10.1038/ncomms14895" TargetMode="External"/><Relationship Id="rId124" Type="http://schemas.openxmlformats.org/officeDocument/2006/relationships/hyperlink" Target="https://doi.org/10.3354/esr01237" TargetMode="External"/><Relationship Id="rId129" Type="http://schemas.openxmlformats.org/officeDocument/2006/relationships/hyperlink" Target="https://www.iucn-mtsg.org/s/IMTA-Guidelines-10.pdf" TargetMode="External"/><Relationship Id="rId54" Type="http://schemas.openxmlformats.org/officeDocument/2006/relationships/hyperlink" Target="https://files.worldwildlife.org/wwfcmsprod/files/Publication/file/6f6b5o5dn1_LPI_migratory_freshwater_fishes_2024_Technical_report.pdf" TargetMode="External"/><Relationship Id="rId70" Type="http://schemas.openxmlformats.org/officeDocument/2006/relationships/image" Target="media/image19.png"/><Relationship Id="rId75" Type="http://schemas.openxmlformats.org/officeDocument/2006/relationships/image" Target="media/image20.png"/><Relationship Id="rId91" Type="http://schemas.openxmlformats.org/officeDocument/2006/relationships/hyperlink" Target="https://doi.org/10.1038/s44358-024-00008-7" TargetMode="External"/><Relationship Id="rId96" Type="http://schemas.openxmlformats.org/officeDocument/2006/relationships/hyperlink" Target="https://www.deerspecialistgroup.org/article/1060/" TargetMode="External"/><Relationship Id="rId140" Type="http://schemas.openxmlformats.org/officeDocument/2006/relationships/hyperlink" Target="https://doi.org/1126/science.adp1950" TargetMode="External"/><Relationship Id="rId145" Type="http://schemas.openxmlformats.org/officeDocument/2006/relationships/hyperlink" Target="https://doi.org/10.1016/j.scitotenv.2024.17277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s://www.cms.int/fr/node/41564" TargetMode="External"/><Relationship Id="rId49" Type="http://schemas.openxmlformats.org/officeDocument/2006/relationships/hyperlink" Target="https://onlinelibrary.wiley.com/doi/10.1111/ibi.13368" TargetMode="External"/><Relationship Id="rId114" Type="http://schemas.openxmlformats.org/officeDocument/2006/relationships/hyperlink" Target="https://doi.org/10.1111/csp2.1285" TargetMode="External"/><Relationship Id="rId119" Type="http://schemas.openxmlformats.org/officeDocument/2006/relationships/hyperlink" Target="https://doi.org/10.1017/S0030605323001692" TargetMode="External"/><Relationship Id="rId44" Type="http://schemas.openxmlformats.org/officeDocument/2006/relationships/hyperlink" Target="https://www.cms.int/fr/system/404" TargetMode="External"/><Relationship Id="rId60" Type="http://schemas.openxmlformats.org/officeDocument/2006/relationships/hyperlink" Target="https://www.int-res.com/articles/esr2025/56/n056p247.pdf" TargetMode="External"/><Relationship Id="rId65" Type="http://schemas.openxmlformats.org/officeDocument/2006/relationships/hyperlink" Target="https://www.cms.int/fr/node/41564" TargetMode="External"/><Relationship Id="rId81" Type="http://schemas.openxmlformats.org/officeDocument/2006/relationships/hyperlink" Target="https://www.cms.int/fr/node/25139" TargetMode="External"/><Relationship Id="rId86" Type="http://schemas.openxmlformats.org/officeDocument/2006/relationships/hyperlink" Target="https://www.seabirdtracking.org/special/marine-flyways/" TargetMode="External"/><Relationship Id="rId130" Type="http://schemas.openxmlformats.org/officeDocument/2006/relationships/hyperlink" Target="https://sharkrayareas.org/e-atlas/" TargetMode="External"/><Relationship Id="rId135" Type="http://schemas.openxmlformats.org/officeDocument/2006/relationships/hyperlink" Target="https://doi.org/10.1111/cobi.14002" TargetMode="External"/><Relationship Id="rId151" Type="http://schemas.openxmlformats.org/officeDocument/2006/relationships/header" Target="header6.xml"/><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hyperlink" Target="https://creativecommons.org/licenses/by-nc-nd/2.0/deed.fr" TargetMode="External"/><Relationship Id="rId109" Type="http://schemas.openxmlformats.org/officeDocument/2006/relationships/hyperlink" Target="https://iucn.org/sites/default/files/2023-04/iucn-ys-situation-analysis-2023-final_0.pdf" TargetMode="External"/><Relationship Id="rId34" Type="http://schemas.openxmlformats.org/officeDocument/2006/relationships/hyperlink" Target="https://stock.adobe.com/uk/images/great-bustard-display-in-grassland/536283277?prev_url=detail" TargetMode="External"/><Relationship Id="rId50" Type="http://schemas.openxmlformats.org/officeDocument/2006/relationships/hyperlink" Target="https://academic.oup.com/condor/article/125/2/duad003/7031074" TargetMode="External"/><Relationship Id="rId55" Type="http://schemas.openxmlformats.org/officeDocument/2006/relationships/hyperlink" Target="https://www.cms.int/fr/node/41564" TargetMode="External"/><Relationship Id="rId76" Type="http://schemas.openxmlformats.org/officeDocument/2006/relationships/image" Target="media/image21.jpeg"/><Relationship Id="rId97" Type="http://schemas.openxmlformats.org/officeDocument/2006/relationships/hyperlink" Target="https://www.cms.int/raptors/sites/default/files/document/MOS3_DOC.%2012.3_Annex%201_Conservation%20Status%20Assessment%20Report_EN.pdf" TargetMode="External"/><Relationship Id="rId104" Type="http://schemas.openxmlformats.org/officeDocument/2006/relationships/hyperlink" Target="https://doi.org/10.1093/ornithapp/duad003" TargetMode="External"/><Relationship Id="rId120" Type="http://schemas.openxmlformats.org/officeDocument/2006/relationships/hyperlink" Target="https://doi.org/10.1111/gcb.17373" TargetMode="External"/><Relationship Id="rId125" Type="http://schemas.openxmlformats.org/officeDocument/2006/relationships/hyperlink" Target="https://doi.org/10.1016/j.oneear.2023.12.007" TargetMode="External"/><Relationship Id="rId141" Type="http://schemas.openxmlformats.org/officeDocument/2006/relationships/hyperlink" Target="https://doi.org/10.1126/science.adl0239" TargetMode="External"/><Relationship Id="rId146" Type="http://schemas.openxmlformats.org/officeDocument/2006/relationships/hyperlink" Target="https://doi.org/10.1126/sciadv.abd7225" TargetMode="External"/><Relationship Id="rId7" Type="http://schemas.openxmlformats.org/officeDocument/2006/relationships/settings" Target="settings.xml"/><Relationship Id="rId71" Type="http://schemas.openxmlformats.org/officeDocument/2006/relationships/hyperlink" Target="https://www.marinemammalhabitat.org/immas/immas-searchable-database/" TargetMode="External"/><Relationship Id="rId92" Type="http://schemas.openxmlformats.org/officeDocument/2006/relationships/hyperlink" Target="https://doi.org/10.1111/cobi.70052" TargetMode="External"/><Relationship Id="rId2" Type="http://schemas.openxmlformats.org/officeDocument/2006/relationships/customXml" Target="../customXml/item2.xml"/><Relationship Id="rId29" Type="http://schemas.openxmlformats.org/officeDocument/2006/relationships/hyperlink" Target="https://www.cms.int/sites/default/files/document/cms_cop14_res.14.4_state-of-the-worlds-migratory-species-report_f_0.pdf" TargetMode="External"/><Relationship Id="rId24" Type="http://schemas.openxmlformats.org/officeDocument/2006/relationships/footer" Target="footer4.xml"/><Relationship Id="rId40" Type="http://schemas.openxmlformats.org/officeDocument/2006/relationships/image" Target="media/image14.jpeg"/><Relationship Id="rId45" Type="http://schemas.openxmlformats.org/officeDocument/2006/relationships/hyperlink" Target="https://www.sciencedirect.com/science/article/pii/S0006320724000867" TargetMode="External"/><Relationship Id="rId66" Type="http://schemas.openxmlformats.org/officeDocument/2006/relationships/hyperlink" Target="https://www.cms.int/sites/default/files/document/cms_cop14_res.14.1_samarkand-spms-2024-2032_f.pdf" TargetMode="External"/><Relationship Id="rId87" Type="http://schemas.openxmlformats.org/officeDocument/2006/relationships/hyperlink" Target="https://www.seabirdtracking.org/special/marine-flyways/" TargetMode="External"/><Relationship Id="rId110" Type="http://schemas.openxmlformats.org/officeDocument/2006/relationships/hyperlink" Target="https://doi.org/10.1016/j.biocon.2020.108582" TargetMode="External"/><Relationship Id="rId115" Type="http://schemas.openxmlformats.org/officeDocument/2006/relationships/hyperlink" Target="https://iucn.org/resources/publication/global-status-sharks-rays-and-chimaeras" TargetMode="External"/><Relationship Id="rId131" Type="http://schemas.openxmlformats.org/officeDocument/2006/relationships/hyperlink" Target="https://doi.org/10.1017/S0030605324001790" TargetMode="External"/><Relationship Id="rId136" Type="http://schemas.openxmlformats.org/officeDocument/2006/relationships/hyperlink" Target="https://doi.org/10.1016/j.biocon.2023.110224" TargetMode="External"/><Relationship Id="rId61" Type="http://schemas.openxmlformats.org/officeDocument/2006/relationships/hyperlink" Target="https://www.seaturtlestatus.org/cpp-dashboard" TargetMode="External"/><Relationship Id="rId82" Type="http://schemas.openxmlformats.org/officeDocument/2006/relationships/hyperlink" Target="https://jellyfish-app-li2vd.ondigitalocean.app/data/factSheets/WhiteEaredKob_BadingiloBomaGambella_SSD-ETH.pdf" TargetMode="External"/><Relationship Id="rId152"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hyperlink" Target="https://www.cms.int/fr/node/41564" TargetMode="External"/><Relationship Id="rId35" Type="http://schemas.openxmlformats.org/officeDocument/2006/relationships/image" Target="media/image12.jpeg"/><Relationship Id="rId56" Type="http://schemas.openxmlformats.org/officeDocument/2006/relationships/hyperlink" Target="https://iucn.org/fr/node/42754" TargetMode="External"/><Relationship Id="rId77" Type="http://schemas.openxmlformats.org/officeDocument/2006/relationships/hyperlink" Target="https://www.global-wetland-outlook.ramsar.org/outlook" TargetMode="External"/><Relationship Id="rId100" Type="http://schemas.openxmlformats.org/officeDocument/2006/relationships/hyperlink" Target="https://doi.org/10.1111/ddi.13935" TargetMode="External"/><Relationship Id="rId105" Type="http://schemas.openxmlformats.org/officeDocument/2006/relationships/hyperlink" Target="https://www.nespmarinecoastal.edu.au/wp-content/uploads/2023/10/Project-1.21_Final-report.pdf" TargetMode="External"/><Relationship Id="rId126" Type="http://schemas.openxmlformats.org/officeDocument/2006/relationships/hyperlink" Target="https://doi.org/10.1111/conl.13117" TargetMode="External"/><Relationship Id="rId147" Type="http://schemas.openxmlformats.org/officeDocument/2006/relationships/hyperlink" Target="https://doi.org/10.1111/cobi.14002"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marinemammalhabitat.org/imma-eatlas/" TargetMode="External"/><Relationship Id="rId93" Type="http://schemas.openxmlformats.org/officeDocument/2006/relationships/hyperlink" Target="https://www.eaaflyway.net/updates-hpai-eaaf/" TargetMode="External"/><Relationship Id="rId98" Type="http://schemas.openxmlformats.org/officeDocument/2006/relationships/hyperlink" Target="https://doi.org/10.1038/s41559-023-02236-0" TargetMode="External"/><Relationship Id="rId121" Type="http://schemas.openxmlformats.org/officeDocument/2006/relationships/hyperlink" Target="https://doi.org/10.3354/esr01385" TargetMode="External"/><Relationship Id="rId142" Type="http://schemas.openxmlformats.org/officeDocument/2006/relationships/hyperlink" Target="https://doi.org/10.1111/1365-2664.13380" TargetMode="External"/><Relationship Id="rId3" Type="http://schemas.openxmlformats.org/officeDocument/2006/relationships/customXml" Target="../customXml/item3.xml"/><Relationship Id="rId25" Type="http://schemas.openxmlformats.org/officeDocument/2006/relationships/hyperlink" Target="https://www.cms.int/fr/node/41564" TargetMode="External"/><Relationship Id="rId46" Type="http://schemas.openxmlformats.org/officeDocument/2006/relationships/hyperlink" Target="https://onlinelibrary.wiley.com/doi/full/10.1111/ddi.13935" TargetMode="External"/><Relationship Id="rId67" Type="http://schemas.openxmlformats.org/officeDocument/2006/relationships/hyperlink" Target="https://www.marinemammalhabitat.org/" TargetMode="External"/><Relationship Id="rId116" Type="http://schemas.openxmlformats.org/officeDocument/2006/relationships/hyperlink" Target="https://doi.org/10.1126/science.adn1477" TargetMode="External"/><Relationship Id="rId137" Type="http://schemas.openxmlformats.org/officeDocument/2006/relationships/hyperlink" Target="https://wildlabs.net/article/introducing-move-bon-initiative" TargetMode="External"/><Relationship Id="rId20" Type="http://schemas.openxmlformats.org/officeDocument/2006/relationships/image" Target="media/image7.png"/><Relationship Id="rId41" Type="http://schemas.openxmlformats.org/officeDocument/2006/relationships/hyperlink" Target="https://stock.adobe.com/uk/images/guanaco-in-national-park-torres-del-paine-patagonia-chile/83783149" TargetMode="External"/><Relationship Id="rId62" Type="http://schemas.openxmlformats.org/officeDocument/2006/relationships/hyperlink" Target="https://linkinghub.elsevier.com/retrieve/pii/S2589-0042(24)00292-X" TargetMode="External"/><Relationship Id="rId83" Type="http://schemas.openxmlformats.org/officeDocument/2006/relationships/image" Target="media/image23.jpeg"/><Relationship Id="rId88" Type="http://schemas.openxmlformats.org/officeDocument/2006/relationships/image" Target="media/image25.png"/><Relationship Id="rId111" Type="http://schemas.openxmlformats.org/officeDocument/2006/relationships/hyperlink" Target="https://doi.org/10.1126/science.aat8695" TargetMode="External"/><Relationship Id="rId132" Type="http://schemas.openxmlformats.org/officeDocument/2006/relationships/hyperlink" Target="https://doi.org/10.1111/1365-2664.13380" TargetMode="External"/><Relationship Id="rId153"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stock.adobe.com/uk/images/buff-breasted-sandpiper-calidris-subruficollis/402858055?prev_url=detail" TargetMode="External"/><Relationship Id="rId57" Type="http://schemas.openxmlformats.org/officeDocument/2006/relationships/hyperlink" Target="https://www.science.org/doi/10.1126/science.adn1477" TargetMode="External"/><Relationship Id="rId106" Type="http://schemas.openxmlformats.org/officeDocument/2006/relationships/hyperlink" Target="https://zenodo.org/records/15423626" TargetMode="External"/><Relationship Id="rId127" Type="http://schemas.openxmlformats.org/officeDocument/2006/relationships/hyperlink" Target="https://doi.org/10.3389/fmars.2022.968853" TargetMode="External"/><Relationship Id="rId10" Type="http://schemas.openxmlformats.org/officeDocument/2006/relationships/endnotes" Target="endnotes.xml"/><Relationship Id="rId31" Type="http://schemas.openxmlformats.org/officeDocument/2006/relationships/hyperlink" Target="https://portals.iucn.org/library/sites/library/files/documents/RL-2001-001-2nd-Fr.pdf" TargetMode="External"/><Relationship Id="rId52" Type="http://schemas.openxmlformats.org/officeDocument/2006/relationships/hyperlink" Target="https://stock.adobe.com/uk/images/spoon-billed-sandpiper-calidris-pygmaea-who-critically-endangered-status-in-red-list-of-iucn-walking-in-nature-in-thailand/98383832?prev_url=detail" TargetMode="External"/><Relationship Id="rId73" Type="http://schemas.openxmlformats.org/officeDocument/2006/relationships/hyperlink" Target="https://wwfafrica.awsassets.panda.org/downloads/blue-corridors-for-turtles_report.pdf?54023/Blue-Corridors-for-Turtles-report" TargetMode="External"/><Relationship Id="rId78" Type="http://schemas.openxmlformats.org/officeDocument/2006/relationships/hyperlink" Target="https://stock.adobe.com/uk/images/panoramic-aerial-view-at-sunset-of-typical-pantanal-wetlands-landscape-with-lagoons-forests-meadows-river-fields-mato-grosso-brazil/301916260?prev_url=detail" TargetMode="External"/><Relationship Id="rId94" Type="http://schemas.openxmlformats.org/officeDocument/2006/relationships/hyperlink" Target="https://doi.org/10.1016/j.biocon.2023.110271" TargetMode="External"/><Relationship Id="rId99" Type="http://schemas.openxmlformats.org/officeDocument/2006/relationships/hyperlink" Target="https://doi.org/10.1016/j.biocon.2024.110525" TargetMode="External"/><Relationship Id="rId101" Type="http://schemas.openxmlformats.org/officeDocument/2006/relationships/hyperlink" Target="https://doi.org/10.1111/ibi.13171" TargetMode="External"/><Relationship Id="rId122" Type="http://schemas.openxmlformats.org/officeDocument/2006/relationships/hyperlink" Target="https://doi.org/10.1016/j.isci.2024.109071" TargetMode="External"/><Relationship Id="rId143" Type="http://schemas.openxmlformats.org/officeDocument/2006/relationships/hyperlink" Target="https://doi.org/1126/science.adp1950" TargetMode="External"/><Relationship Id="rId148" Type="http://schemas.openxmlformats.org/officeDocument/2006/relationships/hyperlink" Target="https://doi.org/10.1111/1365-2664.1483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5.xml"/><Relationship Id="rId47" Type="http://schemas.openxmlformats.org/officeDocument/2006/relationships/image" Target="media/image15.jpeg"/><Relationship Id="rId68" Type="http://schemas.openxmlformats.org/officeDocument/2006/relationships/hyperlink" Target="https://sharkrayareas.org/" TargetMode="External"/><Relationship Id="rId89" Type="http://schemas.openxmlformats.org/officeDocument/2006/relationships/hyperlink" Target="https://www.cms.int/en/publication/state-worlds-migratory-species-report" TargetMode="External"/><Relationship Id="rId112" Type="http://schemas.openxmlformats.org/officeDocument/2006/relationships/hyperlink" Target="https://worldfishmigrationfoundation.com/wp-content/uploads/2024/05/LPI_migratory-freshwater-fishes-2024_Technical-report.pdf" TargetMode="External"/><Relationship Id="rId133" Type="http://schemas.openxmlformats.org/officeDocument/2006/relationships/hyperlink" Target="https://doi.org/10.1111/ibi.13171" TargetMode="External"/><Relationship Id="rId154"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image" Target="media/image13.jpeg"/><Relationship Id="rId58" Type="http://schemas.openxmlformats.org/officeDocument/2006/relationships/image" Target="media/image17.jpeg"/><Relationship Id="rId79" Type="http://schemas.openxmlformats.org/officeDocument/2006/relationships/image" Target="media/image22.png"/><Relationship Id="rId102" Type="http://schemas.openxmlformats.org/officeDocument/2006/relationships/hyperlink" Target="https://doi.org/10.1073/pnas.2216573120" TargetMode="External"/><Relationship Id="rId123" Type="http://schemas.openxmlformats.org/officeDocument/2006/relationships/hyperlink" Target="https://doi.org/10.1038/s44358-024-00011-y" TargetMode="External"/><Relationship Id="rId144" Type="http://schemas.openxmlformats.org/officeDocument/2006/relationships/hyperlink" Target="https://doi.org/10.1038/s43247-025-02467-y" TargetMode="External"/><Relationship Id="rId90" Type="http://schemas.openxmlformats.org/officeDocument/2006/relationships/hyperlink" Target="https://doi.org/10.3354/esr0130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ms.int/sites/default/files/publication/CAMI%20Migration%20Atlas%20Final_OPT.pdf" TargetMode="External"/><Relationship Id="rId2" Type="http://schemas.openxmlformats.org/officeDocument/2006/relationships/hyperlink" Target="https://www.cms.int/sites/default/files/document/cms_cami-tw_doc.3_draft-work-programme_e.pdf" TargetMode="External"/><Relationship Id="rId1" Type="http://schemas.openxmlformats.org/officeDocument/2006/relationships/hyperlink" Target="https://raptors.cms.int/fr/page/agreement-text" TargetMode="External"/><Relationship Id="rId5" Type="http://schemas.openxmlformats.org/officeDocument/2006/relationships/hyperlink" Target="https://experience.arcgis.com/experience/0eda722f6cfa4ac89606df50d7e40468?org=qgsp" TargetMode="External"/><Relationship Id="rId4" Type="http://schemas.openxmlformats.org/officeDocument/2006/relationships/hyperlink" Target="https://migrationatlas.org/fr/node/9316"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93A2D-BE7F-48B2-9187-742B5C6A6A91}">
  <ds:schemaRefs>
    <ds:schemaRef ds:uri="http://schemas.microsoft.com/sharepoint/v3/contenttype/forms"/>
  </ds:schemaRefs>
</ds:datastoreItem>
</file>

<file path=customXml/itemProps2.xml><?xml version="1.0" encoding="utf-8"?>
<ds:datastoreItem xmlns:ds="http://schemas.openxmlformats.org/officeDocument/2006/customXml" ds:itemID="{94537374-8789-465B-B155-3EDA7B4C9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BDAE6-9E42-4709-8216-D91236C25C9A}">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718DE201-A7E9-4C4B-9E31-5E6403CF830B}">
  <ds:schemaRefs>
    <ds:schemaRef ds:uri="http://schemas.openxmlformats.org/officeDocument/2006/bibliography"/>
  </ds:schemaRefs>
</ds:datastoreItem>
</file>

<file path=docMetadata/LabelInfo.xml><?xml version="1.0" encoding="utf-8"?>
<clbl:labelList xmlns:clbl="http://schemas.microsoft.com/office/2020/mipLabelMetadata">
  <clbl:label id="{7eb58d0f-f804-411f-a20e-09ebfae62b4c}"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39</Pages>
  <Words>17012</Words>
  <Characters>96974</Characters>
  <Application>Microsoft Office Word</Application>
  <DocSecurity>0</DocSecurity>
  <Lines>808</Lines>
  <Paragraphs>227</Paragraphs>
  <ScaleCrop>false</ScaleCrop>
  <Company/>
  <LinksUpToDate>false</LinksUpToDate>
  <CharactersWithSpaces>113759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Cancino</dc:creator>
  <cp:lastModifiedBy>Catherine Brueckner</cp:lastModifiedBy>
  <cp:revision>19</cp:revision>
  <cp:lastPrinted>2019-09-22T20:54:00Z</cp:lastPrinted>
  <dcterms:created xsi:type="dcterms:W3CDTF">2025-10-31T13:36:00Z</dcterms:created>
  <dcterms:modified xsi:type="dcterms:W3CDTF">2025-11-07T11:30:00Z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Order">
    <vt:r8>100</vt:r8>
  </property>
  <property fmtid="{D5CDD505-2E9C-101B-9397-08002B2CF9AE}" pid="5" name="MediaServiceImageTags">
    <vt:lpwstr/>
  </property>
  <property fmtid="{D5CDD505-2E9C-101B-9397-08002B2CF9AE}" pid="6" name="TaxKeyword">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docLang">
    <vt:lpwstr>en</vt:lpwstr>
  </property>
</Properties>
</file>